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5"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06B85932" w14:textId="77777777" w:rsidR="00FC3F51" w:rsidRDefault="00FC3F51" w:rsidP="00FC3F51">
      <w:pPr>
        <w:autoSpaceDE w:val="0"/>
        <w:autoSpaceDN w:val="0"/>
        <w:adjustRightInd w:val="0"/>
        <w:rPr>
          <w:rFonts w:asciiTheme="majorBidi" w:hAnsiTheme="majorBidi" w:cstheme="majorBidi"/>
        </w:rPr>
      </w:pPr>
      <w:r>
        <w:rPr>
          <w:rFonts w:asciiTheme="majorBidi" w:hAnsiTheme="majorBidi" w:cstheme="majorBidi"/>
          <w:noProof/>
        </w:rPr>
        <w:drawing>
          <wp:anchor distT="0" distB="0" distL="114300" distR="114300" simplePos="0" relativeHeight="251684864" behindDoc="0" locked="0" layoutInCell="1" allowOverlap="1" wp14:anchorId="69BC01A5" wp14:editId="6C98151E">
            <wp:simplePos x="0" y="0"/>
            <wp:positionH relativeFrom="column">
              <wp:posOffset>1310652</wp:posOffset>
            </wp:positionH>
            <wp:positionV relativeFrom="paragraph">
              <wp:posOffset>-310515</wp:posOffset>
            </wp:positionV>
            <wp:extent cx="3036570" cy="1104265"/>
            <wp:effectExtent l="0" t="0" r="0" b="0"/>
            <wp:wrapNone/>
            <wp:docPr id="50" name="Picture 50"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3036570" cy="1104265"/>
                    </a:xfrm>
                    <a:prstGeom prst="rect">
                      <a:avLst/>
                    </a:prstGeom>
                    <a:noFill/>
                    <a:ln>
                      <a:noFill/>
                    </a:ln>
                  </pic:spPr>
                </pic:pic>
              </a:graphicData>
            </a:graphic>
          </wp:anchor>
        </w:drawing>
      </w:r>
    </w:p>
    <w:p w14:paraId="69428B22" w14:textId="77777777" w:rsidR="00FC3F51" w:rsidRDefault="00FC3F51" w:rsidP="00FC3F51">
      <w:pPr>
        <w:autoSpaceDE w:val="0"/>
        <w:autoSpaceDN w:val="0"/>
        <w:adjustRightInd w:val="0"/>
        <w:rPr>
          <w:rFonts w:asciiTheme="majorBidi" w:hAnsiTheme="majorBidi" w:cstheme="majorBidi"/>
        </w:rPr>
      </w:pPr>
    </w:p>
    <w:p w14:paraId="38E08B7E" w14:textId="77777777" w:rsidR="00FC3F51" w:rsidRDefault="00FC3F51" w:rsidP="00FC3F51">
      <w:pPr>
        <w:autoSpaceDE w:val="0"/>
        <w:autoSpaceDN w:val="0"/>
        <w:adjustRightInd w:val="0"/>
        <w:rPr>
          <w:rFonts w:asciiTheme="majorBidi" w:hAnsiTheme="majorBidi" w:cstheme="majorBidi"/>
        </w:rPr>
      </w:pPr>
    </w:p>
    <w:p w14:paraId="19542915" w14:textId="77777777" w:rsidR="00FC3F51" w:rsidRDefault="00FC3F51" w:rsidP="00FC3F51">
      <w:pPr>
        <w:autoSpaceDE w:val="0"/>
        <w:autoSpaceDN w:val="0"/>
        <w:adjustRightInd w:val="0"/>
        <w:rPr>
          <w:rFonts w:asciiTheme="majorBidi" w:hAnsiTheme="majorBidi" w:cstheme="majorBidi"/>
        </w:rPr>
      </w:pPr>
    </w:p>
    <w:p w14:paraId="4CB8C8F8" w14:textId="77777777" w:rsidR="00FC3F51" w:rsidRDefault="00FC3F51" w:rsidP="00FC3F51">
      <w:pPr>
        <w:autoSpaceDE w:val="0"/>
        <w:autoSpaceDN w:val="0"/>
        <w:adjustRightInd w:val="0"/>
        <w:jc w:val="center"/>
        <w:rPr>
          <w:rFonts w:asciiTheme="majorBidi" w:hAnsiTheme="majorBidi" w:cstheme="majorBidi"/>
        </w:rPr>
      </w:pPr>
    </w:p>
    <w:p w14:paraId="6802B0BA" w14:textId="77777777" w:rsidR="00FC3F51" w:rsidRDefault="00FC3F51" w:rsidP="00FC3F51">
      <w:pPr>
        <w:autoSpaceDE w:val="0"/>
        <w:autoSpaceDN w:val="0"/>
        <w:adjustRightInd w:val="0"/>
        <w:jc w:val="center"/>
        <w:rPr>
          <w:rFonts w:asciiTheme="majorBidi" w:hAnsiTheme="majorBidi" w:cstheme="majorBidi"/>
        </w:rPr>
      </w:pPr>
    </w:p>
    <w:p w14:paraId="4A42B938" w14:textId="77777777" w:rsidR="00FC3F51" w:rsidRDefault="00FC3F51" w:rsidP="00FC3F51">
      <w:pPr>
        <w:autoSpaceDE w:val="0"/>
        <w:autoSpaceDN w:val="0"/>
        <w:adjustRightInd w:val="0"/>
        <w:jc w:val="center"/>
        <w:rPr>
          <w:rFonts w:asciiTheme="majorBidi" w:hAnsiTheme="majorBidi" w:cstheme="majorBidi"/>
        </w:rPr>
      </w:pPr>
    </w:p>
    <w:p w14:paraId="7CC87786" w14:textId="77777777" w:rsidR="00FC3F51" w:rsidRDefault="00FC3F51" w:rsidP="00FC3F51">
      <w:pPr>
        <w:autoSpaceDE w:val="0"/>
        <w:autoSpaceDN w:val="0"/>
        <w:adjustRightInd w:val="0"/>
        <w:jc w:val="center"/>
        <w:rPr>
          <w:rFonts w:asciiTheme="majorBidi" w:hAnsiTheme="majorBidi" w:cstheme="majorBidi"/>
        </w:rPr>
      </w:pPr>
    </w:p>
    <w:p w14:paraId="319E5C3F" w14:textId="77777777" w:rsidR="00FC3F51" w:rsidRDefault="00FC3F51" w:rsidP="00FC3F51">
      <w:pPr>
        <w:autoSpaceDE w:val="0"/>
        <w:autoSpaceDN w:val="0"/>
        <w:adjustRightInd w:val="0"/>
        <w:jc w:val="center"/>
        <w:rPr>
          <w:rFonts w:asciiTheme="majorBidi" w:hAnsiTheme="majorBidi" w:cstheme="majorBidi"/>
        </w:rPr>
      </w:pPr>
    </w:p>
    <w:p w14:paraId="2345AD70" w14:textId="77777777" w:rsidR="00FC3F51" w:rsidRDefault="00FC3F51" w:rsidP="00FC3F51">
      <w:pPr>
        <w:autoSpaceDE w:val="0"/>
        <w:autoSpaceDN w:val="0"/>
        <w:adjustRightInd w:val="0"/>
        <w:jc w:val="center"/>
        <w:rPr>
          <w:rFonts w:asciiTheme="majorBidi" w:hAnsiTheme="majorBidi" w:cstheme="majorBidi"/>
        </w:rPr>
      </w:pPr>
    </w:p>
    <w:p w14:paraId="431B5F47" w14:textId="77777777" w:rsidR="00FC3F51" w:rsidRDefault="00FC3F51" w:rsidP="00FC3F51">
      <w:pPr>
        <w:autoSpaceDE w:val="0"/>
        <w:autoSpaceDN w:val="0"/>
        <w:adjustRightInd w:val="0"/>
        <w:jc w:val="center"/>
        <w:rPr>
          <w:rFonts w:asciiTheme="majorBidi" w:hAnsiTheme="majorBidi" w:cstheme="majorBidi"/>
        </w:rPr>
      </w:pPr>
    </w:p>
    <w:p w14:paraId="0C230C79" w14:textId="77777777" w:rsidR="00FC3F51" w:rsidRPr="001D3BF3" w:rsidRDefault="00FC3F51" w:rsidP="00FC3F51">
      <w:pPr>
        <w:autoSpaceDE w:val="0"/>
        <w:autoSpaceDN w:val="0"/>
        <w:adjustRightInd w:val="0"/>
        <w:jc w:val="center"/>
        <w:rPr>
          <w:rFonts w:asciiTheme="majorBidi" w:hAnsiTheme="majorBidi" w:cstheme="majorBidi"/>
          <w:b/>
          <w:bCs/>
          <w:sz w:val="28"/>
          <w:szCs w:val="28"/>
        </w:rPr>
      </w:pPr>
      <w:r>
        <w:rPr>
          <w:rFonts w:asciiTheme="majorBidi" w:hAnsiTheme="majorBidi" w:cstheme="majorBidi"/>
          <w:b/>
          <w:bCs/>
          <w:color w:val="222222"/>
          <w:sz w:val="28"/>
          <w:szCs w:val="28"/>
          <w:shd w:val="clear" w:color="auto" w:fill="FFFFFF"/>
        </w:rPr>
        <w:t xml:space="preserve">Lymphatic mapping and occult nodal metastasis in melanoma </w:t>
      </w:r>
      <w:r w:rsidRPr="001D3BF3">
        <w:rPr>
          <w:rFonts w:asciiTheme="majorBidi" w:hAnsiTheme="majorBidi" w:cstheme="majorBidi"/>
          <w:b/>
          <w:bCs/>
          <w:color w:val="222222"/>
          <w:sz w:val="28"/>
          <w:szCs w:val="28"/>
        </w:rPr>
        <w:br/>
      </w:r>
      <w:r w:rsidRPr="001D3BF3">
        <w:rPr>
          <w:rFonts w:asciiTheme="majorBidi" w:hAnsiTheme="majorBidi" w:cstheme="majorBidi"/>
          <w:b/>
          <w:bCs/>
          <w:color w:val="222222"/>
          <w:sz w:val="28"/>
          <w:szCs w:val="28"/>
        </w:rPr>
        <w:br/>
      </w:r>
    </w:p>
    <w:p w14:paraId="37A24417" w14:textId="77777777" w:rsidR="00FC3F51" w:rsidRDefault="00FC3F51" w:rsidP="00FC3F51">
      <w:pPr>
        <w:autoSpaceDE w:val="0"/>
        <w:autoSpaceDN w:val="0"/>
        <w:adjustRightInd w:val="0"/>
        <w:rPr>
          <w:rFonts w:asciiTheme="majorBidi" w:hAnsiTheme="majorBidi" w:cstheme="majorBidi"/>
        </w:rPr>
      </w:pPr>
    </w:p>
    <w:p w14:paraId="671B00CB" w14:textId="77777777" w:rsidR="00FC3F51" w:rsidRDefault="00FC3F51" w:rsidP="00FC3F51">
      <w:pPr>
        <w:autoSpaceDE w:val="0"/>
        <w:autoSpaceDN w:val="0"/>
        <w:adjustRightInd w:val="0"/>
        <w:jc w:val="center"/>
        <w:rPr>
          <w:rFonts w:asciiTheme="majorBidi" w:hAnsiTheme="majorBidi" w:cstheme="majorBidi"/>
        </w:rPr>
      </w:pPr>
    </w:p>
    <w:p w14:paraId="11FA4ECE" w14:textId="77777777" w:rsidR="00FC3F51" w:rsidRDefault="00FC3F51" w:rsidP="00FC3F51">
      <w:pPr>
        <w:autoSpaceDE w:val="0"/>
        <w:autoSpaceDN w:val="0"/>
        <w:adjustRightInd w:val="0"/>
        <w:jc w:val="center"/>
        <w:rPr>
          <w:rFonts w:asciiTheme="majorBidi" w:hAnsiTheme="majorBidi" w:cstheme="majorBidi"/>
        </w:rPr>
      </w:pPr>
    </w:p>
    <w:p w14:paraId="4AADED42" w14:textId="77777777" w:rsidR="00FC3F51" w:rsidRPr="00FB352E" w:rsidRDefault="00FC3F51" w:rsidP="00FC3F51">
      <w:pPr>
        <w:autoSpaceDE w:val="0"/>
        <w:autoSpaceDN w:val="0"/>
        <w:adjustRightInd w:val="0"/>
        <w:jc w:val="center"/>
        <w:rPr>
          <w:rFonts w:asciiTheme="majorBidi" w:hAnsiTheme="majorBidi" w:cstheme="majorBidi"/>
          <w:b/>
          <w:bCs/>
        </w:rPr>
      </w:pPr>
      <w:r w:rsidRPr="00FB352E">
        <w:rPr>
          <w:rFonts w:asciiTheme="majorBidi" w:hAnsiTheme="majorBidi" w:cstheme="majorBidi"/>
          <w:b/>
          <w:bCs/>
        </w:rPr>
        <w:t>By:</w:t>
      </w:r>
    </w:p>
    <w:p w14:paraId="0D73CE34" w14:textId="77777777" w:rsidR="00FC3F51" w:rsidRPr="00177AB6" w:rsidRDefault="00FC3F51" w:rsidP="00FC3F51">
      <w:pPr>
        <w:autoSpaceDE w:val="0"/>
        <w:autoSpaceDN w:val="0"/>
        <w:adjustRightInd w:val="0"/>
        <w:jc w:val="center"/>
        <w:rPr>
          <w:rFonts w:asciiTheme="majorBidi" w:hAnsiTheme="majorBidi" w:cstheme="majorBidi"/>
        </w:rPr>
      </w:pPr>
    </w:p>
    <w:p w14:paraId="2EBA5079" w14:textId="77777777" w:rsidR="00FC3F51" w:rsidRPr="00FB352E" w:rsidRDefault="00FC3F51" w:rsidP="00FC3F51">
      <w:pPr>
        <w:autoSpaceDE w:val="0"/>
        <w:autoSpaceDN w:val="0"/>
        <w:adjustRightInd w:val="0"/>
        <w:jc w:val="center"/>
        <w:rPr>
          <w:rFonts w:asciiTheme="majorBidi" w:hAnsiTheme="majorBidi" w:cstheme="majorBidi"/>
          <w:sz w:val="28"/>
          <w:szCs w:val="28"/>
        </w:rPr>
      </w:pPr>
      <w:r>
        <w:rPr>
          <w:rFonts w:asciiTheme="majorBidi" w:hAnsiTheme="majorBidi" w:cstheme="majorBidi"/>
          <w:sz w:val="28"/>
          <w:szCs w:val="28"/>
        </w:rPr>
        <w:t>Martin Wiener</w:t>
      </w:r>
    </w:p>
    <w:p w14:paraId="3CADF28C" w14:textId="77777777" w:rsidR="00FC3F51" w:rsidRPr="00177AB6" w:rsidRDefault="00FC3F51" w:rsidP="00FC3F51">
      <w:pPr>
        <w:autoSpaceDE w:val="0"/>
        <w:autoSpaceDN w:val="0"/>
        <w:adjustRightInd w:val="0"/>
        <w:rPr>
          <w:rFonts w:asciiTheme="majorBidi" w:hAnsiTheme="majorBidi" w:cstheme="majorBidi"/>
          <w:sz w:val="28"/>
          <w:szCs w:val="28"/>
        </w:rPr>
      </w:pPr>
    </w:p>
    <w:p w14:paraId="783EAE5C" w14:textId="77777777" w:rsidR="00FC3F51" w:rsidRDefault="00FC3F51" w:rsidP="00FC3F51">
      <w:pPr>
        <w:autoSpaceDE w:val="0"/>
        <w:autoSpaceDN w:val="0"/>
        <w:adjustRightInd w:val="0"/>
        <w:rPr>
          <w:rFonts w:asciiTheme="majorBidi" w:hAnsiTheme="majorBidi" w:cstheme="majorBidi"/>
        </w:rPr>
      </w:pPr>
    </w:p>
    <w:p w14:paraId="17B406E5" w14:textId="77777777" w:rsidR="00FC3F51" w:rsidRDefault="00FC3F51" w:rsidP="00FC3F51">
      <w:pPr>
        <w:autoSpaceDE w:val="0"/>
        <w:autoSpaceDN w:val="0"/>
        <w:adjustRightInd w:val="0"/>
        <w:rPr>
          <w:rFonts w:asciiTheme="majorBidi" w:hAnsiTheme="majorBidi" w:cstheme="majorBidi"/>
        </w:rPr>
      </w:pPr>
    </w:p>
    <w:p w14:paraId="70794240" w14:textId="77777777" w:rsidR="00FC3F51" w:rsidRDefault="00FC3F51" w:rsidP="00FC3F51">
      <w:pPr>
        <w:autoSpaceDE w:val="0"/>
        <w:autoSpaceDN w:val="0"/>
        <w:adjustRightInd w:val="0"/>
        <w:rPr>
          <w:rFonts w:asciiTheme="majorBidi" w:hAnsiTheme="majorBidi" w:cstheme="majorBidi"/>
        </w:rPr>
      </w:pPr>
    </w:p>
    <w:p w14:paraId="76EF80E4" w14:textId="77777777" w:rsidR="00FC3F51" w:rsidRPr="00D535FE" w:rsidRDefault="00FC3F51" w:rsidP="00FC3F51">
      <w:pPr>
        <w:autoSpaceDE w:val="0"/>
        <w:autoSpaceDN w:val="0"/>
        <w:adjustRightInd w:val="0"/>
        <w:jc w:val="center"/>
        <w:rPr>
          <w:rFonts w:asciiTheme="majorBidi" w:hAnsiTheme="majorBidi" w:cstheme="majorBidi"/>
        </w:rPr>
      </w:pPr>
      <w:r w:rsidRPr="00D535FE">
        <w:rPr>
          <w:rFonts w:asciiTheme="majorBidi" w:hAnsiTheme="majorBidi" w:cstheme="majorBidi"/>
        </w:rPr>
        <w:t xml:space="preserve">A thesis submitted in </w:t>
      </w:r>
      <w:r>
        <w:rPr>
          <w:rFonts w:asciiTheme="majorBidi" w:hAnsiTheme="majorBidi" w:cstheme="majorBidi"/>
        </w:rPr>
        <w:t>partial</w:t>
      </w:r>
      <w:r w:rsidRPr="00D535FE">
        <w:rPr>
          <w:rFonts w:asciiTheme="majorBidi" w:hAnsiTheme="majorBidi" w:cstheme="majorBidi"/>
        </w:rPr>
        <w:t xml:space="preserve"> fulfilm</w:t>
      </w:r>
      <w:bookmarkStart w:id="0" w:name="_GoBack"/>
      <w:bookmarkEnd w:id="0"/>
      <w:r w:rsidRPr="00D535FE">
        <w:rPr>
          <w:rFonts w:asciiTheme="majorBidi" w:hAnsiTheme="majorBidi" w:cstheme="majorBidi"/>
        </w:rPr>
        <w:t xml:space="preserve">ent of the requirements </w:t>
      </w:r>
      <w:r>
        <w:rPr>
          <w:rFonts w:asciiTheme="majorBidi" w:hAnsiTheme="majorBidi" w:cstheme="majorBidi"/>
        </w:rPr>
        <w:t>for</w:t>
      </w:r>
      <w:r w:rsidRPr="00D535FE">
        <w:rPr>
          <w:rFonts w:asciiTheme="majorBidi" w:hAnsiTheme="majorBidi" w:cstheme="majorBidi"/>
        </w:rPr>
        <w:t xml:space="preserve"> the degree of</w:t>
      </w:r>
    </w:p>
    <w:p w14:paraId="5D309D8B" w14:textId="77777777" w:rsidR="00FC3F51" w:rsidRDefault="00FC3F51" w:rsidP="00FC3F51">
      <w:pPr>
        <w:jc w:val="center"/>
        <w:rPr>
          <w:rFonts w:asciiTheme="majorBidi" w:hAnsiTheme="majorBidi" w:cstheme="majorBidi"/>
        </w:rPr>
      </w:pPr>
      <w:r>
        <w:rPr>
          <w:rFonts w:asciiTheme="majorBidi" w:hAnsiTheme="majorBidi" w:cstheme="majorBidi"/>
        </w:rPr>
        <w:t xml:space="preserve">Doctor of Medicine </w:t>
      </w:r>
    </w:p>
    <w:p w14:paraId="2D18BAEF" w14:textId="77777777" w:rsidR="00FC3F51" w:rsidRDefault="00FC3F51" w:rsidP="00FC3F51">
      <w:pPr>
        <w:jc w:val="center"/>
        <w:rPr>
          <w:rFonts w:asciiTheme="majorBidi" w:hAnsiTheme="majorBidi" w:cstheme="majorBidi"/>
        </w:rPr>
      </w:pPr>
    </w:p>
    <w:p w14:paraId="28C829B5" w14:textId="77777777" w:rsidR="00FC3F51" w:rsidRDefault="00FC3F51" w:rsidP="00FC3F51">
      <w:pPr>
        <w:jc w:val="center"/>
        <w:rPr>
          <w:rFonts w:asciiTheme="majorBidi" w:hAnsiTheme="majorBidi" w:cstheme="majorBidi"/>
        </w:rPr>
      </w:pPr>
    </w:p>
    <w:p w14:paraId="21F4D827" w14:textId="77777777" w:rsidR="00FC3F51" w:rsidRDefault="00FC3F51" w:rsidP="00FC3F51">
      <w:pPr>
        <w:jc w:val="center"/>
        <w:rPr>
          <w:rFonts w:asciiTheme="majorBidi" w:hAnsiTheme="majorBidi" w:cstheme="majorBidi"/>
        </w:rPr>
      </w:pPr>
    </w:p>
    <w:p w14:paraId="49150A03" w14:textId="77777777" w:rsidR="00FC3F51" w:rsidRPr="00D535FE" w:rsidRDefault="00FC3F51" w:rsidP="00FC3F51">
      <w:pPr>
        <w:jc w:val="center"/>
        <w:rPr>
          <w:rFonts w:asciiTheme="majorBidi" w:hAnsiTheme="majorBidi" w:cstheme="majorBidi"/>
        </w:rPr>
      </w:pPr>
      <w:r>
        <w:rPr>
          <w:rFonts w:asciiTheme="majorBidi" w:hAnsiTheme="majorBidi" w:cstheme="majorBidi"/>
        </w:rPr>
        <w:t>The University of Sheffield</w:t>
      </w:r>
    </w:p>
    <w:p w14:paraId="472DF79F" w14:textId="77777777" w:rsidR="00FC3F51" w:rsidRPr="00D535FE" w:rsidRDefault="00FC3F51" w:rsidP="00FC3F51">
      <w:pPr>
        <w:autoSpaceDE w:val="0"/>
        <w:autoSpaceDN w:val="0"/>
        <w:adjustRightInd w:val="0"/>
        <w:jc w:val="center"/>
        <w:rPr>
          <w:rFonts w:asciiTheme="majorBidi" w:hAnsiTheme="majorBidi" w:cstheme="majorBidi"/>
        </w:rPr>
      </w:pPr>
      <w:r w:rsidRPr="00D535FE">
        <w:rPr>
          <w:rFonts w:asciiTheme="majorBidi" w:hAnsiTheme="majorBidi" w:cstheme="majorBidi"/>
        </w:rPr>
        <w:t xml:space="preserve">Faculty of </w:t>
      </w:r>
      <w:r>
        <w:rPr>
          <w:rFonts w:asciiTheme="majorBidi" w:hAnsiTheme="majorBidi" w:cstheme="majorBidi"/>
        </w:rPr>
        <w:t>Medicine</w:t>
      </w:r>
    </w:p>
    <w:p w14:paraId="49816321" w14:textId="77777777" w:rsidR="00FC3F51" w:rsidRDefault="00FC3F51" w:rsidP="00FC3F51">
      <w:pPr>
        <w:jc w:val="center"/>
        <w:rPr>
          <w:rFonts w:asciiTheme="majorBidi" w:hAnsiTheme="majorBidi" w:cstheme="majorBidi"/>
        </w:rPr>
      </w:pPr>
      <w:r>
        <w:rPr>
          <w:rFonts w:asciiTheme="majorBidi" w:hAnsiTheme="majorBidi" w:cstheme="majorBidi"/>
        </w:rPr>
        <w:t>Department</w:t>
      </w:r>
      <w:r w:rsidRPr="00D535FE">
        <w:rPr>
          <w:rFonts w:asciiTheme="majorBidi" w:hAnsiTheme="majorBidi" w:cstheme="majorBidi"/>
        </w:rPr>
        <w:t xml:space="preserve"> of </w:t>
      </w:r>
      <w:r>
        <w:rPr>
          <w:rFonts w:asciiTheme="majorBidi" w:hAnsiTheme="majorBidi" w:cstheme="majorBidi"/>
        </w:rPr>
        <w:t>Oncology and Metabolism</w:t>
      </w:r>
    </w:p>
    <w:p w14:paraId="03C4D710" w14:textId="77777777" w:rsidR="00FC3F51" w:rsidRDefault="00FC3F51" w:rsidP="00FC3F51">
      <w:pPr>
        <w:jc w:val="center"/>
        <w:rPr>
          <w:rFonts w:asciiTheme="majorBidi" w:hAnsiTheme="majorBidi" w:cstheme="majorBidi"/>
        </w:rPr>
      </w:pPr>
    </w:p>
    <w:p w14:paraId="317B2DC5" w14:textId="77777777" w:rsidR="00FC3F51" w:rsidRDefault="00FC3F51" w:rsidP="00FC3F51">
      <w:pPr>
        <w:jc w:val="center"/>
        <w:rPr>
          <w:rFonts w:asciiTheme="majorBidi" w:hAnsiTheme="majorBidi" w:cstheme="majorBidi"/>
        </w:rPr>
      </w:pPr>
      <w:r>
        <w:rPr>
          <w:rFonts w:asciiTheme="majorBidi" w:hAnsiTheme="majorBidi" w:cstheme="majorBidi"/>
        </w:rPr>
        <w:t xml:space="preserve"> </w:t>
      </w:r>
    </w:p>
    <w:p w14:paraId="5D97B7CE" w14:textId="77777777" w:rsidR="00FC3F51" w:rsidRDefault="00FC3F51" w:rsidP="00FC3F51">
      <w:pPr>
        <w:jc w:val="center"/>
        <w:rPr>
          <w:rFonts w:asciiTheme="majorBidi" w:hAnsiTheme="majorBidi" w:cstheme="majorBidi"/>
        </w:rPr>
      </w:pPr>
    </w:p>
    <w:p w14:paraId="2073407D" w14:textId="77777777" w:rsidR="00FC3F51" w:rsidRDefault="00FC3F51" w:rsidP="00FC3F51">
      <w:pPr>
        <w:jc w:val="center"/>
        <w:rPr>
          <w:rFonts w:asciiTheme="majorBidi" w:hAnsiTheme="majorBidi" w:cstheme="majorBidi"/>
        </w:rPr>
      </w:pPr>
    </w:p>
    <w:p w14:paraId="007DCF69" w14:textId="77777777" w:rsidR="00FC3F51" w:rsidRDefault="00FC3F51" w:rsidP="00FC3F51">
      <w:pPr>
        <w:jc w:val="center"/>
        <w:rPr>
          <w:rFonts w:asciiTheme="majorBidi" w:hAnsiTheme="majorBidi" w:cstheme="majorBidi"/>
        </w:rPr>
      </w:pPr>
    </w:p>
    <w:p w14:paraId="153FEEBC" w14:textId="77777777" w:rsidR="00FC3F51" w:rsidRDefault="00FC3F51" w:rsidP="00FC3F51">
      <w:pPr>
        <w:jc w:val="center"/>
        <w:rPr>
          <w:rFonts w:asciiTheme="majorBidi" w:hAnsiTheme="majorBidi" w:cstheme="majorBidi"/>
        </w:rPr>
        <w:sectPr w:rsidR="00FC3F51" w:rsidSect="00FC3F51">
          <w:footerReference w:type="even" r:id="rId10"/>
          <w:footerReference w:type="default" r:id="rId11"/>
          <w:pgSz w:w="11900" w:h="16840"/>
          <w:pgMar w:top="1440" w:right="1134" w:bottom="1440" w:left="2268" w:header="709" w:footer="709" w:gutter="0"/>
          <w:pgNumType w:fmt="lowerRoman"/>
          <w:cols w:space="708"/>
          <w:titlePg/>
          <w:docGrid w:linePitch="360"/>
        </w:sectPr>
      </w:pPr>
      <w:r>
        <w:rPr>
          <w:rFonts w:asciiTheme="majorBidi" w:hAnsiTheme="majorBidi" w:cstheme="majorBidi"/>
        </w:rPr>
        <w:t>March 2016</w:t>
      </w:r>
    </w:p>
    <w:p w14:paraId="50B65147" w14:textId="77777777" w:rsidR="00FC3F51" w:rsidRPr="003E73CD" w:rsidRDefault="00FC3F51" w:rsidP="00FC3F51">
      <w:pPr>
        <w:spacing w:line="480" w:lineRule="auto"/>
        <w:rPr>
          <w:b/>
        </w:rPr>
      </w:pPr>
      <w:r w:rsidRPr="003E73CD">
        <w:rPr>
          <w:b/>
          <w:sz w:val="28"/>
          <w:szCs w:val="28"/>
        </w:rPr>
        <w:lastRenderedPageBreak/>
        <w:t>Acknowledgements and declarations</w:t>
      </w:r>
    </w:p>
    <w:p w14:paraId="7D58E65C" w14:textId="77777777" w:rsidR="00FC3F51" w:rsidRPr="003E73CD" w:rsidRDefault="00FC3F51" w:rsidP="00FC3F51">
      <w:pPr>
        <w:spacing w:line="480" w:lineRule="auto"/>
        <w:rPr>
          <w:sz w:val="22"/>
          <w:szCs w:val="22"/>
        </w:rPr>
      </w:pPr>
    </w:p>
    <w:p w14:paraId="568A41E5" w14:textId="77777777" w:rsidR="00FC3F51" w:rsidRPr="003E73CD" w:rsidRDefault="00FC3F51" w:rsidP="00FC3F51">
      <w:pPr>
        <w:spacing w:line="480" w:lineRule="auto"/>
        <w:ind w:firstLine="720"/>
        <w:rPr>
          <w:sz w:val="22"/>
          <w:szCs w:val="22"/>
        </w:rPr>
      </w:pPr>
      <w:r w:rsidRPr="003E73CD">
        <w:rPr>
          <w:sz w:val="22"/>
          <w:szCs w:val="22"/>
        </w:rPr>
        <w:t>I am grateful for the guidance and supervision provided by my supervisors: Professor John Thompson, Miss Lynda Wyld and Mr Michael Brotherston.  They, along with Professor Roger Uren and the late Dr Helen Shaw have provided inspiration and encouragement throughout.  The research within this thesis has involved collaboration across three continents and I would like to thank those collaborators, including Katharine Acland</w:t>
      </w:r>
      <w:r w:rsidRPr="003E73CD">
        <w:rPr>
          <w:sz w:val="22"/>
          <w:szCs w:val="22"/>
          <w:vertAlign w:val="superscript"/>
        </w:rPr>
        <w:t>,</w:t>
      </w:r>
      <w:r w:rsidRPr="003E73CD">
        <w:rPr>
          <w:sz w:val="22"/>
          <w:szCs w:val="22"/>
        </w:rPr>
        <w:t xml:space="preserve"> Seng-Jaw Soong, Hui-Yi Lin, Dung-Tsa Chen, Richard Scolyer, Julie Winstanley and Christina Bordea for their valuable contributions.  Some of the studies contained within this thesis were conducted by collecting data for, or extracting data from, existing databases to which patients had given their prior consent for research use.  I am grateful to all the patients who provided their consent and to the people who work to maintain the accuracy of such databases so that valuable information can be retrieved and improvements made to patient care.  </w:t>
      </w:r>
    </w:p>
    <w:p w14:paraId="110ECC61" w14:textId="77777777" w:rsidR="00FC3F51" w:rsidRPr="003E73CD" w:rsidRDefault="00FC3F51" w:rsidP="00FC3F51">
      <w:pPr>
        <w:spacing w:line="480" w:lineRule="auto"/>
        <w:ind w:firstLine="720"/>
        <w:rPr>
          <w:sz w:val="22"/>
          <w:szCs w:val="22"/>
        </w:rPr>
      </w:pPr>
      <w:r w:rsidRPr="003E73CD">
        <w:rPr>
          <w:sz w:val="22"/>
          <w:szCs w:val="22"/>
        </w:rPr>
        <w:t xml:space="preserve">Finally, as I have undertaken this research whilst working, I owe a great debt of gratitude to my wife and family for their patience and understanding, and for allowing me the time to complete it. </w:t>
      </w:r>
    </w:p>
    <w:p w14:paraId="7FC36513" w14:textId="77777777" w:rsidR="00FC3F51" w:rsidRPr="003E73CD" w:rsidRDefault="00FC3F51" w:rsidP="00FC3F51">
      <w:pPr>
        <w:spacing w:line="480" w:lineRule="auto"/>
        <w:rPr>
          <w:sz w:val="22"/>
          <w:szCs w:val="22"/>
        </w:rPr>
      </w:pPr>
    </w:p>
    <w:p w14:paraId="060980D1" w14:textId="77777777" w:rsidR="00FC3F51" w:rsidRPr="003E73CD" w:rsidRDefault="00FC3F51" w:rsidP="00FC3F51">
      <w:pPr>
        <w:spacing w:line="480" w:lineRule="auto"/>
        <w:rPr>
          <w:sz w:val="22"/>
          <w:szCs w:val="22"/>
        </w:rPr>
      </w:pPr>
      <w:r w:rsidRPr="003E73CD">
        <w:rPr>
          <w:sz w:val="22"/>
          <w:szCs w:val="22"/>
        </w:rPr>
        <w:t>Financial disclosures:  No funding sources to declare.</w:t>
      </w:r>
    </w:p>
    <w:p w14:paraId="359F8F98" w14:textId="77777777" w:rsidR="00FC3F51" w:rsidRPr="003E73CD" w:rsidRDefault="00FC3F51" w:rsidP="00FC3F51">
      <w:pPr>
        <w:spacing w:line="480" w:lineRule="auto"/>
        <w:rPr>
          <w:sz w:val="22"/>
          <w:szCs w:val="22"/>
        </w:rPr>
      </w:pPr>
      <w:r w:rsidRPr="003E73CD">
        <w:rPr>
          <w:sz w:val="22"/>
          <w:szCs w:val="22"/>
        </w:rPr>
        <w:t>Conflicts of interest: No conflicts of interest to declare.</w:t>
      </w:r>
    </w:p>
    <w:p w14:paraId="45548080" w14:textId="77777777" w:rsidR="00FC3F51" w:rsidRPr="003E73CD" w:rsidRDefault="00FC3F51" w:rsidP="00FC3F51">
      <w:pPr>
        <w:spacing w:line="480" w:lineRule="auto"/>
        <w:rPr>
          <w:sz w:val="22"/>
          <w:szCs w:val="22"/>
        </w:rPr>
      </w:pPr>
    </w:p>
    <w:p w14:paraId="55D296E0" w14:textId="77777777" w:rsidR="00FC3F51" w:rsidRPr="003E73CD" w:rsidRDefault="00FC3F51" w:rsidP="00FC3F51">
      <w:pPr>
        <w:rPr>
          <w:sz w:val="22"/>
          <w:szCs w:val="22"/>
        </w:rPr>
      </w:pPr>
      <w:r w:rsidRPr="003E73CD">
        <w:rPr>
          <w:sz w:val="22"/>
          <w:szCs w:val="22"/>
        </w:rPr>
        <w:br w:type="page"/>
      </w:r>
    </w:p>
    <w:p w14:paraId="0AF2EA31" w14:textId="77777777" w:rsidR="00FC3F51" w:rsidRPr="003E73CD" w:rsidRDefault="00FC3F51" w:rsidP="00FC3F51">
      <w:pPr>
        <w:spacing w:line="480" w:lineRule="auto"/>
        <w:rPr>
          <w:sz w:val="28"/>
          <w:szCs w:val="28"/>
        </w:rPr>
      </w:pPr>
      <w:r w:rsidRPr="003E73CD">
        <w:rPr>
          <w:b/>
          <w:sz w:val="28"/>
          <w:szCs w:val="28"/>
        </w:rPr>
        <w:t>Summary</w:t>
      </w:r>
    </w:p>
    <w:p w14:paraId="240F12F9" w14:textId="77777777" w:rsidR="00FC3F51" w:rsidRPr="003E73CD" w:rsidRDefault="00FC3F51" w:rsidP="00FC3F51">
      <w:pPr>
        <w:spacing w:line="480" w:lineRule="auto"/>
        <w:ind w:firstLine="720"/>
        <w:rPr>
          <w:sz w:val="22"/>
          <w:szCs w:val="22"/>
        </w:rPr>
      </w:pPr>
      <w:r w:rsidRPr="003E73CD">
        <w:rPr>
          <w:sz w:val="22"/>
          <w:szCs w:val="22"/>
        </w:rPr>
        <w:t xml:space="preserve">Around 20% of patients, diagnosed with a clinically localized primary cutaneous melanoma, have occult lymph node metastases.  Lymphatic mapping and sentinel node biopsy, using pre-operative lymphoscintigraphy, intra-operative blue dye injection and gamma probe localization, in most cases identifies the node or nodes most likely to contain occult metastases, if present.   The presence or absence of such metastases is the most powerful prognostic indicator in this group of patients.  However, a number of other factors related to the patient and the primary melanoma can be used to determine prognosis.  It is therefore important that the quality of lymphatic mapping is maximized and information gained from sentinel node biopsy is used to best effect, so that advice and treatment can be tailored to the individual patient. </w:t>
      </w:r>
    </w:p>
    <w:p w14:paraId="7157A4A2" w14:textId="77777777" w:rsidR="00FC3F51" w:rsidRPr="003E73CD" w:rsidRDefault="00FC3F51" w:rsidP="00FC3F51">
      <w:pPr>
        <w:spacing w:line="480" w:lineRule="auto"/>
        <w:ind w:firstLine="720"/>
        <w:rPr>
          <w:sz w:val="22"/>
          <w:szCs w:val="22"/>
        </w:rPr>
      </w:pPr>
      <w:r w:rsidRPr="003E73CD">
        <w:rPr>
          <w:sz w:val="22"/>
          <w:szCs w:val="22"/>
        </w:rPr>
        <w:t>The studies contained within this thesis represent an attempt to improve the quality and individualization of care.  The technique of lymphatic mapping using lymphoscintigraphy has been critically analysed to identify sources of inaccuracy.  The frequency and causes of failure to identify sentinel nodes using lymphoscintigraphy have been determined in a large series of patients.  The lymphatic drainage patterns from the head and neck have been investigated, using the forehead and its subdivisions, in order to produce new recommendations for selective neck dissection.  The relative importance of clinical and pathological factors in sentinel node positive patients and the significance of nodal metastasis beyond sentinel nodes have been determined.  A new prognostic classification or survival tree has been developed for patients with occult nodal metastases and then validated in a separate population.  This allows four distinct prognostic groups with 5-year survival ranging from over 90% to around 20% to be identified.  The prognostic groups differentiate patients who are at high and low risk of having occult distant metastases and so could be used to select patients for entry into clinical trials of adjuvant therapies as well as to determine who should receive existing adjuvant therapies.  The survival tree has been compared with currently available prognostic tools with favourable results.</w:t>
      </w:r>
    </w:p>
    <w:p w14:paraId="4A53D44F" w14:textId="77777777" w:rsidR="00FC3F51" w:rsidRPr="003E73CD" w:rsidRDefault="00FC3F51" w:rsidP="00FC3F51">
      <w:pPr>
        <w:spacing w:line="480" w:lineRule="auto"/>
        <w:rPr>
          <w:sz w:val="22"/>
          <w:szCs w:val="22"/>
        </w:rPr>
      </w:pPr>
    </w:p>
    <w:p w14:paraId="0D04C57A" w14:textId="77777777" w:rsidR="00FC3F51" w:rsidRPr="003E73CD" w:rsidRDefault="00FC3F51" w:rsidP="00FC3F51">
      <w:pPr>
        <w:rPr>
          <w:sz w:val="22"/>
          <w:szCs w:val="22"/>
        </w:rPr>
      </w:pPr>
      <w:r w:rsidRPr="003E73CD">
        <w:rPr>
          <w:sz w:val="22"/>
          <w:szCs w:val="22"/>
        </w:rPr>
        <w:br w:type="page"/>
      </w:r>
    </w:p>
    <w:p w14:paraId="0B188695" w14:textId="77777777" w:rsidR="00FC3F51" w:rsidRPr="003E73CD" w:rsidRDefault="00FC3F51" w:rsidP="00FC3F51">
      <w:pPr>
        <w:rPr>
          <w:rFonts w:asciiTheme="minorHAnsi" w:hAnsiTheme="minorHAnsi"/>
          <w:b/>
          <w:sz w:val="28"/>
          <w:szCs w:val="28"/>
        </w:rPr>
      </w:pPr>
      <w:r w:rsidRPr="003E73CD">
        <w:rPr>
          <w:rFonts w:asciiTheme="minorHAnsi" w:hAnsiTheme="minorHAnsi"/>
          <w:b/>
          <w:sz w:val="28"/>
          <w:szCs w:val="28"/>
        </w:rPr>
        <w:t>Publications arising from the thesis</w:t>
      </w:r>
    </w:p>
    <w:p w14:paraId="46EFAA84" w14:textId="77777777" w:rsidR="00FC3F51" w:rsidRPr="003E73CD" w:rsidRDefault="00FC3F51" w:rsidP="00FC3F51">
      <w:pPr>
        <w:rPr>
          <w:rFonts w:asciiTheme="minorHAnsi" w:hAnsiTheme="minorHAnsi"/>
          <w:b/>
          <w:sz w:val="28"/>
          <w:szCs w:val="28"/>
        </w:rPr>
      </w:pPr>
    </w:p>
    <w:p w14:paraId="736D601E" w14:textId="77777777" w:rsidR="00FC3F51" w:rsidRPr="003E73CD" w:rsidRDefault="00FC3F51" w:rsidP="00FC3F51">
      <w:pPr>
        <w:rPr>
          <w:rFonts w:asciiTheme="minorHAnsi" w:hAnsiTheme="minorHAnsi"/>
          <w:sz w:val="22"/>
          <w:szCs w:val="22"/>
        </w:rPr>
      </w:pPr>
    </w:p>
    <w:p w14:paraId="460D5AC1" w14:textId="77777777" w:rsidR="00FC3F51" w:rsidRPr="003E73CD" w:rsidRDefault="00FC3F51" w:rsidP="00FC3F51">
      <w:pPr>
        <w:spacing w:line="480" w:lineRule="auto"/>
        <w:rPr>
          <w:rFonts w:asciiTheme="minorHAnsi" w:hAnsiTheme="minorHAnsi" w:cs="Arial"/>
          <w:color w:val="262626"/>
        </w:rPr>
      </w:pPr>
      <w:r w:rsidRPr="003E73CD">
        <w:rPr>
          <w:rFonts w:asciiTheme="minorHAnsi" w:hAnsiTheme="minorHAnsi"/>
          <w:sz w:val="22"/>
        </w:rPr>
        <w:t xml:space="preserve">Wiener M, Uren RF, and Thompson JF. (2014) Lymphatic drainage patterns from primary cutaneous tumour sites on the forehead: Refining the recommendations for selective neck dissection.  </w:t>
      </w:r>
      <w:r w:rsidRPr="003E73CD">
        <w:rPr>
          <w:rFonts w:asciiTheme="minorHAnsi" w:hAnsiTheme="minorHAnsi"/>
          <w:b/>
          <w:i/>
          <w:sz w:val="22"/>
        </w:rPr>
        <w:t xml:space="preserve">J Plast Reconstr &amp; Aexth Surg. </w:t>
      </w:r>
      <w:r w:rsidRPr="003E73CD">
        <w:rPr>
          <w:rFonts w:asciiTheme="minorHAnsi" w:hAnsiTheme="minorHAnsi"/>
          <w:b/>
          <w:sz w:val="22"/>
        </w:rPr>
        <w:t xml:space="preserve">67(8): </w:t>
      </w:r>
      <w:r w:rsidRPr="003E73CD">
        <w:rPr>
          <w:rFonts w:asciiTheme="minorHAnsi" w:hAnsiTheme="minorHAnsi"/>
          <w:sz w:val="22"/>
        </w:rPr>
        <w:t>1038-44.</w:t>
      </w:r>
      <w:r w:rsidRPr="003E73CD">
        <w:rPr>
          <w:rFonts w:asciiTheme="minorHAnsi" w:hAnsiTheme="minorHAnsi" w:cs="Arial"/>
          <w:color w:val="262626"/>
        </w:rPr>
        <w:t xml:space="preserve"> </w:t>
      </w:r>
    </w:p>
    <w:p w14:paraId="095F81B2" w14:textId="77777777" w:rsidR="00FC3F51" w:rsidRPr="003E73CD" w:rsidRDefault="00FC3F51" w:rsidP="00FC3F51">
      <w:pPr>
        <w:spacing w:line="480" w:lineRule="auto"/>
        <w:rPr>
          <w:rFonts w:asciiTheme="minorHAnsi" w:hAnsiTheme="minorHAnsi" w:cs="Arial"/>
          <w:color w:val="262626"/>
        </w:rPr>
      </w:pPr>
    </w:p>
    <w:p w14:paraId="2FFF4C80" w14:textId="77777777" w:rsidR="00FC3F51" w:rsidRPr="003E73CD" w:rsidRDefault="00FC3F51" w:rsidP="00FC3F51">
      <w:pPr>
        <w:spacing w:line="480" w:lineRule="auto"/>
        <w:rPr>
          <w:rFonts w:asciiTheme="minorHAnsi" w:hAnsiTheme="minorHAnsi"/>
          <w:sz w:val="22"/>
        </w:rPr>
      </w:pPr>
      <w:r w:rsidRPr="003E73CD">
        <w:rPr>
          <w:rFonts w:asciiTheme="minorHAnsi" w:hAnsiTheme="minorHAnsi"/>
          <w:sz w:val="22"/>
        </w:rPr>
        <w:t>Wiener M, Acland KM, Shaw HM, Soong S-J, Lin H-Y, Chen D-T, Scolyer RA, Winstanley J, and Thompson JF. (2010)</w:t>
      </w:r>
      <w:r w:rsidRPr="003E73CD">
        <w:rPr>
          <w:rFonts w:asciiTheme="minorHAnsi" w:hAnsiTheme="minorHAnsi"/>
          <w:sz w:val="22"/>
          <w:vertAlign w:val="superscript"/>
        </w:rPr>
        <w:t xml:space="preserve"> </w:t>
      </w:r>
      <w:r w:rsidRPr="003E73CD">
        <w:rPr>
          <w:rFonts w:asciiTheme="minorHAnsi" w:hAnsiTheme="minorHAnsi"/>
          <w:sz w:val="22"/>
        </w:rPr>
        <w:t xml:space="preserve">Sentinel node positive melanoma patients: prediction and prognostic significance of non-sentinel node metastases and development of a survival tree model.  </w:t>
      </w:r>
      <w:r w:rsidRPr="003E73CD">
        <w:rPr>
          <w:rFonts w:asciiTheme="minorHAnsi" w:hAnsiTheme="minorHAnsi"/>
          <w:b/>
          <w:i/>
          <w:sz w:val="22"/>
        </w:rPr>
        <w:t xml:space="preserve">Ann Surg Oncol. </w:t>
      </w:r>
      <w:r w:rsidRPr="003E73CD">
        <w:rPr>
          <w:rFonts w:asciiTheme="minorHAnsi" w:hAnsiTheme="minorHAnsi"/>
          <w:b/>
          <w:sz w:val="22"/>
        </w:rPr>
        <w:t xml:space="preserve">17(8): </w:t>
      </w:r>
      <w:r w:rsidRPr="003E73CD">
        <w:rPr>
          <w:rFonts w:asciiTheme="minorHAnsi" w:hAnsiTheme="minorHAnsi"/>
          <w:sz w:val="22"/>
        </w:rPr>
        <w:t>1995-2005.</w:t>
      </w:r>
    </w:p>
    <w:p w14:paraId="7026A53C" w14:textId="77777777" w:rsidR="00FC3F51" w:rsidRPr="003E73CD" w:rsidRDefault="00FC3F51" w:rsidP="00FC3F51">
      <w:pPr>
        <w:rPr>
          <w:rFonts w:asciiTheme="minorHAnsi" w:hAnsiTheme="minorHAnsi"/>
          <w:sz w:val="22"/>
        </w:rPr>
      </w:pPr>
      <w:r w:rsidRPr="003E73CD">
        <w:rPr>
          <w:rFonts w:asciiTheme="minorHAnsi" w:hAnsiTheme="minorHAnsi"/>
          <w:sz w:val="22"/>
        </w:rPr>
        <w:br w:type="page"/>
      </w:r>
    </w:p>
    <w:p w14:paraId="159DEDBA" w14:textId="77777777" w:rsidR="00FC3F51" w:rsidRPr="003E73CD" w:rsidRDefault="00FC3F51" w:rsidP="00FC3F51">
      <w:pPr>
        <w:jc w:val="center"/>
        <w:rPr>
          <w:b/>
          <w:sz w:val="32"/>
          <w:szCs w:val="32"/>
        </w:rPr>
      </w:pPr>
      <w:r w:rsidRPr="003E73CD">
        <w:rPr>
          <w:b/>
          <w:sz w:val="32"/>
          <w:szCs w:val="32"/>
        </w:rPr>
        <w:t>Contents</w:t>
      </w:r>
    </w:p>
    <w:p w14:paraId="66B5C705" w14:textId="77777777" w:rsidR="00FC3F51" w:rsidRPr="003E73CD" w:rsidRDefault="00FC3F51" w:rsidP="00FC3F51">
      <w:pPr>
        <w:rPr>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037"/>
      </w:tblGrid>
      <w:tr w:rsidR="00FC3F51" w:rsidRPr="003E73CD" w14:paraId="4757C0D5" w14:textId="77777777" w:rsidTr="00FC3F51">
        <w:tc>
          <w:tcPr>
            <w:tcW w:w="7479" w:type="dxa"/>
          </w:tcPr>
          <w:p w14:paraId="66A0EB79" w14:textId="77777777" w:rsidR="00FC3F51" w:rsidRPr="003E73CD" w:rsidRDefault="00FC3F51" w:rsidP="00FC3F51">
            <w:pPr>
              <w:rPr>
                <w:b/>
                <w:i/>
                <w:sz w:val="22"/>
                <w:szCs w:val="22"/>
              </w:rPr>
            </w:pPr>
            <w:r w:rsidRPr="003E73CD">
              <w:rPr>
                <w:b/>
                <w:i/>
                <w:sz w:val="22"/>
                <w:szCs w:val="22"/>
              </w:rPr>
              <w:t>Acknowledgements</w:t>
            </w:r>
          </w:p>
        </w:tc>
        <w:tc>
          <w:tcPr>
            <w:tcW w:w="1037" w:type="dxa"/>
          </w:tcPr>
          <w:p w14:paraId="467666EF" w14:textId="77777777" w:rsidR="00FC3F51" w:rsidRPr="00064E27" w:rsidRDefault="00FC3F51" w:rsidP="00FC3F51">
            <w:pPr>
              <w:rPr>
                <w:i/>
                <w:sz w:val="22"/>
                <w:szCs w:val="22"/>
              </w:rPr>
            </w:pPr>
            <w:proofErr w:type="gramStart"/>
            <w:r w:rsidRPr="00064E27">
              <w:rPr>
                <w:i/>
                <w:sz w:val="22"/>
                <w:szCs w:val="22"/>
              </w:rPr>
              <w:t>i</w:t>
            </w:r>
            <w:proofErr w:type="gramEnd"/>
          </w:p>
        </w:tc>
      </w:tr>
      <w:tr w:rsidR="00FC3F51" w:rsidRPr="003E73CD" w14:paraId="56C4CD05" w14:textId="77777777" w:rsidTr="00FC3F51">
        <w:tc>
          <w:tcPr>
            <w:tcW w:w="7479" w:type="dxa"/>
          </w:tcPr>
          <w:p w14:paraId="0C8D7556" w14:textId="77777777" w:rsidR="00FC3F51" w:rsidRPr="003E73CD" w:rsidRDefault="00FC3F51" w:rsidP="00FC3F51">
            <w:pPr>
              <w:rPr>
                <w:b/>
                <w:i/>
                <w:sz w:val="22"/>
                <w:szCs w:val="22"/>
              </w:rPr>
            </w:pPr>
            <w:r w:rsidRPr="003E73CD">
              <w:rPr>
                <w:b/>
                <w:i/>
                <w:sz w:val="22"/>
                <w:szCs w:val="22"/>
              </w:rPr>
              <w:t>Summary of thesis</w:t>
            </w:r>
          </w:p>
        </w:tc>
        <w:tc>
          <w:tcPr>
            <w:tcW w:w="1037" w:type="dxa"/>
          </w:tcPr>
          <w:p w14:paraId="29DB226F" w14:textId="77777777" w:rsidR="00FC3F51" w:rsidRPr="00064E27" w:rsidRDefault="00FC3F51" w:rsidP="00FC3F51">
            <w:pPr>
              <w:rPr>
                <w:i/>
                <w:sz w:val="22"/>
                <w:szCs w:val="22"/>
              </w:rPr>
            </w:pPr>
            <w:proofErr w:type="gramStart"/>
            <w:r w:rsidRPr="00064E27">
              <w:rPr>
                <w:i/>
                <w:sz w:val="22"/>
                <w:szCs w:val="22"/>
              </w:rPr>
              <w:t>ii</w:t>
            </w:r>
            <w:proofErr w:type="gramEnd"/>
            <w:r w:rsidRPr="00064E27">
              <w:rPr>
                <w:i/>
                <w:sz w:val="22"/>
                <w:szCs w:val="22"/>
              </w:rPr>
              <w:t>-iii</w:t>
            </w:r>
          </w:p>
        </w:tc>
      </w:tr>
      <w:tr w:rsidR="00FC3F51" w:rsidRPr="003E73CD" w14:paraId="399601AF" w14:textId="77777777" w:rsidTr="00FC3F51">
        <w:tc>
          <w:tcPr>
            <w:tcW w:w="7479" w:type="dxa"/>
          </w:tcPr>
          <w:p w14:paraId="56FA2AB5" w14:textId="77777777" w:rsidR="00FC3F51" w:rsidRPr="003E73CD" w:rsidRDefault="00FC3F51" w:rsidP="00FC3F51">
            <w:pPr>
              <w:rPr>
                <w:b/>
                <w:i/>
                <w:sz w:val="22"/>
                <w:szCs w:val="22"/>
              </w:rPr>
            </w:pPr>
            <w:r w:rsidRPr="003E73CD">
              <w:rPr>
                <w:b/>
                <w:i/>
                <w:sz w:val="22"/>
                <w:szCs w:val="22"/>
              </w:rPr>
              <w:t>Publications arising from the thesis</w:t>
            </w:r>
          </w:p>
        </w:tc>
        <w:tc>
          <w:tcPr>
            <w:tcW w:w="1037" w:type="dxa"/>
          </w:tcPr>
          <w:p w14:paraId="56453F30" w14:textId="77777777" w:rsidR="00FC3F51" w:rsidRPr="00064E27" w:rsidRDefault="00FC3F51" w:rsidP="00FC3F51">
            <w:pPr>
              <w:rPr>
                <w:i/>
                <w:sz w:val="22"/>
                <w:szCs w:val="22"/>
              </w:rPr>
            </w:pPr>
            <w:proofErr w:type="gramStart"/>
            <w:r w:rsidRPr="00064E27">
              <w:rPr>
                <w:i/>
                <w:sz w:val="22"/>
                <w:szCs w:val="22"/>
              </w:rPr>
              <w:t>iv</w:t>
            </w:r>
            <w:proofErr w:type="gramEnd"/>
          </w:p>
        </w:tc>
      </w:tr>
      <w:tr w:rsidR="00FC3F51" w:rsidRPr="003E73CD" w14:paraId="26FC7F81" w14:textId="77777777" w:rsidTr="00FC3F51">
        <w:tc>
          <w:tcPr>
            <w:tcW w:w="7479" w:type="dxa"/>
          </w:tcPr>
          <w:p w14:paraId="4ACB69F8" w14:textId="77777777" w:rsidR="00FC3F51" w:rsidRPr="003E73CD" w:rsidRDefault="00FC3F51" w:rsidP="00FC3F51">
            <w:pPr>
              <w:rPr>
                <w:b/>
                <w:i/>
                <w:sz w:val="22"/>
                <w:szCs w:val="22"/>
              </w:rPr>
            </w:pPr>
            <w:r w:rsidRPr="003E73CD">
              <w:rPr>
                <w:b/>
                <w:i/>
                <w:sz w:val="22"/>
                <w:szCs w:val="22"/>
              </w:rPr>
              <w:t>Contents</w:t>
            </w:r>
          </w:p>
        </w:tc>
        <w:tc>
          <w:tcPr>
            <w:tcW w:w="1037" w:type="dxa"/>
          </w:tcPr>
          <w:p w14:paraId="78AD2F4C" w14:textId="77777777" w:rsidR="00FC3F51" w:rsidRPr="00064E27" w:rsidRDefault="00FC3F51" w:rsidP="00FC3F51">
            <w:pPr>
              <w:rPr>
                <w:i/>
                <w:sz w:val="22"/>
                <w:szCs w:val="22"/>
              </w:rPr>
            </w:pPr>
            <w:proofErr w:type="gramStart"/>
            <w:r w:rsidRPr="00064E27">
              <w:rPr>
                <w:i/>
                <w:sz w:val="22"/>
                <w:szCs w:val="22"/>
              </w:rPr>
              <w:t>v</w:t>
            </w:r>
            <w:proofErr w:type="gramEnd"/>
          </w:p>
        </w:tc>
      </w:tr>
      <w:tr w:rsidR="00FC3F51" w:rsidRPr="003E73CD" w14:paraId="7038CF12" w14:textId="77777777" w:rsidTr="00FC3F51">
        <w:tc>
          <w:tcPr>
            <w:tcW w:w="7479" w:type="dxa"/>
          </w:tcPr>
          <w:p w14:paraId="3FB44C4F" w14:textId="77777777" w:rsidR="00FC3F51" w:rsidRPr="003E73CD" w:rsidRDefault="00FC3F51" w:rsidP="00FC3F51">
            <w:pPr>
              <w:rPr>
                <w:b/>
                <w:i/>
                <w:sz w:val="22"/>
                <w:szCs w:val="22"/>
              </w:rPr>
            </w:pPr>
            <w:r w:rsidRPr="003E73CD">
              <w:rPr>
                <w:b/>
                <w:i/>
                <w:sz w:val="22"/>
                <w:szCs w:val="22"/>
              </w:rPr>
              <w:t>List of figures</w:t>
            </w:r>
          </w:p>
        </w:tc>
        <w:tc>
          <w:tcPr>
            <w:tcW w:w="1037" w:type="dxa"/>
          </w:tcPr>
          <w:p w14:paraId="02E04161" w14:textId="77777777" w:rsidR="00FC3F51" w:rsidRPr="00064E27" w:rsidRDefault="00FC3F51" w:rsidP="00FC3F51">
            <w:pPr>
              <w:rPr>
                <w:i/>
                <w:sz w:val="22"/>
                <w:szCs w:val="22"/>
              </w:rPr>
            </w:pPr>
            <w:proofErr w:type="gramStart"/>
            <w:r w:rsidRPr="00064E27">
              <w:rPr>
                <w:i/>
                <w:sz w:val="22"/>
                <w:szCs w:val="22"/>
              </w:rPr>
              <w:t>vi</w:t>
            </w:r>
            <w:proofErr w:type="gramEnd"/>
            <w:r w:rsidRPr="00064E27">
              <w:rPr>
                <w:i/>
                <w:sz w:val="22"/>
                <w:szCs w:val="22"/>
              </w:rPr>
              <w:t>-vii</w:t>
            </w:r>
          </w:p>
        </w:tc>
      </w:tr>
      <w:tr w:rsidR="00FC3F51" w:rsidRPr="003E73CD" w14:paraId="26564F8D" w14:textId="77777777" w:rsidTr="00FC3F51">
        <w:tc>
          <w:tcPr>
            <w:tcW w:w="7479" w:type="dxa"/>
          </w:tcPr>
          <w:p w14:paraId="4E6CE585" w14:textId="77777777" w:rsidR="00FC3F51" w:rsidRPr="003E73CD" w:rsidRDefault="00FC3F51" w:rsidP="00FC3F51">
            <w:pPr>
              <w:rPr>
                <w:b/>
                <w:i/>
                <w:sz w:val="22"/>
                <w:szCs w:val="22"/>
              </w:rPr>
            </w:pPr>
            <w:r w:rsidRPr="003E73CD">
              <w:rPr>
                <w:b/>
                <w:i/>
                <w:sz w:val="22"/>
                <w:szCs w:val="22"/>
              </w:rPr>
              <w:t>List of tables</w:t>
            </w:r>
          </w:p>
        </w:tc>
        <w:tc>
          <w:tcPr>
            <w:tcW w:w="1037" w:type="dxa"/>
          </w:tcPr>
          <w:p w14:paraId="42ADF329" w14:textId="77777777" w:rsidR="00FC3F51" w:rsidRPr="00064E27" w:rsidRDefault="00FC3F51" w:rsidP="00FC3F51">
            <w:pPr>
              <w:rPr>
                <w:i/>
                <w:sz w:val="22"/>
                <w:szCs w:val="22"/>
              </w:rPr>
            </w:pPr>
            <w:proofErr w:type="gramStart"/>
            <w:r w:rsidRPr="00064E27">
              <w:rPr>
                <w:i/>
                <w:sz w:val="22"/>
                <w:szCs w:val="22"/>
              </w:rPr>
              <w:t>viii</w:t>
            </w:r>
            <w:proofErr w:type="gramEnd"/>
            <w:r w:rsidRPr="00064E27">
              <w:rPr>
                <w:i/>
                <w:sz w:val="22"/>
                <w:szCs w:val="22"/>
              </w:rPr>
              <w:t>-ix</w:t>
            </w:r>
          </w:p>
        </w:tc>
      </w:tr>
      <w:tr w:rsidR="00FC3F51" w:rsidRPr="003E73CD" w14:paraId="765882D5" w14:textId="77777777" w:rsidTr="00FC3F51">
        <w:tc>
          <w:tcPr>
            <w:tcW w:w="7479" w:type="dxa"/>
          </w:tcPr>
          <w:p w14:paraId="58369E07" w14:textId="77777777" w:rsidR="00FC3F51" w:rsidRPr="003E73CD" w:rsidRDefault="00FC3F51" w:rsidP="00FC3F51">
            <w:pPr>
              <w:rPr>
                <w:b/>
                <w:i/>
                <w:sz w:val="22"/>
                <w:szCs w:val="22"/>
              </w:rPr>
            </w:pPr>
            <w:r w:rsidRPr="003E73CD">
              <w:rPr>
                <w:b/>
                <w:i/>
                <w:sz w:val="22"/>
                <w:szCs w:val="22"/>
              </w:rPr>
              <w:t>List of abbreviations</w:t>
            </w:r>
          </w:p>
        </w:tc>
        <w:tc>
          <w:tcPr>
            <w:tcW w:w="1037" w:type="dxa"/>
          </w:tcPr>
          <w:p w14:paraId="42594929" w14:textId="77777777" w:rsidR="00FC3F51" w:rsidRPr="00064E27" w:rsidRDefault="00FC3F51" w:rsidP="00FC3F51">
            <w:pPr>
              <w:rPr>
                <w:i/>
                <w:sz w:val="22"/>
                <w:szCs w:val="22"/>
              </w:rPr>
            </w:pPr>
            <w:proofErr w:type="gramStart"/>
            <w:r w:rsidRPr="00064E27">
              <w:rPr>
                <w:i/>
                <w:sz w:val="22"/>
                <w:szCs w:val="22"/>
              </w:rPr>
              <w:t>x</w:t>
            </w:r>
            <w:proofErr w:type="gramEnd"/>
          </w:p>
        </w:tc>
      </w:tr>
      <w:tr w:rsidR="00FC3F51" w:rsidRPr="003E73CD" w14:paraId="0938AB95" w14:textId="77777777" w:rsidTr="00FC3F51">
        <w:tc>
          <w:tcPr>
            <w:tcW w:w="7479" w:type="dxa"/>
          </w:tcPr>
          <w:p w14:paraId="3CA01685" w14:textId="77777777" w:rsidR="00FC3F51" w:rsidRPr="003E73CD" w:rsidRDefault="00FC3F51" w:rsidP="00FC3F51">
            <w:pPr>
              <w:rPr>
                <w:b/>
                <w:sz w:val="22"/>
                <w:szCs w:val="22"/>
              </w:rPr>
            </w:pPr>
          </w:p>
        </w:tc>
        <w:tc>
          <w:tcPr>
            <w:tcW w:w="1037" w:type="dxa"/>
          </w:tcPr>
          <w:p w14:paraId="648CD0F1" w14:textId="77777777" w:rsidR="00FC3F51" w:rsidRPr="00064E27" w:rsidRDefault="00FC3F51" w:rsidP="00FC3F51">
            <w:pPr>
              <w:rPr>
                <w:sz w:val="22"/>
                <w:szCs w:val="22"/>
              </w:rPr>
            </w:pPr>
          </w:p>
        </w:tc>
      </w:tr>
      <w:tr w:rsidR="00FC3F51" w:rsidRPr="003E73CD" w14:paraId="2E75527E" w14:textId="77777777" w:rsidTr="00FC3F51">
        <w:tc>
          <w:tcPr>
            <w:tcW w:w="7479" w:type="dxa"/>
          </w:tcPr>
          <w:p w14:paraId="5E1B3A89" w14:textId="77777777" w:rsidR="00FC3F51" w:rsidRPr="003E73CD" w:rsidRDefault="00FC3F51" w:rsidP="00FC3F51">
            <w:pPr>
              <w:rPr>
                <w:b/>
                <w:sz w:val="22"/>
                <w:szCs w:val="22"/>
              </w:rPr>
            </w:pPr>
            <w:r w:rsidRPr="003E73CD">
              <w:rPr>
                <w:b/>
                <w:sz w:val="22"/>
                <w:szCs w:val="22"/>
              </w:rPr>
              <w:t>Section 0 – Aims and objectives of the thesis</w:t>
            </w:r>
          </w:p>
        </w:tc>
        <w:tc>
          <w:tcPr>
            <w:tcW w:w="1037" w:type="dxa"/>
          </w:tcPr>
          <w:p w14:paraId="55A17794" w14:textId="77777777" w:rsidR="00FC3F51" w:rsidRPr="00064E27" w:rsidRDefault="00FC3F51" w:rsidP="00FC3F51">
            <w:pPr>
              <w:rPr>
                <w:sz w:val="22"/>
                <w:szCs w:val="22"/>
              </w:rPr>
            </w:pPr>
            <w:r w:rsidRPr="00064E27">
              <w:rPr>
                <w:sz w:val="22"/>
                <w:szCs w:val="22"/>
              </w:rPr>
              <w:t>1-4</w:t>
            </w:r>
          </w:p>
        </w:tc>
      </w:tr>
      <w:tr w:rsidR="00FC3F51" w:rsidRPr="003E73CD" w14:paraId="3F740B9D" w14:textId="77777777" w:rsidTr="00FC3F51">
        <w:tc>
          <w:tcPr>
            <w:tcW w:w="7479" w:type="dxa"/>
          </w:tcPr>
          <w:p w14:paraId="65EA6A90" w14:textId="77777777" w:rsidR="00FC3F51" w:rsidRPr="003E73CD" w:rsidRDefault="00FC3F51" w:rsidP="00FC3F51">
            <w:pPr>
              <w:rPr>
                <w:b/>
                <w:sz w:val="22"/>
                <w:szCs w:val="22"/>
              </w:rPr>
            </w:pPr>
          </w:p>
        </w:tc>
        <w:tc>
          <w:tcPr>
            <w:tcW w:w="1037" w:type="dxa"/>
          </w:tcPr>
          <w:p w14:paraId="6D06F864" w14:textId="77777777" w:rsidR="00FC3F51" w:rsidRPr="00064E27" w:rsidRDefault="00FC3F51" w:rsidP="00FC3F51">
            <w:pPr>
              <w:rPr>
                <w:sz w:val="22"/>
                <w:szCs w:val="22"/>
              </w:rPr>
            </w:pPr>
          </w:p>
        </w:tc>
      </w:tr>
      <w:tr w:rsidR="00FC3F51" w:rsidRPr="003E73CD" w14:paraId="2297ACD2" w14:textId="77777777" w:rsidTr="00FC3F51">
        <w:tc>
          <w:tcPr>
            <w:tcW w:w="7479" w:type="dxa"/>
          </w:tcPr>
          <w:p w14:paraId="61EE6677" w14:textId="77777777" w:rsidR="00FC3F51" w:rsidRPr="003E73CD" w:rsidRDefault="00FC3F51" w:rsidP="00FC3F51">
            <w:pPr>
              <w:rPr>
                <w:b/>
                <w:sz w:val="22"/>
                <w:szCs w:val="22"/>
              </w:rPr>
            </w:pPr>
            <w:r w:rsidRPr="003E73CD">
              <w:rPr>
                <w:b/>
                <w:sz w:val="22"/>
                <w:szCs w:val="22"/>
              </w:rPr>
              <w:t>Section 1 – Review of the literature</w:t>
            </w:r>
          </w:p>
          <w:p w14:paraId="11DDDAAB" w14:textId="77777777" w:rsidR="00FC3F51" w:rsidRPr="003E73CD" w:rsidRDefault="00FC3F51" w:rsidP="00FC3F51">
            <w:pPr>
              <w:rPr>
                <w:b/>
                <w:sz w:val="22"/>
                <w:szCs w:val="22"/>
              </w:rPr>
            </w:pPr>
          </w:p>
        </w:tc>
        <w:tc>
          <w:tcPr>
            <w:tcW w:w="1037" w:type="dxa"/>
          </w:tcPr>
          <w:p w14:paraId="071A9A22" w14:textId="77777777" w:rsidR="00FC3F51" w:rsidRPr="00064E27" w:rsidRDefault="00FC3F51" w:rsidP="00FC3F51">
            <w:pPr>
              <w:rPr>
                <w:sz w:val="22"/>
                <w:szCs w:val="22"/>
              </w:rPr>
            </w:pPr>
            <w:r w:rsidRPr="00064E27">
              <w:rPr>
                <w:sz w:val="22"/>
                <w:szCs w:val="22"/>
              </w:rPr>
              <w:t>5-</w:t>
            </w:r>
            <w:r>
              <w:rPr>
                <w:sz w:val="22"/>
                <w:szCs w:val="22"/>
              </w:rPr>
              <w:t>7</w:t>
            </w:r>
            <w:r w:rsidRPr="00064E27">
              <w:rPr>
                <w:sz w:val="22"/>
                <w:szCs w:val="22"/>
              </w:rPr>
              <w:t>6</w:t>
            </w:r>
          </w:p>
        </w:tc>
      </w:tr>
      <w:tr w:rsidR="00FC3F51" w:rsidRPr="003E73CD" w14:paraId="088272B7" w14:textId="77777777" w:rsidTr="00FC3F51">
        <w:tc>
          <w:tcPr>
            <w:tcW w:w="7479" w:type="dxa"/>
          </w:tcPr>
          <w:p w14:paraId="2FCDBD0C" w14:textId="77777777" w:rsidR="00FC3F51" w:rsidRPr="003E73CD" w:rsidRDefault="00FC3F51" w:rsidP="00FC3F51">
            <w:pPr>
              <w:rPr>
                <w:sz w:val="22"/>
                <w:szCs w:val="22"/>
              </w:rPr>
            </w:pPr>
            <w:r w:rsidRPr="003E73CD">
              <w:rPr>
                <w:b/>
                <w:sz w:val="22"/>
                <w:szCs w:val="22"/>
              </w:rPr>
              <w:t>1.1</w:t>
            </w:r>
            <w:r w:rsidRPr="003E73CD">
              <w:rPr>
                <w:sz w:val="22"/>
                <w:szCs w:val="22"/>
              </w:rPr>
              <w:t>: Melanoma: A Clinical Overview.</w:t>
            </w:r>
          </w:p>
        </w:tc>
        <w:tc>
          <w:tcPr>
            <w:tcW w:w="1037" w:type="dxa"/>
          </w:tcPr>
          <w:p w14:paraId="02DA3727" w14:textId="77777777" w:rsidR="00FC3F51" w:rsidRPr="00064E27" w:rsidRDefault="00FC3F51" w:rsidP="00FC3F51">
            <w:pPr>
              <w:rPr>
                <w:sz w:val="22"/>
                <w:szCs w:val="22"/>
              </w:rPr>
            </w:pPr>
            <w:r>
              <w:rPr>
                <w:sz w:val="22"/>
                <w:szCs w:val="22"/>
              </w:rPr>
              <w:t>7</w:t>
            </w:r>
            <w:r w:rsidRPr="00064E27">
              <w:rPr>
                <w:sz w:val="22"/>
                <w:szCs w:val="22"/>
              </w:rPr>
              <w:t>-3</w:t>
            </w:r>
            <w:r>
              <w:rPr>
                <w:sz w:val="22"/>
                <w:szCs w:val="22"/>
              </w:rPr>
              <w:t>5</w:t>
            </w:r>
          </w:p>
        </w:tc>
      </w:tr>
      <w:tr w:rsidR="00FC3F51" w:rsidRPr="003E73CD" w14:paraId="46108B36" w14:textId="77777777" w:rsidTr="00FC3F51">
        <w:tc>
          <w:tcPr>
            <w:tcW w:w="7479" w:type="dxa"/>
          </w:tcPr>
          <w:p w14:paraId="0F779C05" w14:textId="77777777" w:rsidR="00FC3F51" w:rsidRPr="003E73CD" w:rsidRDefault="00FC3F51" w:rsidP="00FC3F51">
            <w:pPr>
              <w:rPr>
                <w:sz w:val="22"/>
                <w:szCs w:val="22"/>
              </w:rPr>
            </w:pPr>
            <w:r w:rsidRPr="003E73CD">
              <w:rPr>
                <w:b/>
                <w:sz w:val="22"/>
                <w:szCs w:val="22"/>
              </w:rPr>
              <w:t>1.2</w:t>
            </w:r>
            <w:r w:rsidRPr="003E73CD">
              <w:rPr>
                <w:sz w:val="22"/>
                <w:szCs w:val="22"/>
              </w:rPr>
              <w:t>: Lymphatic mapping and occult nodal metastasis in melanoma: a review of the literature.</w:t>
            </w:r>
          </w:p>
        </w:tc>
        <w:tc>
          <w:tcPr>
            <w:tcW w:w="1037" w:type="dxa"/>
          </w:tcPr>
          <w:p w14:paraId="7AA92580" w14:textId="77777777" w:rsidR="00FC3F51" w:rsidRPr="00064E27" w:rsidRDefault="00FC3F51" w:rsidP="00FC3F51">
            <w:pPr>
              <w:rPr>
                <w:sz w:val="22"/>
                <w:szCs w:val="22"/>
              </w:rPr>
            </w:pPr>
            <w:r>
              <w:rPr>
                <w:sz w:val="22"/>
                <w:szCs w:val="22"/>
              </w:rPr>
              <w:t>36</w:t>
            </w:r>
            <w:r w:rsidRPr="00064E27">
              <w:rPr>
                <w:sz w:val="22"/>
                <w:szCs w:val="22"/>
              </w:rPr>
              <w:t>-4</w:t>
            </w:r>
            <w:r>
              <w:rPr>
                <w:sz w:val="22"/>
                <w:szCs w:val="22"/>
              </w:rPr>
              <w:t>7</w:t>
            </w:r>
          </w:p>
        </w:tc>
      </w:tr>
      <w:tr w:rsidR="00FC3F51" w:rsidRPr="003E73CD" w14:paraId="33BC7F9B" w14:textId="77777777" w:rsidTr="00FC3F51">
        <w:tc>
          <w:tcPr>
            <w:tcW w:w="7479" w:type="dxa"/>
          </w:tcPr>
          <w:p w14:paraId="03B96179" w14:textId="77777777" w:rsidR="00FC3F51" w:rsidRPr="003E73CD" w:rsidRDefault="00FC3F51" w:rsidP="00FC3F51">
            <w:pPr>
              <w:rPr>
                <w:sz w:val="22"/>
                <w:szCs w:val="22"/>
              </w:rPr>
            </w:pPr>
            <w:r>
              <w:rPr>
                <w:b/>
                <w:sz w:val="22"/>
                <w:szCs w:val="22"/>
              </w:rPr>
              <w:t>1</w:t>
            </w:r>
            <w:r w:rsidRPr="003E73CD">
              <w:rPr>
                <w:b/>
                <w:sz w:val="22"/>
                <w:szCs w:val="22"/>
              </w:rPr>
              <w:t>.</w:t>
            </w:r>
            <w:r>
              <w:rPr>
                <w:b/>
                <w:sz w:val="22"/>
                <w:szCs w:val="22"/>
              </w:rPr>
              <w:t>3</w:t>
            </w:r>
            <w:r w:rsidRPr="003E73CD">
              <w:rPr>
                <w:sz w:val="22"/>
                <w:szCs w:val="22"/>
              </w:rPr>
              <w:t>: Lymphoscintigraphy – technical considerations and potential pitfalls in practice.</w:t>
            </w:r>
          </w:p>
        </w:tc>
        <w:tc>
          <w:tcPr>
            <w:tcW w:w="1037" w:type="dxa"/>
          </w:tcPr>
          <w:p w14:paraId="79DD240A" w14:textId="77777777" w:rsidR="00FC3F51" w:rsidRPr="00064E27" w:rsidRDefault="00FC3F51" w:rsidP="00FC3F51">
            <w:pPr>
              <w:rPr>
                <w:sz w:val="22"/>
                <w:szCs w:val="22"/>
              </w:rPr>
            </w:pPr>
            <w:r>
              <w:rPr>
                <w:sz w:val="22"/>
                <w:szCs w:val="22"/>
              </w:rPr>
              <w:t>48-76</w:t>
            </w:r>
          </w:p>
        </w:tc>
      </w:tr>
      <w:tr w:rsidR="00FC3F51" w:rsidRPr="003E73CD" w14:paraId="018721ED" w14:textId="77777777" w:rsidTr="00FC3F51">
        <w:tc>
          <w:tcPr>
            <w:tcW w:w="7479" w:type="dxa"/>
          </w:tcPr>
          <w:p w14:paraId="61782D68" w14:textId="77777777" w:rsidR="00FC3F51" w:rsidRPr="003E73CD" w:rsidRDefault="00FC3F51" w:rsidP="00FC3F51">
            <w:pPr>
              <w:rPr>
                <w:sz w:val="22"/>
                <w:szCs w:val="22"/>
              </w:rPr>
            </w:pPr>
          </w:p>
        </w:tc>
        <w:tc>
          <w:tcPr>
            <w:tcW w:w="1037" w:type="dxa"/>
          </w:tcPr>
          <w:p w14:paraId="5A72CF4A" w14:textId="77777777" w:rsidR="00FC3F51" w:rsidRPr="00064E27" w:rsidRDefault="00FC3F51" w:rsidP="00FC3F51">
            <w:pPr>
              <w:rPr>
                <w:sz w:val="22"/>
                <w:szCs w:val="22"/>
              </w:rPr>
            </w:pPr>
          </w:p>
        </w:tc>
      </w:tr>
      <w:tr w:rsidR="00FC3F51" w:rsidRPr="003E73CD" w14:paraId="4D4B8317" w14:textId="77777777" w:rsidTr="00FC3F51">
        <w:tc>
          <w:tcPr>
            <w:tcW w:w="7479" w:type="dxa"/>
          </w:tcPr>
          <w:p w14:paraId="382D44FC" w14:textId="77777777" w:rsidR="00FC3F51" w:rsidRPr="003E73CD" w:rsidRDefault="00FC3F51" w:rsidP="00FC3F51">
            <w:pPr>
              <w:rPr>
                <w:b/>
                <w:sz w:val="22"/>
                <w:szCs w:val="22"/>
              </w:rPr>
            </w:pPr>
            <w:r w:rsidRPr="003E73CD">
              <w:rPr>
                <w:b/>
                <w:sz w:val="22"/>
                <w:szCs w:val="22"/>
              </w:rPr>
              <w:t>Section 2 – Lymphatic mapping studies</w:t>
            </w:r>
          </w:p>
          <w:p w14:paraId="3BBC40C1" w14:textId="77777777" w:rsidR="00FC3F51" w:rsidRPr="003E73CD" w:rsidRDefault="00FC3F51" w:rsidP="00FC3F51">
            <w:pPr>
              <w:rPr>
                <w:b/>
                <w:sz w:val="22"/>
                <w:szCs w:val="22"/>
              </w:rPr>
            </w:pPr>
          </w:p>
        </w:tc>
        <w:tc>
          <w:tcPr>
            <w:tcW w:w="1037" w:type="dxa"/>
          </w:tcPr>
          <w:p w14:paraId="400CFCD0" w14:textId="77777777" w:rsidR="00FC3F51" w:rsidRPr="00064E27" w:rsidRDefault="00FC3F51" w:rsidP="00FC3F51">
            <w:pPr>
              <w:rPr>
                <w:sz w:val="22"/>
                <w:szCs w:val="22"/>
              </w:rPr>
            </w:pPr>
            <w:r>
              <w:rPr>
                <w:sz w:val="22"/>
                <w:szCs w:val="22"/>
              </w:rPr>
              <w:t>77</w:t>
            </w:r>
            <w:r w:rsidRPr="00064E27">
              <w:rPr>
                <w:sz w:val="22"/>
                <w:szCs w:val="22"/>
              </w:rPr>
              <w:t>-</w:t>
            </w:r>
            <w:r>
              <w:rPr>
                <w:sz w:val="22"/>
                <w:szCs w:val="22"/>
              </w:rPr>
              <w:t>111</w:t>
            </w:r>
          </w:p>
        </w:tc>
      </w:tr>
      <w:tr w:rsidR="00FC3F51" w:rsidRPr="003E73CD" w14:paraId="1834B3E3" w14:textId="77777777" w:rsidTr="00FC3F51">
        <w:tc>
          <w:tcPr>
            <w:tcW w:w="7479" w:type="dxa"/>
          </w:tcPr>
          <w:p w14:paraId="64F0E6CA" w14:textId="77777777" w:rsidR="00FC3F51" w:rsidRPr="003E73CD" w:rsidRDefault="00FC3F51" w:rsidP="00FC3F51">
            <w:pPr>
              <w:tabs>
                <w:tab w:val="left" w:pos="1134"/>
              </w:tabs>
              <w:rPr>
                <w:sz w:val="22"/>
                <w:szCs w:val="22"/>
              </w:rPr>
            </w:pPr>
            <w:r>
              <w:rPr>
                <w:b/>
                <w:sz w:val="22"/>
                <w:szCs w:val="22"/>
              </w:rPr>
              <w:t>2</w:t>
            </w:r>
            <w:r w:rsidRPr="003E73CD">
              <w:rPr>
                <w:b/>
                <w:sz w:val="22"/>
                <w:szCs w:val="22"/>
              </w:rPr>
              <w:t>.</w:t>
            </w:r>
            <w:r>
              <w:rPr>
                <w:b/>
                <w:sz w:val="22"/>
                <w:szCs w:val="22"/>
              </w:rPr>
              <w:t>1</w:t>
            </w:r>
            <w:r w:rsidRPr="003E73CD">
              <w:rPr>
                <w:sz w:val="22"/>
                <w:szCs w:val="22"/>
              </w:rPr>
              <w:t>: Failure to identify sentinel nodes (non-localization) using lymphoscintigraphy for cutaneous tumours: Its frequency and causes.</w:t>
            </w:r>
          </w:p>
        </w:tc>
        <w:tc>
          <w:tcPr>
            <w:tcW w:w="1037" w:type="dxa"/>
          </w:tcPr>
          <w:p w14:paraId="08D2C0A2" w14:textId="77777777" w:rsidR="00FC3F51" w:rsidRPr="00064E27" w:rsidRDefault="00FC3F51" w:rsidP="00FC3F51">
            <w:pPr>
              <w:tabs>
                <w:tab w:val="left" w:pos="1134"/>
              </w:tabs>
              <w:rPr>
                <w:sz w:val="22"/>
                <w:szCs w:val="22"/>
              </w:rPr>
            </w:pPr>
            <w:r>
              <w:rPr>
                <w:sz w:val="22"/>
                <w:szCs w:val="22"/>
              </w:rPr>
              <w:t>79-93</w:t>
            </w:r>
          </w:p>
        </w:tc>
      </w:tr>
      <w:tr w:rsidR="00FC3F51" w:rsidRPr="003E73CD" w14:paraId="685F8DCD" w14:textId="77777777" w:rsidTr="00FC3F51">
        <w:tc>
          <w:tcPr>
            <w:tcW w:w="7479" w:type="dxa"/>
          </w:tcPr>
          <w:p w14:paraId="38E5C54F" w14:textId="77777777" w:rsidR="00FC3F51" w:rsidRPr="003E73CD" w:rsidRDefault="00FC3F51" w:rsidP="00FC3F51">
            <w:pPr>
              <w:rPr>
                <w:sz w:val="22"/>
                <w:szCs w:val="22"/>
              </w:rPr>
            </w:pPr>
            <w:r w:rsidRPr="003E73CD">
              <w:rPr>
                <w:b/>
                <w:sz w:val="22"/>
                <w:szCs w:val="22"/>
              </w:rPr>
              <w:t>2.</w:t>
            </w:r>
            <w:r>
              <w:rPr>
                <w:b/>
                <w:sz w:val="22"/>
                <w:szCs w:val="22"/>
              </w:rPr>
              <w:t>2</w:t>
            </w:r>
            <w:r w:rsidRPr="003E73CD">
              <w:rPr>
                <w:sz w:val="22"/>
                <w:szCs w:val="22"/>
              </w:rPr>
              <w:t>: Lymphatic drainage patterns from cutaneous tumours of the forehead: Refining the recommendations for selective neck dissection.</w:t>
            </w:r>
          </w:p>
        </w:tc>
        <w:tc>
          <w:tcPr>
            <w:tcW w:w="1037" w:type="dxa"/>
          </w:tcPr>
          <w:p w14:paraId="61CF4A3A" w14:textId="77777777" w:rsidR="00FC3F51" w:rsidRPr="00064E27" w:rsidRDefault="00FC3F51" w:rsidP="00FC3F51">
            <w:pPr>
              <w:rPr>
                <w:sz w:val="22"/>
                <w:szCs w:val="22"/>
              </w:rPr>
            </w:pPr>
            <w:r>
              <w:rPr>
                <w:sz w:val="22"/>
                <w:szCs w:val="22"/>
              </w:rPr>
              <w:t>94-111</w:t>
            </w:r>
          </w:p>
        </w:tc>
      </w:tr>
      <w:tr w:rsidR="00FC3F51" w:rsidRPr="003E73CD" w14:paraId="4508ED2A" w14:textId="77777777" w:rsidTr="00FC3F51">
        <w:tc>
          <w:tcPr>
            <w:tcW w:w="7479" w:type="dxa"/>
          </w:tcPr>
          <w:p w14:paraId="34CFDF8B" w14:textId="77777777" w:rsidR="00FC3F51" w:rsidRPr="003E73CD" w:rsidRDefault="00FC3F51" w:rsidP="00FC3F51">
            <w:pPr>
              <w:rPr>
                <w:sz w:val="22"/>
                <w:szCs w:val="22"/>
              </w:rPr>
            </w:pPr>
          </w:p>
        </w:tc>
        <w:tc>
          <w:tcPr>
            <w:tcW w:w="1037" w:type="dxa"/>
          </w:tcPr>
          <w:p w14:paraId="25BFAAD1" w14:textId="77777777" w:rsidR="00FC3F51" w:rsidRPr="00064E27" w:rsidRDefault="00FC3F51" w:rsidP="00FC3F51">
            <w:pPr>
              <w:rPr>
                <w:sz w:val="22"/>
                <w:szCs w:val="22"/>
              </w:rPr>
            </w:pPr>
          </w:p>
        </w:tc>
      </w:tr>
      <w:tr w:rsidR="00FC3F51" w:rsidRPr="003E73CD" w14:paraId="59C1A3C3" w14:textId="77777777" w:rsidTr="00FC3F51">
        <w:tc>
          <w:tcPr>
            <w:tcW w:w="7479" w:type="dxa"/>
          </w:tcPr>
          <w:p w14:paraId="027F4AEA" w14:textId="77777777" w:rsidR="00FC3F51" w:rsidRPr="003E73CD" w:rsidRDefault="00FC3F51" w:rsidP="00FC3F51">
            <w:pPr>
              <w:rPr>
                <w:b/>
                <w:sz w:val="22"/>
                <w:szCs w:val="22"/>
              </w:rPr>
            </w:pPr>
            <w:r w:rsidRPr="003E73CD">
              <w:rPr>
                <w:b/>
                <w:sz w:val="22"/>
                <w:szCs w:val="22"/>
              </w:rPr>
              <w:t>Section 3 – Occult nodal metastasis studies</w:t>
            </w:r>
          </w:p>
          <w:p w14:paraId="6869A0A3" w14:textId="77777777" w:rsidR="00FC3F51" w:rsidRPr="003E73CD" w:rsidRDefault="00FC3F51" w:rsidP="00FC3F51">
            <w:pPr>
              <w:rPr>
                <w:b/>
                <w:sz w:val="22"/>
                <w:szCs w:val="22"/>
              </w:rPr>
            </w:pPr>
          </w:p>
        </w:tc>
        <w:tc>
          <w:tcPr>
            <w:tcW w:w="1037" w:type="dxa"/>
          </w:tcPr>
          <w:p w14:paraId="37447ECF" w14:textId="77777777" w:rsidR="00FC3F51" w:rsidRPr="00064E27" w:rsidRDefault="00FC3F51" w:rsidP="00FC3F51">
            <w:pPr>
              <w:rPr>
                <w:sz w:val="22"/>
                <w:szCs w:val="22"/>
              </w:rPr>
            </w:pPr>
            <w:r>
              <w:rPr>
                <w:sz w:val="22"/>
                <w:szCs w:val="22"/>
              </w:rPr>
              <w:t>112-181</w:t>
            </w:r>
          </w:p>
        </w:tc>
      </w:tr>
      <w:tr w:rsidR="00FC3F51" w:rsidRPr="003E73CD" w14:paraId="2711F15A" w14:textId="77777777" w:rsidTr="00FC3F51">
        <w:tc>
          <w:tcPr>
            <w:tcW w:w="7479" w:type="dxa"/>
          </w:tcPr>
          <w:p w14:paraId="74B46480" w14:textId="77777777" w:rsidR="00FC3F51" w:rsidRPr="003E73CD" w:rsidRDefault="00FC3F51" w:rsidP="00FC3F51">
            <w:pPr>
              <w:rPr>
                <w:b/>
                <w:sz w:val="22"/>
                <w:szCs w:val="22"/>
              </w:rPr>
            </w:pPr>
            <w:r>
              <w:rPr>
                <w:b/>
                <w:sz w:val="22"/>
                <w:szCs w:val="22"/>
              </w:rPr>
              <w:t>3.1</w:t>
            </w:r>
            <w:r w:rsidRPr="003E73CD">
              <w:rPr>
                <w:b/>
                <w:sz w:val="22"/>
                <w:szCs w:val="22"/>
              </w:rPr>
              <w:t xml:space="preserve">: </w:t>
            </w:r>
            <w:r w:rsidRPr="003E73CD">
              <w:rPr>
                <w:sz w:val="22"/>
                <w:szCs w:val="22"/>
              </w:rPr>
              <w:t>What is the significance of non-sentinel node metastasis in melanoma: A systematic review</w:t>
            </w:r>
          </w:p>
        </w:tc>
        <w:tc>
          <w:tcPr>
            <w:tcW w:w="1037" w:type="dxa"/>
          </w:tcPr>
          <w:p w14:paraId="47807B95" w14:textId="77777777" w:rsidR="00FC3F51" w:rsidRDefault="00FC3F51" w:rsidP="00FC3F51">
            <w:pPr>
              <w:rPr>
                <w:sz w:val="22"/>
                <w:szCs w:val="22"/>
              </w:rPr>
            </w:pPr>
            <w:r>
              <w:rPr>
                <w:sz w:val="22"/>
                <w:szCs w:val="22"/>
              </w:rPr>
              <w:t>114-133</w:t>
            </w:r>
          </w:p>
        </w:tc>
      </w:tr>
      <w:tr w:rsidR="00FC3F51" w:rsidRPr="003E73CD" w14:paraId="4FA583AC" w14:textId="77777777" w:rsidTr="00FC3F51">
        <w:tc>
          <w:tcPr>
            <w:tcW w:w="7479" w:type="dxa"/>
          </w:tcPr>
          <w:p w14:paraId="7664C496" w14:textId="77777777" w:rsidR="00FC3F51" w:rsidRPr="003E73CD" w:rsidRDefault="00FC3F51" w:rsidP="00FC3F51">
            <w:pPr>
              <w:rPr>
                <w:sz w:val="22"/>
                <w:szCs w:val="22"/>
              </w:rPr>
            </w:pPr>
            <w:r w:rsidRPr="003E73CD">
              <w:rPr>
                <w:b/>
                <w:sz w:val="22"/>
                <w:szCs w:val="22"/>
              </w:rPr>
              <w:t>3.</w:t>
            </w:r>
            <w:r>
              <w:rPr>
                <w:b/>
                <w:sz w:val="22"/>
                <w:szCs w:val="22"/>
              </w:rPr>
              <w:t>2</w:t>
            </w:r>
            <w:r w:rsidRPr="003E73CD">
              <w:rPr>
                <w:sz w:val="22"/>
                <w:szCs w:val="22"/>
              </w:rPr>
              <w:t>: Sentinel node positive melanoma patients: Prediction and prognostic significance of non-sentinel node metastases and development of a survival tree model.</w:t>
            </w:r>
          </w:p>
        </w:tc>
        <w:tc>
          <w:tcPr>
            <w:tcW w:w="1037" w:type="dxa"/>
          </w:tcPr>
          <w:p w14:paraId="12D6A5DB" w14:textId="77777777" w:rsidR="00FC3F51" w:rsidRPr="00064E27" w:rsidRDefault="00FC3F51" w:rsidP="00FC3F51">
            <w:pPr>
              <w:rPr>
                <w:sz w:val="22"/>
                <w:szCs w:val="22"/>
              </w:rPr>
            </w:pPr>
            <w:r>
              <w:rPr>
                <w:sz w:val="22"/>
                <w:szCs w:val="22"/>
              </w:rPr>
              <w:t>134-158</w:t>
            </w:r>
          </w:p>
        </w:tc>
      </w:tr>
      <w:tr w:rsidR="00FC3F51" w:rsidRPr="003E73CD" w14:paraId="364B96AE" w14:textId="77777777" w:rsidTr="00FC3F51">
        <w:tc>
          <w:tcPr>
            <w:tcW w:w="7479" w:type="dxa"/>
          </w:tcPr>
          <w:p w14:paraId="1BB93168" w14:textId="77777777" w:rsidR="00FC3F51" w:rsidRPr="003E73CD" w:rsidRDefault="00FC3F51" w:rsidP="00FC3F51">
            <w:pPr>
              <w:rPr>
                <w:sz w:val="22"/>
                <w:szCs w:val="22"/>
              </w:rPr>
            </w:pPr>
            <w:r w:rsidRPr="003E73CD">
              <w:rPr>
                <w:b/>
                <w:sz w:val="22"/>
                <w:szCs w:val="22"/>
              </w:rPr>
              <w:t>3.</w:t>
            </w:r>
            <w:r>
              <w:rPr>
                <w:b/>
                <w:sz w:val="22"/>
                <w:szCs w:val="22"/>
              </w:rPr>
              <w:t>3</w:t>
            </w:r>
            <w:r w:rsidRPr="003E73CD">
              <w:rPr>
                <w:sz w:val="22"/>
                <w:szCs w:val="22"/>
              </w:rPr>
              <w:t>: Sentinel node positive melanoma patients: Validation and comparison of a survival tree model.</w:t>
            </w:r>
          </w:p>
        </w:tc>
        <w:tc>
          <w:tcPr>
            <w:tcW w:w="1037" w:type="dxa"/>
          </w:tcPr>
          <w:p w14:paraId="2AA9270B" w14:textId="77777777" w:rsidR="00FC3F51" w:rsidRPr="00064E27" w:rsidRDefault="00FC3F51" w:rsidP="00FC3F51">
            <w:pPr>
              <w:rPr>
                <w:sz w:val="22"/>
                <w:szCs w:val="22"/>
              </w:rPr>
            </w:pPr>
            <w:r>
              <w:rPr>
                <w:sz w:val="22"/>
                <w:szCs w:val="22"/>
              </w:rPr>
              <w:t>159-182</w:t>
            </w:r>
          </w:p>
        </w:tc>
      </w:tr>
      <w:tr w:rsidR="00FC3F51" w:rsidRPr="003E73CD" w14:paraId="62507B3C" w14:textId="77777777" w:rsidTr="00FC3F51">
        <w:tc>
          <w:tcPr>
            <w:tcW w:w="7479" w:type="dxa"/>
          </w:tcPr>
          <w:p w14:paraId="0CE06835" w14:textId="77777777" w:rsidR="00FC3F51" w:rsidRPr="003E73CD" w:rsidRDefault="00FC3F51" w:rsidP="00FC3F51">
            <w:pPr>
              <w:rPr>
                <w:sz w:val="22"/>
                <w:szCs w:val="22"/>
              </w:rPr>
            </w:pPr>
          </w:p>
        </w:tc>
        <w:tc>
          <w:tcPr>
            <w:tcW w:w="1037" w:type="dxa"/>
          </w:tcPr>
          <w:p w14:paraId="180A6850" w14:textId="77777777" w:rsidR="00FC3F51" w:rsidRPr="00064E27" w:rsidRDefault="00FC3F51" w:rsidP="00FC3F51">
            <w:pPr>
              <w:rPr>
                <w:sz w:val="22"/>
                <w:szCs w:val="22"/>
              </w:rPr>
            </w:pPr>
          </w:p>
        </w:tc>
      </w:tr>
      <w:tr w:rsidR="00FC3F51" w:rsidRPr="003E73CD" w14:paraId="6864AD98" w14:textId="77777777" w:rsidTr="00FC3F51">
        <w:tc>
          <w:tcPr>
            <w:tcW w:w="7479" w:type="dxa"/>
          </w:tcPr>
          <w:p w14:paraId="44949326" w14:textId="77777777" w:rsidR="00FC3F51" w:rsidRPr="003E73CD" w:rsidRDefault="00FC3F51" w:rsidP="00FC3F51">
            <w:pPr>
              <w:rPr>
                <w:b/>
                <w:sz w:val="22"/>
                <w:szCs w:val="22"/>
              </w:rPr>
            </w:pPr>
            <w:r w:rsidRPr="003E73CD">
              <w:rPr>
                <w:b/>
                <w:sz w:val="22"/>
                <w:szCs w:val="22"/>
              </w:rPr>
              <w:t>Section 4 – General summary and conclusions</w:t>
            </w:r>
          </w:p>
        </w:tc>
        <w:tc>
          <w:tcPr>
            <w:tcW w:w="1037" w:type="dxa"/>
          </w:tcPr>
          <w:p w14:paraId="12DDF74B" w14:textId="77777777" w:rsidR="00FC3F51" w:rsidRPr="00064E27" w:rsidRDefault="00FC3F51" w:rsidP="00FC3F51">
            <w:pPr>
              <w:rPr>
                <w:sz w:val="22"/>
                <w:szCs w:val="22"/>
              </w:rPr>
            </w:pPr>
            <w:r>
              <w:rPr>
                <w:sz w:val="22"/>
                <w:szCs w:val="22"/>
              </w:rPr>
              <w:t>183-188</w:t>
            </w:r>
          </w:p>
        </w:tc>
      </w:tr>
      <w:tr w:rsidR="00FC3F51" w:rsidRPr="003E73CD" w14:paraId="0E3BF370" w14:textId="77777777" w:rsidTr="00FC3F51">
        <w:tc>
          <w:tcPr>
            <w:tcW w:w="7479" w:type="dxa"/>
          </w:tcPr>
          <w:p w14:paraId="796486A4" w14:textId="77777777" w:rsidR="00FC3F51" w:rsidRPr="003E73CD" w:rsidRDefault="00FC3F51" w:rsidP="00FC3F51">
            <w:pPr>
              <w:rPr>
                <w:sz w:val="22"/>
                <w:szCs w:val="22"/>
              </w:rPr>
            </w:pPr>
          </w:p>
        </w:tc>
        <w:tc>
          <w:tcPr>
            <w:tcW w:w="1037" w:type="dxa"/>
          </w:tcPr>
          <w:p w14:paraId="208E4D66" w14:textId="77777777" w:rsidR="00FC3F51" w:rsidRPr="00064E27" w:rsidRDefault="00FC3F51" w:rsidP="00FC3F51">
            <w:pPr>
              <w:rPr>
                <w:sz w:val="22"/>
                <w:szCs w:val="22"/>
              </w:rPr>
            </w:pPr>
          </w:p>
        </w:tc>
      </w:tr>
      <w:tr w:rsidR="00FC3F51" w:rsidRPr="003E73CD" w14:paraId="57EA8194" w14:textId="77777777" w:rsidTr="00FC3F51">
        <w:tc>
          <w:tcPr>
            <w:tcW w:w="7479" w:type="dxa"/>
          </w:tcPr>
          <w:p w14:paraId="2CF6B7B3" w14:textId="77777777" w:rsidR="00FC3F51" w:rsidRPr="003E73CD" w:rsidRDefault="00FC3F51" w:rsidP="00FC3F51">
            <w:pPr>
              <w:rPr>
                <w:b/>
                <w:sz w:val="22"/>
                <w:szCs w:val="22"/>
              </w:rPr>
            </w:pPr>
            <w:r w:rsidRPr="003E73CD">
              <w:rPr>
                <w:b/>
                <w:sz w:val="22"/>
                <w:szCs w:val="22"/>
              </w:rPr>
              <w:t>Section 5 – References</w:t>
            </w:r>
          </w:p>
        </w:tc>
        <w:tc>
          <w:tcPr>
            <w:tcW w:w="1037" w:type="dxa"/>
          </w:tcPr>
          <w:p w14:paraId="0FF227B8" w14:textId="77777777" w:rsidR="00FC3F51" w:rsidRPr="00064E27" w:rsidRDefault="00FC3F51" w:rsidP="00FC3F51">
            <w:pPr>
              <w:rPr>
                <w:sz w:val="22"/>
                <w:szCs w:val="22"/>
              </w:rPr>
            </w:pPr>
            <w:r>
              <w:rPr>
                <w:sz w:val="22"/>
                <w:szCs w:val="22"/>
              </w:rPr>
              <w:t>189-206</w:t>
            </w:r>
          </w:p>
        </w:tc>
      </w:tr>
      <w:tr w:rsidR="00FC3F51" w:rsidRPr="003E73CD" w14:paraId="408F7E34" w14:textId="77777777" w:rsidTr="00FC3F51">
        <w:tc>
          <w:tcPr>
            <w:tcW w:w="7479" w:type="dxa"/>
          </w:tcPr>
          <w:p w14:paraId="5A79EC65" w14:textId="77777777" w:rsidR="00FC3F51" w:rsidRPr="003E73CD" w:rsidRDefault="00FC3F51" w:rsidP="00FC3F51">
            <w:pPr>
              <w:rPr>
                <w:b/>
                <w:sz w:val="22"/>
                <w:szCs w:val="22"/>
              </w:rPr>
            </w:pPr>
          </w:p>
        </w:tc>
        <w:tc>
          <w:tcPr>
            <w:tcW w:w="1037" w:type="dxa"/>
          </w:tcPr>
          <w:p w14:paraId="126ED289" w14:textId="77777777" w:rsidR="00FC3F51" w:rsidRDefault="00FC3F51" w:rsidP="00FC3F51">
            <w:pPr>
              <w:rPr>
                <w:sz w:val="22"/>
                <w:szCs w:val="22"/>
              </w:rPr>
            </w:pPr>
          </w:p>
        </w:tc>
      </w:tr>
      <w:tr w:rsidR="00FC3F51" w:rsidRPr="003E73CD" w14:paraId="49FB9AC5" w14:textId="77777777" w:rsidTr="00FC3F51">
        <w:tc>
          <w:tcPr>
            <w:tcW w:w="7479" w:type="dxa"/>
          </w:tcPr>
          <w:p w14:paraId="5BE95FB7" w14:textId="77777777" w:rsidR="00FC3F51" w:rsidRPr="003E73CD" w:rsidRDefault="00FC3F51" w:rsidP="00FC3F51">
            <w:pPr>
              <w:rPr>
                <w:b/>
                <w:sz w:val="22"/>
                <w:szCs w:val="22"/>
              </w:rPr>
            </w:pPr>
            <w:r>
              <w:rPr>
                <w:b/>
                <w:sz w:val="22"/>
                <w:szCs w:val="22"/>
              </w:rPr>
              <w:t>Appendix</w:t>
            </w:r>
          </w:p>
        </w:tc>
        <w:tc>
          <w:tcPr>
            <w:tcW w:w="1037" w:type="dxa"/>
          </w:tcPr>
          <w:p w14:paraId="2309CC9E" w14:textId="77777777" w:rsidR="00FC3F51" w:rsidRDefault="00FC3F51" w:rsidP="00FC3F51">
            <w:pPr>
              <w:rPr>
                <w:sz w:val="22"/>
                <w:szCs w:val="22"/>
              </w:rPr>
            </w:pPr>
            <w:r>
              <w:rPr>
                <w:sz w:val="22"/>
                <w:szCs w:val="22"/>
              </w:rPr>
              <w:t>207-208</w:t>
            </w:r>
          </w:p>
        </w:tc>
      </w:tr>
    </w:tbl>
    <w:p w14:paraId="546D5B72" w14:textId="77777777" w:rsidR="00FC3F51" w:rsidRPr="003E73CD" w:rsidRDefault="00FC3F51" w:rsidP="00FC3F51">
      <w:pPr>
        <w:rPr>
          <w:sz w:val="22"/>
          <w:szCs w:val="22"/>
        </w:rPr>
      </w:pPr>
      <w:r w:rsidRPr="003E73CD">
        <w:rPr>
          <w:b/>
          <w:sz w:val="28"/>
          <w:szCs w:val="28"/>
        </w:rPr>
        <w:br w:type="page"/>
      </w:r>
    </w:p>
    <w:p w14:paraId="025A0321" w14:textId="77777777" w:rsidR="00FC3F51" w:rsidRPr="005A1127" w:rsidRDefault="00FC3F51" w:rsidP="00FC3F51">
      <w:pPr>
        <w:spacing w:line="480" w:lineRule="auto"/>
        <w:rPr>
          <w:rFonts w:asciiTheme="minorHAnsi" w:hAnsiTheme="minorHAnsi"/>
          <w:b/>
          <w:sz w:val="20"/>
          <w:szCs w:val="20"/>
        </w:rPr>
      </w:pPr>
      <w:r w:rsidRPr="003E73CD">
        <w:rPr>
          <w:rFonts w:asciiTheme="minorHAnsi" w:hAnsiTheme="minorHAnsi"/>
          <w:b/>
          <w:sz w:val="28"/>
          <w:szCs w:val="28"/>
        </w:rPr>
        <w:t>List of figures</w:t>
      </w:r>
    </w:p>
    <w:tbl>
      <w:tblPr>
        <w:tblStyle w:val="TableGrid"/>
        <w:tblW w:w="0" w:type="auto"/>
        <w:tblLook w:val="04A0" w:firstRow="1" w:lastRow="0" w:firstColumn="1" w:lastColumn="0" w:noHBand="0" w:noVBand="1"/>
      </w:tblPr>
      <w:tblGrid>
        <w:gridCol w:w="7763"/>
        <w:gridCol w:w="753"/>
      </w:tblGrid>
      <w:tr w:rsidR="00FC3F51" w:rsidRPr="003E73CD" w14:paraId="7402300B" w14:textId="77777777" w:rsidTr="00FC3F51">
        <w:tc>
          <w:tcPr>
            <w:tcW w:w="7763" w:type="dxa"/>
          </w:tcPr>
          <w:p w14:paraId="5236ACE1" w14:textId="77777777" w:rsidR="00FC3F51" w:rsidRPr="003E73CD" w:rsidRDefault="00FC3F51" w:rsidP="00FC3F51">
            <w:pPr>
              <w:rPr>
                <w:rFonts w:asciiTheme="minorHAnsi" w:hAnsiTheme="minorHAnsi"/>
                <w:sz w:val="22"/>
                <w:szCs w:val="22"/>
              </w:rPr>
            </w:pPr>
            <w:r w:rsidRPr="003E73CD">
              <w:rPr>
                <w:rFonts w:asciiTheme="minorHAnsi" w:hAnsiTheme="minorHAnsi"/>
                <w:sz w:val="22"/>
                <w:szCs w:val="22"/>
              </w:rPr>
              <w:t>Figure 0.1. The standard sentinel node biopsy-based management pathway for melanoma.</w:t>
            </w:r>
          </w:p>
          <w:p w14:paraId="16930DCF" w14:textId="77777777" w:rsidR="00FC3F51" w:rsidRPr="003E73CD" w:rsidRDefault="00FC3F51" w:rsidP="00FC3F51">
            <w:pPr>
              <w:rPr>
                <w:rFonts w:asciiTheme="minorHAnsi" w:hAnsiTheme="minorHAnsi"/>
                <w:sz w:val="22"/>
                <w:szCs w:val="22"/>
              </w:rPr>
            </w:pPr>
          </w:p>
        </w:tc>
        <w:tc>
          <w:tcPr>
            <w:tcW w:w="753" w:type="dxa"/>
          </w:tcPr>
          <w:p w14:paraId="22856F0E" w14:textId="77777777" w:rsidR="00FC3F51" w:rsidRPr="003E73CD" w:rsidRDefault="00FC3F51" w:rsidP="00FC3F51">
            <w:pPr>
              <w:rPr>
                <w:rFonts w:asciiTheme="minorHAnsi" w:hAnsiTheme="minorHAnsi"/>
                <w:sz w:val="22"/>
                <w:szCs w:val="22"/>
              </w:rPr>
            </w:pPr>
            <w:r>
              <w:rPr>
                <w:rFonts w:asciiTheme="minorHAnsi" w:hAnsiTheme="minorHAnsi"/>
                <w:sz w:val="22"/>
                <w:szCs w:val="22"/>
              </w:rPr>
              <w:t>2</w:t>
            </w:r>
          </w:p>
        </w:tc>
      </w:tr>
      <w:tr w:rsidR="00FC3F51" w:rsidRPr="003E73CD" w14:paraId="7988EC38" w14:textId="77777777" w:rsidTr="00FC3F51">
        <w:tc>
          <w:tcPr>
            <w:tcW w:w="7763" w:type="dxa"/>
          </w:tcPr>
          <w:p w14:paraId="12FA0C89" w14:textId="77777777" w:rsidR="00FC3F51" w:rsidRPr="003E73CD" w:rsidRDefault="00FC3F51" w:rsidP="00FC3F51">
            <w:pPr>
              <w:rPr>
                <w:rFonts w:asciiTheme="minorHAnsi" w:hAnsiTheme="minorHAnsi"/>
                <w:sz w:val="22"/>
                <w:szCs w:val="22"/>
              </w:rPr>
            </w:pPr>
            <w:r w:rsidRPr="003E73CD">
              <w:rPr>
                <w:rFonts w:asciiTheme="minorHAnsi" w:hAnsiTheme="minorHAnsi"/>
                <w:sz w:val="22"/>
                <w:szCs w:val="22"/>
              </w:rPr>
              <w:t>Figure 0.2.  The potential outcomes of lymphoscintigraphy.</w:t>
            </w:r>
          </w:p>
          <w:p w14:paraId="1DBFA509" w14:textId="77777777" w:rsidR="00FC3F51" w:rsidRPr="003E73CD" w:rsidRDefault="00FC3F51" w:rsidP="00FC3F51">
            <w:pPr>
              <w:rPr>
                <w:rFonts w:asciiTheme="minorHAnsi" w:hAnsiTheme="minorHAnsi"/>
                <w:sz w:val="22"/>
                <w:szCs w:val="22"/>
              </w:rPr>
            </w:pPr>
          </w:p>
        </w:tc>
        <w:tc>
          <w:tcPr>
            <w:tcW w:w="753" w:type="dxa"/>
          </w:tcPr>
          <w:p w14:paraId="5C2B05C3" w14:textId="77777777" w:rsidR="00FC3F51" w:rsidRPr="003E73CD" w:rsidRDefault="00FC3F51" w:rsidP="00FC3F51">
            <w:pPr>
              <w:rPr>
                <w:rFonts w:asciiTheme="minorHAnsi" w:hAnsiTheme="minorHAnsi"/>
                <w:sz w:val="22"/>
                <w:szCs w:val="22"/>
              </w:rPr>
            </w:pPr>
            <w:r>
              <w:rPr>
                <w:rFonts w:asciiTheme="minorHAnsi" w:hAnsiTheme="minorHAnsi"/>
                <w:sz w:val="22"/>
                <w:szCs w:val="22"/>
              </w:rPr>
              <w:t>3</w:t>
            </w:r>
          </w:p>
        </w:tc>
      </w:tr>
      <w:tr w:rsidR="00FC3F51" w:rsidRPr="003E73CD" w14:paraId="7D1119D1" w14:textId="77777777" w:rsidTr="00FC3F51">
        <w:tc>
          <w:tcPr>
            <w:tcW w:w="7763" w:type="dxa"/>
          </w:tcPr>
          <w:p w14:paraId="14DB0D25" w14:textId="77777777" w:rsidR="00FC3F51" w:rsidRPr="003E73CD" w:rsidRDefault="00FC3F51" w:rsidP="00FC3F51">
            <w:pPr>
              <w:rPr>
                <w:rFonts w:asciiTheme="minorHAnsi" w:hAnsiTheme="minorHAnsi" w:cs="Arial"/>
                <w:sz w:val="22"/>
                <w:szCs w:val="22"/>
              </w:rPr>
            </w:pPr>
            <w:r w:rsidRPr="003E73CD">
              <w:rPr>
                <w:rFonts w:asciiTheme="minorHAnsi" w:hAnsiTheme="minorHAnsi" w:cs="Arial"/>
                <w:sz w:val="22"/>
                <w:szCs w:val="22"/>
              </w:rPr>
              <w:t>Figure 1.1.1. Cumulative risk of 0–74 years in 2000–2002.</w:t>
            </w:r>
          </w:p>
          <w:p w14:paraId="3293EE07" w14:textId="77777777" w:rsidR="00FC3F51" w:rsidRPr="003E73CD" w:rsidRDefault="00FC3F51" w:rsidP="00FC3F51">
            <w:pPr>
              <w:rPr>
                <w:rFonts w:asciiTheme="minorHAnsi" w:hAnsiTheme="minorHAnsi"/>
                <w:sz w:val="22"/>
                <w:szCs w:val="22"/>
              </w:rPr>
            </w:pPr>
          </w:p>
        </w:tc>
        <w:tc>
          <w:tcPr>
            <w:tcW w:w="753" w:type="dxa"/>
          </w:tcPr>
          <w:p w14:paraId="701F551D" w14:textId="77777777" w:rsidR="00FC3F51" w:rsidRPr="003E73CD" w:rsidRDefault="00FC3F51" w:rsidP="00FC3F51">
            <w:pPr>
              <w:rPr>
                <w:rFonts w:asciiTheme="minorHAnsi" w:hAnsiTheme="minorHAnsi"/>
                <w:sz w:val="22"/>
                <w:szCs w:val="22"/>
              </w:rPr>
            </w:pPr>
            <w:r>
              <w:rPr>
                <w:rFonts w:asciiTheme="minorHAnsi" w:hAnsiTheme="minorHAnsi"/>
                <w:sz w:val="22"/>
                <w:szCs w:val="22"/>
              </w:rPr>
              <w:t>9</w:t>
            </w:r>
          </w:p>
        </w:tc>
      </w:tr>
      <w:tr w:rsidR="00FC3F51" w:rsidRPr="003E73CD" w14:paraId="61ABD3E6" w14:textId="77777777" w:rsidTr="00FC3F51">
        <w:tc>
          <w:tcPr>
            <w:tcW w:w="7763" w:type="dxa"/>
          </w:tcPr>
          <w:p w14:paraId="14185081" w14:textId="77777777" w:rsidR="00FC3F51" w:rsidRPr="003E73CD" w:rsidRDefault="00FC3F51" w:rsidP="00FC3F51">
            <w:pPr>
              <w:rPr>
                <w:rFonts w:asciiTheme="minorHAnsi" w:hAnsiTheme="minorHAnsi"/>
                <w:sz w:val="22"/>
                <w:szCs w:val="22"/>
              </w:rPr>
            </w:pPr>
            <w:r>
              <w:rPr>
                <w:rFonts w:asciiTheme="minorHAnsi" w:hAnsiTheme="minorHAnsi"/>
                <w:sz w:val="22"/>
                <w:szCs w:val="22"/>
              </w:rPr>
              <w:t>Figure 1.1.2</w:t>
            </w:r>
            <w:r w:rsidRPr="003E73CD">
              <w:rPr>
                <w:rFonts w:asciiTheme="minorHAnsi" w:hAnsiTheme="minorHAnsi"/>
                <w:sz w:val="22"/>
                <w:szCs w:val="22"/>
              </w:rPr>
              <w:t>.  American Joint Committee on Cancer (AJCC) staging system for melanoma (7</w:t>
            </w:r>
            <w:r w:rsidRPr="003E73CD">
              <w:rPr>
                <w:rFonts w:asciiTheme="minorHAnsi" w:hAnsiTheme="minorHAnsi"/>
                <w:sz w:val="22"/>
                <w:szCs w:val="22"/>
                <w:vertAlign w:val="superscript"/>
              </w:rPr>
              <w:t>th</w:t>
            </w:r>
            <w:r w:rsidRPr="003E73CD">
              <w:rPr>
                <w:rFonts w:asciiTheme="minorHAnsi" w:hAnsiTheme="minorHAnsi"/>
                <w:sz w:val="22"/>
                <w:szCs w:val="22"/>
              </w:rPr>
              <w:t xml:space="preserve"> Edition)</w:t>
            </w:r>
          </w:p>
          <w:p w14:paraId="03D515CC" w14:textId="77777777" w:rsidR="00FC3F51" w:rsidRPr="003E73CD" w:rsidRDefault="00FC3F51" w:rsidP="00FC3F51">
            <w:pPr>
              <w:rPr>
                <w:rFonts w:asciiTheme="minorHAnsi" w:hAnsiTheme="minorHAnsi"/>
                <w:sz w:val="22"/>
                <w:szCs w:val="22"/>
              </w:rPr>
            </w:pPr>
          </w:p>
        </w:tc>
        <w:tc>
          <w:tcPr>
            <w:tcW w:w="753" w:type="dxa"/>
          </w:tcPr>
          <w:p w14:paraId="20B1D7AD" w14:textId="77777777" w:rsidR="00FC3F51" w:rsidRPr="003E73CD" w:rsidRDefault="00FC3F51" w:rsidP="00FC3F51">
            <w:pPr>
              <w:rPr>
                <w:rFonts w:asciiTheme="minorHAnsi" w:hAnsiTheme="minorHAnsi"/>
                <w:sz w:val="22"/>
                <w:szCs w:val="22"/>
              </w:rPr>
            </w:pPr>
            <w:r>
              <w:rPr>
                <w:rFonts w:asciiTheme="minorHAnsi" w:hAnsiTheme="minorHAnsi"/>
                <w:sz w:val="22"/>
                <w:szCs w:val="22"/>
              </w:rPr>
              <w:t>14</w:t>
            </w:r>
          </w:p>
        </w:tc>
      </w:tr>
      <w:tr w:rsidR="00FC3F51" w:rsidRPr="003E73CD" w14:paraId="4FDA937D" w14:textId="77777777" w:rsidTr="00FC3F51">
        <w:tc>
          <w:tcPr>
            <w:tcW w:w="7763" w:type="dxa"/>
          </w:tcPr>
          <w:p w14:paraId="17ED0668" w14:textId="77777777" w:rsidR="00FC3F51" w:rsidRPr="003E73CD" w:rsidRDefault="00FC3F51" w:rsidP="00FC3F51">
            <w:pPr>
              <w:rPr>
                <w:rFonts w:asciiTheme="minorHAnsi" w:hAnsiTheme="minorHAnsi"/>
                <w:sz w:val="22"/>
                <w:szCs w:val="22"/>
              </w:rPr>
            </w:pPr>
            <w:r>
              <w:rPr>
                <w:rFonts w:asciiTheme="minorHAnsi" w:hAnsiTheme="minorHAnsi"/>
                <w:sz w:val="22"/>
                <w:szCs w:val="22"/>
              </w:rPr>
              <w:t>Figure 1.1.3</w:t>
            </w:r>
            <w:r w:rsidRPr="003E73CD">
              <w:rPr>
                <w:rFonts w:asciiTheme="minorHAnsi" w:hAnsiTheme="minorHAnsi"/>
                <w:sz w:val="22"/>
                <w:szCs w:val="22"/>
              </w:rPr>
              <w:t>.  Examples of in transit metastases</w:t>
            </w:r>
          </w:p>
          <w:p w14:paraId="7B1B942D" w14:textId="77777777" w:rsidR="00FC3F51" w:rsidRPr="003E73CD" w:rsidRDefault="00FC3F51" w:rsidP="00FC3F51">
            <w:pPr>
              <w:rPr>
                <w:rFonts w:asciiTheme="minorHAnsi" w:hAnsiTheme="minorHAnsi"/>
                <w:sz w:val="22"/>
                <w:szCs w:val="22"/>
              </w:rPr>
            </w:pPr>
          </w:p>
        </w:tc>
        <w:tc>
          <w:tcPr>
            <w:tcW w:w="753" w:type="dxa"/>
          </w:tcPr>
          <w:p w14:paraId="6C107EBA" w14:textId="77777777" w:rsidR="00FC3F51" w:rsidRPr="003E73CD" w:rsidRDefault="00FC3F51" w:rsidP="00FC3F51">
            <w:pPr>
              <w:rPr>
                <w:rFonts w:asciiTheme="minorHAnsi" w:hAnsiTheme="minorHAnsi"/>
                <w:sz w:val="22"/>
                <w:szCs w:val="22"/>
              </w:rPr>
            </w:pPr>
            <w:r>
              <w:rPr>
                <w:rFonts w:asciiTheme="minorHAnsi" w:hAnsiTheme="minorHAnsi"/>
                <w:sz w:val="22"/>
                <w:szCs w:val="22"/>
              </w:rPr>
              <w:t>25-26</w:t>
            </w:r>
          </w:p>
        </w:tc>
      </w:tr>
      <w:tr w:rsidR="00FC3F51" w:rsidRPr="003E73CD" w14:paraId="28475984" w14:textId="77777777" w:rsidTr="00FC3F51">
        <w:tc>
          <w:tcPr>
            <w:tcW w:w="7763" w:type="dxa"/>
          </w:tcPr>
          <w:p w14:paraId="0F590E3C" w14:textId="77777777" w:rsidR="00FC3F51" w:rsidRPr="003E73CD" w:rsidRDefault="00FC3F51" w:rsidP="00FC3F51">
            <w:pPr>
              <w:rPr>
                <w:rFonts w:asciiTheme="minorHAnsi" w:hAnsiTheme="minorHAnsi"/>
                <w:sz w:val="22"/>
                <w:szCs w:val="22"/>
              </w:rPr>
            </w:pPr>
            <w:r>
              <w:rPr>
                <w:rFonts w:asciiTheme="minorHAnsi" w:hAnsiTheme="minorHAnsi"/>
                <w:sz w:val="22"/>
                <w:szCs w:val="22"/>
              </w:rPr>
              <w:t>Figure 1.3</w:t>
            </w:r>
            <w:r w:rsidRPr="003E73CD">
              <w:rPr>
                <w:rFonts w:asciiTheme="minorHAnsi" w:hAnsiTheme="minorHAnsi"/>
                <w:sz w:val="22"/>
                <w:szCs w:val="22"/>
              </w:rPr>
              <w:t xml:space="preserve">.1.  Lymphoscintigram showing injection of radiocolloid at a primary tumour site lateral to the right eye with uptake in the pre-auricular region, the tissues of the mouth and the contralateral lower neck.  </w:t>
            </w:r>
          </w:p>
          <w:p w14:paraId="6683D5E2" w14:textId="77777777" w:rsidR="00FC3F51" w:rsidRPr="003E73CD" w:rsidRDefault="00FC3F51" w:rsidP="00FC3F51">
            <w:pPr>
              <w:rPr>
                <w:rFonts w:asciiTheme="minorHAnsi" w:hAnsiTheme="minorHAnsi"/>
                <w:sz w:val="22"/>
                <w:szCs w:val="22"/>
              </w:rPr>
            </w:pPr>
          </w:p>
        </w:tc>
        <w:tc>
          <w:tcPr>
            <w:tcW w:w="753" w:type="dxa"/>
          </w:tcPr>
          <w:p w14:paraId="6AB120E1" w14:textId="77777777" w:rsidR="00FC3F51" w:rsidRPr="003E73CD" w:rsidRDefault="00FC3F51" w:rsidP="00FC3F51">
            <w:pPr>
              <w:rPr>
                <w:rFonts w:asciiTheme="minorHAnsi" w:hAnsiTheme="minorHAnsi"/>
                <w:sz w:val="22"/>
                <w:szCs w:val="22"/>
              </w:rPr>
            </w:pPr>
            <w:r>
              <w:rPr>
                <w:rFonts w:asciiTheme="minorHAnsi" w:hAnsiTheme="minorHAnsi"/>
                <w:sz w:val="22"/>
                <w:szCs w:val="22"/>
              </w:rPr>
              <w:t>52</w:t>
            </w:r>
          </w:p>
        </w:tc>
      </w:tr>
      <w:tr w:rsidR="00FC3F51" w:rsidRPr="003E73CD" w14:paraId="50C6BC46" w14:textId="77777777" w:rsidTr="00FC3F51">
        <w:tc>
          <w:tcPr>
            <w:tcW w:w="7763" w:type="dxa"/>
          </w:tcPr>
          <w:p w14:paraId="5441E782" w14:textId="77777777" w:rsidR="00FC3F51" w:rsidRPr="003E73CD" w:rsidRDefault="00FC3F51" w:rsidP="00FC3F51">
            <w:pPr>
              <w:rPr>
                <w:rFonts w:asciiTheme="minorHAnsi" w:hAnsiTheme="minorHAnsi"/>
                <w:sz w:val="22"/>
                <w:szCs w:val="22"/>
              </w:rPr>
            </w:pPr>
            <w:r>
              <w:rPr>
                <w:rFonts w:asciiTheme="minorHAnsi" w:hAnsiTheme="minorHAnsi"/>
                <w:sz w:val="22"/>
                <w:szCs w:val="22"/>
              </w:rPr>
              <w:t>Figure 1.3</w:t>
            </w:r>
            <w:r w:rsidRPr="003E73CD">
              <w:rPr>
                <w:rFonts w:asciiTheme="minorHAnsi" w:hAnsiTheme="minorHAnsi"/>
                <w:sz w:val="22"/>
                <w:szCs w:val="22"/>
              </w:rPr>
              <w:t xml:space="preserve">.2.  The importance of accurately documenting the primary tumour site.  </w:t>
            </w:r>
          </w:p>
          <w:p w14:paraId="7F5B35CC" w14:textId="77777777" w:rsidR="00FC3F51" w:rsidRPr="003E73CD" w:rsidRDefault="00FC3F51" w:rsidP="00FC3F51">
            <w:pPr>
              <w:rPr>
                <w:rFonts w:asciiTheme="minorHAnsi" w:hAnsiTheme="minorHAnsi"/>
                <w:sz w:val="22"/>
                <w:szCs w:val="22"/>
              </w:rPr>
            </w:pPr>
          </w:p>
        </w:tc>
        <w:tc>
          <w:tcPr>
            <w:tcW w:w="753" w:type="dxa"/>
          </w:tcPr>
          <w:p w14:paraId="692BCF90" w14:textId="77777777" w:rsidR="00FC3F51" w:rsidRPr="003E73CD" w:rsidRDefault="00FC3F51" w:rsidP="00FC3F51">
            <w:pPr>
              <w:rPr>
                <w:rFonts w:asciiTheme="minorHAnsi" w:hAnsiTheme="minorHAnsi"/>
                <w:sz w:val="22"/>
                <w:szCs w:val="22"/>
              </w:rPr>
            </w:pPr>
            <w:r>
              <w:rPr>
                <w:rFonts w:asciiTheme="minorHAnsi" w:hAnsiTheme="minorHAnsi"/>
                <w:sz w:val="22"/>
                <w:szCs w:val="22"/>
              </w:rPr>
              <w:t>55</w:t>
            </w:r>
          </w:p>
        </w:tc>
      </w:tr>
      <w:tr w:rsidR="00FC3F51" w:rsidRPr="003E73CD" w14:paraId="3D27FBFC" w14:textId="77777777" w:rsidTr="00FC3F51">
        <w:tc>
          <w:tcPr>
            <w:tcW w:w="7763" w:type="dxa"/>
          </w:tcPr>
          <w:p w14:paraId="7331B805" w14:textId="77777777" w:rsidR="00FC3F51" w:rsidRPr="003E73CD" w:rsidRDefault="00FC3F51" w:rsidP="00FC3F51">
            <w:pPr>
              <w:rPr>
                <w:rFonts w:asciiTheme="minorHAnsi" w:hAnsiTheme="minorHAnsi"/>
                <w:sz w:val="22"/>
                <w:szCs w:val="22"/>
              </w:rPr>
            </w:pPr>
            <w:r>
              <w:rPr>
                <w:rFonts w:asciiTheme="minorHAnsi" w:hAnsiTheme="minorHAnsi"/>
                <w:sz w:val="22"/>
                <w:szCs w:val="22"/>
              </w:rPr>
              <w:t>Figure 1.3</w:t>
            </w:r>
            <w:r w:rsidRPr="003E73CD">
              <w:rPr>
                <w:rFonts w:asciiTheme="minorHAnsi" w:hAnsiTheme="minorHAnsi"/>
                <w:sz w:val="22"/>
                <w:szCs w:val="22"/>
              </w:rPr>
              <w:t xml:space="preserve">.3.  Contamination of clothing with radiocolloid mimicking internal mammary node uptake on a lymphoscintigram for a primary tumour located on the nose.  </w:t>
            </w:r>
          </w:p>
          <w:p w14:paraId="556D9BEA" w14:textId="77777777" w:rsidR="00FC3F51" w:rsidRPr="003E73CD" w:rsidRDefault="00FC3F51" w:rsidP="00FC3F51">
            <w:pPr>
              <w:rPr>
                <w:rFonts w:asciiTheme="minorHAnsi" w:hAnsiTheme="minorHAnsi"/>
                <w:sz w:val="22"/>
                <w:szCs w:val="22"/>
              </w:rPr>
            </w:pPr>
          </w:p>
        </w:tc>
        <w:tc>
          <w:tcPr>
            <w:tcW w:w="753" w:type="dxa"/>
          </w:tcPr>
          <w:p w14:paraId="690342D6" w14:textId="77777777" w:rsidR="00FC3F51" w:rsidRPr="003E73CD" w:rsidRDefault="00FC3F51" w:rsidP="00FC3F51">
            <w:pPr>
              <w:rPr>
                <w:rFonts w:asciiTheme="minorHAnsi" w:hAnsiTheme="minorHAnsi"/>
                <w:sz w:val="22"/>
                <w:szCs w:val="22"/>
              </w:rPr>
            </w:pPr>
            <w:r>
              <w:rPr>
                <w:rFonts w:asciiTheme="minorHAnsi" w:hAnsiTheme="minorHAnsi"/>
                <w:sz w:val="22"/>
                <w:szCs w:val="22"/>
              </w:rPr>
              <w:t>58</w:t>
            </w:r>
          </w:p>
        </w:tc>
      </w:tr>
      <w:tr w:rsidR="00FC3F51" w:rsidRPr="003E73CD" w14:paraId="4E413BAC" w14:textId="77777777" w:rsidTr="00FC3F51">
        <w:tc>
          <w:tcPr>
            <w:tcW w:w="7763" w:type="dxa"/>
          </w:tcPr>
          <w:p w14:paraId="41FAD022" w14:textId="77777777" w:rsidR="00FC3F51" w:rsidRPr="003E73CD" w:rsidRDefault="00FC3F51" w:rsidP="00FC3F51">
            <w:pPr>
              <w:rPr>
                <w:rFonts w:asciiTheme="minorHAnsi" w:hAnsiTheme="minorHAnsi"/>
                <w:sz w:val="22"/>
                <w:szCs w:val="22"/>
              </w:rPr>
            </w:pPr>
            <w:r>
              <w:rPr>
                <w:rFonts w:asciiTheme="minorHAnsi" w:hAnsiTheme="minorHAnsi"/>
                <w:sz w:val="22"/>
                <w:szCs w:val="22"/>
              </w:rPr>
              <w:t>Figure 1.3</w:t>
            </w:r>
            <w:r w:rsidRPr="003E73CD">
              <w:rPr>
                <w:rFonts w:asciiTheme="minorHAnsi" w:hAnsiTheme="minorHAnsi"/>
                <w:sz w:val="22"/>
                <w:szCs w:val="22"/>
              </w:rPr>
              <w:t xml:space="preserve">.4.  A lymphoscintigram result following 4 injections of radiocolloid around a skin graft on the left medial forehead.  </w:t>
            </w:r>
          </w:p>
          <w:p w14:paraId="4E0F7D2B" w14:textId="77777777" w:rsidR="00FC3F51" w:rsidRPr="003E73CD" w:rsidRDefault="00FC3F51" w:rsidP="00FC3F51">
            <w:pPr>
              <w:rPr>
                <w:rFonts w:asciiTheme="minorHAnsi" w:hAnsiTheme="minorHAnsi"/>
                <w:sz w:val="22"/>
                <w:szCs w:val="22"/>
              </w:rPr>
            </w:pPr>
          </w:p>
        </w:tc>
        <w:tc>
          <w:tcPr>
            <w:tcW w:w="753" w:type="dxa"/>
          </w:tcPr>
          <w:p w14:paraId="4341CC23" w14:textId="77777777" w:rsidR="00FC3F51" w:rsidRPr="003E73CD" w:rsidRDefault="00FC3F51" w:rsidP="00FC3F51">
            <w:pPr>
              <w:rPr>
                <w:rFonts w:asciiTheme="minorHAnsi" w:hAnsiTheme="minorHAnsi"/>
                <w:sz w:val="22"/>
                <w:szCs w:val="22"/>
              </w:rPr>
            </w:pPr>
            <w:r>
              <w:rPr>
                <w:rFonts w:asciiTheme="minorHAnsi" w:hAnsiTheme="minorHAnsi"/>
                <w:sz w:val="22"/>
                <w:szCs w:val="22"/>
              </w:rPr>
              <w:t>61</w:t>
            </w:r>
          </w:p>
        </w:tc>
      </w:tr>
      <w:tr w:rsidR="00FC3F51" w:rsidRPr="003E73CD" w14:paraId="5E2544AE" w14:textId="77777777" w:rsidTr="00FC3F51">
        <w:tc>
          <w:tcPr>
            <w:tcW w:w="7763" w:type="dxa"/>
          </w:tcPr>
          <w:p w14:paraId="379B10F9" w14:textId="77777777" w:rsidR="00FC3F51" w:rsidRPr="003E73CD" w:rsidRDefault="00FC3F51" w:rsidP="00FC3F51">
            <w:pPr>
              <w:rPr>
                <w:rFonts w:asciiTheme="minorHAnsi" w:hAnsiTheme="minorHAnsi"/>
                <w:sz w:val="22"/>
                <w:szCs w:val="22"/>
              </w:rPr>
            </w:pPr>
            <w:r>
              <w:rPr>
                <w:rFonts w:asciiTheme="minorHAnsi" w:hAnsiTheme="minorHAnsi"/>
                <w:sz w:val="22"/>
                <w:szCs w:val="22"/>
              </w:rPr>
              <w:t>Figure 1.3</w:t>
            </w:r>
            <w:r w:rsidRPr="003E73CD">
              <w:rPr>
                <w:rFonts w:asciiTheme="minorHAnsi" w:hAnsiTheme="minorHAnsi"/>
                <w:sz w:val="22"/>
                <w:szCs w:val="22"/>
              </w:rPr>
              <w:t xml:space="preserve">.5.  The effect previous nodal surgery. </w:t>
            </w:r>
          </w:p>
          <w:p w14:paraId="52E6F1FA" w14:textId="77777777" w:rsidR="00FC3F51" w:rsidRPr="003E73CD" w:rsidRDefault="00FC3F51" w:rsidP="00FC3F51">
            <w:pPr>
              <w:rPr>
                <w:rFonts w:asciiTheme="minorHAnsi" w:hAnsiTheme="minorHAnsi"/>
                <w:sz w:val="22"/>
                <w:szCs w:val="22"/>
              </w:rPr>
            </w:pPr>
            <w:r w:rsidRPr="003E73CD">
              <w:rPr>
                <w:rFonts w:asciiTheme="minorHAnsi" w:hAnsiTheme="minorHAnsi"/>
                <w:sz w:val="22"/>
                <w:szCs w:val="22"/>
              </w:rPr>
              <w:t xml:space="preserve"> </w:t>
            </w:r>
          </w:p>
        </w:tc>
        <w:tc>
          <w:tcPr>
            <w:tcW w:w="753" w:type="dxa"/>
          </w:tcPr>
          <w:p w14:paraId="00DDF5A4" w14:textId="77777777" w:rsidR="00FC3F51" w:rsidRPr="003E73CD" w:rsidRDefault="00FC3F51" w:rsidP="00FC3F51">
            <w:pPr>
              <w:rPr>
                <w:rFonts w:asciiTheme="minorHAnsi" w:hAnsiTheme="minorHAnsi"/>
                <w:sz w:val="22"/>
                <w:szCs w:val="22"/>
              </w:rPr>
            </w:pPr>
            <w:r>
              <w:rPr>
                <w:rFonts w:asciiTheme="minorHAnsi" w:hAnsiTheme="minorHAnsi"/>
                <w:sz w:val="22"/>
                <w:szCs w:val="22"/>
              </w:rPr>
              <w:t>65</w:t>
            </w:r>
          </w:p>
        </w:tc>
      </w:tr>
      <w:tr w:rsidR="00FC3F51" w:rsidRPr="003E73CD" w14:paraId="135131CC" w14:textId="77777777" w:rsidTr="00FC3F51">
        <w:tc>
          <w:tcPr>
            <w:tcW w:w="7763" w:type="dxa"/>
          </w:tcPr>
          <w:p w14:paraId="56C8B894" w14:textId="77777777" w:rsidR="00FC3F51" w:rsidRPr="003E73CD" w:rsidRDefault="00FC3F51" w:rsidP="00FC3F51">
            <w:pPr>
              <w:rPr>
                <w:rFonts w:asciiTheme="minorHAnsi" w:hAnsiTheme="minorHAnsi"/>
                <w:sz w:val="22"/>
                <w:szCs w:val="22"/>
              </w:rPr>
            </w:pPr>
            <w:r>
              <w:rPr>
                <w:rFonts w:asciiTheme="minorHAnsi" w:hAnsiTheme="minorHAnsi"/>
                <w:sz w:val="22"/>
                <w:szCs w:val="22"/>
              </w:rPr>
              <w:t>Figure 1.3</w:t>
            </w:r>
            <w:r w:rsidRPr="003E73CD">
              <w:rPr>
                <w:rFonts w:asciiTheme="minorHAnsi" w:hAnsiTheme="minorHAnsi"/>
                <w:sz w:val="22"/>
                <w:szCs w:val="22"/>
              </w:rPr>
              <w:t xml:space="preserve">.6.  Systemic uptake of radiocolloid.  </w:t>
            </w:r>
          </w:p>
          <w:p w14:paraId="6D5DE43F" w14:textId="77777777" w:rsidR="00FC3F51" w:rsidRPr="003E73CD" w:rsidRDefault="00FC3F51" w:rsidP="00FC3F51">
            <w:pPr>
              <w:rPr>
                <w:rFonts w:asciiTheme="minorHAnsi" w:hAnsiTheme="minorHAnsi"/>
                <w:sz w:val="22"/>
                <w:szCs w:val="22"/>
              </w:rPr>
            </w:pPr>
          </w:p>
        </w:tc>
        <w:tc>
          <w:tcPr>
            <w:tcW w:w="753" w:type="dxa"/>
          </w:tcPr>
          <w:p w14:paraId="460A46F6" w14:textId="77777777" w:rsidR="00FC3F51" w:rsidRPr="003E73CD" w:rsidRDefault="00FC3F51" w:rsidP="00FC3F51">
            <w:pPr>
              <w:rPr>
                <w:rFonts w:asciiTheme="minorHAnsi" w:hAnsiTheme="minorHAnsi"/>
                <w:sz w:val="22"/>
                <w:szCs w:val="22"/>
              </w:rPr>
            </w:pPr>
            <w:r>
              <w:rPr>
                <w:rFonts w:asciiTheme="minorHAnsi" w:hAnsiTheme="minorHAnsi"/>
                <w:sz w:val="22"/>
                <w:szCs w:val="22"/>
              </w:rPr>
              <w:t>68</w:t>
            </w:r>
          </w:p>
        </w:tc>
      </w:tr>
      <w:tr w:rsidR="00FC3F51" w:rsidRPr="003E73CD" w14:paraId="1E3957F6" w14:textId="77777777" w:rsidTr="00FC3F51">
        <w:tc>
          <w:tcPr>
            <w:tcW w:w="7763" w:type="dxa"/>
          </w:tcPr>
          <w:p w14:paraId="2CF01E33" w14:textId="77777777" w:rsidR="00FC3F51" w:rsidRPr="003E73CD" w:rsidRDefault="00FC3F51" w:rsidP="00FC3F51">
            <w:pPr>
              <w:rPr>
                <w:rFonts w:asciiTheme="minorHAnsi" w:hAnsiTheme="minorHAnsi"/>
                <w:sz w:val="22"/>
                <w:szCs w:val="22"/>
              </w:rPr>
            </w:pPr>
            <w:r>
              <w:rPr>
                <w:rFonts w:asciiTheme="minorHAnsi" w:hAnsiTheme="minorHAnsi"/>
                <w:sz w:val="22"/>
                <w:szCs w:val="22"/>
              </w:rPr>
              <w:t>Figure 2.1</w:t>
            </w:r>
            <w:r w:rsidRPr="003E73CD">
              <w:rPr>
                <w:rFonts w:asciiTheme="minorHAnsi" w:hAnsiTheme="minorHAnsi"/>
                <w:sz w:val="22"/>
                <w:szCs w:val="22"/>
              </w:rPr>
              <w:t>.1. Primary tumour site locations from which non-localization was observed (n=18).</w:t>
            </w:r>
          </w:p>
          <w:p w14:paraId="12C3621F" w14:textId="77777777" w:rsidR="00FC3F51" w:rsidRPr="003E73CD" w:rsidRDefault="00FC3F51" w:rsidP="00FC3F51">
            <w:pPr>
              <w:rPr>
                <w:rFonts w:asciiTheme="minorHAnsi" w:hAnsiTheme="minorHAnsi"/>
                <w:sz w:val="22"/>
                <w:szCs w:val="22"/>
              </w:rPr>
            </w:pPr>
          </w:p>
        </w:tc>
        <w:tc>
          <w:tcPr>
            <w:tcW w:w="753" w:type="dxa"/>
          </w:tcPr>
          <w:p w14:paraId="6C97FFB3" w14:textId="77777777" w:rsidR="00FC3F51" w:rsidRPr="003E73CD" w:rsidRDefault="00FC3F51" w:rsidP="00FC3F51">
            <w:pPr>
              <w:rPr>
                <w:rFonts w:asciiTheme="minorHAnsi" w:hAnsiTheme="minorHAnsi"/>
                <w:sz w:val="22"/>
                <w:szCs w:val="22"/>
              </w:rPr>
            </w:pPr>
            <w:r>
              <w:rPr>
                <w:rFonts w:asciiTheme="minorHAnsi" w:hAnsiTheme="minorHAnsi"/>
                <w:sz w:val="22"/>
                <w:szCs w:val="22"/>
              </w:rPr>
              <w:t>86</w:t>
            </w:r>
          </w:p>
        </w:tc>
      </w:tr>
      <w:tr w:rsidR="00FC3F51" w:rsidRPr="003E73CD" w14:paraId="662800FE" w14:textId="77777777" w:rsidTr="00FC3F51">
        <w:tc>
          <w:tcPr>
            <w:tcW w:w="7763" w:type="dxa"/>
          </w:tcPr>
          <w:p w14:paraId="18F03B6E" w14:textId="77777777" w:rsidR="00FC3F51" w:rsidRPr="003E73CD" w:rsidRDefault="00FC3F51" w:rsidP="00FC3F51">
            <w:pPr>
              <w:pStyle w:val="Caption"/>
              <w:keepNext/>
              <w:rPr>
                <w:rFonts w:asciiTheme="minorHAnsi" w:hAnsiTheme="minorHAnsi"/>
                <w:b w:val="0"/>
                <w:noProof/>
                <w:sz w:val="22"/>
                <w:szCs w:val="22"/>
              </w:rPr>
            </w:pPr>
            <w:r>
              <w:rPr>
                <w:rFonts w:asciiTheme="minorHAnsi" w:hAnsiTheme="minorHAnsi"/>
                <w:b w:val="0"/>
                <w:color w:val="auto"/>
                <w:sz w:val="22"/>
                <w:szCs w:val="22"/>
              </w:rPr>
              <w:t>Figure 2.1</w:t>
            </w:r>
            <w:r w:rsidRPr="003E73CD">
              <w:rPr>
                <w:rFonts w:asciiTheme="minorHAnsi" w:hAnsiTheme="minorHAnsi"/>
                <w:b w:val="0"/>
                <w:color w:val="auto"/>
                <w:sz w:val="22"/>
                <w:szCs w:val="22"/>
              </w:rPr>
              <w:t>.2.  Proposed algorithm for the management of non-localization.</w:t>
            </w:r>
            <w:r w:rsidRPr="003E73CD">
              <w:rPr>
                <w:rFonts w:asciiTheme="minorHAnsi" w:hAnsiTheme="minorHAnsi"/>
                <w:b w:val="0"/>
                <w:noProof/>
                <w:sz w:val="22"/>
                <w:szCs w:val="22"/>
              </w:rPr>
              <w:t xml:space="preserve"> </w:t>
            </w:r>
          </w:p>
          <w:p w14:paraId="5324B43D" w14:textId="77777777" w:rsidR="00FC3F51" w:rsidRPr="003E73CD" w:rsidRDefault="00FC3F51" w:rsidP="00FC3F51">
            <w:pPr>
              <w:rPr>
                <w:rFonts w:asciiTheme="minorHAnsi" w:hAnsiTheme="minorHAnsi"/>
                <w:sz w:val="22"/>
                <w:szCs w:val="22"/>
              </w:rPr>
            </w:pPr>
          </w:p>
        </w:tc>
        <w:tc>
          <w:tcPr>
            <w:tcW w:w="753" w:type="dxa"/>
          </w:tcPr>
          <w:p w14:paraId="42237ABA" w14:textId="77777777" w:rsidR="00FC3F51" w:rsidRPr="003E73CD" w:rsidRDefault="00FC3F51" w:rsidP="00FC3F51">
            <w:pPr>
              <w:rPr>
                <w:rFonts w:asciiTheme="minorHAnsi" w:hAnsiTheme="minorHAnsi"/>
                <w:sz w:val="22"/>
                <w:szCs w:val="22"/>
              </w:rPr>
            </w:pPr>
            <w:r>
              <w:rPr>
                <w:rFonts w:asciiTheme="minorHAnsi" w:hAnsiTheme="minorHAnsi"/>
                <w:sz w:val="22"/>
                <w:szCs w:val="22"/>
              </w:rPr>
              <w:t>93</w:t>
            </w:r>
          </w:p>
        </w:tc>
      </w:tr>
      <w:tr w:rsidR="00FC3F51" w:rsidRPr="003E73CD" w14:paraId="03E7EE22" w14:textId="77777777" w:rsidTr="00FC3F51">
        <w:tc>
          <w:tcPr>
            <w:tcW w:w="7763" w:type="dxa"/>
          </w:tcPr>
          <w:p w14:paraId="27BAFECB" w14:textId="77777777" w:rsidR="00FC3F51" w:rsidRPr="003E73CD" w:rsidRDefault="00FC3F51" w:rsidP="00FC3F51">
            <w:pPr>
              <w:rPr>
                <w:rFonts w:asciiTheme="minorHAnsi" w:hAnsiTheme="minorHAnsi"/>
                <w:sz w:val="22"/>
                <w:szCs w:val="22"/>
              </w:rPr>
            </w:pPr>
            <w:r>
              <w:rPr>
                <w:rFonts w:asciiTheme="minorHAnsi" w:hAnsiTheme="minorHAnsi"/>
                <w:sz w:val="22"/>
                <w:szCs w:val="22"/>
              </w:rPr>
              <w:t>Figure 2.2</w:t>
            </w:r>
            <w:r w:rsidRPr="003E73CD">
              <w:rPr>
                <w:rFonts w:asciiTheme="minorHAnsi" w:hAnsiTheme="minorHAnsi"/>
                <w:sz w:val="22"/>
                <w:szCs w:val="22"/>
              </w:rPr>
              <w:t>.1.  The zones and boundaries of the forehead, including their relationship to the vascular anatomy.</w:t>
            </w:r>
          </w:p>
          <w:p w14:paraId="4BCD8883" w14:textId="77777777" w:rsidR="00FC3F51" w:rsidRPr="003E73CD" w:rsidRDefault="00FC3F51" w:rsidP="00FC3F51">
            <w:pPr>
              <w:rPr>
                <w:rFonts w:asciiTheme="minorHAnsi" w:hAnsiTheme="minorHAnsi"/>
                <w:sz w:val="22"/>
                <w:szCs w:val="22"/>
              </w:rPr>
            </w:pPr>
          </w:p>
        </w:tc>
        <w:tc>
          <w:tcPr>
            <w:tcW w:w="753" w:type="dxa"/>
          </w:tcPr>
          <w:p w14:paraId="26FAF078" w14:textId="77777777" w:rsidR="00FC3F51" w:rsidRPr="003E73CD" w:rsidRDefault="00FC3F51" w:rsidP="00FC3F51">
            <w:pPr>
              <w:rPr>
                <w:rFonts w:asciiTheme="minorHAnsi" w:hAnsiTheme="minorHAnsi"/>
                <w:sz w:val="22"/>
                <w:szCs w:val="22"/>
              </w:rPr>
            </w:pPr>
            <w:r>
              <w:rPr>
                <w:rFonts w:asciiTheme="minorHAnsi" w:hAnsiTheme="minorHAnsi"/>
                <w:sz w:val="22"/>
                <w:szCs w:val="22"/>
              </w:rPr>
              <w:t>99</w:t>
            </w:r>
          </w:p>
        </w:tc>
      </w:tr>
      <w:tr w:rsidR="00FC3F51" w:rsidRPr="003E73CD" w14:paraId="6AF08360" w14:textId="77777777" w:rsidTr="00FC3F51">
        <w:tc>
          <w:tcPr>
            <w:tcW w:w="7763" w:type="dxa"/>
          </w:tcPr>
          <w:p w14:paraId="73A74D37" w14:textId="77777777" w:rsidR="00FC3F51" w:rsidRPr="003E73CD" w:rsidRDefault="00FC3F51" w:rsidP="00FC3F51">
            <w:pPr>
              <w:rPr>
                <w:rFonts w:asciiTheme="minorHAnsi" w:hAnsiTheme="minorHAnsi"/>
                <w:sz w:val="22"/>
                <w:szCs w:val="22"/>
              </w:rPr>
            </w:pPr>
            <w:r>
              <w:rPr>
                <w:rFonts w:asciiTheme="minorHAnsi" w:hAnsiTheme="minorHAnsi"/>
                <w:sz w:val="22"/>
                <w:szCs w:val="22"/>
              </w:rPr>
              <w:t>Figure 2.2</w:t>
            </w:r>
            <w:r w:rsidRPr="003E73CD">
              <w:rPr>
                <w:rFonts w:asciiTheme="minorHAnsi" w:hAnsiTheme="minorHAnsi"/>
                <w:sz w:val="22"/>
                <w:szCs w:val="22"/>
              </w:rPr>
              <w:t>.2.  The pattern of lymphoscintigraphically demonstrated lymphatic drainage from the forehead.</w:t>
            </w:r>
          </w:p>
          <w:p w14:paraId="744A2007" w14:textId="77777777" w:rsidR="00FC3F51" w:rsidRPr="003E73CD" w:rsidRDefault="00FC3F51" w:rsidP="00FC3F51">
            <w:pPr>
              <w:rPr>
                <w:rFonts w:asciiTheme="minorHAnsi" w:hAnsiTheme="minorHAnsi"/>
                <w:sz w:val="22"/>
                <w:szCs w:val="22"/>
              </w:rPr>
            </w:pPr>
          </w:p>
        </w:tc>
        <w:tc>
          <w:tcPr>
            <w:tcW w:w="753" w:type="dxa"/>
          </w:tcPr>
          <w:p w14:paraId="5ABB9FDB" w14:textId="77777777" w:rsidR="00FC3F51" w:rsidRPr="003E73CD" w:rsidRDefault="00FC3F51" w:rsidP="00FC3F51">
            <w:pPr>
              <w:rPr>
                <w:rFonts w:asciiTheme="minorHAnsi" w:hAnsiTheme="minorHAnsi"/>
                <w:sz w:val="22"/>
                <w:szCs w:val="22"/>
              </w:rPr>
            </w:pPr>
            <w:r>
              <w:rPr>
                <w:rFonts w:asciiTheme="minorHAnsi" w:hAnsiTheme="minorHAnsi"/>
                <w:sz w:val="22"/>
                <w:szCs w:val="22"/>
              </w:rPr>
              <w:t>102</w:t>
            </w:r>
          </w:p>
        </w:tc>
      </w:tr>
      <w:tr w:rsidR="00FC3F51" w:rsidRPr="003E73CD" w14:paraId="24AE8C1C" w14:textId="77777777" w:rsidTr="00FC3F51">
        <w:tc>
          <w:tcPr>
            <w:tcW w:w="7763" w:type="dxa"/>
          </w:tcPr>
          <w:p w14:paraId="27ECEC84" w14:textId="77777777" w:rsidR="00FC3F51" w:rsidRPr="003E73CD" w:rsidRDefault="00FC3F51" w:rsidP="00FC3F51">
            <w:pPr>
              <w:widowControl w:val="0"/>
              <w:autoSpaceDE w:val="0"/>
              <w:autoSpaceDN w:val="0"/>
              <w:adjustRightInd w:val="0"/>
              <w:rPr>
                <w:rFonts w:asciiTheme="minorHAnsi" w:hAnsiTheme="minorHAnsi"/>
                <w:sz w:val="22"/>
                <w:szCs w:val="22"/>
              </w:rPr>
            </w:pPr>
            <w:r>
              <w:rPr>
                <w:rFonts w:asciiTheme="minorHAnsi" w:hAnsiTheme="minorHAnsi"/>
                <w:sz w:val="22"/>
                <w:szCs w:val="22"/>
              </w:rPr>
              <w:t>Figure 2.2.3</w:t>
            </w:r>
            <w:r w:rsidRPr="003E73CD">
              <w:rPr>
                <w:rFonts w:asciiTheme="minorHAnsi" w:hAnsiTheme="minorHAnsi"/>
                <w:sz w:val="22"/>
                <w:szCs w:val="22"/>
              </w:rPr>
              <w:t>.  The pattern of drainage from the 22 tumours with bilateral lymphatic drainage.</w:t>
            </w:r>
          </w:p>
        </w:tc>
        <w:tc>
          <w:tcPr>
            <w:tcW w:w="753" w:type="dxa"/>
          </w:tcPr>
          <w:p w14:paraId="473A5A7F" w14:textId="77777777" w:rsidR="00FC3F51" w:rsidRPr="003E73CD" w:rsidRDefault="00FC3F51" w:rsidP="00FC3F51">
            <w:pPr>
              <w:rPr>
                <w:rFonts w:asciiTheme="minorHAnsi" w:hAnsiTheme="minorHAnsi"/>
                <w:sz w:val="22"/>
                <w:szCs w:val="22"/>
              </w:rPr>
            </w:pPr>
            <w:r>
              <w:rPr>
                <w:rFonts w:asciiTheme="minorHAnsi" w:hAnsiTheme="minorHAnsi"/>
                <w:sz w:val="22"/>
                <w:szCs w:val="22"/>
              </w:rPr>
              <w:t>104</w:t>
            </w:r>
          </w:p>
        </w:tc>
      </w:tr>
      <w:tr w:rsidR="00FC3F51" w:rsidRPr="003E73CD" w14:paraId="04AC5E0F" w14:textId="77777777" w:rsidTr="00FC3F51">
        <w:tc>
          <w:tcPr>
            <w:tcW w:w="7763" w:type="dxa"/>
          </w:tcPr>
          <w:p w14:paraId="5741DD12" w14:textId="77777777" w:rsidR="00FC3F51" w:rsidRPr="003E73CD" w:rsidRDefault="00FC3F51" w:rsidP="00FC3F51">
            <w:pPr>
              <w:widowControl w:val="0"/>
              <w:autoSpaceDE w:val="0"/>
              <w:autoSpaceDN w:val="0"/>
              <w:adjustRightInd w:val="0"/>
              <w:rPr>
                <w:rFonts w:asciiTheme="minorHAnsi" w:hAnsiTheme="minorHAnsi"/>
                <w:sz w:val="22"/>
                <w:szCs w:val="22"/>
              </w:rPr>
            </w:pPr>
            <w:r>
              <w:rPr>
                <w:rFonts w:asciiTheme="minorHAnsi" w:hAnsiTheme="minorHAnsi"/>
                <w:sz w:val="22"/>
                <w:szCs w:val="22"/>
              </w:rPr>
              <w:t>Figure 2.2.4</w:t>
            </w:r>
            <w:r w:rsidRPr="003E73CD">
              <w:rPr>
                <w:rFonts w:asciiTheme="minorHAnsi" w:hAnsiTheme="minorHAnsi"/>
                <w:sz w:val="22"/>
                <w:szCs w:val="22"/>
              </w:rPr>
              <w:t>.  The pattern of lymphoscintigraphically demonstrated lymphatic drainage from each forehead zone.</w:t>
            </w:r>
          </w:p>
          <w:p w14:paraId="14CADFA5" w14:textId="77777777" w:rsidR="00FC3F51" w:rsidRPr="003E73CD" w:rsidRDefault="00FC3F51" w:rsidP="00FC3F51">
            <w:pPr>
              <w:rPr>
                <w:rFonts w:asciiTheme="minorHAnsi" w:hAnsiTheme="minorHAnsi"/>
                <w:sz w:val="22"/>
                <w:szCs w:val="22"/>
              </w:rPr>
            </w:pPr>
          </w:p>
        </w:tc>
        <w:tc>
          <w:tcPr>
            <w:tcW w:w="753" w:type="dxa"/>
          </w:tcPr>
          <w:p w14:paraId="45F28A31" w14:textId="77777777" w:rsidR="00FC3F51" w:rsidRPr="003E73CD" w:rsidRDefault="00FC3F51" w:rsidP="00FC3F51">
            <w:pPr>
              <w:rPr>
                <w:rFonts w:asciiTheme="minorHAnsi" w:hAnsiTheme="minorHAnsi"/>
                <w:sz w:val="22"/>
                <w:szCs w:val="22"/>
              </w:rPr>
            </w:pPr>
            <w:r>
              <w:rPr>
                <w:rFonts w:asciiTheme="minorHAnsi" w:hAnsiTheme="minorHAnsi"/>
                <w:sz w:val="22"/>
                <w:szCs w:val="22"/>
              </w:rPr>
              <w:t>106</w:t>
            </w:r>
          </w:p>
        </w:tc>
      </w:tr>
      <w:tr w:rsidR="00FC3F51" w:rsidRPr="003E73CD" w14:paraId="068083E2" w14:textId="77777777" w:rsidTr="00FC3F51">
        <w:tc>
          <w:tcPr>
            <w:tcW w:w="7763" w:type="dxa"/>
          </w:tcPr>
          <w:p w14:paraId="63A11A46" w14:textId="77777777" w:rsidR="00FC3F51" w:rsidRPr="003E73CD" w:rsidRDefault="00FC3F51" w:rsidP="00FC3F51">
            <w:pPr>
              <w:widowControl w:val="0"/>
              <w:autoSpaceDE w:val="0"/>
              <w:autoSpaceDN w:val="0"/>
              <w:adjustRightInd w:val="0"/>
              <w:rPr>
                <w:rFonts w:asciiTheme="minorHAnsi" w:hAnsiTheme="minorHAnsi"/>
                <w:sz w:val="22"/>
                <w:szCs w:val="22"/>
              </w:rPr>
            </w:pPr>
            <w:r>
              <w:rPr>
                <w:rFonts w:asciiTheme="minorHAnsi" w:hAnsiTheme="minorHAnsi"/>
                <w:sz w:val="22"/>
                <w:szCs w:val="22"/>
              </w:rPr>
              <w:t>Figure 2.2.5</w:t>
            </w:r>
            <w:r w:rsidRPr="003E73CD">
              <w:rPr>
                <w:rFonts w:asciiTheme="minorHAnsi" w:hAnsiTheme="minorHAnsi"/>
                <w:sz w:val="22"/>
                <w:szCs w:val="22"/>
              </w:rPr>
              <w:t>.  Lymphatic drainage pathway observed from</w:t>
            </w:r>
            <w:r>
              <w:rPr>
                <w:rFonts w:asciiTheme="minorHAnsi" w:hAnsiTheme="minorHAnsi"/>
                <w:sz w:val="22"/>
                <w:szCs w:val="22"/>
              </w:rPr>
              <w:t xml:space="preserve"> the central forehead and glabel</w:t>
            </w:r>
            <w:r w:rsidRPr="003E73CD">
              <w:rPr>
                <w:rFonts w:asciiTheme="minorHAnsi" w:hAnsiTheme="minorHAnsi"/>
                <w:sz w:val="22"/>
                <w:szCs w:val="22"/>
              </w:rPr>
              <w:t>la.</w:t>
            </w:r>
          </w:p>
          <w:p w14:paraId="3679CB71" w14:textId="77777777" w:rsidR="00FC3F51" w:rsidRPr="003E73CD" w:rsidRDefault="00FC3F51" w:rsidP="00FC3F51">
            <w:pPr>
              <w:widowControl w:val="0"/>
              <w:autoSpaceDE w:val="0"/>
              <w:autoSpaceDN w:val="0"/>
              <w:adjustRightInd w:val="0"/>
              <w:rPr>
                <w:rFonts w:asciiTheme="minorHAnsi" w:hAnsiTheme="minorHAnsi"/>
                <w:sz w:val="22"/>
                <w:szCs w:val="22"/>
              </w:rPr>
            </w:pPr>
          </w:p>
        </w:tc>
        <w:tc>
          <w:tcPr>
            <w:tcW w:w="753" w:type="dxa"/>
          </w:tcPr>
          <w:p w14:paraId="797E89FC" w14:textId="77777777" w:rsidR="00FC3F51" w:rsidRPr="003E73CD" w:rsidRDefault="00FC3F51" w:rsidP="00FC3F51">
            <w:pPr>
              <w:rPr>
                <w:rFonts w:asciiTheme="minorHAnsi" w:hAnsiTheme="minorHAnsi"/>
                <w:sz w:val="22"/>
                <w:szCs w:val="22"/>
              </w:rPr>
            </w:pPr>
            <w:r>
              <w:rPr>
                <w:rFonts w:asciiTheme="minorHAnsi" w:hAnsiTheme="minorHAnsi"/>
                <w:sz w:val="22"/>
                <w:szCs w:val="22"/>
              </w:rPr>
              <w:t>109</w:t>
            </w:r>
          </w:p>
        </w:tc>
      </w:tr>
      <w:tr w:rsidR="00FC3F51" w:rsidRPr="003E73CD" w14:paraId="760B24DE" w14:textId="77777777" w:rsidTr="00FC3F51">
        <w:tc>
          <w:tcPr>
            <w:tcW w:w="7763" w:type="dxa"/>
          </w:tcPr>
          <w:p w14:paraId="0B5027FB" w14:textId="77777777" w:rsidR="00FC3F51" w:rsidRPr="003E73CD" w:rsidRDefault="00FC3F51" w:rsidP="00FC3F51">
            <w:pPr>
              <w:rPr>
                <w:rFonts w:asciiTheme="minorHAnsi" w:hAnsiTheme="minorHAnsi"/>
                <w:sz w:val="22"/>
                <w:szCs w:val="22"/>
              </w:rPr>
            </w:pPr>
            <w:r>
              <w:rPr>
                <w:rFonts w:asciiTheme="minorHAnsi" w:hAnsiTheme="minorHAnsi"/>
                <w:sz w:val="22"/>
                <w:szCs w:val="22"/>
              </w:rPr>
              <w:t>Figure 3.1</w:t>
            </w:r>
            <w:r w:rsidRPr="003E73CD">
              <w:rPr>
                <w:rFonts w:asciiTheme="minorHAnsi" w:hAnsiTheme="minorHAnsi"/>
                <w:sz w:val="22"/>
                <w:szCs w:val="22"/>
              </w:rPr>
              <w:t>.1. Flow diagram for the systematic review</w:t>
            </w:r>
          </w:p>
          <w:p w14:paraId="1D1A8879" w14:textId="77777777" w:rsidR="00FC3F51" w:rsidRPr="003E73CD" w:rsidRDefault="00FC3F51" w:rsidP="00FC3F51">
            <w:pPr>
              <w:pStyle w:val="BodyText"/>
              <w:spacing w:line="240" w:lineRule="auto"/>
              <w:rPr>
                <w:rFonts w:asciiTheme="minorHAnsi" w:hAnsiTheme="minorHAnsi"/>
                <w:szCs w:val="22"/>
              </w:rPr>
            </w:pPr>
          </w:p>
        </w:tc>
        <w:tc>
          <w:tcPr>
            <w:tcW w:w="753" w:type="dxa"/>
          </w:tcPr>
          <w:p w14:paraId="1DF25DF4" w14:textId="77777777" w:rsidR="00FC3F51" w:rsidRDefault="00FC3F51" w:rsidP="00FC3F51">
            <w:pPr>
              <w:rPr>
                <w:rFonts w:asciiTheme="minorHAnsi" w:hAnsiTheme="minorHAnsi"/>
                <w:sz w:val="22"/>
                <w:szCs w:val="22"/>
              </w:rPr>
            </w:pPr>
            <w:r>
              <w:rPr>
                <w:rFonts w:asciiTheme="minorHAnsi" w:hAnsiTheme="minorHAnsi"/>
                <w:sz w:val="22"/>
                <w:szCs w:val="22"/>
              </w:rPr>
              <w:t>118</w:t>
            </w:r>
          </w:p>
        </w:tc>
      </w:tr>
      <w:tr w:rsidR="00FC3F51" w:rsidRPr="003E73CD" w14:paraId="17D2300E" w14:textId="77777777" w:rsidTr="00FC3F51">
        <w:tc>
          <w:tcPr>
            <w:tcW w:w="7763" w:type="dxa"/>
          </w:tcPr>
          <w:p w14:paraId="24924093" w14:textId="77777777" w:rsidR="00FC3F51" w:rsidRPr="003E73CD" w:rsidRDefault="00FC3F51" w:rsidP="00FC3F51">
            <w:pPr>
              <w:pStyle w:val="BodyText"/>
              <w:spacing w:line="240" w:lineRule="auto"/>
              <w:rPr>
                <w:rFonts w:asciiTheme="minorHAnsi" w:hAnsiTheme="minorHAnsi"/>
                <w:szCs w:val="22"/>
              </w:rPr>
            </w:pPr>
            <w:r>
              <w:rPr>
                <w:rFonts w:asciiTheme="minorHAnsi" w:hAnsiTheme="minorHAnsi"/>
                <w:szCs w:val="22"/>
              </w:rPr>
              <w:t>Figure 3.2</w:t>
            </w:r>
            <w:r w:rsidRPr="003E73CD">
              <w:rPr>
                <w:rFonts w:asciiTheme="minorHAnsi" w:hAnsiTheme="minorHAnsi"/>
                <w:szCs w:val="22"/>
              </w:rPr>
              <w:t>.1.  Kaplan-Meier survival curves for patients with total number of positive nodes (PN) 1, 2, 3, and &gt;3.</w:t>
            </w:r>
          </w:p>
          <w:p w14:paraId="19C41ED9" w14:textId="77777777" w:rsidR="00FC3F51" w:rsidRPr="003E73CD" w:rsidRDefault="00FC3F51" w:rsidP="00FC3F51">
            <w:pPr>
              <w:rPr>
                <w:rFonts w:asciiTheme="minorHAnsi" w:hAnsiTheme="minorHAnsi"/>
                <w:sz w:val="22"/>
                <w:szCs w:val="22"/>
              </w:rPr>
            </w:pPr>
          </w:p>
        </w:tc>
        <w:tc>
          <w:tcPr>
            <w:tcW w:w="753" w:type="dxa"/>
          </w:tcPr>
          <w:p w14:paraId="13E01D56" w14:textId="77777777" w:rsidR="00FC3F51" w:rsidRPr="003E73CD" w:rsidRDefault="00FC3F51" w:rsidP="00FC3F51">
            <w:pPr>
              <w:rPr>
                <w:rFonts w:asciiTheme="minorHAnsi" w:hAnsiTheme="minorHAnsi"/>
                <w:sz w:val="22"/>
                <w:szCs w:val="22"/>
              </w:rPr>
            </w:pPr>
            <w:r>
              <w:rPr>
                <w:rFonts w:asciiTheme="minorHAnsi" w:hAnsiTheme="minorHAnsi"/>
                <w:sz w:val="22"/>
                <w:szCs w:val="22"/>
              </w:rPr>
              <w:t>145</w:t>
            </w:r>
          </w:p>
        </w:tc>
      </w:tr>
      <w:tr w:rsidR="00FC3F51" w:rsidRPr="003E73CD" w14:paraId="559D823A" w14:textId="77777777" w:rsidTr="00FC3F51">
        <w:tc>
          <w:tcPr>
            <w:tcW w:w="7763" w:type="dxa"/>
          </w:tcPr>
          <w:p w14:paraId="758A4B52" w14:textId="77777777" w:rsidR="00FC3F51" w:rsidRPr="003E73CD" w:rsidRDefault="00FC3F51" w:rsidP="00FC3F51">
            <w:pPr>
              <w:pStyle w:val="BodyText"/>
              <w:spacing w:line="240" w:lineRule="auto"/>
              <w:rPr>
                <w:rFonts w:asciiTheme="minorHAnsi" w:hAnsiTheme="minorHAnsi"/>
                <w:szCs w:val="22"/>
              </w:rPr>
            </w:pPr>
            <w:r>
              <w:rPr>
                <w:rFonts w:asciiTheme="minorHAnsi" w:hAnsiTheme="minorHAnsi"/>
                <w:szCs w:val="22"/>
              </w:rPr>
              <w:t>Figure 3.2</w:t>
            </w:r>
            <w:r w:rsidRPr="003E73CD">
              <w:rPr>
                <w:rFonts w:asciiTheme="minorHAnsi" w:hAnsiTheme="minorHAnsi"/>
                <w:szCs w:val="22"/>
              </w:rPr>
              <w:t>.2.  Kaplan-Meier survival curves for patients with 1 and &gt;1 positive sentinel node (SN).</w:t>
            </w:r>
          </w:p>
          <w:p w14:paraId="55787882" w14:textId="77777777" w:rsidR="00FC3F51" w:rsidRPr="003E73CD" w:rsidRDefault="00FC3F51" w:rsidP="00FC3F51">
            <w:pPr>
              <w:pStyle w:val="BodyText"/>
              <w:spacing w:line="240" w:lineRule="auto"/>
              <w:rPr>
                <w:rFonts w:asciiTheme="minorHAnsi" w:hAnsiTheme="minorHAnsi"/>
                <w:szCs w:val="22"/>
              </w:rPr>
            </w:pPr>
          </w:p>
        </w:tc>
        <w:tc>
          <w:tcPr>
            <w:tcW w:w="753" w:type="dxa"/>
          </w:tcPr>
          <w:p w14:paraId="09B3E67A" w14:textId="77777777" w:rsidR="00FC3F51" w:rsidRPr="003E73CD" w:rsidRDefault="00FC3F51" w:rsidP="00FC3F51">
            <w:pPr>
              <w:rPr>
                <w:rFonts w:asciiTheme="minorHAnsi" w:hAnsiTheme="minorHAnsi"/>
                <w:sz w:val="22"/>
                <w:szCs w:val="22"/>
              </w:rPr>
            </w:pPr>
            <w:r>
              <w:rPr>
                <w:rFonts w:asciiTheme="minorHAnsi" w:hAnsiTheme="minorHAnsi"/>
                <w:sz w:val="22"/>
                <w:szCs w:val="22"/>
              </w:rPr>
              <w:t>146</w:t>
            </w:r>
          </w:p>
        </w:tc>
      </w:tr>
      <w:tr w:rsidR="00FC3F51" w:rsidRPr="003E73CD" w14:paraId="0A6DE9FB" w14:textId="77777777" w:rsidTr="00FC3F51">
        <w:tc>
          <w:tcPr>
            <w:tcW w:w="7763" w:type="dxa"/>
          </w:tcPr>
          <w:p w14:paraId="1699D5D9" w14:textId="77777777" w:rsidR="00FC3F51" w:rsidRPr="003E73CD" w:rsidRDefault="00FC3F51" w:rsidP="00FC3F51">
            <w:pPr>
              <w:pStyle w:val="BodyText"/>
              <w:spacing w:line="240" w:lineRule="auto"/>
              <w:rPr>
                <w:rFonts w:asciiTheme="minorHAnsi" w:hAnsiTheme="minorHAnsi"/>
                <w:szCs w:val="22"/>
              </w:rPr>
            </w:pPr>
            <w:r>
              <w:rPr>
                <w:rFonts w:asciiTheme="minorHAnsi" w:hAnsiTheme="minorHAnsi"/>
                <w:szCs w:val="22"/>
              </w:rPr>
              <w:t>Figure 3.2</w:t>
            </w:r>
            <w:r w:rsidRPr="003E73CD">
              <w:rPr>
                <w:rFonts w:asciiTheme="minorHAnsi" w:hAnsiTheme="minorHAnsi"/>
                <w:szCs w:val="22"/>
              </w:rPr>
              <w:t>.3.  Kaplan-Meier survival curves for patients with 0, 1, and &gt;1 positive non-sentinel node (NSN).</w:t>
            </w:r>
          </w:p>
          <w:p w14:paraId="26AD9317" w14:textId="77777777" w:rsidR="00FC3F51" w:rsidRPr="003E73CD" w:rsidRDefault="00FC3F51" w:rsidP="00FC3F51">
            <w:pPr>
              <w:widowControl w:val="0"/>
              <w:autoSpaceDE w:val="0"/>
              <w:autoSpaceDN w:val="0"/>
              <w:adjustRightInd w:val="0"/>
              <w:rPr>
                <w:rFonts w:asciiTheme="minorHAnsi" w:hAnsiTheme="minorHAnsi"/>
                <w:sz w:val="22"/>
                <w:szCs w:val="22"/>
              </w:rPr>
            </w:pPr>
          </w:p>
        </w:tc>
        <w:tc>
          <w:tcPr>
            <w:tcW w:w="753" w:type="dxa"/>
          </w:tcPr>
          <w:p w14:paraId="6BF0A81A" w14:textId="77777777" w:rsidR="00FC3F51" w:rsidRPr="003E73CD" w:rsidRDefault="00FC3F51" w:rsidP="00FC3F51">
            <w:pPr>
              <w:rPr>
                <w:rFonts w:asciiTheme="minorHAnsi" w:hAnsiTheme="minorHAnsi"/>
                <w:sz w:val="22"/>
                <w:szCs w:val="22"/>
              </w:rPr>
            </w:pPr>
            <w:r>
              <w:rPr>
                <w:rFonts w:asciiTheme="minorHAnsi" w:hAnsiTheme="minorHAnsi"/>
                <w:sz w:val="22"/>
                <w:szCs w:val="22"/>
              </w:rPr>
              <w:t>147</w:t>
            </w:r>
          </w:p>
        </w:tc>
      </w:tr>
      <w:tr w:rsidR="00FC3F51" w:rsidRPr="003E73CD" w14:paraId="3840848C" w14:textId="77777777" w:rsidTr="00FC3F51">
        <w:tc>
          <w:tcPr>
            <w:tcW w:w="7763" w:type="dxa"/>
          </w:tcPr>
          <w:p w14:paraId="35B5F177" w14:textId="77777777" w:rsidR="00FC3F51" w:rsidRPr="003E73CD" w:rsidRDefault="00FC3F51" w:rsidP="00FC3F51">
            <w:pPr>
              <w:rPr>
                <w:rFonts w:asciiTheme="minorHAnsi" w:hAnsiTheme="minorHAnsi"/>
                <w:sz w:val="22"/>
                <w:szCs w:val="22"/>
              </w:rPr>
            </w:pPr>
            <w:r>
              <w:rPr>
                <w:rFonts w:asciiTheme="minorHAnsi" w:hAnsiTheme="minorHAnsi"/>
                <w:sz w:val="22"/>
                <w:szCs w:val="22"/>
              </w:rPr>
              <w:t>Figure 3.2</w:t>
            </w:r>
            <w:r w:rsidRPr="003E73CD">
              <w:rPr>
                <w:rFonts w:asciiTheme="minorHAnsi" w:hAnsiTheme="minorHAnsi"/>
                <w:sz w:val="22"/>
                <w:szCs w:val="22"/>
              </w:rPr>
              <w:t>.4.  Kaplan-Meier survival curves comparing non-sentinel node (NSN) status for patients with a total of 2 or 3 positive nodes.</w:t>
            </w:r>
          </w:p>
          <w:p w14:paraId="1FFD2D50" w14:textId="77777777" w:rsidR="00FC3F51" w:rsidRPr="003E73CD" w:rsidRDefault="00FC3F51" w:rsidP="00FC3F51">
            <w:pPr>
              <w:widowControl w:val="0"/>
              <w:autoSpaceDE w:val="0"/>
              <w:autoSpaceDN w:val="0"/>
              <w:adjustRightInd w:val="0"/>
              <w:rPr>
                <w:rFonts w:asciiTheme="minorHAnsi" w:hAnsiTheme="minorHAnsi"/>
                <w:sz w:val="22"/>
                <w:szCs w:val="22"/>
              </w:rPr>
            </w:pPr>
          </w:p>
        </w:tc>
        <w:tc>
          <w:tcPr>
            <w:tcW w:w="753" w:type="dxa"/>
          </w:tcPr>
          <w:p w14:paraId="4EC009B0" w14:textId="77777777" w:rsidR="00FC3F51" w:rsidRPr="003E73CD" w:rsidRDefault="00FC3F51" w:rsidP="00FC3F51">
            <w:pPr>
              <w:rPr>
                <w:rFonts w:asciiTheme="minorHAnsi" w:hAnsiTheme="minorHAnsi"/>
                <w:sz w:val="22"/>
                <w:szCs w:val="22"/>
              </w:rPr>
            </w:pPr>
            <w:r>
              <w:rPr>
                <w:rFonts w:asciiTheme="minorHAnsi" w:hAnsiTheme="minorHAnsi"/>
                <w:sz w:val="22"/>
                <w:szCs w:val="22"/>
              </w:rPr>
              <w:t>148</w:t>
            </w:r>
          </w:p>
        </w:tc>
      </w:tr>
      <w:tr w:rsidR="00FC3F51" w:rsidRPr="003E73CD" w14:paraId="62BEA793" w14:textId="77777777" w:rsidTr="00FC3F51">
        <w:tc>
          <w:tcPr>
            <w:tcW w:w="7763" w:type="dxa"/>
          </w:tcPr>
          <w:p w14:paraId="1E29C002" w14:textId="77777777" w:rsidR="00FC3F51" w:rsidRPr="003E73CD" w:rsidRDefault="00FC3F51" w:rsidP="00FC3F51">
            <w:pPr>
              <w:rPr>
                <w:rFonts w:asciiTheme="minorHAnsi" w:hAnsiTheme="minorHAnsi"/>
                <w:sz w:val="22"/>
                <w:szCs w:val="22"/>
              </w:rPr>
            </w:pPr>
            <w:r>
              <w:rPr>
                <w:rFonts w:asciiTheme="minorHAnsi" w:hAnsiTheme="minorHAnsi"/>
                <w:sz w:val="22"/>
                <w:szCs w:val="22"/>
              </w:rPr>
              <w:t>Figure 3.2</w:t>
            </w:r>
            <w:r w:rsidRPr="003E73CD">
              <w:rPr>
                <w:rFonts w:asciiTheme="minorHAnsi" w:hAnsiTheme="minorHAnsi"/>
                <w:sz w:val="22"/>
                <w:szCs w:val="22"/>
              </w:rPr>
              <w:t>.5.  Survival tree model for sentinel node (SN) positive patients (non-sentinel node = NSN; sentinel node biopsy = SNB).</w:t>
            </w:r>
          </w:p>
          <w:p w14:paraId="42B7DBB3" w14:textId="77777777" w:rsidR="00FC3F51" w:rsidRPr="003E73CD" w:rsidRDefault="00FC3F51" w:rsidP="00FC3F51">
            <w:pPr>
              <w:widowControl w:val="0"/>
              <w:autoSpaceDE w:val="0"/>
              <w:autoSpaceDN w:val="0"/>
              <w:adjustRightInd w:val="0"/>
              <w:rPr>
                <w:rFonts w:asciiTheme="minorHAnsi" w:hAnsiTheme="minorHAnsi"/>
                <w:sz w:val="22"/>
                <w:szCs w:val="22"/>
              </w:rPr>
            </w:pPr>
          </w:p>
        </w:tc>
        <w:tc>
          <w:tcPr>
            <w:tcW w:w="753" w:type="dxa"/>
          </w:tcPr>
          <w:p w14:paraId="22744D1A" w14:textId="77777777" w:rsidR="00FC3F51" w:rsidRPr="003E73CD" w:rsidRDefault="00FC3F51" w:rsidP="00FC3F51">
            <w:pPr>
              <w:rPr>
                <w:rFonts w:asciiTheme="minorHAnsi" w:hAnsiTheme="minorHAnsi"/>
                <w:sz w:val="22"/>
                <w:szCs w:val="22"/>
              </w:rPr>
            </w:pPr>
            <w:r>
              <w:rPr>
                <w:rFonts w:asciiTheme="minorHAnsi" w:hAnsiTheme="minorHAnsi"/>
                <w:sz w:val="22"/>
                <w:szCs w:val="22"/>
              </w:rPr>
              <w:t>150</w:t>
            </w:r>
          </w:p>
        </w:tc>
      </w:tr>
      <w:tr w:rsidR="00FC3F51" w:rsidRPr="003E73CD" w14:paraId="39B28603" w14:textId="77777777" w:rsidTr="00FC3F51">
        <w:tc>
          <w:tcPr>
            <w:tcW w:w="7763" w:type="dxa"/>
          </w:tcPr>
          <w:p w14:paraId="472F9708" w14:textId="77777777" w:rsidR="00FC3F51" w:rsidRPr="003E73CD" w:rsidRDefault="00FC3F51" w:rsidP="00FC3F51">
            <w:pPr>
              <w:rPr>
                <w:rFonts w:asciiTheme="minorHAnsi" w:hAnsiTheme="minorHAnsi"/>
                <w:sz w:val="22"/>
                <w:szCs w:val="22"/>
              </w:rPr>
            </w:pPr>
            <w:r>
              <w:rPr>
                <w:rFonts w:asciiTheme="minorHAnsi" w:hAnsiTheme="minorHAnsi"/>
                <w:sz w:val="22"/>
                <w:szCs w:val="22"/>
              </w:rPr>
              <w:t>Figure 3.2</w:t>
            </w:r>
            <w:r w:rsidRPr="003E73CD">
              <w:rPr>
                <w:rFonts w:asciiTheme="minorHAnsi" w:hAnsiTheme="minorHAnsi"/>
                <w:sz w:val="22"/>
                <w:szCs w:val="22"/>
              </w:rPr>
              <w:t>.6.  Kaplan-Meier survival curves resultin</w:t>
            </w:r>
            <w:r>
              <w:rPr>
                <w:rFonts w:asciiTheme="minorHAnsi" w:hAnsiTheme="minorHAnsi"/>
                <w:sz w:val="22"/>
                <w:szCs w:val="22"/>
              </w:rPr>
              <w:t>g from regrouping by survival tr</w:t>
            </w:r>
            <w:r w:rsidRPr="003E73CD">
              <w:rPr>
                <w:rFonts w:asciiTheme="minorHAnsi" w:hAnsiTheme="minorHAnsi"/>
                <w:sz w:val="22"/>
                <w:szCs w:val="22"/>
              </w:rPr>
              <w:t>ee analysis.</w:t>
            </w:r>
          </w:p>
          <w:p w14:paraId="07C1E593" w14:textId="77777777" w:rsidR="00FC3F51" w:rsidRPr="003E73CD" w:rsidRDefault="00FC3F51" w:rsidP="00FC3F51">
            <w:pPr>
              <w:widowControl w:val="0"/>
              <w:autoSpaceDE w:val="0"/>
              <w:autoSpaceDN w:val="0"/>
              <w:adjustRightInd w:val="0"/>
              <w:rPr>
                <w:rFonts w:asciiTheme="minorHAnsi" w:hAnsiTheme="minorHAnsi"/>
                <w:sz w:val="22"/>
                <w:szCs w:val="22"/>
              </w:rPr>
            </w:pPr>
          </w:p>
        </w:tc>
        <w:tc>
          <w:tcPr>
            <w:tcW w:w="753" w:type="dxa"/>
          </w:tcPr>
          <w:p w14:paraId="3490FFCF" w14:textId="77777777" w:rsidR="00FC3F51" w:rsidRPr="003E73CD" w:rsidRDefault="00FC3F51" w:rsidP="00FC3F51">
            <w:pPr>
              <w:rPr>
                <w:rFonts w:asciiTheme="minorHAnsi" w:hAnsiTheme="minorHAnsi"/>
                <w:sz w:val="22"/>
                <w:szCs w:val="22"/>
              </w:rPr>
            </w:pPr>
            <w:r>
              <w:rPr>
                <w:rFonts w:asciiTheme="minorHAnsi" w:hAnsiTheme="minorHAnsi"/>
                <w:sz w:val="22"/>
                <w:szCs w:val="22"/>
              </w:rPr>
              <w:t>151</w:t>
            </w:r>
          </w:p>
        </w:tc>
      </w:tr>
      <w:tr w:rsidR="00FC3F51" w:rsidRPr="003E73CD" w14:paraId="22EF157F" w14:textId="77777777" w:rsidTr="00FC3F51">
        <w:tc>
          <w:tcPr>
            <w:tcW w:w="7763" w:type="dxa"/>
          </w:tcPr>
          <w:p w14:paraId="10CBE474" w14:textId="77777777" w:rsidR="00FC3F51" w:rsidRPr="003E73CD" w:rsidRDefault="00FC3F51" w:rsidP="00FC3F51">
            <w:pPr>
              <w:rPr>
                <w:rFonts w:asciiTheme="minorHAnsi" w:hAnsiTheme="minorHAnsi"/>
                <w:sz w:val="22"/>
                <w:szCs w:val="22"/>
              </w:rPr>
            </w:pPr>
            <w:r>
              <w:rPr>
                <w:rFonts w:asciiTheme="minorHAnsi" w:hAnsiTheme="minorHAnsi"/>
                <w:sz w:val="22"/>
                <w:szCs w:val="22"/>
              </w:rPr>
              <w:t>Figure 3.3</w:t>
            </w:r>
            <w:r w:rsidRPr="003E73CD">
              <w:rPr>
                <w:rFonts w:asciiTheme="minorHAnsi" w:hAnsiTheme="minorHAnsi"/>
                <w:sz w:val="22"/>
                <w:szCs w:val="22"/>
              </w:rPr>
              <w:t>.1.  Kaplan-Meier survival analysis comparing overall survival for patients grouped according to the survival tree model and results of log rank test.</w:t>
            </w:r>
          </w:p>
          <w:p w14:paraId="7907F4ED" w14:textId="77777777" w:rsidR="00FC3F51" w:rsidRPr="003E73CD" w:rsidRDefault="00FC3F51" w:rsidP="00FC3F51">
            <w:pPr>
              <w:widowControl w:val="0"/>
              <w:autoSpaceDE w:val="0"/>
              <w:autoSpaceDN w:val="0"/>
              <w:adjustRightInd w:val="0"/>
              <w:rPr>
                <w:rFonts w:asciiTheme="minorHAnsi" w:hAnsiTheme="minorHAnsi"/>
                <w:sz w:val="22"/>
                <w:szCs w:val="22"/>
              </w:rPr>
            </w:pPr>
          </w:p>
        </w:tc>
        <w:tc>
          <w:tcPr>
            <w:tcW w:w="753" w:type="dxa"/>
          </w:tcPr>
          <w:p w14:paraId="414C308B" w14:textId="77777777" w:rsidR="00FC3F51" w:rsidRPr="003E73CD" w:rsidRDefault="00FC3F51" w:rsidP="00FC3F51">
            <w:pPr>
              <w:rPr>
                <w:rFonts w:asciiTheme="minorHAnsi" w:hAnsiTheme="minorHAnsi"/>
                <w:sz w:val="22"/>
                <w:szCs w:val="22"/>
              </w:rPr>
            </w:pPr>
            <w:r>
              <w:rPr>
                <w:rFonts w:asciiTheme="minorHAnsi" w:hAnsiTheme="minorHAnsi"/>
                <w:sz w:val="22"/>
                <w:szCs w:val="22"/>
              </w:rPr>
              <w:t>171</w:t>
            </w:r>
          </w:p>
        </w:tc>
      </w:tr>
      <w:tr w:rsidR="00FC3F51" w:rsidRPr="003E73CD" w14:paraId="525D675E" w14:textId="77777777" w:rsidTr="00FC3F51">
        <w:tc>
          <w:tcPr>
            <w:tcW w:w="7763" w:type="dxa"/>
          </w:tcPr>
          <w:p w14:paraId="49186A2D" w14:textId="77777777" w:rsidR="00FC3F51" w:rsidRPr="003E73CD" w:rsidRDefault="00FC3F51" w:rsidP="00FC3F51">
            <w:pPr>
              <w:rPr>
                <w:rFonts w:asciiTheme="minorHAnsi" w:hAnsiTheme="minorHAnsi"/>
                <w:sz w:val="22"/>
                <w:szCs w:val="22"/>
              </w:rPr>
            </w:pPr>
            <w:r>
              <w:rPr>
                <w:rFonts w:asciiTheme="minorHAnsi" w:hAnsiTheme="minorHAnsi"/>
                <w:sz w:val="22"/>
                <w:szCs w:val="22"/>
              </w:rPr>
              <w:t>Figure 3.3</w:t>
            </w:r>
            <w:r w:rsidRPr="003E73CD">
              <w:rPr>
                <w:rFonts w:asciiTheme="minorHAnsi" w:hAnsiTheme="minorHAnsi"/>
                <w:sz w:val="22"/>
                <w:szCs w:val="22"/>
              </w:rPr>
              <w:t>.2.  Kaplan-Meier survival analysis comparing overall survival for patients grouped into quartiles from the predicted 5-year survival by the AJCC endorsed prognostic tool.</w:t>
            </w:r>
          </w:p>
          <w:p w14:paraId="48AE0D4C" w14:textId="77777777" w:rsidR="00FC3F51" w:rsidRPr="003E73CD" w:rsidRDefault="00FC3F51" w:rsidP="00FC3F51">
            <w:pPr>
              <w:widowControl w:val="0"/>
              <w:autoSpaceDE w:val="0"/>
              <w:autoSpaceDN w:val="0"/>
              <w:adjustRightInd w:val="0"/>
              <w:ind w:firstLine="720"/>
              <w:rPr>
                <w:rFonts w:asciiTheme="minorHAnsi" w:hAnsiTheme="minorHAnsi"/>
                <w:sz w:val="22"/>
                <w:szCs w:val="22"/>
              </w:rPr>
            </w:pPr>
          </w:p>
        </w:tc>
        <w:tc>
          <w:tcPr>
            <w:tcW w:w="753" w:type="dxa"/>
          </w:tcPr>
          <w:p w14:paraId="58410B5A" w14:textId="77777777" w:rsidR="00FC3F51" w:rsidRPr="003E73CD" w:rsidRDefault="00FC3F51" w:rsidP="00FC3F51">
            <w:pPr>
              <w:rPr>
                <w:rFonts w:asciiTheme="minorHAnsi" w:hAnsiTheme="minorHAnsi"/>
                <w:sz w:val="22"/>
                <w:szCs w:val="22"/>
              </w:rPr>
            </w:pPr>
            <w:r>
              <w:rPr>
                <w:rFonts w:asciiTheme="minorHAnsi" w:hAnsiTheme="minorHAnsi"/>
                <w:sz w:val="22"/>
                <w:szCs w:val="22"/>
              </w:rPr>
              <w:t>172</w:t>
            </w:r>
          </w:p>
        </w:tc>
      </w:tr>
      <w:tr w:rsidR="00FC3F51" w:rsidRPr="003E73CD" w14:paraId="63197C84" w14:textId="77777777" w:rsidTr="00FC3F51">
        <w:tc>
          <w:tcPr>
            <w:tcW w:w="7763" w:type="dxa"/>
          </w:tcPr>
          <w:p w14:paraId="64535BA9" w14:textId="77777777" w:rsidR="00FC3F51" w:rsidRPr="003E73CD" w:rsidRDefault="00FC3F51" w:rsidP="00FC3F51">
            <w:pPr>
              <w:rPr>
                <w:rFonts w:asciiTheme="minorHAnsi" w:hAnsiTheme="minorHAnsi"/>
                <w:sz w:val="22"/>
                <w:szCs w:val="22"/>
              </w:rPr>
            </w:pPr>
            <w:r>
              <w:rPr>
                <w:rFonts w:asciiTheme="minorHAnsi" w:hAnsiTheme="minorHAnsi"/>
                <w:sz w:val="22"/>
                <w:szCs w:val="22"/>
              </w:rPr>
              <w:t>Figure 3.3</w:t>
            </w:r>
            <w:r w:rsidRPr="003E73CD">
              <w:rPr>
                <w:rFonts w:asciiTheme="minorHAnsi" w:hAnsiTheme="minorHAnsi"/>
                <w:sz w:val="22"/>
                <w:szCs w:val="22"/>
              </w:rPr>
              <w:t>.3.  Kaplan-Meier survival analysis comparing overall survival for patients grouped into quartiles from the predicted 5-year survival by the Lifemath.net prognostic tool.</w:t>
            </w:r>
          </w:p>
          <w:p w14:paraId="6CF04C6A" w14:textId="77777777" w:rsidR="00FC3F51" w:rsidRPr="003E73CD" w:rsidRDefault="00FC3F51" w:rsidP="00FC3F51">
            <w:pPr>
              <w:rPr>
                <w:rFonts w:asciiTheme="minorHAnsi" w:hAnsiTheme="minorHAnsi"/>
                <w:sz w:val="22"/>
                <w:szCs w:val="22"/>
              </w:rPr>
            </w:pPr>
          </w:p>
        </w:tc>
        <w:tc>
          <w:tcPr>
            <w:tcW w:w="753" w:type="dxa"/>
          </w:tcPr>
          <w:p w14:paraId="59B07F88" w14:textId="77777777" w:rsidR="00FC3F51" w:rsidRPr="003E73CD" w:rsidRDefault="00FC3F51" w:rsidP="00FC3F51">
            <w:pPr>
              <w:rPr>
                <w:rFonts w:asciiTheme="minorHAnsi" w:hAnsiTheme="minorHAnsi"/>
                <w:sz w:val="22"/>
                <w:szCs w:val="22"/>
              </w:rPr>
            </w:pPr>
            <w:r>
              <w:rPr>
                <w:rFonts w:asciiTheme="minorHAnsi" w:hAnsiTheme="minorHAnsi"/>
                <w:sz w:val="22"/>
                <w:szCs w:val="22"/>
              </w:rPr>
              <w:t>173</w:t>
            </w:r>
          </w:p>
        </w:tc>
      </w:tr>
      <w:tr w:rsidR="00FC3F51" w:rsidRPr="003E73CD" w14:paraId="02297A36" w14:textId="77777777" w:rsidTr="00FC3F51">
        <w:tc>
          <w:tcPr>
            <w:tcW w:w="7763" w:type="dxa"/>
          </w:tcPr>
          <w:p w14:paraId="63CAB44F" w14:textId="77777777" w:rsidR="00FC3F51" w:rsidRPr="003E73CD" w:rsidRDefault="00FC3F51" w:rsidP="00FC3F51">
            <w:pPr>
              <w:rPr>
                <w:rFonts w:asciiTheme="minorHAnsi" w:hAnsiTheme="minorHAnsi"/>
                <w:sz w:val="22"/>
                <w:szCs w:val="22"/>
              </w:rPr>
            </w:pPr>
            <w:r>
              <w:rPr>
                <w:rFonts w:asciiTheme="minorHAnsi" w:hAnsiTheme="minorHAnsi"/>
                <w:sz w:val="22"/>
                <w:szCs w:val="22"/>
              </w:rPr>
              <w:t>Figure 3.3</w:t>
            </w:r>
            <w:r w:rsidRPr="003E73CD">
              <w:rPr>
                <w:rFonts w:asciiTheme="minorHAnsi" w:hAnsiTheme="minorHAnsi"/>
                <w:sz w:val="22"/>
                <w:szCs w:val="22"/>
              </w:rPr>
              <w:t>.4.  Kaplan-Meier survival analysis comparing</w:t>
            </w:r>
            <w:r>
              <w:rPr>
                <w:rFonts w:asciiTheme="minorHAnsi" w:hAnsiTheme="minorHAnsi"/>
                <w:sz w:val="22"/>
                <w:szCs w:val="22"/>
              </w:rPr>
              <w:t xml:space="preserve"> overall survival for patients g</w:t>
            </w:r>
            <w:r w:rsidRPr="003E73CD">
              <w:rPr>
                <w:rFonts w:asciiTheme="minorHAnsi" w:hAnsiTheme="minorHAnsi"/>
                <w:sz w:val="22"/>
                <w:szCs w:val="22"/>
              </w:rPr>
              <w:t>rouped into quartiles from the predicted 5-year survival by the Melanomacalculator.com prognostic tool.</w:t>
            </w:r>
          </w:p>
          <w:p w14:paraId="72742B2A" w14:textId="77777777" w:rsidR="00FC3F51" w:rsidRPr="003E73CD" w:rsidRDefault="00FC3F51" w:rsidP="00FC3F51">
            <w:pPr>
              <w:rPr>
                <w:rFonts w:asciiTheme="minorHAnsi" w:hAnsiTheme="minorHAnsi"/>
                <w:sz w:val="22"/>
                <w:szCs w:val="22"/>
              </w:rPr>
            </w:pPr>
          </w:p>
        </w:tc>
        <w:tc>
          <w:tcPr>
            <w:tcW w:w="753" w:type="dxa"/>
          </w:tcPr>
          <w:p w14:paraId="6DA8DCBF" w14:textId="77777777" w:rsidR="00FC3F51" w:rsidRPr="003E73CD" w:rsidRDefault="00FC3F51" w:rsidP="00FC3F51">
            <w:pPr>
              <w:rPr>
                <w:rFonts w:asciiTheme="minorHAnsi" w:hAnsiTheme="minorHAnsi"/>
                <w:sz w:val="22"/>
                <w:szCs w:val="22"/>
              </w:rPr>
            </w:pPr>
            <w:r>
              <w:rPr>
                <w:rFonts w:asciiTheme="minorHAnsi" w:hAnsiTheme="minorHAnsi"/>
                <w:sz w:val="22"/>
                <w:szCs w:val="22"/>
              </w:rPr>
              <w:t>174</w:t>
            </w:r>
          </w:p>
        </w:tc>
      </w:tr>
      <w:tr w:rsidR="00FC3F51" w:rsidRPr="003E73CD" w14:paraId="06C444DC" w14:textId="77777777" w:rsidTr="00FC3F51">
        <w:tc>
          <w:tcPr>
            <w:tcW w:w="7763" w:type="dxa"/>
          </w:tcPr>
          <w:p w14:paraId="0C420F9C" w14:textId="77777777" w:rsidR="00FC3F51" w:rsidRPr="003E73CD" w:rsidRDefault="00FC3F51" w:rsidP="00FC3F51">
            <w:pPr>
              <w:widowControl w:val="0"/>
              <w:autoSpaceDE w:val="0"/>
              <w:autoSpaceDN w:val="0"/>
              <w:adjustRightInd w:val="0"/>
              <w:rPr>
                <w:rFonts w:asciiTheme="minorHAnsi" w:eastAsiaTheme="minorEastAsia" w:hAnsiTheme="minorHAnsi"/>
                <w:sz w:val="22"/>
                <w:szCs w:val="22"/>
              </w:rPr>
            </w:pPr>
            <w:r>
              <w:rPr>
                <w:rFonts w:asciiTheme="minorHAnsi" w:eastAsiaTheme="minorEastAsia" w:hAnsiTheme="minorHAnsi"/>
                <w:sz w:val="22"/>
                <w:szCs w:val="22"/>
              </w:rPr>
              <w:t>Figure 3.3</w:t>
            </w:r>
            <w:r w:rsidRPr="003E73CD">
              <w:rPr>
                <w:rFonts w:asciiTheme="minorHAnsi" w:eastAsiaTheme="minorEastAsia" w:hAnsiTheme="minorHAnsi"/>
                <w:sz w:val="22"/>
                <w:szCs w:val="22"/>
              </w:rPr>
              <w:t>.5.  Receiver operator characteristic (ROC) curves comparing the survival tree model with the AJCC endorsed, lifemath.net and melanomacalculator.com prediction tools as predictors of status (alive or dead) at 5 years.</w:t>
            </w:r>
          </w:p>
          <w:p w14:paraId="5D5D8AAC" w14:textId="77777777" w:rsidR="00FC3F51" w:rsidRPr="003E73CD" w:rsidRDefault="00FC3F51" w:rsidP="00FC3F51">
            <w:pPr>
              <w:widowControl w:val="0"/>
              <w:autoSpaceDE w:val="0"/>
              <w:autoSpaceDN w:val="0"/>
              <w:adjustRightInd w:val="0"/>
              <w:rPr>
                <w:rFonts w:asciiTheme="minorHAnsi" w:eastAsiaTheme="minorEastAsia" w:hAnsiTheme="minorHAnsi"/>
                <w:sz w:val="22"/>
                <w:szCs w:val="22"/>
              </w:rPr>
            </w:pPr>
          </w:p>
        </w:tc>
        <w:tc>
          <w:tcPr>
            <w:tcW w:w="753" w:type="dxa"/>
          </w:tcPr>
          <w:p w14:paraId="689DBF64" w14:textId="77777777" w:rsidR="00FC3F51" w:rsidRPr="003E73CD" w:rsidRDefault="00FC3F51" w:rsidP="00FC3F51">
            <w:pPr>
              <w:rPr>
                <w:rFonts w:asciiTheme="minorHAnsi" w:hAnsiTheme="minorHAnsi"/>
                <w:sz w:val="22"/>
                <w:szCs w:val="22"/>
              </w:rPr>
            </w:pPr>
            <w:r>
              <w:rPr>
                <w:rFonts w:asciiTheme="minorHAnsi" w:hAnsiTheme="minorHAnsi"/>
                <w:sz w:val="22"/>
                <w:szCs w:val="22"/>
              </w:rPr>
              <w:t>176</w:t>
            </w:r>
          </w:p>
        </w:tc>
      </w:tr>
    </w:tbl>
    <w:p w14:paraId="3292641F" w14:textId="77777777" w:rsidR="00FC3F51" w:rsidRPr="003E73CD" w:rsidRDefault="00FC3F51" w:rsidP="00FC3F51">
      <w:pPr>
        <w:rPr>
          <w:rFonts w:asciiTheme="minorHAnsi" w:hAnsiTheme="minorHAnsi"/>
          <w:b/>
          <w:sz w:val="28"/>
          <w:szCs w:val="28"/>
        </w:rPr>
      </w:pPr>
      <w:r w:rsidRPr="003E73CD">
        <w:rPr>
          <w:rFonts w:asciiTheme="minorHAnsi" w:hAnsiTheme="minorHAnsi"/>
          <w:b/>
          <w:sz w:val="28"/>
          <w:szCs w:val="28"/>
        </w:rPr>
        <w:br w:type="page"/>
      </w:r>
    </w:p>
    <w:p w14:paraId="3517B594" w14:textId="77777777" w:rsidR="00FC3F51" w:rsidRPr="003E73CD" w:rsidRDefault="00FC3F51" w:rsidP="00FC3F51">
      <w:pPr>
        <w:spacing w:line="480" w:lineRule="auto"/>
        <w:rPr>
          <w:rFonts w:asciiTheme="minorHAnsi" w:hAnsiTheme="minorHAnsi"/>
          <w:b/>
          <w:sz w:val="28"/>
          <w:szCs w:val="28"/>
        </w:rPr>
      </w:pPr>
      <w:r w:rsidRPr="003E73CD">
        <w:rPr>
          <w:rFonts w:asciiTheme="minorHAnsi" w:hAnsiTheme="minorHAnsi"/>
          <w:b/>
          <w:sz w:val="28"/>
          <w:szCs w:val="28"/>
        </w:rPr>
        <w:t>List of tables</w:t>
      </w:r>
    </w:p>
    <w:tbl>
      <w:tblPr>
        <w:tblStyle w:val="TableGrid"/>
        <w:tblW w:w="0" w:type="auto"/>
        <w:tblLook w:val="04A0" w:firstRow="1" w:lastRow="0" w:firstColumn="1" w:lastColumn="0" w:noHBand="0" w:noVBand="1"/>
      </w:tblPr>
      <w:tblGrid>
        <w:gridCol w:w="7763"/>
        <w:gridCol w:w="753"/>
      </w:tblGrid>
      <w:tr w:rsidR="00FC3F51" w:rsidRPr="003E73CD" w14:paraId="1F8B3B38" w14:textId="77777777" w:rsidTr="00FC3F51">
        <w:tc>
          <w:tcPr>
            <w:tcW w:w="7763" w:type="dxa"/>
          </w:tcPr>
          <w:p w14:paraId="699DD112" w14:textId="77777777" w:rsidR="00FC3F51" w:rsidRPr="003E73CD" w:rsidRDefault="00FC3F51" w:rsidP="00FC3F51">
            <w:pPr>
              <w:widowControl w:val="0"/>
              <w:autoSpaceDE w:val="0"/>
              <w:autoSpaceDN w:val="0"/>
              <w:adjustRightInd w:val="0"/>
              <w:spacing w:after="240"/>
              <w:rPr>
                <w:sz w:val="22"/>
                <w:szCs w:val="22"/>
              </w:rPr>
            </w:pPr>
            <w:r w:rsidRPr="003E73CD">
              <w:rPr>
                <w:sz w:val="22"/>
                <w:szCs w:val="22"/>
              </w:rPr>
              <w:t xml:space="preserve">Table 1.1.1.  The </w:t>
            </w:r>
            <w:proofErr w:type="gramStart"/>
            <w:r w:rsidRPr="003E73CD">
              <w:rPr>
                <w:sz w:val="22"/>
                <w:szCs w:val="22"/>
              </w:rPr>
              <w:t>ABCD(</w:t>
            </w:r>
            <w:proofErr w:type="gramEnd"/>
            <w:r w:rsidRPr="003E73CD">
              <w:rPr>
                <w:sz w:val="22"/>
                <w:szCs w:val="22"/>
              </w:rPr>
              <w:t>E) warning signs for melanoma versus benign mole.</w:t>
            </w:r>
          </w:p>
        </w:tc>
        <w:tc>
          <w:tcPr>
            <w:tcW w:w="753" w:type="dxa"/>
          </w:tcPr>
          <w:p w14:paraId="666A855D" w14:textId="77777777" w:rsidR="00FC3F51" w:rsidRPr="003E73CD" w:rsidRDefault="00FC3F51" w:rsidP="00FC3F51">
            <w:r>
              <w:t>10</w:t>
            </w:r>
          </w:p>
        </w:tc>
      </w:tr>
      <w:tr w:rsidR="00FC3F51" w:rsidRPr="003E73CD" w14:paraId="2D3E08EE" w14:textId="77777777" w:rsidTr="00FC3F51">
        <w:tc>
          <w:tcPr>
            <w:tcW w:w="7763" w:type="dxa"/>
          </w:tcPr>
          <w:p w14:paraId="3B6BA58A" w14:textId="77777777" w:rsidR="00FC3F51" w:rsidRPr="003E73CD" w:rsidRDefault="00FC3F51" w:rsidP="00FC3F51">
            <w:pPr>
              <w:rPr>
                <w:sz w:val="22"/>
                <w:szCs w:val="22"/>
              </w:rPr>
            </w:pPr>
            <w:r w:rsidRPr="003E73CD">
              <w:rPr>
                <w:sz w:val="22"/>
                <w:szCs w:val="22"/>
              </w:rPr>
              <w:t>Table 1.1.2.  Completed randomized trials comparing excision margins for melanoma.</w:t>
            </w:r>
          </w:p>
        </w:tc>
        <w:tc>
          <w:tcPr>
            <w:tcW w:w="753" w:type="dxa"/>
          </w:tcPr>
          <w:p w14:paraId="2BBA82F0" w14:textId="77777777" w:rsidR="00FC3F51" w:rsidRPr="003E73CD" w:rsidRDefault="00FC3F51" w:rsidP="00FC3F51">
            <w:r>
              <w:t>20</w:t>
            </w:r>
          </w:p>
        </w:tc>
      </w:tr>
      <w:tr w:rsidR="00FC3F51" w:rsidRPr="003E73CD" w14:paraId="59339214" w14:textId="77777777" w:rsidTr="00FC3F51">
        <w:tc>
          <w:tcPr>
            <w:tcW w:w="7763" w:type="dxa"/>
          </w:tcPr>
          <w:p w14:paraId="3FE960D6" w14:textId="77777777" w:rsidR="00FC3F51" w:rsidRPr="009E2C27" w:rsidRDefault="00FC3F51" w:rsidP="00FC3F51">
            <w:pPr>
              <w:rPr>
                <w:sz w:val="22"/>
                <w:szCs w:val="22"/>
              </w:rPr>
            </w:pPr>
            <w:r w:rsidRPr="009E2C27">
              <w:rPr>
                <w:sz w:val="22"/>
                <w:szCs w:val="22"/>
              </w:rPr>
              <w:t>Table 1.1.3.  Current recommendations for wide excision for melanoma in the UK, Europe, United States and Australasia.</w:t>
            </w:r>
          </w:p>
          <w:p w14:paraId="7734CB6E" w14:textId="77777777" w:rsidR="00FC3F51" w:rsidRPr="003E73CD" w:rsidRDefault="00FC3F51" w:rsidP="00FC3F51">
            <w:pPr>
              <w:rPr>
                <w:sz w:val="22"/>
                <w:szCs w:val="22"/>
              </w:rPr>
            </w:pPr>
          </w:p>
        </w:tc>
        <w:tc>
          <w:tcPr>
            <w:tcW w:w="753" w:type="dxa"/>
          </w:tcPr>
          <w:p w14:paraId="3F6D250F" w14:textId="77777777" w:rsidR="00FC3F51" w:rsidRDefault="00FC3F51" w:rsidP="00FC3F51">
            <w:r>
              <w:t>23</w:t>
            </w:r>
          </w:p>
        </w:tc>
      </w:tr>
      <w:tr w:rsidR="00FC3F51" w:rsidRPr="002242E8" w14:paraId="3FA3797D" w14:textId="77777777" w:rsidTr="00FC3F51">
        <w:tc>
          <w:tcPr>
            <w:tcW w:w="7763" w:type="dxa"/>
          </w:tcPr>
          <w:p w14:paraId="2A77FD1B" w14:textId="77777777" w:rsidR="00FC3F51" w:rsidRPr="002242E8" w:rsidRDefault="00FC3F51" w:rsidP="00FC3F51">
            <w:pPr>
              <w:rPr>
                <w:sz w:val="22"/>
                <w:szCs w:val="22"/>
              </w:rPr>
            </w:pPr>
            <w:r>
              <w:rPr>
                <w:sz w:val="22"/>
                <w:szCs w:val="22"/>
              </w:rPr>
              <w:t>Table 1.3</w:t>
            </w:r>
            <w:r w:rsidRPr="002242E8">
              <w:rPr>
                <w:sz w:val="22"/>
                <w:szCs w:val="22"/>
              </w:rPr>
              <w:t>.1.  Summary of studies examining the validity of lymphoscintigraphy and sentinel node biopsy for patients who have undergone previous wide local excision.</w:t>
            </w:r>
          </w:p>
          <w:p w14:paraId="5835C79A" w14:textId="77777777" w:rsidR="00FC3F51" w:rsidRPr="002242E8" w:rsidRDefault="00FC3F51" w:rsidP="00FC3F51">
            <w:pPr>
              <w:rPr>
                <w:sz w:val="22"/>
                <w:szCs w:val="22"/>
              </w:rPr>
            </w:pPr>
          </w:p>
        </w:tc>
        <w:tc>
          <w:tcPr>
            <w:tcW w:w="753" w:type="dxa"/>
          </w:tcPr>
          <w:p w14:paraId="22375423" w14:textId="77777777" w:rsidR="00FC3F51" w:rsidRPr="002242E8" w:rsidRDefault="00FC3F51" w:rsidP="00FC3F51">
            <w:pPr>
              <w:rPr>
                <w:sz w:val="22"/>
                <w:szCs w:val="22"/>
              </w:rPr>
            </w:pPr>
            <w:r>
              <w:rPr>
                <w:sz w:val="22"/>
                <w:szCs w:val="22"/>
              </w:rPr>
              <w:t>63</w:t>
            </w:r>
          </w:p>
        </w:tc>
      </w:tr>
      <w:tr w:rsidR="00FC3F51" w:rsidRPr="003E73CD" w14:paraId="739D67CE" w14:textId="77777777" w:rsidTr="00FC3F51">
        <w:tc>
          <w:tcPr>
            <w:tcW w:w="7763" w:type="dxa"/>
          </w:tcPr>
          <w:p w14:paraId="7D7881C7" w14:textId="77777777" w:rsidR="00FC3F51" w:rsidRPr="003E73CD" w:rsidRDefault="00FC3F51" w:rsidP="00FC3F51">
            <w:pPr>
              <w:rPr>
                <w:sz w:val="22"/>
                <w:szCs w:val="22"/>
              </w:rPr>
            </w:pPr>
            <w:r>
              <w:rPr>
                <w:sz w:val="22"/>
                <w:szCs w:val="22"/>
              </w:rPr>
              <w:t>Table 2.1</w:t>
            </w:r>
            <w:r w:rsidRPr="003E73CD">
              <w:rPr>
                <w:sz w:val="22"/>
                <w:szCs w:val="22"/>
              </w:rPr>
              <w:t>.1.  Potential causes for non-localization.</w:t>
            </w:r>
          </w:p>
          <w:p w14:paraId="1317B98A" w14:textId="77777777" w:rsidR="00FC3F51" w:rsidRPr="003E73CD" w:rsidRDefault="00FC3F51" w:rsidP="00FC3F51"/>
        </w:tc>
        <w:tc>
          <w:tcPr>
            <w:tcW w:w="753" w:type="dxa"/>
          </w:tcPr>
          <w:p w14:paraId="10359B8F" w14:textId="77777777" w:rsidR="00FC3F51" w:rsidRPr="003E73CD" w:rsidRDefault="00FC3F51" w:rsidP="00FC3F51">
            <w:r>
              <w:t>84</w:t>
            </w:r>
          </w:p>
        </w:tc>
      </w:tr>
      <w:tr w:rsidR="00FC3F51" w:rsidRPr="003E73CD" w14:paraId="4C417D03" w14:textId="77777777" w:rsidTr="00FC3F51">
        <w:tc>
          <w:tcPr>
            <w:tcW w:w="7763" w:type="dxa"/>
          </w:tcPr>
          <w:p w14:paraId="78A44624" w14:textId="77777777" w:rsidR="00FC3F51" w:rsidRPr="003E73CD" w:rsidRDefault="00FC3F51" w:rsidP="00FC3F51">
            <w:pPr>
              <w:rPr>
                <w:sz w:val="22"/>
                <w:szCs w:val="22"/>
              </w:rPr>
            </w:pPr>
            <w:r>
              <w:rPr>
                <w:sz w:val="22"/>
                <w:szCs w:val="22"/>
              </w:rPr>
              <w:t>Table 2.1</w:t>
            </w:r>
            <w:r w:rsidRPr="003E73CD">
              <w:rPr>
                <w:sz w:val="22"/>
                <w:szCs w:val="22"/>
              </w:rPr>
              <w:t>.2.  Observed and expected frequencies of non-localization and localization from the study population (n=5600).</w:t>
            </w:r>
          </w:p>
          <w:p w14:paraId="5123BA1B" w14:textId="77777777" w:rsidR="00FC3F51" w:rsidRPr="003E73CD" w:rsidRDefault="00FC3F51" w:rsidP="00FC3F51">
            <w:pPr>
              <w:rPr>
                <w:sz w:val="22"/>
                <w:szCs w:val="22"/>
              </w:rPr>
            </w:pPr>
          </w:p>
        </w:tc>
        <w:tc>
          <w:tcPr>
            <w:tcW w:w="753" w:type="dxa"/>
          </w:tcPr>
          <w:p w14:paraId="62A76E5B" w14:textId="77777777" w:rsidR="00FC3F51" w:rsidRPr="003E73CD" w:rsidRDefault="00FC3F51" w:rsidP="00FC3F51">
            <w:r>
              <w:t>87</w:t>
            </w:r>
          </w:p>
        </w:tc>
      </w:tr>
      <w:tr w:rsidR="00FC3F51" w:rsidRPr="003E73CD" w14:paraId="158F394A" w14:textId="77777777" w:rsidTr="00FC3F51">
        <w:tc>
          <w:tcPr>
            <w:tcW w:w="7763" w:type="dxa"/>
          </w:tcPr>
          <w:p w14:paraId="0765C1C5" w14:textId="77777777" w:rsidR="00FC3F51" w:rsidRPr="003E73CD" w:rsidRDefault="00FC3F51" w:rsidP="00FC3F51">
            <w:pPr>
              <w:rPr>
                <w:sz w:val="22"/>
                <w:szCs w:val="22"/>
              </w:rPr>
            </w:pPr>
            <w:r>
              <w:rPr>
                <w:sz w:val="22"/>
                <w:szCs w:val="22"/>
              </w:rPr>
              <w:t>Table 2.1</w:t>
            </w:r>
            <w:r w:rsidRPr="003E73CD">
              <w:rPr>
                <w:sz w:val="22"/>
                <w:szCs w:val="22"/>
              </w:rPr>
              <w:t>.3.  Details of cases where failure to identify sentinel nodes (non-localization) by lymphoscintigraphy occurred.</w:t>
            </w:r>
          </w:p>
          <w:p w14:paraId="65C768B3" w14:textId="77777777" w:rsidR="00FC3F51" w:rsidRPr="003E73CD" w:rsidRDefault="00FC3F51" w:rsidP="00FC3F51"/>
        </w:tc>
        <w:tc>
          <w:tcPr>
            <w:tcW w:w="753" w:type="dxa"/>
          </w:tcPr>
          <w:p w14:paraId="2E087578" w14:textId="77777777" w:rsidR="00FC3F51" w:rsidRPr="003E73CD" w:rsidRDefault="00FC3F51" w:rsidP="00FC3F51">
            <w:r>
              <w:t>88-89</w:t>
            </w:r>
          </w:p>
        </w:tc>
      </w:tr>
      <w:tr w:rsidR="00FC3F51" w:rsidRPr="003E73CD" w14:paraId="411945C8" w14:textId="77777777" w:rsidTr="00FC3F51">
        <w:tc>
          <w:tcPr>
            <w:tcW w:w="7763" w:type="dxa"/>
          </w:tcPr>
          <w:p w14:paraId="3295844E" w14:textId="77777777" w:rsidR="00FC3F51" w:rsidRPr="003E73CD" w:rsidRDefault="00FC3F51" w:rsidP="00FC3F51">
            <w:pPr>
              <w:rPr>
                <w:sz w:val="22"/>
                <w:szCs w:val="22"/>
              </w:rPr>
            </w:pPr>
            <w:r>
              <w:rPr>
                <w:sz w:val="22"/>
                <w:szCs w:val="22"/>
              </w:rPr>
              <w:t>Table 3.1</w:t>
            </w:r>
            <w:r w:rsidRPr="003E73CD">
              <w:rPr>
                <w:sz w:val="22"/>
                <w:szCs w:val="22"/>
              </w:rPr>
              <w:t>.1.  Excluded studies that did investigate non-sentinel node status as a predictor of survival (n=4).</w:t>
            </w:r>
          </w:p>
          <w:p w14:paraId="2D01758F" w14:textId="77777777" w:rsidR="00FC3F51" w:rsidRPr="003E73CD" w:rsidRDefault="00FC3F51" w:rsidP="00FC3F51"/>
        </w:tc>
        <w:tc>
          <w:tcPr>
            <w:tcW w:w="753" w:type="dxa"/>
          </w:tcPr>
          <w:p w14:paraId="2C07C4E5" w14:textId="77777777" w:rsidR="00FC3F51" w:rsidRPr="003E73CD" w:rsidRDefault="00FC3F51" w:rsidP="00FC3F51">
            <w:r>
              <w:t>120</w:t>
            </w:r>
          </w:p>
        </w:tc>
      </w:tr>
      <w:tr w:rsidR="00FC3F51" w:rsidRPr="003E73CD" w14:paraId="668BA461" w14:textId="77777777" w:rsidTr="00FC3F51">
        <w:tc>
          <w:tcPr>
            <w:tcW w:w="7763" w:type="dxa"/>
          </w:tcPr>
          <w:p w14:paraId="0196D32A" w14:textId="77777777" w:rsidR="00FC3F51" w:rsidRPr="003E73CD" w:rsidRDefault="00FC3F51" w:rsidP="00FC3F51">
            <w:pPr>
              <w:rPr>
                <w:sz w:val="22"/>
                <w:szCs w:val="22"/>
              </w:rPr>
            </w:pPr>
            <w:r>
              <w:rPr>
                <w:sz w:val="22"/>
                <w:szCs w:val="22"/>
              </w:rPr>
              <w:t>Table 3.1</w:t>
            </w:r>
            <w:r w:rsidRPr="003E73CD">
              <w:rPr>
                <w:sz w:val="22"/>
                <w:szCs w:val="22"/>
              </w:rPr>
              <w:t>.2.  Studies that met the inclusion criteria and were included in the critical review (n=11).</w:t>
            </w:r>
          </w:p>
          <w:p w14:paraId="122FAD01" w14:textId="77777777" w:rsidR="00FC3F51" w:rsidRPr="003E73CD" w:rsidRDefault="00FC3F51" w:rsidP="00FC3F51"/>
        </w:tc>
        <w:tc>
          <w:tcPr>
            <w:tcW w:w="753" w:type="dxa"/>
          </w:tcPr>
          <w:p w14:paraId="4A0CC26D" w14:textId="77777777" w:rsidR="00FC3F51" w:rsidRPr="003E73CD" w:rsidRDefault="00FC3F51" w:rsidP="00FC3F51">
            <w:r>
              <w:t>121</w:t>
            </w:r>
          </w:p>
        </w:tc>
      </w:tr>
      <w:tr w:rsidR="00FC3F51" w:rsidRPr="003E73CD" w14:paraId="6E76C1C6" w14:textId="77777777" w:rsidTr="00FC3F51">
        <w:tc>
          <w:tcPr>
            <w:tcW w:w="7763" w:type="dxa"/>
          </w:tcPr>
          <w:p w14:paraId="162DF80E" w14:textId="77777777" w:rsidR="00FC3F51" w:rsidRPr="003E73CD" w:rsidRDefault="00FC3F51" w:rsidP="00FC3F51">
            <w:pPr>
              <w:rPr>
                <w:sz w:val="22"/>
                <w:szCs w:val="22"/>
              </w:rPr>
            </w:pPr>
            <w:r>
              <w:rPr>
                <w:sz w:val="22"/>
                <w:szCs w:val="22"/>
              </w:rPr>
              <w:t>Table 3.1</w:t>
            </w:r>
            <w:r w:rsidRPr="003E73CD">
              <w:rPr>
                <w:sz w:val="22"/>
                <w:szCs w:val="22"/>
              </w:rPr>
              <w:t>.3.  Studies that performed multivariate Cox regression analyses for factors predictive of overall, or disease-specific, survival on sentinel node positive melanoma patients that did not account for an effect due to total number of positive nodes (n=4).</w:t>
            </w:r>
          </w:p>
          <w:p w14:paraId="7C91EA41" w14:textId="77777777" w:rsidR="00FC3F51" w:rsidRPr="003E73CD" w:rsidRDefault="00FC3F51" w:rsidP="00FC3F51"/>
        </w:tc>
        <w:tc>
          <w:tcPr>
            <w:tcW w:w="753" w:type="dxa"/>
          </w:tcPr>
          <w:p w14:paraId="04D4B029" w14:textId="77777777" w:rsidR="00FC3F51" w:rsidRPr="003E73CD" w:rsidRDefault="00FC3F51" w:rsidP="00FC3F51">
            <w:r>
              <w:t>129</w:t>
            </w:r>
          </w:p>
        </w:tc>
      </w:tr>
      <w:tr w:rsidR="00FC3F51" w:rsidRPr="003E73CD" w14:paraId="528EE891" w14:textId="77777777" w:rsidTr="00FC3F51">
        <w:tc>
          <w:tcPr>
            <w:tcW w:w="7763" w:type="dxa"/>
          </w:tcPr>
          <w:p w14:paraId="5CF4C190" w14:textId="77777777" w:rsidR="00FC3F51" w:rsidRPr="003E73CD" w:rsidRDefault="00FC3F51" w:rsidP="00FC3F51">
            <w:pPr>
              <w:rPr>
                <w:sz w:val="22"/>
                <w:szCs w:val="22"/>
              </w:rPr>
            </w:pPr>
            <w:r>
              <w:rPr>
                <w:sz w:val="22"/>
                <w:szCs w:val="22"/>
              </w:rPr>
              <w:t>Table 3.1</w:t>
            </w:r>
            <w:r w:rsidRPr="003E73CD">
              <w:rPr>
                <w:sz w:val="22"/>
                <w:szCs w:val="22"/>
              </w:rPr>
              <w:t>.4.  Studies that performed multivariate Cox regression analyses for factors predictive of overall, or disease-specific, survival in sentinel node positive melanoma patients and accounted for an effect due to total number of positive nodes (n=3).</w:t>
            </w:r>
          </w:p>
          <w:p w14:paraId="34B29C3C" w14:textId="77777777" w:rsidR="00FC3F51" w:rsidRPr="003E73CD" w:rsidRDefault="00FC3F51" w:rsidP="00FC3F51"/>
        </w:tc>
        <w:tc>
          <w:tcPr>
            <w:tcW w:w="753" w:type="dxa"/>
          </w:tcPr>
          <w:p w14:paraId="43208B5B" w14:textId="77777777" w:rsidR="00FC3F51" w:rsidRPr="003E73CD" w:rsidRDefault="00FC3F51" w:rsidP="00FC3F51">
            <w:r>
              <w:t>130</w:t>
            </w:r>
          </w:p>
        </w:tc>
      </w:tr>
      <w:tr w:rsidR="00FC3F51" w:rsidRPr="002242E8" w14:paraId="60107245" w14:textId="77777777" w:rsidTr="00FC3F51">
        <w:tc>
          <w:tcPr>
            <w:tcW w:w="7763" w:type="dxa"/>
          </w:tcPr>
          <w:p w14:paraId="4F7CD998" w14:textId="77777777" w:rsidR="00FC3F51" w:rsidRPr="002242E8" w:rsidRDefault="00FC3F51" w:rsidP="00FC3F51">
            <w:pPr>
              <w:rPr>
                <w:sz w:val="22"/>
                <w:szCs w:val="22"/>
              </w:rPr>
            </w:pPr>
            <w:r>
              <w:rPr>
                <w:sz w:val="22"/>
                <w:szCs w:val="22"/>
              </w:rPr>
              <w:t>Table 3.1</w:t>
            </w:r>
            <w:r w:rsidRPr="002242E8">
              <w:rPr>
                <w:sz w:val="22"/>
                <w:szCs w:val="22"/>
              </w:rPr>
              <w:t>.5.  Quantitative quality assessment of included studies (n=11) against checklist scoring system developed from the STROBE statement checklist.</w:t>
            </w:r>
          </w:p>
          <w:p w14:paraId="03B46AAC" w14:textId="77777777" w:rsidR="00FC3F51" w:rsidRPr="002242E8" w:rsidRDefault="00FC3F51" w:rsidP="00FC3F51">
            <w:pPr>
              <w:rPr>
                <w:sz w:val="22"/>
                <w:szCs w:val="22"/>
              </w:rPr>
            </w:pPr>
          </w:p>
        </w:tc>
        <w:tc>
          <w:tcPr>
            <w:tcW w:w="753" w:type="dxa"/>
          </w:tcPr>
          <w:p w14:paraId="3B6D02C7" w14:textId="77777777" w:rsidR="00FC3F51" w:rsidRPr="002242E8" w:rsidRDefault="00FC3F51" w:rsidP="00FC3F51">
            <w:pPr>
              <w:rPr>
                <w:sz w:val="22"/>
                <w:szCs w:val="22"/>
              </w:rPr>
            </w:pPr>
            <w:r>
              <w:rPr>
                <w:sz w:val="22"/>
                <w:szCs w:val="22"/>
              </w:rPr>
              <w:t>131</w:t>
            </w:r>
          </w:p>
        </w:tc>
      </w:tr>
      <w:tr w:rsidR="00FC3F51" w:rsidRPr="003E73CD" w14:paraId="5DDA881A" w14:textId="77777777" w:rsidTr="00FC3F51">
        <w:tc>
          <w:tcPr>
            <w:tcW w:w="7763" w:type="dxa"/>
          </w:tcPr>
          <w:p w14:paraId="71FCA312" w14:textId="77777777" w:rsidR="00FC3F51" w:rsidRPr="003E73CD" w:rsidRDefault="00FC3F51" w:rsidP="00FC3F51">
            <w:pPr>
              <w:rPr>
                <w:sz w:val="22"/>
              </w:rPr>
            </w:pPr>
            <w:r>
              <w:rPr>
                <w:sz w:val="22"/>
              </w:rPr>
              <w:t>Table 3.2</w:t>
            </w:r>
            <w:r w:rsidRPr="003E73CD">
              <w:rPr>
                <w:sz w:val="22"/>
              </w:rPr>
              <w:t>.1.  Exclusion criteria and numbers excluded.</w:t>
            </w:r>
          </w:p>
          <w:p w14:paraId="0408D9DC" w14:textId="77777777" w:rsidR="00FC3F51" w:rsidRPr="003E73CD" w:rsidRDefault="00FC3F51" w:rsidP="00FC3F51"/>
        </w:tc>
        <w:tc>
          <w:tcPr>
            <w:tcW w:w="753" w:type="dxa"/>
          </w:tcPr>
          <w:p w14:paraId="629A8B2F" w14:textId="77777777" w:rsidR="00FC3F51" w:rsidRPr="003E73CD" w:rsidRDefault="00FC3F51" w:rsidP="00FC3F51">
            <w:r>
              <w:t>141</w:t>
            </w:r>
          </w:p>
        </w:tc>
      </w:tr>
      <w:tr w:rsidR="00FC3F51" w:rsidRPr="003E73CD" w14:paraId="01895E0A" w14:textId="77777777" w:rsidTr="00FC3F51">
        <w:tc>
          <w:tcPr>
            <w:tcW w:w="7763" w:type="dxa"/>
          </w:tcPr>
          <w:p w14:paraId="23A43B38" w14:textId="77777777" w:rsidR="00FC3F51" w:rsidRPr="003E73CD" w:rsidRDefault="00FC3F51" w:rsidP="00FC3F51">
            <w:pPr>
              <w:rPr>
                <w:sz w:val="22"/>
              </w:rPr>
            </w:pPr>
            <w:r>
              <w:rPr>
                <w:sz w:val="22"/>
              </w:rPr>
              <w:t>Table 3.2</w:t>
            </w:r>
            <w:r w:rsidRPr="003E73CD">
              <w:rPr>
                <w:sz w:val="22"/>
              </w:rPr>
              <w:t>.2. Characteristics of study patients (n=323).</w:t>
            </w:r>
          </w:p>
          <w:p w14:paraId="6E808ACA" w14:textId="77777777" w:rsidR="00FC3F51" w:rsidRPr="003E73CD" w:rsidRDefault="00FC3F51" w:rsidP="00FC3F51"/>
        </w:tc>
        <w:tc>
          <w:tcPr>
            <w:tcW w:w="753" w:type="dxa"/>
          </w:tcPr>
          <w:p w14:paraId="5459511B" w14:textId="77777777" w:rsidR="00FC3F51" w:rsidRPr="003E73CD" w:rsidRDefault="00FC3F51" w:rsidP="00FC3F51">
            <w:r>
              <w:t>142</w:t>
            </w:r>
          </w:p>
        </w:tc>
      </w:tr>
      <w:tr w:rsidR="00FC3F51" w:rsidRPr="003E73CD" w14:paraId="4AAAAE6B" w14:textId="77777777" w:rsidTr="00FC3F51">
        <w:tc>
          <w:tcPr>
            <w:tcW w:w="7763" w:type="dxa"/>
          </w:tcPr>
          <w:p w14:paraId="0DE96853" w14:textId="77777777" w:rsidR="00FC3F51" w:rsidRPr="003E73CD" w:rsidRDefault="00FC3F51" w:rsidP="00FC3F51">
            <w:pPr>
              <w:rPr>
                <w:sz w:val="22"/>
              </w:rPr>
            </w:pPr>
            <w:r>
              <w:rPr>
                <w:sz w:val="22"/>
              </w:rPr>
              <w:t>Table 3.2</w:t>
            </w:r>
            <w:r w:rsidRPr="003E73CD">
              <w:rPr>
                <w:sz w:val="22"/>
              </w:rPr>
              <w:t>.3. Distribution of positive nodes within the study population.</w:t>
            </w:r>
          </w:p>
          <w:p w14:paraId="4E53DE97" w14:textId="77777777" w:rsidR="00FC3F51" w:rsidRPr="003E73CD" w:rsidRDefault="00FC3F51" w:rsidP="00FC3F51">
            <w:pPr>
              <w:rPr>
                <w:sz w:val="22"/>
              </w:rPr>
            </w:pPr>
          </w:p>
        </w:tc>
        <w:tc>
          <w:tcPr>
            <w:tcW w:w="753" w:type="dxa"/>
          </w:tcPr>
          <w:p w14:paraId="028F332B" w14:textId="77777777" w:rsidR="00FC3F51" w:rsidRPr="003E73CD" w:rsidRDefault="00FC3F51" w:rsidP="00FC3F51">
            <w:r>
              <w:t>143</w:t>
            </w:r>
          </w:p>
        </w:tc>
      </w:tr>
      <w:tr w:rsidR="00FC3F51" w:rsidRPr="003E73CD" w14:paraId="3473EEFB" w14:textId="77777777" w:rsidTr="00FC3F51">
        <w:tc>
          <w:tcPr>
            <w:tcW w:w="7763" w:type="dxa"/>
          </w:tcPr>
          <w:p w14:paraId="10F228C0" w14:textId="77777777" w:rsidR="00FC3F51" w:rsidRPr="003E73CD" w:rsidRDefault="00FC3F51" w:rsidP="00FC3F51">
            <w:pPr>
              <w:pStyle w:val="Footer"/>
              <w:tabs>
                <w:tab w:val="clear" w:pos="4320"/>
                <w:tab w:val="clear" w:pos="8640"/>
              </w:tabs>
              <w:rPr>
                <w:sz w:val="22"/>
              </w:rPr>
            </w:pPr>
            <w:r>
              <w:rPr>
                <w:sz w:val="22"/>
              </w:rPr>
              <w:t>Table 3.2</w:t>
            </w:r>
            <w:r w:rsidRPr="003E73CD">
              <w:rPr>
                <w:sz w:val="22"/>
              </w:rPr>
              <w:t>.4. Cox regression models for melanoma patients with positive sentinel nodes (n=301).</w:t>
            </w:r>
          </w:p>
          <w:p w14:paraId="35120B1E" w14:textId="77777777" w:rsidR="00FC3F51" w:rsidRPr="003E73CD" w:rsidRDefault="00FC3F51" w:rsidP="00FC3F51">
            <w:pPr>
              <w:pStyle w:val="Footer"/>
              <w:tabs>
                <w:tab w:val="clear" w:pos="4320"/>
                <w:tab w:val="clear" w:pos="8640"/>
              </w:tabs>
              <w:rPr>
                <w:sz w:val="22"/>
              </w:rPr>
            </w:pPr>
          </w:p>
        </w:tc>
        <w:tc>
          <w:tcPr>
            <w:tcW w:w="753" w:type="dxa"/>
          </w:tcPr>
          <w:p w14:paraId="10414EAD" w14:textId="77777777" w:rsidR="00FC3F51" w:rsidRPr="003E73CD" w:rsidRDefault="00FC3F51" w:rsidP="00FC3F51">
            <w:r>
              <w:t>144</w:t>
            </w:r>
          </w:p>
        </w:tc>
      </w:tr>
      <w:tr w:rsidR="00FC3F51" w:rsidRPr="003E73CD" w14:paraId="4D695B4C" w14:textId="77777777" w:rsidTr="00FC3F51">
        <w:tc>
          <w:tcPr>
            <w:tcW w:w="7763" w:type="dxa"/>
          </w:tcPr>
          <w:p w14:paraId="5EA3EC7F" w14:textId="77777777" w:rsidR="00FC3F51" w:rsidRPr="003E73CD" w:rsidRDefault="00FC3F51" w:rsidP="00FC3F51">
            <w:pPr>
              <w:rPr>
                <w:sz w:val="22"/>
              </w:rPr>
            </w:pPr>
            <w:r>
              <w:rPr>
                <w:sz w:val="22"/>
              </w:rPr>
              <w:t>Table 3.2</w:t>
            </w:r>
            <w:r w:rsidRPr="003E73CD">
              <w:rPr>
                <w:sz w:val="22"/>
              </w:rPr>
              <w:t>.5. Distributions of characteristics and logistic model results regarding presence of positive non-sentinel nodes (NSNs)</w:t>
            </w:r>
          </w:p>
          <w:p w14:paraId="51B4B1C2" w14:textId="77777777" w:rsidR="00FC3F51" w:rsidRPr="003E73CD" w:rsidRDefault="00FC3F51" w:rsidP="00FC3F51"/>
        </w:tc>
        <w:tc>
          <w:tcPr>
            <w:tcW w:w="753" w:type="dxa"/>
          </w:tcPr>
          <w:p w14:paraId="1C142F5A" w14:textId="77777777" w:rsidR="00FC3F51" w:rsidRPr="003E73CD" w:rsidRDefault="00FC3F51" w:rsidP="00FC3F51">
            <w:r>
              <w:t>149</w:t>
            </w:r>
          </w:p>
        </w:tc>
      </w:tr>
      <w:tr w:rsidR="00FC3F51" w:rsidRPr="003E73CD" w14:paraId="1F19BE71" w14:textId="77777777" w:rsidTr="00FC3F51">
        <w:tc>
          <w:tcPr>
            <w:tcW w:w="7763" w:type="dxa"/>
          </w:tcPr>
          <w:p w14:paraId="5DE05703" w14:textId="77777777" w:rsidR="00FC3F51" w:rsidRPr="003E73CD" w:rsidRDefault="00FC3F51" w:rsidP="00FC3F51">
            <w:pPr>
              <w:rPr>
                <w:sz w:val="22"/>
                <w:szCs w:val="22"/>
              </w:rPr>
            </w:pPr>
            <w:r>
              <w:rPr>
                <w:sz w:val="22"/>
                <w:szCs w:val="22"/>
              </w:rPr>
              <w:t>Table 3.3</w:t>
            </w:r>
            <w:r w:rsidRPr="003E73CD">
              <w:rPr>
                <w:sz w:val="22"/>
                <w:szCs w:val="22"/>
              </w:rPr>
              <w:t>.1.  Prognostic tools that are available to estimate prognosis for sentinel node positive melanoma patients.</w:t>
            </w:r>
          </w:p>
          <w:p w14:paraId="0276F738" w14:textId="77777777" w:rsidR="00FC3F51" w:rsidRPr="003E73CD" w:rsidRDefault="00FC3F51" w:rsidP="00FC3F51">
            <w:pPr>
              <w:rPr>
                <w:sz w:val="22"/>
                <w:szCs w:val="22"/>
              </w:rPr>
            </w:pPr>
          </w:p>
        </w:tc>
        <w:tc>
          <w:tcPr>
            <w:tcW w:w="753" w:type="dxa"/>
          </w:tcPr>
          <w:p w14:paraId="28F6CCC1" w14:textId="77777777" w:rsidR="00FC3F51" w:rsidRPr="003E73CD" w:rsidRDefault="00FC3F51" w:rsidP="00FC3F51">
            <w:r>
              <w:t>162</w:t>
            </w:r>
          </w:p>
        </w:tc>
      </w:tr>
      <w:tr w:rsidR="00FC3F51" w:rsidRPr="003E73CD" w14:paraId="35945C3F" w14:textId="77777777" w:rsidTr="00FC3F51">
        <w:tc>
          <w:tcPr>
            <w:tcW w:w="7763" w:type="dxa"/>
          </w:tcPr>
          <w:p w14:paraId="39ABB39E" w14:textId="77777777" w:rsidR="00FC3F51" w:rsidRPr="003E73CD" w:rsidRDefault="00FC3F51" w:rsidP="00FC3F51">
            <w:pPr>
              <w:rPr>
                <w:sz w:val="22"/>
                <w:szCs w:val="22"/>
              </w:rPr>
            </w:pPr>
            <w:r>
              <w:rPr>
                <w:sz w:val="22"/>
                <w:szCs w:val="22"/>
              </w:rPr>
              <w:t>Table 3.3</w:t>
            </w:r>
            <w:r w:rsidRPr="003E73CD">
              <w:rPr>
                <w:sz w:val="22"/>
                <w:szCs w:val="22"/>
              </w:rPr>
              <w:t>.2.  Characteristics of the study patients (n=44) compared to the original Australian population (n=323) on which survival tree was based.</w:t>
            </w:r>
          </w:p>
          <w:p w14:paraId="0B168194" w14:textId="77777777" w:rsidR="00FC3F51" w:rsidRPr="003E73CD" w:rsidRDefault="00FC3F51" w:rsidP="00FC3F51">
            <w:pPr>
              <w:rPr>
                <w:sz w:val="22"/>
                <w:szCs w:val="22"/>
              </w:rPr>
            </w:pPr>
          </w:p>
        </w:tc>
        <w:tc>
          <w:tcPr>
            <w:tcW w:w="753" w:type="dxa"/>
          </w:tcPr>
          <w:p w14:paraId="7975C1AF" w14:textId="77777777" w:rsidR="00FC3F51" w:rsidRPr="003E73CD" w:rsidRDefault="00FC3F51" w:rsidP="00FC3F51">
            <w:r>
              <w:t>166</w:t>
            </w:r>
          </w:p>
        </w:tc>
      </w:tr>
      <w:tr w:rsidR="00FC3F51" w:rsidRPr="003E73CD" w14:paraId="5596A22C" w14:textId="77777777" w:rsidTr="00FC3F51">
        <w:tc>
          <w:tcPr>
            <w:tcW w:w="7763" w:type="dxa"/>
          </w:tcPr>
          <w:p w14:paraId="17A3B887" w14:textId="77777777" w:rsidR="00FC3F51" w:rsidRPr="003E73CD" w:rsidRDefault="00FC3F51" w:rsidP="00FC3F51">
            <w:pPr>
              <w:rPr>
                <w:sz w:val="22"/>
                <w:szCs w:val="22"/>
              </w:rPr>
            </w:pPr>
            <w:r>
              <w:rPr>
                <w:sz w:val="22"/>
                <w:szCs w:val="22"/>
              </w:rPr>
              <w:t>Table 3.3</w:t>
            </w:r>
            <w:r w:rsidRPr="003E73CD">
              <w:rPr>
                <w:sz w:val="22"/>
                <w:szCs w:val="22"/>
              </w:rPr>
              <w:t>.3.  The distribution of positive nodes within the study population.</w:t>
            </w:r>
          </w:p>
          <w:p w14:paraId="7EEACC23" w14:textId="77777777" w:rsidR="00FC3F51" w:rsidRPr="003E73CD" w:rsidRDefault="00FC3F51" w:rsidP="00FC3F51">
            <w:pPr>
              <w:rPr>
                <w:sz w:val="22"/>
                <w:szCs w:val="22"/>
              </w:rPr>
            </w:pPr>
          </w:p>
        </w:tc>
        <w:tc>
          <w:tcPr>
            <w:tcW w:w="753" w:type="dxa"/>
          </w:tcPr>
          <w:p w14:paraId="10A6444B" w14:textId="77777777" w:rsidR="00FC3F51" w:rsidRPr="003E73CD" w:rsidRDefault="00FC3F51" w:rsidP="00FC3F51">
            <w:r>
              <w:t>167</w:t>
            </w:r>
          </w:p>
        </w:tc>
      </w:tr>
      <w:tr w:rsidR="00FC3F51" w:rsidRPr="003E73CD" w14:paraId="06DA9E31" w14:textId="77777777" w:rsidTr="00FC3F51">
        <w:tc>
          <w:tcPr>
            <w:tcW w:w="7763" w:type="dxa"/>
          </w:tcPr>
          <w:p w14:paraId="0ED86347" w14:textId="77777777" w:rsidR="00FC3F51" w:rsidRPr="003E73CD" w:rsidRDefault="00FC3F51" w:rsidP="00FC3F51">
            <w:pPr>
              <w:rPr>
                <w:sz w:val="22"/>
                <w:szCs w:val="22"/>
              </w:rPr>
            </w:pPr>
            <w:r>
              <w:rPr>
                <w:sz w:val="22"/>
                <w:szCs w:val="22"/>
              </w:rPr>
              <w:t>Table 3.3</w:t>
            </w:r>
            <w:r w:rsidRPr="003E73CD">
              <w:rPr>
                <w:sz w:val="22"/>
                <w:szCs w:val="22"/>
              </w:rPr>
              <w:t>.4. Survival and recurrence by survival tree group.</w:t>
            </w:r>
          </w:p>
          <w:p w14:paraId="1E6566D9" w14:textId="77777777" w:rsidR="00FC3F51" w:rsidRPr="003E73CD" w:rsidRDefault="00FC3F51" w:rsidP="00FC3F51">
            <w:pPr>
              <w:rPr>
                <w:sz w:val="22"/>
                <w:szCs w:val="22"/>
              </w:rPr>
            </w:pPr>
          </w:p>
        </w:tc>
        <w:tc>
          <w:tcPr>
            <w:tcW w:w="753" w:type="dxa"/>
          </w:tcPr>
          <w:p w14:paraId="33275452" w14:textId="77777777" w:rsidR="00FC3F51" w:rsidRPr="003E73CD" w:rsidRDefault="00FC3F51" w:rsidP="00FC3F51">
            <w:r>
              <w:t>167</w:t>
            </w:r>
          </w:p>
        </w:tc>
      </w:tr>
      <w:tr w:rsidR="00FC3F51" w:rsidRPr="003E73CD" w14:paraId="4BBEEFA5" w14:textId="77777777" w:rsidTr="00FC3F51">
        <w:tc>
          <w:tcPr>
            <w:tcW w:w="7763" w:type="dxa"/>
          </w:tcPr>
          <w:p w14:paraId="0BF36D75" w14:textId="77777777" w:rsidR="00FC3F51" w:rsidRPr="003E73CD" w:rsidRDefault="00FC3F51" w:rsidP="00FC3F51">
            <w:pPr>
              <w:widowControl w:val="0"/>
              <w:autoSpaceDE w:val="0"/>
              <w:autoSpaceDN w:val="0"/>
              <w:adjustRightInd w:val="0"/>
              <w:rPr>
                <w:rFonts w:asciiTheme="minorHAnsi" w:eastAsiaTheme="minorEastAsia" w:hAnsiTheme="minorHAnsi"/>
                <w:sz w:val="22"/>
                <w:szCs w:val="22"/>
              </w:rPr>
            </w:pPr>
            <w:r>
              <w:rPr>
                <w:rFonts w:asciiTheme="minorHAnsi" w:eastAsiaTheme="minorEastAsia" w:hAnsiTheme="minorHAnsi"/>
                <w:sz w:val="22"/>
                <w:szCs w:val="22"/>
              </w:rPr>
              <w:t>Table 3.3</w:t>
            </w:r>
            <w:r w:rsidRPr="003E73CD">
              <w:rPr>
                <w:rFonts w:asciiTheme="minorHAnsi" w:eastAsiaTheme="minorEastAsia" w:hAnsiTheme="minorHAnsi"/>
                <w:sz w:val="22"/>
                <w:szCs w:val="22"/>
              </w:rPr>
              <w:t>.5. Actual survival compared with predicted survival according to the survival tree model.</w:t>
            </w:r>
          </w:p>
          <w:p w14:paraId="14BAE910" w14:textId="77777777" w:rsidR="00FC3F51" w:rsidRPr="003E73CD" w:rsidRDefault="00FC3F51" w:rsidP="00FC3F51">
            <w:pPr>
              <w:widowControl w:val="0"/>
              <w:autoSpaceDE w:val="0"/>
              <w:autoSpaceDN w:val="0"/>
              <w:adjustRightInd w:val="0"/>
              <w:rPr>
                <w:rFonts w:asciiTheme="minorHAnsi" w:eastAsiaTheme="minorEastAsia" w:hAnsiTheme="minorHAnsi"/>
                <w:sz w:val="22"/>
                <w:szCs w:val="22"/>
              </w:rPr>
            </w:pPr>
          </w:p>
        </w:tc>
        <w:tc>
          <w:tcPr>
            <w:tcW w:w="753" w:type="dxa"/>
          </w:tcPr>
          <w:p w14:paraId="618BD032" w14:textId="77777777" w:rsidR="00FC3F51" w:rsidRPr="003E73CD" w:rsidRDefault="00FC3F51" w:rsidP="00FC3F51">
            <w:r>
              <w:t>169</w:t>
            </w:r>
          </w:p>
        </w:tc>
      </w:tr>
      <w:tr w:rsidR="00FC3F51" w:rsidRPr="003E73CD" w14:paraId="0340CE07" w14:textId="77777777" w:rsidTr="00FC3F51">
        <w:tc>
          <w:tcPr>
            <w:tcW w:w="7763" w:type="dxa"/>
          </w:tcPr>
          <w:p w14:paraId="76FC72D7" w14:textId="77777777" w:rsidR="00FC3F51" w:rsidRPr="003E73CD" w:rsidRDefault="00FC3F51" w:rsidP="00FC3F51">
            <w:pPr>
              <w:rPr>
                <w:rFonts w:asciiTheme="minorHAnsi" w:eastAsiaTheme="minorEastAsia" w:hAnsiTheme="minorHAnsi"/>
                <w:sz w:val="22"/>
                <w:szCs w:val="22"/>
              </w:rPr>
            </w:pPr>
            <w:r>
              <w:rPr>
                <w:rFonts w:asciiTheme="minorHAnsi" w:eastAsiaTheme="minorEastAsia" w:hAnsiTheme="minorHAnsi"/>
                <w:sz w:val="22"/>
                <w:szCs w:val="22"/>
              </w:rPr>
              <w:t>Table 3.3</w:t>
            </w:r>
            <w:r w:rsidRPr="003E73CD">
              <w:rPr>
                <w:rFonts w:asciiTheme="minorHAnsi" w:eastAsiaTheme="minorEastAsia" w:hAnsiTheme="minorHAnsi"/>
                <w:sz w:val="22"/>
                <w:szCs w:val="22"/>
              </w:rPr>
              <w:t>.6. Estimated 5-year survival and distribution of subjects for the test population grouped by the survival tree model and the 3 online prognostic calculators (AJCC endorsed, Lifemath.net and melanomacalculator.com).</w:t>
            </w:r>
          </w:p>
          <w:p w14:paraId="4DCEA382" w14:textId="77777777" w:rsidR="00FC3F51" w:rsidRPr="003E73CD" w:rsidRDefault="00FC3F51" w:rsidP="00FC3F51">
            <w:pPr>
              <w:rPr>
                <w:rFonts w:asciiTheme="minorHAnsi" w:eastAsiaTheme="minorEastAsia" w:hAnsiTheme="minorHAnsi"/>
                <w:sz w:val="22"/>
                <w:szCs w:val="22"/>
              </w:rPr>
            </w:pPr>
          </w:p>
        </w:tc>
        <w:tc>
          <w:tcPr>
            <w:tcW w:w="753" w:type="dxa"/>
          </w:tcPr>
          <w:p w14:paraId="0B638061" w14:textId="77777777" w:rsidR="00FC3F51" w:rsidRPr="003E73CD" w:rsidRDefault="00FC3F51" w:rsidP="00FC3F51">
            <w:r>
              <w:t>175</w:t>
            </w:r>
          </w:p>
        </w:tc>
      </w:tr>
      <w:tr w:rsidR="00FC3F51" w:rsidRPr="003E73CD" w14:paraId="6D10CFA2" w14:textId="77777777" w:rsidTr="00FC3F51">
        <w:tc>
          <w:tcPr>
            <w:tcW w:w="7763" w:type="dxa"/>
          </w:tcPr>
          <w:p w14:paraId="682C8C47" w14:textId="77777777" w:rsidR="00FC3F51" w:rsidRPr="003E73CD" w:rsidRDefault="00FC3F51" w:rsidP="00FC3F51">
            <w:pPr>
              <w:rPr>
                <w:sz w:val="22"/>
                <w:szCs w:val="22"/>
              </w:rPr>
            </w:pPr>
            <w:r>
              <w:rPr>
                <w:sz w:val="22"/>
                <w:szCs w:val="22"/>
              </w:rPr>
              <w:t>Table 3.3</w:t>
            </w:r>
            <w:r w:rsidRPr="003E73CD">
              <w:rPr>
                <w:sz w:val="22"/>
                <w:szCs w:val="22"/>
              </w:rPr>
              <w:t>.7.  Potential patterns of occult metastasis following wide excision and sentinel node biopsy with completion lymph node dissection for sentinel node positive nodal basins.</w:t>
            </w:r>
          </w:p>
          <w:p w14:paraId="100E604E" w14:textId="77777777" w:rsidR="00FC3F51" w:rsidRPr="003E73CD" w:rsidRDefault="00FC3F51" w:rsidP="00FC3F51">
            <w:pPr>
              <w:rPr>
                <w:rFonts w:asciiTheme="minorHAnsi" w:eastAsiaTheme="minorEastAsia" w:hAnsiTheme="minorHAnsi"/>
                <w:sz w:val="22"/>
                <w:szCs w:val="22"/>
              </w:rPr>
            </w:pPr>
          </w:p>
        </w:tc>
        <w:tc>
          <w:tcPr>
            <w:tcW w:w="753" w:type="dxa"/>
          </w:tcPr>
          <w:p w14:paraId="12915905" w14:textId="77777777" w:rsidR="00FC3F51" w:rsidRPr="003E73CD" w:rsidRDefault="00FC3F51" w:rsidP="00FC3F51">
            <w:r>
              <w:t>178</w:t>
            </w:r>
          </w:p>
        </w:tc>
      </w:tr>
    </w:tbl>
    <w:p w14:paraId="38FA6A3F" w14:textId="77777777" w:rsidR="00FC3F51" w:rsidRPr="003E73CD" w:rsidRDefault="00FC3F51" w:rsidP="00FC3F51">
      <w:pPr>
        <w:rPr>
          <w:rFonts w:asciiTheme="minorHAnsi" w:hAnsiTheme="minorHAnsi"/>
          <w:b/>
          <w:sz w:val="28"/>
          <w:szCs w:val="28"/>
        </w:rPr>
      </w:pPr>
      <w:r w:rsidRPr="003E73CD">
        <w:rPr>
          <w:rFonts w:asciiTheme="minorHAnsi" w:hAnsiTheme="minorHAnsi"/>
          <w:b/>
          <w:sz w:val="28"/>
          <w:szCs w:val="28"/>
        </w:rPr>
        <w:br w:type="page"/>
      </w:r>
    </w:p>
    <w:p w14:paraId="79CAB80B" w14:textId="77777777" w:rsidR="00FC3F51" w:rsidRPr="003E73CD" w:rsidRDefault="00FC3F51" w:rsidP="00FC3F51">
      <w:pPr>
        <w:spacing w:line="480" w:lineRule="auto"/>
        <w:rPr>
          <w:rFonts w:asciiTheme="minorHAnsi" w:hAnsiTheme="minorHAnsi"/>
          <w:sz w:val="22"/>
          <w:szCs w:val="22"/>
        </w:rPr>
      </w:pPr>
      <w:r w:rsidRPr="003E73CD">
        <w:rPr>
          <w:rFonts w:asciiTheme="minorHAnsi" w:hAnsiTheme="minorHAnsi"/>
          <w:b/>
          <w:sz w:val="28"/>
          <w:szCs w:val="28"/>
        </w:rPr>
        <w:t>List of abbreviations</w:t>
      </w:r>
    </w:p>
    <w:p w14:paraId="710370EF" w14:textId="77777777" w:rsidR="00FC3F51" w:rsidRPr="003E73CD" w:rsidRDefault="00FC3F51" w:rsidP="00FC3F51">
      <w:pPr>
        <w:spacing w:line="480" w:lineRule="auto"/>
        <w:rPr>
          <w:rFonts w:asciiTheme="minorHAnsi" w:hAnsiTheme="minorHAnsi"/>
          <w:sz w:val="22"/>
          <w:szCs w:val="22"/>
        </w:rPr>
      </w:pPr>
      <w:r w:rsidRPr="003E73CD">
        <w:rPr>
          <w:rFonts w:asciiTheme="minorHAnsi" w:hAnsiTheme="minorHAnsi"/>
          <w:sz w:val="22"/>
          <w:szCs w:val="22"/>
        </w:rPr>
        <w:t>AJCC – American Joint Committee against Cancer</w:t>
      </w:r>
    </w:p>
    <w:p w14:paraId="2C10733E" w14:textId="77777777" w:rsidR="00FC3F51" w:rsidRPr="003E73CD" w:rsidRDefault="00FC3F51" w:rsidP="00FC3F51">
      <w:pPr>
        <w:spacing w:line="480" w:lineRule="auto"/>
        <w:rPr>
          <w:rFonts w:asciiTheme="minorHAnsi" w:hAnsiTheme="minorHAnsi"/>
          <w:sz w:val="22"/>
          <w:szCs w:val="22"/>
        </w:rPr>
      </w:pPr>
      <w:r w:rsidRPr="003E73CD">
        <w:rPr>
          <w:rFonts w:asciiTheme="minorHAnsi" w:hAnsiTheme="minorHAnsi"/>
          <w:sz w:val="22"/>
          <w:szCs w:val="22"/>
        </w:rPr>
        <w:t>CI – Confi</w:t>
      </w:r>
      <w:r>
        <w:rPr>
          <w:rFonts w:asciiTheme="minorHAnsi" w:hAnsiTheme="minorHAnsi"/>
          <w:sz w:val="22"/>
          <w:szCs w:val="22"/>
        </w:rPr>
        <w:t>dence Interval</w:t>
      </w:r>
    </w:p>
    <w:p w14:paraId="0E21D317" w14:textId="77777777" w:rsidR="00FC3F51" w:rsidRPr="003E73CD" w:rsidRDefault="00FC3F51" w:rsidP="00FC3F51">
      <w:pPr>
        <w:spacing w:line="480" w:lineRule="auto"/>
        <w:rPr>
          <w:rFonts w:asciiTheme="minorHAnsi" w:hAnsiTheme="minorHAnsi"/>
          <w:sz w:val="22"/>
          <w:szCs w:val="22"/>
        </w:rPr>
      </w:pPr>
      <w:r w:rsidRPr="003E73CD">
        <w:rPr>
          <w:rFonts w:asciiTheme="minorHAnsi" w:hAnsiTheme="minorHAnsi"/>
          <w:sz w:val="22"/>
          <w:szCs w:val="22"/>
        </w:rPr>
        <w:t>CLND – Completion lymph node dissection</w:t>
      </w:r>
    </w:p>
    <w:p w14:paraId="42ABCA5C" w14:textId="77777777" w:rsidR="00FC3F51" w:rsidRPr="003E73CD" w:rsidRDefault="00FC3F51" w:rsidP="00FC3F51">
      <w:pPr>
        <w:spacing w:line="480" w:lineRule="auto"/>
        <w:rPr>
          <w:rFonts w:asciiTheme="minorHAnsi" w:hAnsiTheme="minorHAnsi"/>
          <w:sz w:val="22"/>
          <w:szCs w:val="22"/>
        </w:rPr>
      </w:pPr>
      <w:r w:rsidRPr="003E73CD">
        <w:rPr>
          <w:rFonts w:asciiTheme="minorHAnsi" w:hAnsiTheme="minorHAnsi"/>
          <w:sz w:val="22"/>
          <w:szCs w:val="22"/>
        </w:rPr>
        <w:t>CT – Computed Tomography</w:t>
      </w:r>
    </w:p>
    <w:p w14:paraId="537EFD51" w14:textId="77777777" w:rsidR="00FC3F51" w:rsidRPr="003E73CD" w:rsidRDefault="00FC3F51" w:rsidP="00FC3F51">
      <w:pPr>
        <w:spacing w:line="480" w:lineRule="auto"/>
        <w:rPr>
          <w:rFonts w:asciiTheme="minorHAnsi" w:hAnsiTheme="minorHAnsi"/>
          <w:sz w:val="22"/>
          <w:szCs w:val="22"/>
        </w:rPr>
      </w:pPr>
      <w:r w:rsidRPr="003E73CD">
        <w:rPr>
          <w:rFonts w:asciiTheme="minorHAnsi" w:hAnsiTheme="minorHAnsi"/>
          <w:sz w:val="22"/>
          <w:szCs w:val="22"/>
        </w:rPr>
        <w:t>FNA – Fine Needle Aspiration</w:t>
      </w:r>
    </w:p>
    <w:p w14:paraId="49C8FAB8" w14:textId="77777777" w:rsidR="00FC3F51" w:rsidRPr="003E73CD" w:rsidRDefault="00FC3F51" w:rsidP="00FC3F51">
      <w:pPr>
        <w:spacing w:line="480" w:lineRule="auto"/>
        <w:rPr>
          <w:rFonts w:asciiTheme="minorHAnsi" w:hAnsiTheme="minorHAnsi"/>
          <w:sz w:val="22"/>
          <w:szCs w:val="22"/>
        </w:rPr>
      </w:pPr>
      <w:r w:rsidRPr="003E73CD">
        <w:rPr>
          <w:rFonts w:asciiTheme="minorHAnsi" w:hAnsiTheme="minorHAnsi"/>
          <w:sz w:val="22"/>
          <w:szCs w:val="22"/>
        </w:rPr>
        <w:t>H &amp; E – Haematoxylin &amp; Eosin</w:t>
      </w:r>
    </w:p>
    <w:p w14:paraId="3E474D12" w14:textId="77777777" w:rsidR="00FC3F51" w:rsidRPr="003E73CD" w:rsidRDefault="00FC3F51" w:rsidP="00FC3F51">
      <w:pPr>
        <w:spacing w:line="480" w:lineRule="auto"/>
        <w:rPr>
          <w:rFonts w:asciiTheme="minorHAnsi" w:hAnsiTheme="minorHAnsi"/>
          <w:sz w:val="22"/>
          <w:szCs w:val="22"/>
        </w:rPr>
      </w:pPr>
      <w:r w:rsidRPr="003E73CD">
        <w:rPr>
          <w:rFonts w:asciiTheme="minorHAnsi" w:hAnsiTheme="minorHAnsi"/>
          <w:sz w:val="22"/>
          <w:szCs w:val="22"/>
        </w:rPr>
        <w:t>HR – Hazard Ratio</w:t>
      </w:r>
    </w:p>
    <w:p w14:paraId="5064786A" w14:textId="77777777" w:rsidR="00FC3F51" w:rsidRPr="003E73CD" w:rsidRDefault="00FC3F51" w:rsidP="00FC3F51">
      <w:pPr>
        <w:spacing w:line="480" w:lineRule="auto"/>
        <w:rPr>
          <w:rFonts w:asciiTheme="minorHAnsi" w:hAnsiTheme="minorHAnsi"/>
          <w:sz w:val="22"/>
          <w:szCs w:val="22"/>
        </w:rPr>
      </w:pPr>
      <w:r w:rsidRPr="003E73CD">
        <w:rPr>
          <w:rFonts w:asciiTheme="minorHAnsi" w:hAnsiTheme="minorHAnsi"/>
          <w:sz w:val="22"/>
          <w:szCs w:val="22"/>
        </w:rPr>
        <w:t>LDH – La</w:t>
      </w:r>
      <w:r>
        <w:rPr>
          <w:rFonts w:asciiTheme="minorHAnsi" w:hAnsiTheme="minorHAnsi"/>
          <w:sz w:val="22"/>
          <w:szCs w:val="22"/>
        </w:rPr>
        <w:t>ctate de</w:t>
      </w:r>
      <w:r w:rsidRPr="003E73CD">
        <w:rPr>
          <w:rFonts w:asciiTheme="minorHAnsi" w:hAnsiTheme="minorHAnsi"/>
          <w:sz w:val="22"/>
          <w:szCs w:val="22"/>
        </w:rPr>
        <w:t>hydrogenase</w:t>
      </w:r>
    </w:p>
    <w:p w14:paraId="396C6249" w14:textId="77777777" w:rsidR="00FC3F51" w:rsidRPr="003E73CD" w:rsidRDefault="00FC3F51" w:rsidP="00FC3F51">
      <w:pPr>
        <w:spacing w:line="480" w:lineRule="auto"/>
        <w:rPr>
          <w:rFonts w:asciiTheme="minorHAnsi" w:hAnsiTheme="minorHAnsi"/>
          <w:sz w:val="22"/>
          <w:szCs w:val="22"/>
        </w:rPr>
      </w:pPr>
      <w:r w:rsidRPr="003E73CD">
        <w:rPr>
          <w:rFonts w:asciiTheme="minorHAnsi" w:hAnsiTheme="minorHAnsi"/>
          <w:sz w:val="22"/>
          <w:szCs w:val="22"/>
        </w:rPr>
        <w:t>MIA- Melanoma Institute of Australia</w:t>
      </w:r>
    </w:p>
    <w:p w14:paraId="0E0353F4" w14:textId="77777777" w:rsidR="00FC3F51" w:rsidRPr="003E73CD" w:rsidRDefault="00FC3F51" w:rsidP="00FC3F51">
      <w:pPr>
        <w:spacing w:line="480" w:lineRule="auto"/>
        <w:rPr>
          <w:rFonts w:asciiTheme="minorHAnsi" w:hAnsiTheme="minorHAnsi"/>
          <w:sz w:val="22"/>
          <w:szCs w:val="22"/>
        </w:rPr>
      </w:pPr>
      <w:r w:rsidRPr="003E73CD">
        <w:rPr>
          <w:rFonts w:asciiTheme="minorHAnsi" w:hAnsiTheme="minorHAnsi"/>
          <w:sz w:val="22"/>
          <w:szCs w:val="22"/>
        </w:rPr>
        <w:t>MRI – Magnetic Resonance Imaging</w:t>
      </w:r>
    </w:p>
    <w:p w14:paraId="30B86B6B" w14:textId="77777777" w:rsidR="00FC3F51" w:rsidRPr="003E73CD" w:rsidRDefault="00FC3F51" w:rsidP="00FC3F51">
      <w:pPr>
        <w:spacing w:line="480" w:lineRule="auto"/>
        <w:rPr>
          <w:rFonts w:asciiTheme="minorHAnsi" w:hAnsiTheme="minorHAnsi"/>
          <w:sz w:val="22"/>
          <w:szCs w:val="22"/>
        </w:rPr>
      </w:pPr>
      <w:r w:rsidRPr="003E73CD">
        <w:rPr>
          <w:rFonts w:asciiTheme="minorHAnsi" w:hAnsiTheme="minorHAnsi"/>
          <w:sz w:val="22"/>
          <w:szCs w:val="22"/>
        </w:rPr>
        <w:t>MSLT I – The First Multi-centre Lymphadenectomy Trial</w:t>
      </w:r>
    </w:p>
    <w:p w14:paraId="2DFDAF0E" w14:textId="77777777" w:rsidR="00FC3F51" w:rsidRPr="003E73CD" w:rsidRDefault="00FC3F51" w:rsidP="00FC3F51">
      <w:pPr>
        <w:spacing w:line="480" w:lineRule="auto"/>
        <w:rPr>
          <w:rFonts w:asciiTheme="minorHAnsi" w:hAnsiTheme="minorHAnsi"/>
          <w:sz w:val="22"/>
          <w:szCs w:val="22"/>
        </w:rPr>
      </w:pPr>
      <w:r w:rsidRPr="003E73CD">
        <w:rPr>
          <w:rFonts w:asciiTheme="minorHAnsi" w:hAnsiTheme="minorHAnsi"/>
          <w:sz w:val="22"/>
          <w:szCs w:val="22"/>
        </w:rPr>
        <w:t>MSLT II – The Second Multi-centre Lymphadenectomy Trial</w:t>
      </w:r>
    </w:p>
    <w:p w14:paraId="783174FD" w14:textId="77777777" w:rsidR="00FC3F51" w:rsidRDefault="00FC3F51" w:rsidP="00FC3F51">
      <w:pPr>
        <w:spacing w:line="480" w:lineRule="auto"/>
        <w:rPr>
          <w:rFonts w:asciiTheme="minorHAnsi" w:hAnsiTheme="minorHAnsi"/>
          <w:sz w:val="22"/>
          <w:szCs w:val="22"/>
        </w:rPr>
      </w:pPr>
      <w:r w:rsidRPr="003E73CD">
        <w:rPr>
          <w:rFonts w:asciiTheme="minorHAnsi" w:hAnsiTheme="minorHAnsi"/>
          <w:sz w:val="22"/>
          <w:szCs w:val="22"/>
        </w:rPr>
        <w:t>NSN – Non</w:t>
      </w:r>
      <w:r>
        <w:rPr>
          <w:rFonts w:asciiTheme="minorHAnsi" w:hAnsiTheme="minorHAnsi"/>
          <w:sz w:val="22"/>
          <w:szCs w:val="22"/>
        </w:rPr>
        <w:t>-</w:t>
      </w:r>
      <w:r w:rsidRPr="003E73CD">
        <w:rPr>
          <w:rFonts w:asciiTheme="minorHAnsi" w:hAnsiTheme="minorHAnsi"/>
          <w:sz w:val="22"/>
          <w:szCs w:val="22"/>
        </w:rPr>
        <w:t>sentinel node</w:t>
      </w:r>
    </w:p>
    <w:p w14:paraId="1C620400" w14:textId="77777777" w:rsidR="00FC3F51" w:rsidRPr="003E73CD" w:rsidRDefault="00FC3F51" w:rsidP="00FC3F51">
      <w:pPr>
        <w:spacing w:line="480" w:lineRule="auto"/>
        <w:rPr>
          <w:rFonts w:asciiTheme="minorHAnsi" w:hAnsiTheme="minorHAnsi"/>
          <w:sz w:val="22"/>
          <w:szCs w:val="22"/>
        </w:rPr>
      </w:pPr>
      <w:r w:rsidRPr="003E73CD">
        <w:rPr>
          <w:rFonts w:asciiTheme="minorHAnsi" w:hAnsiTheme="minorHAnsi"/>
          <w:sz w:val="22"/>
          <w:szCs w:val="22"/>
        </w:rPr>
        <w:t>PET – Positron Emission Tomography</w:t>
      </w:r>
    </w:p>
    <w:p w14:paraId="774031AA" w14:textId="77777777" w:rsidR="00FC3F51" w:rsidRPr="003E73CD" w:rsidRDefault="00FC3F51" w:rsidP="00FC3F51">
      <w:pPr>
        <w:spacing w:line="480" w:lineRule="auto"/>
        <w:rPr>
          <w:rFonts w:asciiTheme="minorHAnsi" w:hAnsiTheme="minorHAnsi"/>
          <w:sz w:val="22"/>
          <w:szCs w:val="22"/>
        </w:rPr>
      </w:pPr>
      <w:r w:rsidRPr="003E73CD">
        <w:rPr>
          <w:rFonts w:asciiTheme="minorHAnsi" w:hAnsiTheme="minorHAnsi"/>
          <w:sz w:val="22"/>
          <w:szCs w:val="22"/>
        </w:rPr>
        <w:t>SMU – Sydney Melanoma Unit</w:t>
      </w:r>
    </w:p>
    <w:p w14:paraId="74BE3367" w14:textId="77777777" w:rsidR="00FC3F51" w:rsidRDefault="00FC3F51" w:rsidP="00FC3F51">
      <w:pPr>
        <w:spacing w:line="480" w:lineRule="auto"/>
        <w:rPr>
          <w:rFonts w:asciiTheme="minorHAnsi" w:hAnsiTheme="minorHAnsi"/>
          <w:sz w:val="22"/>
          <w:szCs w:val="22"/>
        </w:rPr>
      </w:pPr>
      <w:r>
        <w:rPr>
          <w:rFonts w:asciiTheme="minorHAnsi" w:hAnsiTheme="minorHAnsi"/>
          <w:sz w:val="22"/>
          <w:szCs w:val="22"/>
        </w:rPr>
        <w:t>SN – Sentinel node</w:t>
      </w:r>
    </w:p>
    <w:p w14:paraId="3FC6DEF1" w14:textId="77777777" w:rsidR="00FC3F51" w:rsidRPr="003E73CD" w:rsidRDefault="00FC3F51" w:rsidP="00FC3F51">
      <w:pPr>
        <w:spacing w:line="480" w:lineRule="auto"/>
        <w:rPr>
          <w:rFonts w:asciiTheme="minorHAnsi" w:hAnsiTheme="minorHAnsi"/>
          <w:sz w:val="22"/>
          <w:szCs w:val="22"/>
        </w:rPr>
      </w:pPr>
      <w:r w:rsidRPr="003E73CD">
        <w:rPr>
          <w:rFonts w:asciiTheme="minorHAnsi" w:hAnsiTheme="minorHAnsi"/>
          <w:sz w:val="22"/>
          <w:szCs w:val="22"/>
        </w:rPr>
        <w:t>SNB – Sentinel node biopsy</w:t>
      </w:r>
    </w:p>
    <w:p w14:paraId="4B63AC60" w14:textId="77777777" w:rsidR="00FC3F51" w:rsidRPr="003E73CD" w:rsidRDefault="00FC3F51" w:rsidP="00FC3F51">
      <w:pPr>
        <w:spacing w:line="480" w:lineRule="auto"/>
        <w:rPr>
          <w:rFonts w:asciiTheme="minorHAnsi" w:hAnsiTheme="minorHAnsi"/>
          <w:sz w:val="22"/>
          <w:szCs w:val="22"/>
        </w:rPr>
      </w:pPr>
      <w:r w:rsidRPr="003E73CD">
        <w:rPr>
          <w:rFonts w:asciiTheme="minorHAnsi" w:hAnsiTheme="minorHAnsi"/>
          <w:sz w:val="22"/>
          <w:szCs w:val="22"/>
        </w:rPr>
        <w:t>SPECT – Single-Photon Emission Computed Tomography</w:t>
      </w:r>
    </w:p>
    <w:p w14:paraId="49D8BD22" w14:textId="77777777" w:rsidR="00FC3F51" w:rsidRPr="003E73CD" w:rsidRDefault="00FC3F51" w:rsidP="00FC3F51">
      <w:pPr>
        <w:spacing w:line="480" w:lineRule="auto"/>
        <w:rPr>
          <w:rFonts w:asciiTheme="minorHAnsi" w:hAnsiTheme="minorHAnsi"/>
          <w:sz w:val="22"/>
          <w:szCs w:val="22"/>
        </w:rPr>
      </w:pPr>
      <w:r w:rsidRPr="003E73CD">
        <w:rPr>
          <w:rFonts w:asciiTheme="minorHAnsi" w:hAnsiTheme="minorHAnsi"/>
          <w:sz w:val="22"/>
          <w:szCs w:val="22"/>
        </w:rPr>
        <w:t>TLND – Therapeutic lymph node dissection</w:t>
      </w:r>
    </w:p>
    <w:p w14:paraId="605CF8A7" w14:textId="1F04EE5E" w:rsidR="00FC3F51" w:rsidRPr="00F04610" w:rsidRDefault="00FC3F51" w:rsidP="00F04610">
      <w:pPr>
        <w:spacing w:line="480" w:lineRule="auto"/>
        <w:rPr>
          <w:rFonts w:asciiTheme="minorHAnsi" w:hAnsiTheme="minorHAnsi"/>
          <w:sz w:val="22"/>
          <w:szCs w:val="22"/>
        </w:rPr>
        <w:sectPr w:rsidR="00FC3F51" w:rsidRPr="00F04610" w:rsidSect="00F04610">
          <w:pgSz w:w="11900" w:h="16840"/>
          <w:pgMar w:top="1440" w:right="1134" w:bottom="1440" w:left="2268" w:header="709" w:footer="709" w:gutter="0"/>
          <w:pgNumType w:fmt="lowerRoman" w:start="1"/>
          <w:cols w:space="708"/>
          <w:docGrid w:linePitch="360"/>
        </w:sectPr>
      </w:pPr>
      <w:r w:rsidRPr="003E73CD">
        <w:rPr>
          <w:rFonts w:asciiTheme="minorHAnsi" w:hAnsiTheme="minorHAnsi"/>
          <w:sz w:val="22"/>
          <w:szCs w:val="22"/>
        </w:rPr>
        <w:t>TNM – Tumour Node Metastasis</w:t>
      </w:r>
    </w:p>
    <w:p w14:paraId="72C26A75" w14:textId="77777777" w:rsidR="00F04610" w:rsidRDefault="00F04610" w:rsidP="001C256E">
      <w:pPr>
        <w:spacing w:line="480" w:lineRule="auto"/>
        <w:rPr>
          <w:b/>
          <w:sz w:val="28"/>
          <w:szCs w:val="28"/>
        </w:rPr>
        <w:sectPr w:rsidR="00F04610" w:rsidSect="00F04610">
          <w:footerReference w:type="even" r:id="rId12"/>
          <w:footerReference w:type="default" r:id="rId13"/>
          <w:pgSz w:w="11900" w:h="16840"/>
          <w:pgMar w:top="1440" w:right="1134" w:bottom="1440" w:left="2268" w:header="709" w:footer="709" w:gutter="0"/>
          <w:pgNumType w:start="1"/>
          <w:cols w:space="708"/>
          <w:docGrid w:linePitch="360"/>
        </w:sectPr>
      </w:pPr>
    </w:p>
    <w:p w14:paraId="7A228678" w14:textId="26179BD8" w:rsidR="001C256E" w:rsidRPr="003E73CD" w:rsidRDefault="001C256E" w:rsidP="001C256E">
      <w:pPr>
        <w:spacing w:line="480" w:lineRule="auto"/>
        <w:rPr>
          <w:b/>
          <w:sz w:val="28"/>
          <w:szCs w:val="28"/>
        </w:rPr>
      </w:pPr>
      <w:proofErr w:type="gramStart"/>
      <w:r w:rsidRPr="003E73CD">
        <w:rPr>
          <w:b/>
          <w:sz w:val="28"/>
          <w:szCs w:val="28"/>
        </w:rPr>
        <w:t>Aims and objectives of the thesis.</w:t>
      </w:r>
      <w:proofErr w:type="gramEnd"/>
    </w:p>
    <w:p w14:paraId="198DADFF" w14:textId="77777777" w:rsidR="001C256E" w:rsidRPr="003E73CD" w:rsidRDefault="001C256E" w:rsidP="001C256E">
      <w:pPr>
        <w:spacing w:line="480" w:lineRule="auto"/>
      </w:pPr>
    </w:p>
    <w:p w14:paraId="787F99C4" w14:textId="3A80AAB2" w:rsidR="00B31DCE" w:rsidRPr="003E73CD" w:rsidRDefault="00B31DCE" w:rsidP="00B31DCE">
      <w:pPr>
        <w:spacing w:line="480" w:lineRule="auto"/>
        <w:ind w:firstLine="720"/>
        <w:rPr>
          <w:sz w:val="22"/>
          <w:szCs w:val="22"/>
        </w:rPr>
      </w:pPr>
      <w:r w:rsidRPr="003E73CD">
        <w:rPr>
          <w:sz w:val="22"/>
          <w:szCs w:val="22"/>
        </w:rPr>
        <w:t>The aim of this thesis was to enhance the quality and individualization of care for melanoma patients by improving the consistency and accuracy of information that is obtained</w:t>
      </w:r>
      <w:r w:rsidR="009176B8" w:rsidRPr="003E73CD">
        <w:rPr>
          <w:sz w:val="22"/>
          <w:szCs w:val="22"/>
        </w:rPr>
        <w:t xml:space="preserve"> from, or can be applied to,</w:t>
      </w:r>
      <w:r w:rsidRPr="003E73CD">
        <w:rPr>
          <w:sz w:val="22"/>
          <w:szCs w:val="22"/>
        </w:rPr>
        <w:t xml:space="preserve"> individual melanoma patient</w:t>
      </w:r>
      <w:r w:rsidR="009176B8" w:rsidRPr="003E73CD">
        <w:rPr>
          <w:sz w:val="22"/>
          <w:szCs w:val="22"/>
        </w:rPr>
        <w:t>s</w:t>
      </w:r>
      <w:r w:rsidRPr="003E73CD">
        <w:rPr>
          <w:sz w:val="22"/>
          <w:szCs w:val="22"/>
        </w:rPr>
        <w:t xml:space="preserve"> treated using the sentinel node biopsy-based management pathway (Figure 0.1).   Specific objectives were:</w:t>
      </w:r>
    </w:p>
    <w:p w14:paraId="470883CB" w14:textId="003E4A24" w:rsidR="001C256E" w:rsidRPr="003E73CD" w:rsidRDefault="008256F6" w:rsidP="001C256E">
      <w:pPr>
        <w:spacing w:line="480" w:lineRule="auto"/>
        <w:ind w:firstLine="720"/>
        <w:rPr>
          <w:sz w:val="22"/>
          <w:szCs w:val="22"/>
        </w:rPr>
      </w:pPr>
      <w:r w:rsidRPr="003E73CD">
        <w:rPr>
          <w:sz w:val="22"/>
          <w:szCs w:val="22"/>
        </w:rPr>
        <w:t>1) To identify potential sources of inaccuracy or failure</w:t>
      </w:r>
      <w:r w:rsidR="001C256E" w:rsidRPr="003E73CD">
        <w:rPr>
          <w:sz w:val="22"/>
          <w:szCs w:val="22"/>
        </w:rPr>
        <w:t xml:space="preserve"> related to lymphoscintigraphy, the critical first step in the pathway.</w:t>
      </w:r>
    </w:p>
    <w:p w14:paraId="2CB4E1FB" w14:textId="42C07216" w:rsidR="001C256E" w:rsidRPr="003E73CD" w:rsidRDefault="008256F6" w:rsidP="001C256E">
      <w:pPr>
        <w:spacing w:line="480" w:lineRule="auto"/>
        <w:ind w:firstLine="720"/>
        <w:rPr>
          <w:sz w:val="22"/>
          <w:szCs w:val="22"/>
        </w:rPr>
      </w:pPr>
      <w:r w:rsidRPr="003E73CD">
        <w:rPr>
          <w:sz w:val="22"/>
          <w:szCs w:val="22"/>
        </w:rPr>
        <w:t>2) To determine</w:t>
      </w:r>
      <w:r w:rsidR="001C256E" w:rsidRPr="003E73CD">
        <w:rPr>
          <w:sz w:val="22"/>
          <w:szCs w:val="22"/>
        </w:rPr>
        <w:t xml:space="preserve"> the prognostic significance of non-sentinel node metastasis by testing the </w:t>
      </w:r>
      <w:r w:rsidRPr="003E73CD">
        <w:rPr>
          <w:sz w:val="22"/>
          <w:szCs w:val="22"/>
        </w:rPr>
        <w:t xml:space="preserve">following </w:t>
      </w:r>
      <w:r w:rsidR="001C256E" w:rsidRPr="003E73CD">
        <w:rPr>
          <w:sz w:val="22"/>
          <w:szCs w:val="22"/>
        </w:rPr>
        <w:t>null hypothesis</w:t>
      </w:r>
      <w:r w:rsidRPr="003E73CD">
        <w:rPr>
          <w:sz w:val="22"/>
          <w:szCs w:val="22"/>
        </w:rPr>
        <w:t>:  T</w:t>
      </w:r>
      <w:r w:rsidR="001C256E" w:rsidRPr="003E73CD">
        <w:rPr>
          <w:sz w:val="22"/>
          <w:szCs w:val="22"/>
        </w:rPr>
        <w:t>here is no significant difference in prognosis when patients have metastasis to sentinel versus sentinel and non-sentinel nodes.</w:t>
      </w:r>
    </w:p>
    <w:p w14:paraId="324E2EDB" w14:textId="417E6995" w:rsidR="001C256E" w:rsidRPr="003E73CD" w:rsidRDefault="008256F6" w:rsidP="001C256E">
      <w:pPr>
        <w:spacing w:line="480" w:lineRule="auto"/>
        <w:ind w:firstLine="720"/>
        <w:rPr>
          <w:sz w:val="22"/>
          <w:szCs w:val="22"/>
        </w:rPr>
      </w:pPr>
      <w:r w:rsidRPr="003E73CD">
        <w:rPr>
          <w:sz w:val="22"/>
          <w:szCs w:val="22"/>
        </w:rPr>
        <w:t>3) To develop and validate</w:t>
      </w:r>
      <w:r w:rsidR="001C256E" w:rsidRPr="003E73CD">
        <w:rPr>
          <w:sz w:val="22"/>
          <w:szCs w:val="22"/>
        </w:rPr>
        <w:t xml:space="preserve"> a prognostic tool that could be easily applied to all patients completing this pathway.  This tool could then be used to provide accurate prognostic information and to determine groups who are at high risk of havi</w:t>
      </w:r>
      <w:r w:rsidRPr="003E73CD">
        <w:rPr>
          <w:sz w:val="22"/>
          <w:szCs w:val="22"/>
        </w:rPr>
        <w:t>ng occult distant metastases and</w:t>
      </w:r>
      <w:r w:rsidR="001C256E" w:rsidRPr="003E73CD">
        <w:rPr>
          <w:sz w:val="22"/>
          <w:szCs w:val="22"/>
        </w:rPr>
        <w:t xml:space="preserve"> may benefit from adjuvant therapy and/or inclusion in clinical trials.</w:t>
      </w:r>
    </w:p>
    <w:p w14:paraId="7C6844C6" w14:textId="77777777" w:rsidR="001C256E" w:rsidRPr="003E73CD" w:rsidRDefault="001C256E" w:rsidP="001C256E">
      <w:pPr>
        <w:spacing w:line="480" w:lineRule="auto"/>
        <w:rPr>
          <w:sz w:val="22"/>
          <w:szCs w:val="22"/>
        </w:rPr>
      </w:pPr>
    </w:p>
    <w:p w14:paraId="47234921" w14:textId="77777777" w:rsidR="001C256E" w:rsidRPr="003E73CD" w:rsidRDefault="001C256E" w:rsidP="001C256E">
      <w:pPr>
        <w:spacing w:line="480" w:lineRule="auto"/>
        <w:rPr>
          <w:b/>
          <w:sz w:val="22"/>
          <w:szCs w:val="22"/>
        </w:rPr>
      </w:pPr>
      <w:r w:rsidRPr="003E73CD">
        <w:rPr>
          <w:b/>
          <w:sz w:val="22"/>
          <w:szCs w:val="22"/>
        </w:rPr>
        <w:t>Specific questions addressed within the thesis</w:t>
      </w:r>
    </w:p>
    <w:p w14:paraId="2FB951BA" w14:textId="77777777" w:rsidR="001C256E" w:rsidRPr="003E73CD" w:rsidRDefault="001C256E" w:rsidP="001C256E">
      <w:pPr>
        <w:spacing w:line="480" w:lineRule="auto"/>
        <w:rPr>
          <w:sz w:val="22"/>
          <w:szCs w:val="22"/>
        </w:rPr>
      </w:pPr>
      <w:r w:rsidRPr="003E73CD">
        <w:rPr>
          <w:sz w:val="22"/>
          <w:szCs w:val="22"/>
        </w:rPr>
        <w:tab/>
        <w:t>The first step in the management pathway is lymphoscintigraphy.  The successful negotiation of the entire pathway is thus dependent on the quality of this first step, as is the quality of data obtained at each subsequent step in the pathway.  Lymphoscintigraphy could identify sentinel nodes accurately, inaccurately or not at all (see Figure 0.2).</w:t>
      </w:r>
    </w:p>
    <w:p w14:paraId="25114185" w14:textId="5528104E" w:rsidR="00771488" w:rsidRPr="003E73CD" w:rsidRDefault="00771488">
      <w:pPr>
        <w:rPr>
          <w:sz w:val="22"/>
          <w:szCs w:val="22"/>
        </w:rPr>
      </w:pPr>
      <w:r w:rsidRPr="003E73CD">
        <w:rPr>
          <w:sz w:val="22"/>
          <w:szCs w:val="22"/>
        </w:rPr>
        <w:br w:type="page"/>
      </w:r>
    </w:p>
    <w:p w14:paraId="25BC74AD" w14:textId="51A6256B" w:rsidR="00771488" w:rsidRPr="003E73CD" w:rsidRDefault="006417CB" w:rsidP="00771488">
      <w:pPr>
        <w:rPr>
          <w:b/>
          <w:sz w:val="28"/>
          <w:szCs w:val="28"/>
        </w:rPr>
      </w:pPr>
      <w:r w:rsidRPr="003E73CD">
        <w:rPr>
          <w:b/>
          <w:sz w:val="28"/>
          <w:szCs w:val="28"/>
        </w:rPr>
        <w:t>Figure 0.1.</w:t>
      </w:r>
      <w:r w:rsidR="00B1412B" w:rsidRPr="003E73CD">
        <w:rPr>
          <w:b/>
          <w:sz w:val="28"/>
          <w:szCs w:val="28"/>
        </w:rPr>
        <w:t xml:space="preserve"> </w:t>
      </w:r>
      <w:r w:rsidR="00771488" w:rsidRPr="003E73CD">
        <w:rPr>
          <w:b/>
          <w:sz w:val="28"/>
          <w:szCs w:val="28"/>
        </w:rPr>
        <w:t>The standard sentinel node</w:t>
      </w:r>
      <w:r w:rsidR="000A0DB8" w:rsidRPr="003E73CD">
        <w:rPr>
          <w:b/>
          <w:sz w:val="28"/>
          <w:szCs w:val="28"/>
        </w:rPr>
        <w:t xml:space="preserve"> biopsy</w:t>
      </w:r>
      <w:r w:rsidR="00771488" w:rsidRPr="003E73CD">
        <w:rPr>
          <w:b/>
          <w:sz w:val="28"/>
          <w:szCs w:val="28"/>
        </w:rPr>
        <w:t>-based management pathway for melanoma.</w:t>
      </w:r>
    </w:p>
    <w:p w14:paraId="49D4E0CC" w14:textId="77777777" w:rsidR="00771488" w:rsidRPr="003E73CD" w:rsidRDefault="00771488" w:rsidP="00771488"/>
    <w:p w14:paraId="2CA69E9E" w14:textId="77777777" w:rsidR="00A4434D" w:rsidRPr="003E73CD" w:rsidRDefault="00A4434D" w:rsidP="00771488">
      <w:pPr>
        <w:ind w:firstLine="720"/>
      </w:pPr>
    </w:p>
    <w:p w14:paraId="0F1FE1ED" w14:textId="77777777" w:rsidR="00A4434D" w:rsidRPr="003E73CD" w:rsidRDefault="00A4434D" w:rsidP="00771488">
      <w:pPr>
        <w:ind w:firstLine="720"/>
      </w:pPr>
    </w:p>
    <w:p w14:paraId="552B025C" w14:textId="77777777" w:rsidR="00A4434D" w:rsidRPr="003E73CD" w:rsidRDefault="00A4434D" w:rsidP="00771488">
      <w:pPr>
        <w:ind w:firstLine="720"/>
      </w:pPr>
    </w:p>
    <w:p w14:paraId="6E066547" w14:textId="77777777" w:rsidR="00A4434D" w:rsidRPr="003E73CD" w:rsidRDefault="00A4434D" w:rsidP="00771488">
      <w:pPr>
        <w:ind w:firstLine="720"/>
      </w:pPr>
    </w:p>
    <w:p w14:paraId="1574CBFE" w14:textId="5DC87DCA" w:rsidR="00A4434D" w:rsidRPr="003E73CD" w:rsidRDefault="00771488" w:rsidP="00771488">
      <w:pPr>
        <w:ind w:firstLine="720"/>
      </w:pPr>
      <w:r w:rsidRPr="003E73CD">
        <w:t>A proportion will have occult metastastic</w:t>
      </w:r>
      <w:r w:rsidR="002D2F6B" w:rsidRPr="003E73CD">
        <w:t xml:space="preserve"> disease.</w:t>
      </w:r>
      <w:r w:rsidR="002D2F6B" w:rsidRPr="003E73CD">
        <w:tab/>
      </w:r>
      <w:r w:rsidR="002D2F6B" w:rsidRPr="003E73CD">
        <w:tab/>
      </w:r>
      <w:r w:rsidR="002D2F6B" w:rsidRPr="003E73CD">
        <w:tab/>
      </w:r>
      <w:r w:rsidR="002D2F6B" w:rsidRPr="003E73CD">
        <w:tab/>
      </w:r>
      <w:r w:rsidR="002D2F6B" w:rsidRPr="003E73CD">
        <w:tab/>
      </w:r>
      <w:r w:rsidR="002D2F6B" w:rsidRPr="003E73CD">
        <w:tab/>
      </w:r>
      <w:r w:rsidR="002D2F6B" w:rsidRPr="003E73CD">
        <w:tab/>
      </w:r>
      <w:r w:rsidR="002D2F6B" w:rsidRPr="003E73CD">
        <w:tab/>
      </w:r>
      <w:r w:rsidR="002D2F6B" w:rsidRPr="003E73CD">
        <w:tab/>
      </w:r>
      <w:r w:rsidR="002D2F6B" w:rsidRPr="003E73CD">
        <w:tab/>
      </w:r>
      <w:r w:rsidR="002D2F6B" w:rsidRPr="003E73CD">
        <w:tab/>
      </w:r>
      <w:r w:rsidR="002D2F6B" w:rsidRPr="003E73CD">
        <w:tab/>
      </w:r>
      <w:r w:rsidR="002D2F6B" w:rsidRPr="003E73CD">
        <w:tab/>
      </w:r>
      <w:r w:rsidR="002D2F6B" w:rsidRPr="003E73CD">
        <w:tab/>
      </w:r>
      <w:r w:rsidR="002D2F6B" w:rsidRPr="003E73CD">
        <w:tab/>
      </w:r>
      <w:r w:rsidR="002D2F6B" w:rsidRPr="003E73CD">
        <w:tab/>
      </w:r>
      <w:r w:rsidR="002D2F6B" w:rsidRPr="003E73CD">
        <w:tab/>
      </w:r>
      <w:r w:rsidR="002D2F6B" w:rsidRPr="003E73CD">
        <w:tab/>
      </w:r>
      <w:r w:rsidR="002D2F6B" w:rsidRPr="003E73CD">
        <w:tab/>
      </w:r>
      <w:r w:rsidRPr="003E73CD">
        <w:t>Technique used to identify the sentinel nodes (nodes with direct lymphatic drainage from the primary melanoma site</w:t>
      </w:r>
      <w:r w:rsidR="00A4434D" w:rsidRPr="003E73CD">
        <w:t>)</w:t>
      </w:r>
      <w:r w:rsidRPr="003E73CD">
        <w:t>.</w:t>
      </w:r>
      <w:r w:rsidRPr="003E73CD">
        <w:tab/>
      </w:r>
      <w:r w:rsidRPr="003E73CD">
        <w:rPr>
          <w:noProof/>
        </w:rPr>
        <w:drawing>
          <wp:anchor distT="0" distB="0" distL="114300" distR="114300" simplePos="0" relativeHeight="251667456" behindDoc="0" locked="0" layoutInCell="1" allowOverlap="1" wp14:anchorId="7966E3BC" wp14:editId="23B37E7B">
            <wp:simplePos x="0" y="0"/>
            <wp:positionH relativeFrom="column">
              <wp:align>left</wp:align>
            </wp:positionH>
            <wp:positionV relativeFrom="paragraph">
              <wp:align>top</wp:align>
            </wp:positionV>
            <wp:extent cx="2623820" cy="5570220"/>
            <wp:effectExtent l="0" t="0" r="0" b="68580"/>
            <wp:wrapSquare wrapText="bothSides"/>
            <wp:docPr id="28" name="Diagram 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anchor>
        </w:drawing>
      </w:r>
      <w:r w:rsidRPr="003E73CD">
        <w:tab/>
      </w:r>
      <w:r w:rsidRPr="003E73CD">
        <w:tab/>
      </w:r>
      <w:r w:rsidRPr="003E73CD">
        <w:tab/>
      </w:r>
      <w:r w:rsidRPr="003E73CD">
        <w:tab/>
      </w:r>
      <w:r w:rsidRPr="003E73CD">
        <w:tab/>
      </w:r>
      <w:r w:rsidRPr="003E73CD">
        <w:tab/>
      </w:r>
      <w:r w:rsidRPr="003E73CD">
        <w:tab/>
      </w:r>
      <w:r w:rsidRPr="003E73CD">
        <w:tab/>
      </w:r>
    </w:p>
    <w:p w14:paraId="1B5BE9BE" w14:textId="3CC28213" w:rsidR="002D2F6B" w:rsidRPr="003E73CD" w:rsidRDefault="00771488" w:rsidP="00771488">
      <w:pPr>
        <w:ind w:firstLine="720"/>
      </w:pPr>
      <w:r w:rsidRPr="003E73CD">
        <w:t>Surgical procedure to remove the sentinel node(s), the accuracy of which relies on accurate l</w:t>
      </w:r>
      <w:r w:rsidR="002D2F6B" w:rsidRPr="003E73CD">
        <w:t>ymphoscintigraphy.</w:t>
      </w:r>
      <w:r w:rsidR="002D2F6B" w:rsidRPr="003E73CD">
        <w:tab/>
      </w:r>
      <w:r w:rsidR="002D2F6B" w:rsidRPr="003E73CD">
        <w:tab/>
      </w:r>
      <w:r w:rsidR="002D2F6B" w:rsidRPr="003E73CD">
        <w:tab/>
      </w:r>
      <w:r w:rsidR="002D2F6B" w:rsidRPr="003E73CD">
        <w:tab/>
      </w:r>
      <w:r w:rsidR="002D2F6B" w:rsidRPr="003E73CD">
        <w:tab/>
      </w:r>
      <w:r w:rsidR="002D2F6B" w:rsidRPr="003E73CD">
        <w:tab/>
      </w:r>
      <w:r w:rsidR="002D2F6B" w:rsidRPr="003E73CD">
        <w:tab/>
      </w:r>
      <w:r w:rsidR="002D2F6B" w:rsidRPr="003E73CD">
        <w:tab/>
      </w:r>
      <w:r w:rsidR="002D2F6B" w:rsidRPr="003E73CD">
        <w:tab/>
      </w:r>
      <w:r w:rsidR="002D2F6B" w:rsidRPr="003E73CD">
        <w:tab/>
      </w:r>
      <w:r w:rsidR="002D2F6B" w:rsidRPr="003E73CD">
        <w:tab/>
      </w:r>
    </w:p>
    <w:p w14:paraId="0A52AAEA" w14:textId="40620B37" w:rsidR="002D2F6B" w:rsidRPr="003E73CD" w:rsidRDefault="00771488" w:rsidP="002D2F6B">
      <w:pPr>
        <w:ind w:firstLine="720"/>
      </w:pPr>
      <w:r w:rsidRPr="003E73CD">
        <w:t>Detected using standard histopathological and immun</w:t>
      </w:r>
      <w:r w:rsidR="00D50637">
        <w:t>o</w:t>
      </w:r>
      <w:r w:rsidRPr="003E73CD">
        <w:t>histochemical staining of secti</w:t>
      </w:r>
      <w:r w:rsidR="002D2F6B" w:rsidRPr="003E73CD">
        <w:t>ons of each sentinel node.</w:t>
      </w:r>
      <w:r w:rsidR="002D2F6B" w:rsidRPr="003E73CD">
        <w:tab/>
      </w:r>
      <w:r w:rsidR="002D2F6B" w:rsidRPr="003E73CD">
        <w:tab/>
      </w:r>
      <w:r w:rsidR="002D2F6B" w:rsidRPr="003E73CD">
        <w:tab/>
      </w:r>
    </w:p>
    <w:p w14:paraId="0B571095" w14:textId="77777777" w:rsidR="002D2F6B" w:rsidRPr="003E73CD" w:rsidRDefault="002D2F6B" w:rsidP="00771488">
      <w:pPr>
        <w:ind w:firstLine="720"/>
      </w:pPr>
    </w:p>
    <w:p w14:paraId="06C0C4AF" w14:textId="0D04F297" w:rsidR="00771488" w:rsidRPr="003E73CD" w:rsidRDefault="00771488" w:rsidP="00A4434D">
      <w:pPr>
        <w:ind w:firstLine="720"/>
      </w:pPr>
      <w:r w:rsidRPr="003E73CD">
        <w:t>Non-sentinel node metastases are metastases in lymph nodes downstream from sentinel nodes.</w:t>
      </w:r>
      <w:r w:rsidRPr="003E73CD">
        <w:tab/>
      </w:r>
      <w:r w:rsidRPr="003E73CD">
        <w:tab/>
      </w:r>
      <w:r w:rsidRPr="003E73CD">
        <w:tab/>
      </w:r>
      <w:r w:rsidRPr="003E73CD">
        <w:tab/>
      </w:r>
      <w:r w:rsidRPr="003E73CD">
        <w:tab/>
      </w:r>
      <w:r w:rsidRPr="003E73CD">
        <w:tab/>
      </w:r>
      <w:r w:rsidRPr="003E73CD">
        <w:tab/>
      </w:r>
      <w:r w:rsidRPr="003E73CD">
        <w:tab/>
      </w:r>
      <w:r w:rsidRPr="003E73CD">
        <w:tab/>
      </w:r>
      <w:r w:rsidRPr="003E73CD">
        <w:tab/>
      </w:r>
      <w:r w:rsidRPr="003E73CD">
        <w:tab/>
      </w:r>
      <w:r w:rsidRPr="003E73CD">
        <w:tab/>
        <w:t>Many factors have been shown to provide prognostic information that could be used to select patients for adjuvant therapy and clinical trials.</w:t>
      </w:r>
      <w:r w:rsidRPr="003E73CD">
        <w:br w:type="textWrapping" w:clear="all"/>
      </w:r>
    </w:p>
    <w:p w14:paraId="2C46277F" w14:textId="77777777" w:rsidR="00771488" w:rsidRPr="003E73CD" w:rsidRDefault="00771488" w:rsidP="00771488">
      <w:r w:rsidRPr="003E73CD">
        <w:br w:type="page"/>
      </w:r>
    </w:p>
    <w:p w14:paraId="7524599A" w14:textId="4C01E967" w:rsidR="00771488" w:rsidRPr="003E73CD" w:rsidRDefault="00B1412B" w:rsidP="00771488">
      <w:pPr>
        <w:spacing w:line="480" w:lineRule="auto"/>
        <w:rPr>
          <w:sz w:val="22"/>
          <w:szCs w:val="22"/>
        </w:rPr>
      </w:pPr>
      <w:r w:rsidRPr="003E73CD">
        <w:rPr>
          <w:b/>
          <w:sz w:val="28"/>
          <w:szCs w:val="28"/>
        </w:rPr>
        <w:t>Figure 0.2</w:t>
      </w:r>
      <w:r w:rsidR="00CE1F67" w:rsidRPr="003E73CD">
        <w:rPr>
          <w:b/>
          <w:sz w:val="28"/>
          <w:szCs w:val="28"/>
        </w:rPr>
        <w:t>.  The potential outcomes of lymphoscintigraphy.</w:t>
      </w:r>
      <w:r w:rsidR="00771488" w:rsidRPr="003E73CD">
        <w:rPr>
          <w:sz w:val="22"/>
          <w:szCs w:val="22"/>
        </w:rPr>
        <w:tab/>
      </w:r>
      <w:r w:rsidR="00771488" w:rsidRPr="003E73CD">
        <w:rPr>
          <w:noProof/>
          <w:sz w:val="22"/>
          <w:szCs w:val="22"/>
        </w:rPr>
        <w:drawing>
          <wp:inline distT="0" distB="0" distL="0" distR="0" wp14:anchorId="365BC0F2" wp14:editId="7905D1C3">
            <wp:extent cx="5372100" cy="4706620"/>
            <wp:effectExtent l="0" t="0" r="0" b="0"/>
            <wp:docPr id="29" name="Diagram 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14:paraId="0E8E52AC" w14:textId="77777777" w:rsidR="00771488" w:rsidRPr="003E73CD" w:rsidRDefault="00771488" w:rsidP="00771488">
      <w:pPr>
        <w:rPr>
          <w:sz w:val="22"/>
          <w:szCs w:val="22"/>
        </w:rPr>
      </w:pPr>
    </w:p>
    <w:p w14:paraId="05064F5A" w14:textId="77777777" w:rsidR="00771488" w:rsidRPr="003E73CD" w:rsidRDefault="00771488" w:rsidP="00771488">
      <w:pPr>
        <w:rPr>
          <w:sz w:val="22"/>
          <w:szCs w:val="22"/>
        </w:rPr>
      </w:pPr>
    </w:p>
    <w:p w14:paraId="5E1EF261" w14:textId="3600577B" w:rsidR="00771488" w:rsidRPr="003E73CD" w:rsidRDefault="00D50637" w:rsidP="00771488">
      <w:pPr>
        <w:spacing w:line="480" w:lineRule="auto"/>
        <w:rPr>
          <w:sz w:val="22"/>
          <w:szCs w:val="22"/>
        </w:rPr>
      </w:pPr>
      <w:r>
        <w:rPr>
          <w:sz w:val="22"/>
          <w:szCs w:val="22"/>
        </w:rPr>
        <w:t>In</w:t>
      </w:r>
      <w:r w:rsidR="00771488" w:rsidRPr="003E73CD">
        <w:rPr>
          <w:sz w:val="22"/>
          <w:szCs w:val="22"/>
        </w:rPr>
        <w:t>accurate lymphoscintigraphy and non-localization are undesirable results that could jeopardise the whole pathway.  Studies wer</w:t>
      </w:r>
      <w:r w:rsidR="00B5027C" w:rsidRPr="003E73CD">
        <w:rPr>
          <w:sz w:val="22"/>
          <w:szCs w:val="22"/>
        </w:rPr>
        <w:t>e therefore conducted to examine</w:t>
      </w:r>
      <w:r w:rsidR="00771488" w:rsidRPr="003E73CD">
        <w:rPr>
          <w:sz w:val="22"/>
          <w:szCs w:val="22"/>
        </w:rPr>
        <w:t xml:space="preserve"> these situations and also to improve utilization of data that was available from lymphoscintigraphy.</w:t>
      </w:r>
    </w:p>
    <w:p w14:paraId="64456667" w14:textId="77777777" w:rsidR="00771488" w:rsidRPr="003E73CD" w:rsidRDefault="00771488" w:rsidP="00771488">
      <w:pPr>
        <w:spacing w:line="480" w:lineRule="auto"/>
        <w:rPr>
          <w:sz w:val="22"/>
          <w:szCs w:val="22"/>
        </w:rPr>
      </w:pPr>
    </w:p>
    <w:p w14:paraId="55765E39" w14:textId="77777777" w:rsidR="00771488" w:rsidRPr="003E73CD" w:rsidRDefault="00771488" w:rsidP="00771488">
      <w:pPr>
        <w:spacing w:line="480" w:lineRule="auto"/>
        <w:rPr>
          <w:sz w:val="22"/>
          <w:szCs w:val="22"/>
        </w:rPr>
      </w:pPr>
      <w:r w:rsidRPr="003E73CD">
        <w:rPr>
          <w:sz w:val="22"/>
          <w:szCs w:val="22"/>
        </w:rPr>
        <w:t>Questions included:</w:t>
      </w:r>
    </w:p>
    <w:p w14:paraId="3909A49F" w14:textId="422904E5" w:rsidR="00771488" w:rsidRPr="003E73CD" w:rsidRDefault="00771488" w:rsidP="00771488">
      <w:pPr>
        <w:spacing w:line="480" w:lineRule="auto"/>
        <w:rPr>
          <w:sz w:val="22"/>
          <w:szCs w:val="22"/>
        </w:rPr>
      </w:pPr>
      <w:r w:rsidRPr="003E73CD">
        <w:rPr>
          <w:sz w:val="22"/>
          <w:szCs w:val="22"/>
        </w:rPr>
        <w:t>- What factors could affect the accuracy of lymphoscintigraphy? – Section</w:t>
      </w:r>
      <w:r w:rsidR="00D50637">
        <w:rPr>
          <w:sz w:val="22"/>
          <w:szCs w:val="22"/>
        </w:rPr>
        <w:t>s</w:t>
      </w:r>
      <w:r w:rsidRPr="003E73CD">
        <w:rPr>
          <w:sz w:val="22"/>
          <w:szCs w:val="22"/>
        </w:rPr>
        <w:t xml:space="preserve"> </w:t>
      </w:r>
      <w:r w:rsidR="00D50637">
        <w:rPr>
          <w:sz w:val="22"/>
          <w:szCs w:val="22"/>
        </w:rPr>
        <w:t xml:space="preserve">1.3 + </w:t>
      </w:r>
      <w:r w:rsidRPr="003E73CD">
        <w:rPr>
          <w:sz w:val="22"/>
          <w:szCs w:val="22"/>
        </w:rPr>
        <w:t>2.1</w:t>
      </w:r>
    </w:p>
    <w:p w14:paraId="41FD4187" w14:textId="313F2D24" w:rsidR="00771488" w:rsidRPr="003E73CD" w:rsidRDefault="00B5027C" w:rsidP="00771488">
      <w:pPr>
        <w:spacing w:line="480" w:lineRule="auto"/>
        <w:rPr>
          <w:sz w:val="22"/>
          <w:szCs w:val="22"/>
        </w:rPr>
      </w:pPr>
      <w:r w:rsidRPr="003E73CD">
        <w:rPr>
          <w:sz w:val="22"/>
          <w:szCs w:val="22"/>
        </w:rPr>
        <w:t xml:space="preserve">- </w:t>
      </w:r>
      <w:r w:rsidR="00771488" w:rsidRPr="003E73CD">
        <w:rPr>
          <w:sz w:val="22"/>
          <w:szCs w:val="22"/>
        </w:rPr>
        <w:t>How frequently does non-l</w:t>
      </w:r>
      <w:r w:rsidR="00D50637">
        <w:rPr>
          <w:sz w:val="22"/>
          <w:szCs w:val="22"/>
        </w:rPr>
        <w:t>ocalization occur? – Section 2.1</w:t>
      </w:r>
    </w:p>
    <w:p w14:paraId="2BC7A2BF" w14:textId="6BDE590A" w:rsidR="00771488" w:rsidRPr="003E73CD" w:rsidRDefault="00771488" w:rsidP="00771488">
      <w:pPr>
        <w:spacing w:line="480" w:lineRule="auto"/>
        <w:rPr>
          <w:sz w:val="22"/>
          <w:szCs w:val="22"/>
        </w:rPr>
      </w:pPr>
      <w:r w:rsidRPr="003E73CD">
        <w:rPr>
          <w:sz w:val="22"/>
          <w:szCs w:val="22"/>
        </w:rPr>
        <w:t>- What are the types and causes of non-localization? – Section</w:t>
      </w:r>
      <w:r w:rsidR="00D50637">
        <w:rPr>
          <w:sz w:val="22"/>
          <w:szCs w:val="22"/>
        </w:rPr>
        <w:t>s 1.3 + 2.1</w:t>
      </w:r>
    </w:p>
    <w:p w14:paraId="24BB56E6" w14:textId="5191E12B" w:rsidR="00771488" w:rsidRPr="003E73CD" w:rsidRDefault="00771488" w:rsidP="00771488">
      <w:pPr>
        <w:spacing w:line="480" w:lineRule="auto"/>
        <w:rPr>
          <w:sz w:val="22"/>
          <w:szCs w:val="22"/>
        </w:rPr>
      </w:pPr>
      <w:r w:rsidRPr="003E73CD">
        <w:rPr>
          <w:sz w:val="22"/>
          <w:szCs w:val="22"/>
        </w:rPr>
        <w:t>- What is the likely effect of non-localization on the outcome of sen</w:t>
      </w:r>
      <w:r w:rsidR="00D50637">
        <w:rPr>
          <w:sz w:val="22"/>
          <w:szCs w:val="22"/>
        </w:rPr>
        <w:t>tinel node biopsy? – Section 2.1</w:t>
      </w:r>
    </w:p>
    <w:p w14:paraId="42018368" w14:textId="6C5F433C" w:rsidR="00771488" w:rsidRPr="003E73CD" w:rsidRDefault="00771488" w:rsidP="00771488">
      <w:pPr>
        <w:spacing w:line="480" w:lineRule="auto"/>
        <w:rPr>
          <w:sz w:val="22"/>
          <w:szCs w:val="22"/>
        </w:rPr>
      </w:pPr>
      <w:r w:rsidRPr="003E73CD">
        <w:rPr>
          <w:sz w:val="22"/>
          <w:szCs w:val="22"/>
        </w:rPr>
        <w:t xml:space="preserve">- Can the unpredictability of lymphatic drainage patterns from the head and neck be reduced by examining drainage patterns from smaller subdivisions of </w:t>
      </w:r>
      <w:r w:rsidR="00D50637">
        <w:rPr>
          <w:sz w:val="22"/>
          <w:szCs w:val="22"/>
        </w:rPr>
        <w:t>the head and neck? – Section 2.2</w:t>
      </w:r>
    </w:p>
    <w:p w14:paraId="4F1AFC0E" w14:textId="2CA52282" w:rsidR="00771488" w:rsidRPr="003E73CD" w:rsidRDefault="00771488" w:rsidP="00771488">
      <w:pPr>
        <w:spacing w:line="480" w:lineRule="auto"/>
        <w:rPr>
          <w:sz w:val="22"/>
          <w:szCs w:val="22"/>
        </w:rPr>
      </w:pPr>
      <w:r w:rsidRPr="003E73CD">
        <w:rPr>
          <w:sz w:val="22"/>
          <w:szCs w:val="22"/>
        </w:rPr>
        <w:t>- Can refinements be made to recommendations for selective neck dissections based on information on the patterns of lymphatic drainage from specific site</w:t>
      </w:r>
      <w:r w:rsidR="009C5B42">
        <w:rPr>
          <w:sz w:val="22"/>
          <w:szCs w:val="22"/>
        </w:rPr>
        <w:t>s on the forehead? – Section 2.2</w:t>
      </w:r>
    </w:p>
    <w:p w14:paraId="594485AB" w14:textId="77777777" w:rsidR="00771488" w:rsidRPr="003E73CD" w:rsidRDefault="00771488" w:rsidP="00771488">
      <w:pPr>
        <w:spacing w:line="480" w:lineRule="auto"/>
        <w:rPr>
          <w:sz w:val="22"/>
          <w:szCs w:val="22"/>
        </w:rPr>
      </w:pPr>
    </w:p>
    <w:p w14:paraId="34C8D022" w14:textId="77777777" w:rsidR="00771488" w:rsidRPr="003E73CD" w:rsidRDefault="00771488" w:rsidP="00771488">
      <w:pPr>
        <w:spacing w:line="480" w:lineRule="auto"/>
        <w:rPr>
          <w:sz w:val="22"/>
          <w:szCs w:val="22"/>
        </w:rPr>
      </w:pPr>
      <w:r w:rsidRPr="003E73CD">
        <w:rPr>
          <w:sz w:val="22"/>
          <w:szCs w:val="22"/>
        </w:rPr>
        <w:t>Non-sentinel node metastasis and prognosis</w:t>
      </w:r>
    </w:p>
    <w:p w14:paraId="16E5681E" w14:textId="77777777" w:rsidR="00771488" w:rsidRPr="003E73CD" w:rsidRDefault="00771488" w:rsidP="00771488">
      <w:pPr>
        <w:spacing w:line="480" w:lineRule="auto"/>
        <w:rPr>
          <w:sz w:val="22"/>
          <w:szCs w:val="22"/>
        </w:rPr>
      </w:pPr>
    </w:p>
    <w:p w14:paraId="79D8107A" w14:textId="41E385A0" w:rsidR="00771488" w:rsidRPr="003E73CD" w:rsidRDefault="00771488" w:rsidP="00771488">
      <w:pPr>
        <w:spacing w:line="480" w:lineRule="auto"/>
        <w:ind w:firstLine="720"/>
        <w:rPr>
          <w:sz w:val="22"/>
          <w:szCs w:val="22"/>
        </w:rPr>
      </w:pPr>
      <w:r w:rsidRPr="003E73CD">
        <w:rPr>
          <w:sz w:val="22"/>
          <w:szCs w:val="22"/>
        </w:rPr>
        <w:t>With regards to non-sentinel node metastas</w:t>
      </w:r>
      <w:r w:rsidR="00034E54" w:rsidRPr="003E73CD">
        <w:rPr>
          <w:sz w:val="22"/>
          <w:szCs w:val="22"/>
        </w:rPr>
        <w:t>is, its significance was unclear</w:t>
      </w:r>
      <w:r w:rsidRPr="003E73CD">
        <w:rPr>
          <w:sz w:val="22"/>
          <w:szCs w:val="22"/>
        </w:rPr>
        <w:t xml:space="preserve"> and so the studies aimed to determine this and then to develop a prognostic tool for patients who</w:t>
      </w:r>
      <w:r w:rsidR="008B3EFE" w:rsidRPr="003E73CD">
        <w:rPr>
          <w:sz w:val="22"/>
          <w:szCs w:val="22"/>
        </w:rPr>
        <w:t xml:space="preserve"> complete the standard sentinel </w:t>
      </w:r>
      <w:r w:rsidRPr="003E73CD">
        <w:rPr>
          <w:sz w:val="22"/>
          <w:szCs w:val="22"/>
        </w:rPr>
        <w:t xml:space="preserve">node </w:t>
      </w:r>
      <w:r w:rsidR="008B3EFE" w:rsidRPr="003E73CD">
        <w:rPr>
          <w:sz w:val="22"/>
          <w:szCs w:val="22"/>
        </w:rPr>
        <w:t xml:space="preserve">biopsy-based </w:t>
      </w:r>
      <w:r w:rsidRPr="003E73CD">
        <w:rPr>
          <w:sz w:val="22"/>
          <w:szCs w:val="22"/>
        </w:rPr>
        <w:t>management pathway for melanoma.</w:t>
      </w:r>
    </w:p>
    <w:p w14:paraId="70FD0065" w14:textId="77777777" w:rsidR="00771488" w:rsidRPr="003E73CD" w:rsidRDefault="00771488" w:rsidP="00771488">
      <w:pPr>
        <w:spacing w:line="480" w:lineRule="auto"/>
        <w:rPr>
          <w:sz w:val="22"/>
          <w:szCs w:val="22"/>
        </w:rPr>
      </w:pPr>
    </w:p>
    <w:p w14:paraId="35050812" w14:textId="77777777" w:rsidR="00771488" w:rsidRPr="003E73CD" w:rsidRDefault="00771488" w:rsidP="00771488">
      <w:pPr>
        <w:spacing w:line="480" w:lineRule="auto"/>
        <w:rPr>
          <w:sz w:val="22"/>
          <w:szCs w:val="22"/>
        </w:rPr>
      </w:pPr>
      <w:r w:rsidRPr="003E73CD">
        <w:rPr>
          <w:sz w:val="22"/>
          <w:szCs w:val="22"/>
        </w:rPr>
        <w:t>Questions included:</w:t>
      </w:r>
    </w:p>
    <w:p w14:paraId="1D136B3D" w14:textId="175EFA29" w:rsidR="00771488" w:rsidRPr="003E73CD" w:rsidRDefault="00771488" w:rsidP="00771488">
      <w:pPr>
        <w:spacing w:line="480" w:lineRule="auto"/>
        <w:rPr>
          <w:sz w:val="22"/>
          <w:szCs w:val="22"/>
        </w:rPr>
      </w:pPr>
      <w:r w:rsidRPr="003E73CD">
        <w:rPr>
          <w:sz w:val="22"/>
          <w:szCs w:val="22"/>
        </w:rPr>
        <w:t>- Can the likelihood of metastasis to non-sentinel nodes be determined prior to completion lymph node dissection</w:t>
      </w:r>
      <w:r w:rsidR="00034E54" w:rsidRPr="003E73CD">
        <w:rPr>
          <w:sz w:val="22"/>
          <w:szCs w:val="22"/>
        </w:rPr>
        <w:t>,</w:t>
      </w:r>
      <w:r w:rsidRPr="003E73CD">
        <w:rPr>
          <w:sz w:val="22"/>
          <w:szCs w:val="22"/>
        </w:rPr>
        <w:t xml:space="preserve"> so that it could be avoided for patients who are at low risk of having non-sentinel node metastase</w:t>
      </w:r>
      <w:r w:rsidR="009C5B42">
        <w:rPr>
          <w:sz w:val="22"/>
          <w:szCs w:val="22"/>
        </w:rPr>
        <w:t>s? – Section 3.2</w:t>
      </w:r>
    </w:p>
    <w:p w14:paraId="0D05CEB1" w14:textId="304EB27B" w:rsidR="00771488" w:rsidRPr="003E73CD" w:rsidRDefault="00771488" w:rsidP="00771488">
      <w:pPr>
        <w:spacing w:line="480" w:lineRule="auto"/>
        <w:rPr>
          <w:sz w:val="22"/>
          <w:szCs w:val="22"/>
        </w:rPr>
      </w:pPr>
      <w:r w:rsidRPr="003E73CD">
        <w:rPr>
          <w:sz w:val="22"/>
          <w:szCs w:val="22"/>
        </w:rPr>
        <w:t>- What factors determine prognosis for patients who comp</w:t>
      </w:r>
      <w:r w:rsidR="008B3EFE" w:rsidRPr="003E73CD">
        <w:rPr>
          <w:sz w:val="22"/>
          <w:szCs w:val="22"/>
        </w:rPr>
        <w:t>lete the standard sentinel node biopsy-</w:t>
      </w:r>
      <w:r w:rsidRPr="003E73CD">
        <w:rPr>
          <w:sz w:val="22"/>
          <w:szCs w:val="22"/>
        </w:rPr>
        <w:t>based management pathway? – Section</w:t>
      </w:r>
      <w:r w:rsidR="009C5B42">
        <w:rPr>
          <w:sz w:val="22"/>
          <w:szCs w:val="22"/>
        </w:rPr>
        <w:t>s 3.1,</w:t>
      </w:r>
      <w:r w:rsidRPr="003E73CD">
        <w:rPr>
          <w:sz w:val="22"/>
          <w:szCs w:val="22"/>
        </w:rPr>
        <w:t xml:space="preserve"> 3.2</w:t>
      </w:r>
      <w:r w:rsidR="009C5B42">
        <w:rPr>
          <w:sz w:val="22"/>
          <w:szCs w:val="22"/>
        </w:rPr>
        <w:t xml:space="preserve"> + 3.3</w:t>
      </w:r>
    </w:p>
    <w:p w14:paraId="32D71360" w14:textId="6D792656" w:rsidR="00771488" w:rsidRPr="003E73CD" w:rsidRDefault="00771488" w:rsidP="00771488">
      <w:pPr>
        <w:spacing w:line="480" w:lineRule="auto"/>
        <w:rPr>
          <w:sz w:val="22"/>
          <w:szCs w:val="22"/>
        </w:rPr>
      </w:pPr>
      <w:r w:rsidRPr="003E73CD">
        <w:rPr>
          <w:sz w:val="22"/>
          <w:szCs w:val="22"/>
        </w:rPr>
        <w:t>- Prognosis is determined by the total number of metastatic nodes but does it make a difference whether these nodes are sentinel only or a mixture of sentinel and non-sentinel? – Section</w:t>
      </w:r>
      <w:r w:rsidR="009C5B42">
        <w:rPr>
          <w:sz w:val="22"/>
          <w:szCs w:val="22"/>
        </w:rPr>
        <w:t>s</w:t>
      </w:r>
      <w:r w:rsidRPr="003E73CD">
        <w:rPr>
          <w:sz w:val="22"/>
          <w:szCs w:val="22"/>
        </w:rPr>
        <w:t xml:space="preserve"> 3.1</w:t>
      </w:r>
      <w:r w:rsidR="009C5B42">
        <w:rPr>
          <w:sz w:val="22"/>
          <w:szCs w:val="22"/>
        </w:rPr>
        <w:t xml:space="preserve"> + 3.2</w:t>
      </w:r>
    </w:p>
    <w:p w14:paraId="34D14AD7" w14:textId="39534D47" w:rsidR="009F3345" w:rsidRPr="009F3345" w:rsidRDefault="00771488" w:rsidP="009F3345">
      <w:pPr>
        <w:spacing w:line="480" w:lineRule="auto"/>
        <w:rPr>
          <w:sz w:val="22"/>
          <w:szCs w:val="22"/>
        </w:rPr>
      </w:pPr>
      <w:r w:rsidRPr="003E73CD">
        <w:rPr>
          <w:sz w:val="22"/>
          <w:szCs w:val="22"/>
        </w:rPr>
        <w:t>- Can patients be grouped according to prognosis in an easily applicable manner that would allow decisions to be made regarding their need for adjuvant therapy? – Section</w:t>
      </w:r>
      <w:r w:rsidR="009C5B42">
        <w:rPr>
          <w:sz w:val="22"/>
          <w:szCs w:val="22"/>
        </w:rPr>
        <w:t>s 3.2 + 3.3</w:t>
      </w:r>
      <w:r w:rsidR="009F3345">
        <w:rPr>
          <w:sz w:val="22"/>
          <w:szCs w:val="22"/>
        </w:rPr>
        <w:t>.</w:t>
      </w:r>
      <w:r w:rsidR="001D71ED" w:rsidRPr="003E73CD">
        <w:rPr>
          <w:sz w:val="22"/>
          <w:szCs w:val="22"/>
        </w:rPr>
        <w:br w:type="page"/>
      </w:r>
    </w:p>
    <w:p w14:paraId="5C30E6E8"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5B173316"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240FC6E9"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0C4E8C0C"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3C5F7310"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34CE0A53"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5F6EE000"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3B9455A3" w14:textId="589EBB21"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r>
        <w:rPr>
          <w:sz w:val="48"/>
          <w:szCs w:val="48"/>
        </w:rPr>
        <w:t>Section 1</w:t>
      </w:r>
    </w:p>
    <w:p w14:paraId="44A62ECC"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365E271F"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550F9006"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5115261F"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33645B57"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2C10D78C"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1D29DF84"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6A7093A2"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7BDC8F08"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5768164C"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4F2C4D22"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7197DDED"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6A29BF5C"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5E9F2CC6"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21E6F853" w14:textId="487C30C8" w:rsidR="009F3345" w:rsidRPr="009F3345" w:rsidRDefault="009F3345" w:rsidP="009F3345">
      <w:pPr>
        <w:pBdr>
          <w:top w:val="single" w:sz="4" w:space="1" w:color="auto" w:shadow="1"/>
          <w:left w:val="single" w:sz="4" w:space="4" w:color="auto" w:shadow="1"/>
          <w:bottom w:val="single" w:sz="4" w:space="1" w:color="auto" w:shadow="1"/>
          <w:right w:val="single" w:sz="4" w:space="4" w:color="auto" w:shadow="1"/>
        </w:pBdr>
        <w:rPr>
          <w:b/>
          <w:sz w:val="48"/>
          <w:szCs w:val="48"/>
          <w:bdr w:val="single" w:sz="4" w:space="0" w:color="auto" w:shadow="1"/>
        </w:rPr>
      </w:pPr>
      <w:r w:rsidRPr="0048668C">
        <w:rPr>
          <w:b/>
          <w:sz w:val="48"/>
          <w:szCs w:val="48"/>
          <w:bdr w:val="single" w:sz="4" w:space="0" w:color="auto" w:shadow="1"/>
        </w:rPr>
        <w:br w:type="page"/>
      </w:r>
    </w:p>
    <w:p w14:paraId="291674FD" w14:textId="6147FDF8" w:rsidR="0061482C" w:rsidRPr="003E73CD" w:rsidRDefault="0061482C" w:rsidP="009C5B42">
      <w:pPr>
        <w:rPr>
          <w:sz w:val="22"/>
          <w:szCs w:val="22"/>
        </w:rPr>
      </w:pPr>
      <w:r w:rsidRPr="003E73CD">
        <w:rPr>
          <w:b/>
          <w:sz w:val="28"/>
          <w:szCs w:val="28"/>
        </w:rPr>
        <w:t>Section 1 – Review of the literature</w:t>
      </w:r>
    </w:p>
    <w:p w14:paraId="7E24C1C6" w14:textId="025E35DA" w:rsidR="00AE2A5F" w:rsidRPr="003E73CD" w:rsidRDefault="00AE2A5F" w:rsidP="00485711">
      <w:pPr>
        <w:spacing w:line="480" w:lineRule="auto"/>
        <w:rPr>
          <w:sz w:val="28"/>
          <w:szCs w:val="28"/>
        </w:rPr>
      </w:pPr>
      <w:r w:rsidRPr="003E73CD">
        <w:rPr>
          <w:sz w:val="28"/>
          <w:szCs w:val="28"/>
        </w:rPr>
        <w:tab/>
      </w:r>
    </w:p>
    <w:p w14:paraId="2BB6CF43" w14:textId="77777777" w:rsidR="00485711" w:rsidRDefault="00485711" w:rsidP="00485711">
      <w:pPr>
        <w:spacing w:line="480" w:lineRule="auto"/>
        <w:ind w:firstLine="720"/>
        <w:rPr>
          <w:sz w:val="22"/>
          <w:szCs w:val="22"/>
        </w:rPr>
      </w:pPr>
    </w:p>
    <w:p w14:paraId="5167564E" w14:textId="764B87AC" w:rsidR="00485711" w:rsidRDefault="00485711" w:rsidP="00485711">
      <w:pPr>
        <w:spacing w:line="480" w:lineRule="auto"/>
        <w:ind w:firstLine="720"/>
        <w:rPr>
          <w:sz w:val="22"/>
          <w:szCs w:val="22"/>
        </w:rPr>
      </w:pPr>
      <w:r w:rsidRPr="003E73CD">
        <w:rPr>
          <w:sz w:val="22"/>
          <w:szCs w:val="22"/>
        </w:rPr>
        <w:t xml:space="preserve">This section </w:t>
      </w:r>
      <w:r w:rsidR="009C5B42">
        <w:rPr>
          <w:sz w:val="22"/>
          <w:szCs w:val="22"/>
        </w:rPr>
        <w:t>includ</w:t>
      </w:r>
      <w:r>
        <w:rPr>
          <w:sz w:val="22"/>
          <w:szCs w:val="22"/>
        </w:rPr>
        <w:t>es a broad clinical overvi</w:t>
      </w:r>
      <w:r w:rsidR="009C5B42">
        <w:rPr>
          <w:sz w:val="22"/>
          <w:szCs w:val="22"/>
        </w:rPr>
        <w:t>ew of melanoma (Section 1.1) followed by</w:t>
      </w:r>
      <w:r>
        <w:rPr>
          <w:sz w:val="22"/>
          <w:szCs w:val="22"/>
        </w:rPr>
        <w:t xml:space="preserve"> a focused review of lymphatic mapping and occult nodal metastasis in melanoma (Section 1.2).  </w:t>
      </w:r>
    </w:p>
    <w:p w14:paraId="16765408" w14:textId="1F3A0BF1" w:rsidR="00485711" w:rsidRPr="003E73CD" w:rsidRDefault="00485711" w:rsidP="00485711">
      <w:pPr>
        <w:spacing w:line="480" w:lineRule="auto"/>
        <w:ind w:firstLine="720"/>
        <w:rPr>
          <w:sz w:val="22"/>
          <w:szCs w:val="22"/>
        </w:rPr>
      </w:pPr>
      <w:r>
        <w:rPr>
          <w:sz w:val="22"/>
          <w:szCs w:val="22"/>
        </w:rPr>
        <w:t>Section 1.3 comprises a theoretical analysis of lymphoscintigraphy in combination with literature review and clinical examples to address</w:t>
      </w:r>
      <w:r w:rsidRPr="003E73CD">
        <w:rPr>
          <w:sz w:val="22"/>
          <w:szCs w:val="22"/>
        </w:rPr>
        <w:t xml:space="preserve"> the following questions:</w:t>
      </w:r>
    </w:p>
    <w:p w14:paraId="3C0D0AC2" w14:textId="1E6C5DF8" w:rsidR="002B3EC6" w:rsidRPr="003E73CD" w:rsidRDefault="002B3EC6" w:rsidP="002B3EC6">
      <w:pPr>
        <w:spacing w:line="480" w:lineRule="auto"/>
        <w:rPr>
          <w:sz w:val="22"/>
          <w:szCs w:val="22"/>
        </w:rPr>
      </w:pPr>
      <w:r w:rsidRPr="003E73CD">
        <w:rPr>
          <w:sz w:val="22"/>
          <w:szCs w:val="22"/>
        </w:rPr>
        <w:t>- What factors could affect the accuracy of</w:t>
      </w:r>
      <w:r w:rsidR="00485711">
        <w:rPr>
          <w:sz w:val="22"/>
          <w:szCs w:val="22"/>
        </w:rPr>
        <w:t xml:space="preserve"> lymphoscintigraphy? – Section 1.3</w:t>
      </w:r>
    </w:p>
    <w:p w14:paraId="572AC882" w14:textId="395331C3" w:rsidR="002B3EC6" w:rsidRPr="003E73CD" w:rsidRDefault="002B3EC6" w:rsidP="002B3EC6">
      <w:pPr>
        <w:spacing w:line="480" w:lineRule="auto"/>
        <w:rPr>
          <w:sz w:val="22"/>
          <w:szCs w:val="22"/>
        </w:rPr>
      </w:pPr>
      <w:r w:rsidRPr="003E73CD">
        <w:rPr>
          <w:sz w:val="22"/>
          <w:szCs w:val="22"/>
        </w:rPr>
        <w:t>- What are the types and causes of n</w:t>
      </w:r>
      <w:r>
        <w:rPr>
          <w:sz w:val="22"/>
          <w:szCs w:val="22"/>
        </w:rPr>
        <w:t>on-localization? – Se</w:t>
      </w:r>
      <w:r w:rsidR="00485711">
        <w:rPr>
          <w:sz w:val="22"/>
          <w:szCs w:val="22"/>
        </w:rPr>
        <w:t>ction 1.3</w:t>
      </w:r>
    </w:p>
    <w:p w14:paraId="29AE7C89" w14:textId="77777777" w:rsidR="00AE2A5F" w:rsidRDefault="00AE2A5F">
      <w:pPr>
        <w:rPr>
          <w:sz w:val="28"/>
          <w:szCs w:val="28"/>
        </w:rPr>
      </w:pPr>
      <w:r>
        <w:rPr>
          <w:sz w:val="28"/>
          <w:szCs w:val="28"/>
        </w:rPr>
        <w:br w:type="page"/>
      </w:r>
    </w:p>
    <w:p w14:paraId="65E8D868" w14:textId="02344101" w:rsidR="0061482C" w:rsidRPr="003E73CD" w:rsidRDefault="00F90C27" w:rsidP="0061482C">
      <w:pPr>
        <w:spacing w:line="480" w:lineRule="auto"/>
        <w:rPr>
          <w:sz w:val="28"/>
          <w:szCs w:val="28"/>
        </w:rPr>
      </w:pPr>
      <w:r w:rsidRPr="003E73CD">
        <w:rPr>
          <w:sz w:val="28"/>
          <w:szCs w:val="28"/>
        </w:rPr>
        <w:t>1.1: Melanoma: A Clinical</w:t>
      </w:r>
      <w:r w:rsidR="0061482C" w:rsidRPr="003E73CD">
        <w:rPr>
          <w:sz w:val="28"/>
          <w:szCs w:val="28"/>
        </w:rPr>
        <w:t xml:space="preserve"> </w:t>
      </w:r>
      <w:r w:rsidR="0039295B" w:rsidRPr="003E73CD">
        <w:rPr>
          <w:sz w:val="28"/>
          <w:szCs w:val="28"/>
        </w:rPr>
        <w:t>Overview</w:t>
      </w:r>
      <w:r w:rsidR="0061482C" w:rsidRPr="003E73CD">
        <w:rPr>
          <w:sz w:val="28"/>
          <w:szCs w:val="28"/>
        </w:rPr>
        <w:t xml:space="preserve">  </w:t>
      </w:r>
      <w:r w:rsidR="0061482C" w:rsidRPr="003E73CD">
        <w:rPr>
          <w:sz w:val="28"/>
          <w:szCs w:val="28"/>
        </w:rPr>
        <w:tab/>
      </w:r>
    </w:p>
    <w:p w14:paraId="0D760BD3" w14:textId="04B04B5D" w:rsidR="00F104CE" w:rsidRPr="003E73CD" w:rsidRDefault="00F104CE" w:rsidP="00F104CE">
      <w:pPr>
        <w:spacing w:line="480" w:lineRule="auto"/>
        <w:rPr>
          <w:u w:val="single"/>
        </w:rPr>
      </w:pPr>
      <w:r w:rsidRPr="003E73CD">
        <w:rPr>
          <w:u w:val="single"/>
        </w:rPr>
        <w:t>Epidemiology</w:t>
      </w:r>
    </w:p>
    <w:p w14:paraId="30C2F136" w14:textId="6217EFD1" w:rsidR="0061482C" w:rsidRPr="003E73CD" w:rsidRDefault="0027632D" w:rsidP="0061482C">
      <w:pPr>
        <w:spacing w:line="480" w:lineRule="auto"/>
        <w:ind w:firstLine="720"/>
        <w:rPr>
          <w:sz w:val="22"/>
          <w:szCs w:val="22"/>
        </w:rPr>
      </w:pPr>
      <w:r>
        <w:rPr>
          <w:sz w:val="22"/>
          <w:szCs w:val="22"/>
        </w:rPr>
        <w:t>Melanoma (melas</w:t>
      </w:r>
      <w:r w:rsidR="0061482C" w:rsidRPr="003E73CD">
        <w:rPr>
          <w:sz w:val="22"/>
          <w:szCs w:val="22"/>
        </w:rPr>
        <w:t>=black</w:t>
      </w:r>
      <w:r>
        <w:rPr>
          <w:sz w:val="22"/>
          <w:szCs w:val="22"/>
        </w:rPr>
        <w:t xml:space="preserve">, </w:t>
      </w:r>
      <w:r>
        <w:rPr>
          <w:i/>
          <w:sz w:val="22"/>
          <w:szCs w:val="22"/>
        </w:rPr>
        <w:t>in ancient Greek</w:t>
      </w:r>
      <w:r w:rsidR="0061482C" w:rsidRPr="003E73CD">
        <w:rPr>
          <w:sz w:val="22"/>
          <w:szCs w:val="22"/>
        </w:rPr>
        <w:t>) is a highly malignant tumour of melanocytes that can affect all ages.  The incidence of melanoma has been increasing over the past few decades and it is currently the 5</w:t>
      </w:r>
      <w:r w:rsidR="0061482C" w:rsidRPr="003E73CD">
        <w:rPr>
          <w:sz w:val="22"/>
          <w:szCs w:val="22"/>
          <w:vertAlign w:val="superscript"/>
        </w:rPr>
        <w:t>th</w:t>
      </w:r>
      <w:r w:rsidR="0061482C" w:rsidRPr="003E73CD">
        <w:rPr>
          <w:sz w:val="22"/>
          <w:szCs w:val="22"/>
        </w:rPr>
        <w:t xml:space="preserve"> commonest cancer in the UK.</w:t>
      </w:r>
      <w:r w:rsidR="0061482C" w:rsidRPr="003E73CD">
        <w:rPr>
          <w:sz w:val="22"/>
          <w:szCs w:val="22"/>
        </w:rPr>
        <w:fldChar w:fldCharType="begin" w:fldLock="1"/>
      </w:r>
      <w:r w:rsidR="0061482C" w:rsidRPr="003E73CD">
        <w:rPr>
          <w:sz w:val="22"/>
          <w:szCs w:val="22"/>
        </w:rPr>
        <w:instrText>ADDIN CSL_CITATION { "citationItems" : [ { "id" : "ITEM-1", "itemData" : { "URL" : "http://www.cancerresearchuk.org/cancer-info/cancerstats/incidence/commoncancers/uk-cancer-incidence-statistics-for-common-cancers", "abstract" : "The latest incidence statistics for the most common cancers (excluding non-melanoma skin cancer) diagnosed in the UK. Read more.", "author" : [ { "dropping-particle" : "", "family" : "UK", "given" : "Cancer Research", "non-dropping-particle" : "", "parse-names" : false, "suffix" : "" } ], "container-title" : "Cancer Research UK", "id" : "ITEM-1", "issued" : { "date-parts" : [ [ "2013" ] ] }, "page" : "1", "title" : "Cancer Incidence for Common Cancers", "type" : "webpage" }, "uris" : [ "http://www.mendeley.com/documents/?uuid=4c9eca81-3c50-4676-9b28-33bb42e7f0fe" ] } ], "mendeley" : { "formattedCitation" : "&lt;sup&gt;1&lt;/sup&gt;", "plainTextFormattedCitation" : "1", "previouslyFormattedCitation" : "&lt;sup&gt;1&lt;/sup&gt;" }, "properties" : { "noteIndex" : 0 }, "schema" : "https://github.com/citation-style-language/schema/raw/master/csl-citation.json" }</w:instrText>
      </w:r>
      <w:r w:rsidR="0061482C" w:rsidRPr="003E73CD">
        <w:rPr>
          <w:sz w:val="22"/>
          <w:szCs w:val="22"/>
        </w:rPr>
        <w:fldChar w:fldCharType="separate"/>
      </w:r>
      <w:r w:rsidR="0061482C" w:rsidRPr="003E73CD">
        <w:rPr>
          <w:noProof/>
          <w:sz w:val="22"/>
          <w:szCs w:val="22"/>
          <w:vertAlign w:val="superscript"/>
        </w:rPr>
        <w:t>1</w:t>
      </w:r>
      <w:r w:rsidR="0061482C" w:rsidRPr="003E73CD">
        <w:rPr>
          <w:sz w:val="22"/>
          <w:szCs w:val="22"/>
        </w:rPr>
        <w:fldChar w:fldCharType="end"/>
      </w:r>
      <w:r w:rsidR="0061482C" w:rsidRPr="003E73CD">
        <w:rPr>
          <w:sz w:val="22"/>
          <w:szCs w:val="22"/>
        </w:rPr>
        <w:t xml:space="preserve">   The current incidence of melanoma in the UK is over five times higher than it was in the mid-1970s.  It is predicted that this incidence will continue to increase over the next few decades to become the 4</w:t>
      </w:r>
      <w:r w:rsidR="0061482C" w:rsidRPr="003E73CD">
        <w:rPr>
          <w:sz w:val="22"/>
          <w:szCs w:val="22"/>
          <w:vertAlign w:val="superscript"/>
        </w:rPr>
        <w:t>th</w:t>
      </w:r>
      <w:r w:rsidR="0061482C" w:rsidRPr="003E73CD">
        <w:rPr>
          <w:sz w:val="22"/>
          <w:szCs w:val="22"/>
        </w:rPr>
        <w:t xml:space="preserve"> most common cancer by 2030.</w:t>
      </w:r>
      <w:r w:rsidR="0061482C" w:rsidRPr="003E73CD">
        <w:rPr>
          <w:sz w:val="22"/>
          <w:szCs w:val="22"/>
        </w:rPr>
        <w:fldChar w:fldCharType="begin" w:fldLock="1"/>
      </w:r>
      <w:r w:rsidR="0061482C" w:rsidRPr="003E73CD">
        <w:rPr>
          <w:sz w:val="22"/>
          <w:szCs w:val="22"/>
        </w:rPr>
        <w:instrText>ADDIN CSL_CITATION { "citationItems" : [ { "id" : "ITEM-1", "itemData" : { "DOI" : "10.1038/bjc.2011.430", "ISBN" : "1532-1827 (Electronic)\\r0007-0920 (Linking)", "ISSN" : "1532-1827", "PMID" : "22033277", "abstract" : "BACKGROUND: Projections of cancer incidence are important for planning health services and to provide a baseline for assessing the impact of public health interventions.\\n\\nMETHODS: Rates estimated from smooth function age-period-cohort modelling of cancer incidence data from Great Britain 1975 to 2007 are extrapolated to 2030 and applied to UK population projections. Prostate and breast cancer projections take into account the effect of screening.\\n\\nRESULTS: Overall rates of cancer are projected to be stable over the next 20 years, but this masks individual changes. In both sexes, age-standardised rates of cancers of the stomach, larynx, bladder and leukaemia are projected to fall by \u22651% per year, whereas cancers of the lip, mouth and pharynx (ICD-10 C00-C14) and melanoma are projected to increase by \u22651% per year. The growing and aging populations will have a substantial impact: numbers of cancers in men and women are projected to increase by 55% (from 149,169 to 231,026) and 35% (from 148,716 to 200,929), respectively, between 2007 and 2030. The model used yields similar results to those of Nordpred, but is more flexible.\\n\\nCONCLUSION: Without new initiatives for smoking and obesity reduction, the number of cancers in the United Kingdom will increase substantially reflecting the growing and aging populations.", "author" : [ { "dropping-particle" : "", "family" : "Mistry", "given" : "M", "non-dropping-particle" : "", "parse-names" : false, "suffix" : "" }, { "dropping-particle" : "", "family" : "Parkin", "given" : "D M", "non-dropping-particle" : "", "parse-names" : false, "suffix" : "" }, { "dropping-particle" : "", "family" : "Ahmad", "given" : "A S", "non-dropping-particle" : "", "parse-names" : false, "suffix" : "" }, { "dropping-particle" : "", "family" : "Sasieni", "given" : "P", "non-dropping-particle" : "", "parse-names" : false, "suffix" : "" } ], "container-title" : "British journal of cancer", "id" : "ITEM-1", "issue" : "11", "issued" : { "date-parts" : [ [ "2011" ] ] }, "page" : "1795-803", "title" : "Cancer incidence in the United Kingdom: projections to the year 2030.", "type" : "article-journal", "volume" : "105" }, "uris" : [ "http://www.mendeley.com/documents/?uuid=f885e71d-6880-4de3-bffa-8db4d08cafa1" ] } ], "mendeley" : { "formattedCitation" : "&lt;sup&gt;2&lt;/sup&gt;", "plainTextFormattedCitation" : "2", "previouslyFormattedCitation" : "&lt;sup&gt;2&lt;/sup&gt;" }, "properties" : { "noteIndex" : 0 }, "schema" : "https://github.com/citation-style-language/schema/raw/master/csl-citation.json" }</w:instrText>
      </w:r>
      <w:r w:rsidR="0061482C" w:rsidRPr="003E73CD">
        <w:rPr>
          <w:sz w:val="22"/>
          <w:szCs w:val="22"/>
        </w:rPr>
        <w:fldChar w:fldCharType="separate"/>
      </w:r>
      <w:r w:rsidR="0061482C" w:rsidRPr="003E73CD">
        <w:rPr>
          <w:noProof/>
          <w:sz w:val="22"/>
          <w:szCs w:val="22"/>
          <w:vertAlign w:val="superscript"/>
        </w:rPr>
        <w:t>2</w:t>
      </w:r>
      <w:r w:rsidR="0061482C" w:rsidRPr="003E73CD">
        <w:rPr>
          <w:sz w:val="22"/>
          <w:szCs w:val="22"/>
        </w:rPr>
        <w:fldChar w:fldCharType="end"/>
      </w:r>
      <w:r w:rsidR="0061482C" w:rsidRPr="003E73CD">
        <w:rPr>
          <w:sz w:val="22"/>
          <w:szCs w:val="22"/>
        </w:rPr>
        <w:t xml:space="preserve">  Worldwide, it is estimated that 55 500 people died from melanoma in 2012 and in the UK this figure was around 2100.  In the UK, in 2011, there were around 13 300 cases of melanoma diagnosed.  Melanoma disproportionately affects young adults and is currently the second most common cancer in those aged 15 to 34 years.</w:t>
      </w:r>
      <w:r w:rsidR="0061482C" w:rsidRPr="003E73CD">
        <w:rPr>
          <w:sz w:val="22"/>
          <w:szCs w:val="22"/>
        </w:rPr>
        <w:fldChar w:fldCharType="begin" w:fldLock="1"/>
      </w:r>
      <w:r w:rsidR="0061482C" w:rsidRPr="003E73CD">
        <w:rPr>
          <w:sz w:val="22"/>
          <w:szCs w:val="22"/>
        </w:rPr>
        <w:instrText>ADDIN CSL_CITATION { "citationItems" : [ { "id" : "ITEM-1", "itemData" : { "URL" : "http://www.cancerresearchuk.org/cancer-info/cancerstats/incidence/commoncancers/uk-cancer-incidence-statistics-for-common-cancers", "abstract" : "The latest incidence statistics for the most common cancers (excluding non-melanoma skin cancer) diagnosed in the UK. Read more.", "author" : [ { "dropping-particle" : "", "family" : "UK", "given" : "Cancer Research", "non-dropping-particle" : "", "parse-names" : false, "suffix" : "" } ], "container-title" : "Cancer Research UK", "id" : "ITEM-1", "issued" : { "date-parts" : [ [ "2013" ] ] }, "page" : "1", "title" : "Cancer Incidence for Common Cancers", "type" : "webpage" }, "uris" : [ "http://www.mendeley.com/documents/?uuid=4c9eca81-3c50-4676-9b28-33bb42e7f0fe" ] } ], "mendeley" : { "formattedCitation" : "&lt;sup&gt;1&lt;/sup&gt;", "plainTextFormattedCitation" : "1", "previouslyFormattedCitation" : "&lt;sup&gt;1&lt;/sup&gt;" }, "properties" : { "noteIndex" : 0 }, "schema" : "https://github.com/citation-style-language/schema/raw/master/csl-citation.json" }</w:instrText>
      </w:r>
      <w:r w:rsidR="0061482C" w:rsidRPr="003E73CD">
        <w:rPr>
          <w:sz w:val="22"/>
          <w:szCs w:val="22"/>
        </w:rPr>
        <w:fldChar w:fldCharType="separate"/>
      </w:r>
      <w:r w:rsidR="0061482C" w:rsidRPr="003E73CD">
        <w:rPr>
          <w:noProof/>
          <w:sz w:val="22"/>
          <w:szCs w:val="22"/>
          <w:vertAlign w:val="superscript"/>
        </w:rPr>
        <w:t>1</w:t>
      </w:r>
      <w:r w:rsidR="0061482C" w:rsidRPr="003E73CD">
        <w:rPr>
          <w:sz w:val="22"/>
          <w:szCs w:val="22"/>
        </w:rPr>
        <w:fldChar w:fldCharType="end"/>
      </w:r>
      <w:r w:rsidR="0061482C" w:rsidRPr="003E73CD">
        <w:rPr>
          <w:sz w:val="22"/>
          <w:szCs w:val="22"/>
        </w:rPr>
        <w:t xml:space="preserve">  </w:t>
      </w:r>
    </w:p>
    <w:p w14:paraId="57B07624" w14:textId="77777777" w:rsidR="00F104CE" w:rsidRPr="003E73CD" w:rsidRDefault="00F104CE" w:rsidP="00F104CE">
      <w:pPr>
        <w:spacing w:line="480" w:lineRule="auto"/>
        <w:rPr>
          <w:sz w:val="22"/>
          <w:szCs w:val="22"/>
        </w:rPr>
      </w:pPr>
    </w:p>
    <w:p w14:paraId="7A47F19E" w14:textId="350D3B80" w:rsidR="00F104CE" w:rsidRPr="003E73CD" w:rsidRDefault="00F104CE" w:rsidP="00F104CE">
      <w:pPr>
        <w:spacing w:line="480" w:lineRule="auto"/>
        <w:rPr>
          <w:u w:val="single"/>
        </w:rPr>
      </w:pPr>
      <w:r w:rsidRPr="003E73CD">
        <w:rPr>
          <w:u w:val="single"/>
        </w:rPr>
        <w:t>Pathophysiology</w:t>
      </w:r>
    </w:p>
    <w:p w14:paraId="41AC7FE1" w14:textId="77777777" w:rsidR="0061482C" w:rsidRPr="003E73CD" w:rsidRDefault="0061482C" w:rsidP="0061482C">
      <w:pPr>
        <w:spacing w:line="480" w:lineRule="auto"/>
        <w:ind w:firstLine="720"/>
        <w:rPr>
          <w:sz w:val="22"/>
          <w:szCs w:val="22"/>
        </w:rPr>
      </w:pPr>
      <w:r w:rsidRPr="003E73CD">
        <w:rPr>
          <w:sz w:val="22"/>
          <w:szCs w:val="22"/>
        </w:rPr>
        <w:t>Melanocytes are specialized cells derived from embryonic neural crest cells that have migrated to their location in the developed human.  Melanocytes can be found in the skin, the mucosal membranes of the respiratory and gastrointestinal tracts, the eye and the central nervous system.  Consequently, melanoma can arise in all of these locations.  The commonest site for melanoma is the skin.  Melanomas in other locations display different patterns of behaviour and require different methods of treatment.  All subsequent reference to “melanoma” within this thesis will be specifically to melanoma of the skin, unless otherwise stated.</w:t>
      </w:r>
    </w:p>
    <w:p w14:paraId="11B2BDB9" w14:textId="189ACBE1" w:rsidR="0061482C" w:rsidRPr="003E73CD" w:rsidRDefault="0061482C" w:rsidP="0061482C">
      <w:pPr>
        <w:spacing w:line="480" w:lineRule="auto"/>
        <w:ind w:firstLine="720"/>
        <w:rPr>
          <w:sz w:val="22"/>
          <w:szCs w:val="22"/>
        </w:rPr>
      </w:pPr>
      <w:r w:rsidRPr="003E73CD">
        <w:rPr>
          <w:sz w:val="22"/>
          <w:szCs w:val="22"/>
        </w:rPr>
        <w:t>Within the skin, melanocytes are normally located at the dermoepidermal junction.  Melanocytes synthesise, process, package and distribute the pigment melanin, in the form of melanosomes, to surrounding cells.  The melanin acts to protect the cell nucleus by absorbing ultra-violet radiation that may damage the deoxyribonucleic acid (DNA) within the nucleus.  The actual number of melanocytes remains relatively constant between individuals of</w:t>
      </w:r>
      <w:r w:rsidR="00F90C27" w:rsidRPr="003E73CD">
        <w:rPr>
          <w:sz w:val="22"/>
          <w:szCs w:val="22"/>
        </w:rPr>
        <w:t xml:space="preserve"> different races and skin types.  H</w:t>
      </w:r>
      <w:r w:rsidRPr="003E73CD">
        <w:rPr>
          <w:sz w:val="22"/>
          <w:szCs w:val="22"/>
        </w:rPr>
        <w:t>owever</w:t>
      </w:r>
      <w:r w:rsidR="00F90C27" w:rsidRPr="003E73CD">
        <w:rPr>
          <w:sz w:val="22"/>
          <w:szCs w:val="22"/>
        </w:rPr>
        <w:t>,</w:t>
      </w:r>
      <w:r w:rsidRPr="003E73CD">
        <w:rPr>
          <w:sz w:val="22"/>
          <w:szCs w:val="22"/>
        </w:rPr>
        <w:t xml:space="preserve"> the amount of melanin that the melanocytes produce varies.  Within an individual, the ratio of melanocytes to keratinocytes varies depending on the location of the skin within the body, with the highest densities of melanocytes occurring in the skin of the face and genitalia.</w:t>
      </w:r>
    </w:p>
    <w:p w14:paraId="27B11859" w14:textId="77777777" w:rsidR="00F104CE" w:rsidRPr="003E73CD" w:rsidRDefault="00F104CE" w:rsidP="00F104CE">
      <w:pPr>
        <w:spacing w:line="480" w:lineRule="auto"/>
        <w:rPr>
          <w:sz w:val="22"/>
          <w:szCs w:val="22"/>
        </w:rPr>
      </w:pPr>
    </w:p>
    <w:p w14:paraId="4FFFDCEE" w14:textId="25CB850F" w:rsidR="00F104CE" w:rsidRPr="003E73CD" w:rsidRDefault="00F104CE" w:rsidP="00F104CE">
      <w:pPr>
        <w:spacing w:line="480" w:lineRule="auto"/>
        <w:rPr>
          <w:u w:val="single"/>
        </w:rPr>
      </w:pPr>
      <w:r w:rsidRPr="003E73CD">
        <w:rPr>
          <w:u w:val="single"/>
        </w:rPr>
        <w:t>Aetiology</w:t>
      </w:r>
    </w:p>
    <w:p w14:paraId="39611414" w14:textId="6DC4263F" w:rsidR="003245B7" w:rsidRPr="003E73CD" w:rsidRDefault="0061482C" w:rsidP="008B208F">
      <w:pPr>
        <w:spacing w:line="480" w:lineRule="auto"/>
        <w:ind w:firstLine="720"/>
        <w:rPr>
          <w:sz w:val="22"/>
          <w:szCs w:val="22"/>
        </w:rPr>
      </w:pPr>
      <w:r w:rsidRPr="003E73CD">
        <w:rPr>
          <w:sz w:val="22"/>
          <w:szCs w:val="22"/>
        </w:rPr>
        <w:t>There is good evidence to suggest a link between exposure to ultra-violet radiation and the incidence of melanoma.</w:t>
      </w:r>
      <w:r w:rsidRPr="003E73CD">
        <w:rPr>
          <w:sz w:val="22"/>
          <w:szCs w:val="22"/>
        </w:rPr>
        <w:fldChar w:fldCharType="begin" w:fldLock="1"/>
      </w:r>
      <w:r w:rsidRPr="003E73CD">
        <w:rPr>
          <w:sz w:val="22"/>
          <w:szCs w:val="22"/>
        </w:rPr>
        <w:instrText>ADDIN CSL_CITATION { "citationItems" : [ { "id" : "ITEM-1", "itemData" : { "DOI" : "10.1038/bjc.2011.486", "ISSN" : "1532-1827", "PMID" : "22158324", "author" : [ { "dropping-particle" : "", "family" : "Parkin", "given" : "D M", "non-dropping-particle" : "", "parse-names" : false, "suffix" : "" }, { "dropping-particle" : "", "family" : "Mesher", "given" : "D", "non-dropping-particle" : "", "parse-names" : false, "suffix" : "" }, { "dropping-particle" : "", "family" : "Sasieni", "given" : "P", "non-dropping-particle" : "", "parse-names" : false, "suffix" : "" } ], "container-title" : "British journal of cancer", "id" : "ITEM-1", "issued" : { "date-parts" : [ [ "2011", "12", "6" ] ] }, "page" : "S66-9", "title" : "13. Cancers attributable to solar (ultraviolet) radiation exposure in the UK in 2010.", "type" : "article-journal", "volume" : "105 Suppl " }, "uris" : [ "http://www.mendeley.com/documents/?uuid=b05e7374-8549-4f48-b2c9-c125107e4faa" ] }, { "id" : "ITEM-2", "itemData" : { "abstract" : "Melanoma and nonmelanoma skin cancer (NMSC) are now the most common types of cancer in white populations. Both tumor entities show an increasing incidence rate worldwide but a stable or decreasing mortality rate. The rising incidence rates of NMSC are probably caused by a combination of increased sun exposure or exposure to ultraviolet (UV) light, increased outdoor activities, changes in clothing style, increased longevity, ozone depletion, genetics and in some cases, immune suppression. A dose-dependent increase in the risk of squamous cell carcinoma (SCC) of the skin was found associated with exposure to Psoralen and UVA irradiation. An intensive UV exposure in childhood and adolescence was causative for the development of basal cell carcinoma (BCC) whereas for the aetiology of SCC a chronic UV exposure in the earlier decades was accused. Cutaneous malignant melanoma is the most rapidly increasing cancer in white populations. The frequency of its occurrence is closely associated with the constitutive colour of the skin and depends on the geographical zone. The highest incidence rates have been reported from Queensland, Australia with 56 new cases per year per 100,000 for men and 43 for women. Mortality rates of melanoma show a stabilisation in the USA, Australia and also in European countries. The tumor thickness is the most important prognostic factor in primary melanoma. There is an ongoing trend towards thin melanoma since the last two decades. Epidemiological studies have confirmed the hypothesis that the majority of all melanoma cases are caused, at least in part, by excessive exposure to sunlight. In contrast to squamous cell carcinoma, melanoma risk seems not to be associated with cumulative, but intermittent exposure to sunlight. Therefore campaigns for prevention and early detection are necessary.", "author" : [ { "dropping-particle" : "", "family" : "Garbe", "given" : "Claus", "non-dropping-particle" : "", "parse-names" : false, "suffix" : "" }, { "dropping-particle" : "", "family" : "Leiter", "given" : "Ulrike", "non-dropping-particle" : "", "parse-names" : false, "suffix" : "" } ], "container-title" : "Advances in Experimental Medicine and Biology", "id" : "ITEM-2", "issued" : { "date-parts" : [ [ "2008" ] ] }, "page" : "89-103", "title" : "Epidemiology of melanoma and nonmelanoma skin cancer-the role of sunlight", "type" : "article", "volume" : "624" }, "uris" : [ "http://www.mendeley.com/documents/?uuid=62c139cc-03c6-481a-8237-027e4ce54302" ] } ], "mendeley" : { "formattedCitation" : "&lt;sup&gt;3,4&lt;/sup&gt;", "plainTextFormattedCitation" : "3,4", "previouslyFormattedCitation" : "&lt;sup&gt;3,4&lt;/sup&gt;" }, "properties" : { "noteIndex" : 0 }, "schema" : "https://github.com/citation-style-language/schema/raw/master/csl-citation.json" }</w:instrText>
      </w:r>
      <w:r w:rsidRPr="003E73CD">
        <w:rPr>
          <w:sz w:val="22"/>
          <w:szCs w:val="22"/>
        </w:rPr>
        <w:fldChar w:fldCharType="separate"/>
      </w:r>
      <w:r w:rsidRPr="003E73CD">
        <w:rPr>
          <w:noProof/>
          <w:sz w:val="22"/>
          <w:szCs w:val="22"/>
          <w:vertAlign w:val="superscript"/>
        </w:rPr>
        <w:t>3,4</w:t>
      </w:r>
      <w:r w:rsidRPr="003E73CD">
        <w:rPr>
          <w:sz w:val="22"/>
          <w:szCs w:val="22"/>
        </w:rPr>
        <w:fldChar w:fldCharType="end"/>
      </w:r>
      <w:r w:rsidRPr="003E73CD">
        <w:rPr>
          <w:sz w:val="22"/>
          <w:szCs w:val="22"/>
        </w:rPr>
        <w:t xml:space="preserve">  The risk of developing melanoma is increased in individuals with skin that is less pigmented.</w:t>
      </w:r>
      <w:r w:rsidRPr="003E73CD">
        <w:rPr>
          <w:sz w:val="22"/>
          <w:szCs w:val="22"/>
        </w:rPr>
        <w:fldChar w:fldCharType="begin" w:fldLock="1"/>
      </w:r>
      <w:r w:rsidRPr="003E73CD">
        <w:rPr>
          <w:sz w:val="22"/>
          <w:szCs w:val="22"/>
        </w:rPr>
        <w:instrText>ADDIN CSL_CITATION { "citationItems" : [ { "id" : "ITEM-1", "itemData" : { "abstract" : "Epidemiologic research has demonstrated convincingly that certain pigmentary characteristics are associated with increased relative risks of melanoma; however there has been no comprehensive review to rank these characteristics in order of their importance on a population level. We conducted a systematic review of the literature and meta-analysis to quantify the contribution of pigmentary characteristics to melanoma, estimated by the population-attributable fraction (PAF). Eligible studies were those that permitted quantitative assessment of the association between histologically confirmed melanoma and hair colour, eye colour, skin phototype and presence of freckling; we identified 66 such studies using citation databases, followed by manual review of retrieved references. We calculated summary relative risks using weighted averages of the log RR, taking into account random effects, and used these to estimate the PAF. The pooled RRs for pigmentary characteristics were: 2.64 for red/red-blond, 2.0 for blond and 1.46 for light brown hair colour (vs. dark); 1.57 for blue/blue-grey and 1.51 for green/grey/hazel eye colour (vs. dark); 2.27, 1.99 and 1.35 for skin phototypes I, II and III respectively (vs. IV); and 1.99 for presence of freckling. The highest PAFs were observed for skin phototypes 1/II (0.27), presence of freckling (0.23), and blond hair colour (0.23). For eye colour, the PAF for blue/blue-grey eye colour was higher than for green/grey/hazel eye colour (0.18 vs. 0.13). The PAF of melanoma associated with red hair colour was 0.10. These estimates of melanoma burden attributable to pigmentary characteristics provide a basis for designing prevention strategies for melanoma.", "author" : [ { "dropping-particle" : "", "family" : "Olsen", "given" : "Catherine M.", "non-dropping-particle" : "", "parse-names" : false, "suffix" : "" }, { "dropping-particle" : "", "family" : "Carroll", "given" : "Heidi J.", "non-dropping-particle" : "", "parse-names" : false, "suffix" : "" }, { "dropping-particle" : "", "family" : "Whiteman", "given" : "David C.", "non-dropping-particle" : "", "parse-names" : false, "suffix" : "" } ], "container-title" : "International Journal of Cancer", "id" : "ITEM-1", "issue" : "10", "issued" : { "date-parts" : [ [ "2010" ] ] }, "page" : "2430-2445", "title" : "Estimating the attributable fraction for melanoma: A meta-analysis of pigmentary characteristics and freckling", "type" : "article-journal", "volume" : "127" }, "uris" : [ "http://www.mendeley.com/documents/?uuid=ed4f03ad-ee9b-4503-96a4-2c776fc6439f" ] } ], "mendeley" : { "formattedCitation" : "&lt;sup&gt;5&lt;/sup&gt;", "plainTextFormattedCitation" : "5", "previouslyFormattedCitation" : "&lt;sup&gt;5&lt;/sup&gt;" }, "properties" : { "noteIndex" : 0 }, "schema" : "https://github.com/citation-style-language/schema/raw/master/csl-citation.json" }</w:instrText>
      </w:r>
      <w:r w:rsidRPr="003E73CD">
        <w:rPr>
          <w:sz w:val="22"/>
          <w:szCs w:val="22"/>
        </w:rPr>
        <w:fldChar w:fldCharType="separate"/>
      </w:r>
      <w:r w:rsidRPr="003E73CD">
        <w:rPr>
          <w:noProof/>
          <w:sz w:val="22"/>
          <w:szCs w:val="22"/>
          <w:vertAlign w:val="superscript"/>
        </w:rPr>
        <w:t>5</w:t>
      </w:r>
      <w:r w:rsidRPr="003E73CD">
        <w:rPr>
          <w:sz w:val="22"/>
          <w:szCs w:val="22"/>
        </w:rPr>
        <w:fldChar w:fldCharType="end"/>
      </w:r>
      <w:r w:rsidRPr="003E73CD">
        <w:rPr>
          <w:sz w:val="22"/>
          <w:szCs w:val="22"/>
        </w:rPr>
        <w:t xml:space="preserve">  Epidemiological data demonstrating the incidence of melanoma in countries throughout the world highlight these points well.  Countries such as Australia and New Zealand, where there has been significant immigration of white Caucasians and there are high levels of sunlight-related ultra-violet radiation have the highest incidences of melanoma.  In Australia the lifetime risk of melanoma is around 1 in 14 for males and 1 in 23 for females, whereas in the UK it is 1 in 55 for males and 1 in 56 for females.</w:t>
      </w:r>
      <w:r w:rsidRPr="003E73CD">
        <w:rPr>
          <w:sz w:val="22"/>
          <w:szCs w:val="22"/>
        </w:rPr>
        <w:fldChar w:fldCharType="begin" w:fldLock="1"/>
      </w:r>
      <w:r w:rsidRPr="003E73CD">
        <w:rPr>
          <w:sz w:val="22"/>
          <w:szCs w:val="22"/>
        </w:rPr>
        <w:instrText>ADDIN CSL_CITATION { "citationItems" : [ { "id" : "ITEM-1", "itemData" : { "id" : "ITEM-1", "issued" : { "date-parts" : [ [ "2008" ] ] }, "publisher-place" : "Wellington", "title" : "Australian Cancer Network Melanoma Guidelines Revision Working Party. Clinical Practice Guidelines for the Management of Melanoma in Australia and New Zealand. Cancer Council Australia and Australian Cancer Network, Sydney and New Zealand Guidelines Group", "type" : "report" }, "uris" : [ "http://www.mendeley.com/documents/?uuid=36f13fe7-78e5-426a-9750-2d36a9295081" ] }, { "id" : "ITEM-2", "itemData" : { "URL" : "http://publications.cancerresearchuk.org/downloads/product/CS_CS_SKIN.pdf", "accessed" : { "date-parts" : [ [ "2015", "12", "7" ] ] }, "author" : [ { "dropping-particle" : "", "family" : "UK", "given" : "Cancer Research", "non-dropping-particle" : "", "parse-names" : false, "suffix" : "" } ], "id" : "ITEM-2", "issued" : { "date-parts" : [ [ "2013" ] ] }, "title" : "Skin Cancer. Cancer Statistics Report", "type" : "webpage" }, "uris" : [ "http://www.mendeley.com/documents/?uuid=552f94f8-ddd1-4622-ba2a-b714e0ab4d75" ] } ], "mendeley" : { "formattedCitation" : "&lt;sup&gt;6,7&lt;/sup&gt;", "plainTextFormattedCitation" : "6,7", "previouslyFormattedCitation" : "&lt;sup&gt;6,7&lt;/sup&gt;" }, "properties" : { "noteIndex" : 0 }, "schema" : "https://github.com/citation-style-language/schema/raw/master/csl-citation.json" }</w:instrText>
      </w:r>
      <w:r w:rsidRPr="003E73CD">
        <w:rPr>
          <w:sz w:val="22"/>
          <w:szCs w:val="22"/>
        </w:rPr>
        <w:fldChar w:fldCharType="separate"/>
      </w:r>
      <w:r w:rsidRPr="003E73CD">
        <w:rPr>
          <w:noProof/>
          <w:sz w:val="22"/>
          <w:szCs w:val="22"/>
          <w:vertAlign w:val="superscript"/>
        </w:rPr>
        <w:t>6,7</w:t>
      </w:r>
      <w:r w:rsidRPr="003E73CD">
        <w:rPr>
          <w:sz w:val="22"/>
          <w:szCs w:val="22"/>
        </w:rPr>
        <w:fldChar w:fldCharType="end"/>
      </w:r>
      <w:r w:rsidRPr="003E73CD">
        <w:rPr>
          <w:sz w:val="22"/>
          <w:szCs w:val="22"/>
        </w:rPr>
        <w:t xml:space="preserve">  Figure 1</w:t>
      </w:r>
      <w:r w:rsidR="006417CB" w:rsidRPr="003E73CD">
        <w:rPr>
          <w:sz w:val="22"/>
          <w:szCs w:val="22"/>
        </w:rPr>
        <w:t>.1</w:t>
      </w:r>
      <w:r w:rsidR="00373BF4" w:rsidRPr="003E73CD">
        <w:rPr>
          <w:sz w:val="22"/>
          <w:szCs w:val="22"/>
        </w:rPr>
        <w:t>.1</w:t>
      </w:r>
      <w:r w:rsidRPr="003E73CD">
        <w:rPr>
          <w:sz w:val="22"/>
          <w:szCs w:val="22"/>
        </w:rPr>
        <w:t xml:space="preserve"> shows cumulative risk of melanoma by country for those aged less than 75 years.</w:t>
      </w:r>
      <w:r w:rsidRPr="003E73CD">
        <w:rPr>
          <w:sz w:val="22"/>
          <w:szCs w:val="22"/>
        </w:rPr>
        <w:fldChar w:fldCharType="begin" w:fldLock="1"/>
      </w:r>
      <w:r w:rsidRPr="003E73CD">
        <w:rPr>
          <w:sz w:val="22"/>
          <w:szCs w:val="22"/>
        </w:rPr>
        <w:instrText>ADDIN CSL_CITATION { "citationItems" : [ { "id" : "ITEM-1", "itemData" : { "abstract" : "The incidence of cutaneous malignant melanoma has steadily increased over the past 50 years in predominately fair-skinned populations. This increase is reported to have leveled off recently in several Northern and Western European countries, Australia, New Zealand and in North America. We studied the global patterns and time trends in incidence of melanoma by country and sex, with a focus on and age- and cohort-specific variations. We analyzed the incidence data from 39 population-based cancer registries, examining all-ages and age-truncated standardized incidence rates of melanoma, estimating the annual percentage change and incidence rate ratios from age-period-cohort models. Incidence rates of melanoma continue to rise in most European countries (primarily Southern and Eastern Europe), whereas in Australia, New Zealand, the U.S., Canada, Israel and Norway, rates have become rather stable in recent years. Indications of a stabilization or decreasing trend were observed mainly in the youngest age group (25-44 years). Rates have been rising steadily in generations born up to the end of the 1940s, followed by a stabilization or decline in rates for more recently born cohorts in Australia, New Zealand, the U.S., Canada and Norway. In addition to the birth cohort effect, there was a suggestion of a period-related influence on melanoma trends in certain populations. Although our findings provide support that primary and secondary prevention can halt and reverse the observed increasing burden of melanoma, they also indicate that those prevention measures require further endorsement in many countries.", "author" : [ { "dropping-particle" : "", "family" : "Erdmann", "given" : "Friederike", "non-dropping-particle" : "", "parse-names" : false, "suffix" : "" }, { "dropping-particle" : "", "family" : "Lortet-Tieulent", "given" : "Joannie", "non-dropping-particle" : "", "parse-names" : false, "suffix" : "" }, { "dropping-particle" : "", "family" : "Sch\u00fcz", "given" : "Joachim", "non-dropping-particle" : "", "parse-names" : false, "suffix" : "" }, { "dropping-particle" : "", "family" : "Zeeb", "given" : "Hajo", "non-dropping-particle" : "", "parse-names" : false, "suffix" : "" }, { "dropping-particle" : "", "family" : "Greinert", "given" : "R\u00fcdiger", "non-dropping-particle" : "", "parse-names" : false, "suffix" : "" }, { "dropping-particle" : "", "family" : "Breitbart", "given" : "Eckhard W.", "non-dropping-particle" : "", "parse-names" : false, "suffix" : "" }, { "dropping-particle" : "", "family" : "Bray", "given" : "Freddie", "non-dropping-particle" : "", "parse-names" : false, "suffix" : "" } ], "container-title" : "International Journal of Cancer", "id" : "ITEM-1", "issue" : "2", "issued" : { "date-parts" : [ [ "2013" ] ] }, "page" : "385-400", "title" : "International trends in the incidence of malignant melanoma 1953-2008-are recent generations at higher or lower risk?", "type" : "article-journal", "volume" : "132" }, "uris" : [ "http://www.mendeley.com/documents/?uuid=2ea4dedf-0bcc-44df-bafa-20f030765da1" ] } ], "mendeley" : { "formattedCitation" : "&lt;sup&gt;8&lt;/sup&gt;", "plainTextFormattedCitation" : "8", "previouslyFormattedCitation" : "&lt;sup&gt;8&lt;/sup&gt;" }, "properties" : { "noteIndex" : 0 }, "schema" : "https://github.com/citation-style-language/schema/raw/master/csl-citation.json" }</w:instrText>
      </w:r>
      <w:r w:rsidRPr="003E73CD">
        <w:rPr>
          <w:sz w:val="22"/>
          <w:szCs w:val="22"/>
        </w:rPr>
        <w:fldChar w:fldCharType="separate"/>
      </w:r>
      <w:r w:rsidRPr="003E73CD">
        <w:rPr>
          <w:noProof/>
          <w:sz w:val="22"/>
          <w:szCs w:val="22"/>
          <w:vertAlign w:val="superscript"/>
        </w:rPr>
        <w:t>8</w:t>
      </w:r>
      <w:r w:rsidRPr="003E73CD">
        <w:rPr>
          <w:sz w:val="22"/>
          <w:szCs w:val="22"/>
        </w:rPr>
        <w:fldChar w:fldCharType="end"/>
      </w:r>
      <w:r w:rsidR="003245B7" w:rsidRPr="003E73CD">
        <w:rPr>
          <w:sz w:val="22"/>
          <w:szCs w:val="22"/>
        </w:rPr>
        <w:t xml:space="preserve">  The increasing incidence of melanoma observed in the UK since the mid-1970s has also been observed worldw</w:t>
      </w:r>
      <w:r w:rsidR="0027632D">
        <w:rPr>
          <w:sz w:val="22"/>
          <w:szCs w:val="22"/>
        </w:rPr>
        <w:t>ide and over a wide age range</w:t>
      </w:r>
      <w:r w:rsidR="003245B7" w:rsidRPr="003E73CD">
        <w:rPr>
          <w:sz w:val="22"/>
          <w:szCs w:val="22"/>
        </w:rPr>
        <w:t>.</w:t>
      </w:r>
      <w:r w:rsidR="0027632D">
        <w:rPr>
          <w:sz w:val="22"/>
          <w:szCs w:val="22"/>
        </w:rPr>
        <w:fldChar w:fldCharType="begin" w:fldLock="1"/>
      </w:r>
      <w:r w:rsidR="0095212C">
        <w:rPr>
          <w:sz w:val="22"/>
          <w:szCs w:val="22"/>
        </w:rPr>
        <w:instrText>ADDIN CSL_CITATION { "citationItems" : [ { "id" : "ITEM-1", "itemData" : { "abstract" : "The incidence of cutaneous malignant melanoma has steadily increased over the past 50 years in predominately fair-skinned populations. This increase is reported to have leveled off recently in several Northern and Western European countries, Australia, New Zealand and in North America. We studied the global patterns and time trends in incidence of melanoma by country and sex, with a focus on and age- and cohort-specific variations. We analyzed the incidence data from 39 population-based cancer registries, examining all-ages and age-truncated standardized incidence rates of melanoma, estimating the annual percentage change and incidence rate ratios from age-period-cohort models. Incidence rates of melanoma continue to rise in most European countries (primarily Southern and Eastern Europe), whereas in Australia, New Zealand, the U.S., Canada, Israel and Norway, rates have become rather stable in recent years. Indications of a stabilization or decreasing trend were observed mainly in the youngest age group (25-44 years). Rates have been rising steadily in generations born up to the end of the 1940s, followed by a stabilization or decline in rates for more recently born cohorts in Australia, New Zealand, the U.S., Canada and Norway. In addition to the birth cohort effect, there was a suggestion of a period-related influence on melanoma trends in certain populations. Although our findings provide support that primary and secondary prevention can halt and reverse the observed increasing burden of melanoma, they also indicate that those prevention measures require further endorsement in many countries.", "author" : [ { "dropping-particle" : "", "family" : "Erdmann", "given" : "Friederike", "non-dropping-particle" : "", "parse-names" : false, "suffix" : "" }, { "dropping-particle" : "", "family" : "Lortet-Tieulent", "given" : "Joannie", "non-dropping-particle" : "", "parse-names" : false, "suffix" : "" }, { "dropping-particle" : "", "family" : "Sch\u00fcz", "given" : "Joachim", "non-dropping-particle" : "", "parse-names" : false, "suffix" : "" }, { "dropping-particle" : "", "family" : "Zeeb", "given" : "Hajo", "non-dropping-particle" : "", "parse-names" : false, "suffix" : "" }, { "dropping-particle" : "", "family" : "Greinert", "given" : "R\u00fcdiger", "non-dropping-particle" : "", "parse-names" : false, "suffix" : "" }, { "dropping-particle" : "", "family" : "Breitbart", "given" : "Eckhard W.", "non-dropping-particle" : "", "parse-names" : false, "suffix" : "" }, { "dropping-particle" : "", "family" : "Bray", "given" : "Freddie", "non-dropping-particle" : "", "parse-names" : false, "suffix" : "" } ], "container-title" : "International Journal of Cancer", "id" : "ITEM-1", "issue" : "2", "issued" : { "date-parts" : [ [ "2013" ] ] }, "page" : "385-400", "title" : "International trends in the incidence of malignant melanoma 1953-2008-are recent generations at higher or lower risk?", "type" : "article-journal", "volume" : "132" }, "uris" : [ "http://www.mendeley.com/documents/?uuid=2ea4dedf-0bcc-44df-bafa-20f030765da1" ] } ], "mendeley" : { "formattedCitation" : "&lt;sup&gt;8&lt;/sup&gt;", "plainTextFormattedCitation" : "8", "previouslyFormattedCitation" : "&lt;sup&gt;8&lt;/sup&gt;" }, "properties" : { "noteIndex" : 0 }, "schema" : "https://github.com/citation-style-language/schema/raw/master/csl-citation.json" }</w:instrText>
      </w:r>
      <w:r w:rsidR="0027632D">
        <w:rPr>
          <w:sz w:val="22"/>
          <w:szCs w:val="22"/>
        </w:rPr>
        <w:fldChar w:fldCharType="separate"/>
      </w:r>
      <w:r w:rsidR="0027632D" w:rsidRPr="0027632D">
        <w:rPr>
          <w:noProof/>
          <w:sz w:val="22"/>
          <w:szCs w:val="22"/>
          <w:vertAlign w:val="superscript"/>
        </w:rPr>
        <w:t>8</w:t>
      </w:r>
      <w:r w:rsidR="0027632D">
        <w:rPr>
          <w:sz w:val="22"/>
          <w:szCs w:val="22"/>
        </w:rPr>
        <w:fldChar w:fldCharType="end"/>
      </w:r>
    </w:p>
    <w:p w14:paraId="112513AA" w14:textId="1E2981B1" w:rsidR="0061482C" w:rsidRPr="003E73CD" w:rsidRDefault="0061482C" w:rsidP="0061482C">
      <w:pPr>
        <w:spacing w:line="480" w:lineRule="auto"/>
        <w:ind w:firstLine="720"/>
        <w:rPr>
          <w:sz w:val="22"/>
          <w:szCs w:val="22"/>
        </w:rPr>
      </w:pPr>
    </w:p>
    <w:p w14:paraId="5F07EA8B" w14:textId="6140B7F8" w:rsidR="0061482C" w:rsidRPr="003E73CD" w:rsidRDefault="0061482C" w:rsidP="0061482C">
      <w:pPr>
        <w:spacing w:line="480" w:lineRule="auto"/>
        <w:rPr>
          <w:sz w:val="22"/>
          <w:szCs w:val="22"/>
        </w:rPr>
      </w:pPr>
      <w:r w:rsidRPr="003E73CD">
        <w:rPr>
          <w:sz w:val="22"/>
          <w:szCs w:val="22"/>
        </w:rPr>
        <w:br w:type="page"/>
      </w:r>
    </w:p>
    <w:p w14:paraId="4DBDB49B" w14:textId="77777777" w:rsidR="0061482C" w:rsidRPr="003E73CD" w:rsidRDefault="0061482C" w:rsidP="0061482C">
      <w:pPr>
        <w:spacing w:line="480" w:lineRule="auto"/>
        <w:rPr>
          <w:rFonts w:cs="Helvetica"/>
          <w:sz w:val="22"/>
          <w:szCs w:val="22"/>
        </w:rPr>
      </w:pPr>
      <w:r w:rsidRPr="003E73CD">
        <w:rPr>
          <w:rFonts w:cs="Helvetica"/>
          <w:noProof/>
          <w:sz w:val="22"/>
          <w:szCs w:val="22"/>
        </w:rPr>
        <w:drawing>
          <wp:inline distT="0" distB="0" distL="0" distR="0" wp14:anchorId="4F8C946D" wp14:editId="31FF2099">
            <wp:extent cx="5481320" cy="6883817"/>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alphaModFix/>
                      <a:extLst>
                        <a:ext uri="{28A0092B-C50C-407E-A947-70E740481C1C}">
                          <a14:useLocalDpi xmlns:a14="http://schemas.microsoft.com/office/drawing/2010/main" val="0"/>
                        </a:ext>
                      </a:extLst>
                    </a:blip>
                    <a:srcRect/>
                    <a:stretch>
                      <a:fillRect/>
                    </a:stretch>
                  </pic:blipFill>
                  <pic:spPr bwMode="auto">
                    <a:xfrm>
                      <a:off x="0" y="0"/>
                      <a:ext cx="5481320" cy="6883817"/>
                    </a:xfrm>
                    <a:prstGeom prst="rect">
                      <a:avLst/>
                    </a:prstGeom>
                    <a:noFill/>
                    <a:ln>
                      <a:noFill/>
                    </a:ln>
                  </pic:spPr>
                </pic:pic>
              </a:graphicData>
            </a:graphic>
          </wp:inline>
        </w:drawing>
      </w:r>
    </w:p>
    <w:p w14:paraId="01C67D8C" w14:textId="6B172BCC" w:rsidR="0061482C" w:rsidRPr="003E73CD" w:rsidRDefault="0061482C" w:rsidP="0061482C">
      <w:pPr>
        <w:spacing w:line="480" w:lineRule="auto"/>
        <w:rPr>
          <w:rFonts w:cs="Times"/>
          <w:color w:val="1A1718"/>
          <w:sz w:val="22"/>
          <w:szCs w:val="22"/>
        </w:rPr>
      </w:pPr>
      <w:r w:rsidRPr="003E73CD">
        <w:rPr>
          <w:rFonts w:cs="Arial"/>
          <w:sz w:val="22"/>
          <w:szCs w:val="22"/>
        </w:rPr>
        <w:t>Figure 1</w:t>
      </w:r>
      <w:r w:rsidR="006417CB" w:rsidRPr="003E73CD">
        <w:rPr>
          <w:rFonts w:cs="Arial"/>
          <w:sz w:val="22"/>
          <w:szCs w:val="22"/>
        </w:rPr>
        <w:t>.</w:t>
      </w:r>
      <w:r w:rsidR="00373BF4" w:rsidRPr="003E73CD">
        <w:rPr>
          <w:rFonts w:cs="Arial"/>
          <w:sz w:val="22"/>
          <w:szCs w:val="22"/>
        </w:rPr>
        <w:t>1.</w:t>
      </w:r>
      <w:r w:rsidR="006417CB" w:rsidRPr="003E73CD">
        <w:rPr>
          <w:rFonts w:cs="Arial"/>
          <w:sz w:val="22"/>
          <w:szCs w:val="22"/>
        </w:rPr>
        <w:t>1</w:t>
      </w:r>
      <w:r w:rsidRPr="003E73CD">
        <w:rPr>
          <w:rFonts w:cs="Arial"/>
          <w:sz w:val="22"/>
          <w:szCs w:val="22"/>
        </w:rPr>
        <w:t xml:space="preserve">. Cumulative risk of 0–74 years in 2000–2002. Bar chart of cumulative risk of the incidence of melanoma by country by sex, sorted in descending order of cumulative risk in men. Time period is 2000–2002, except for Spain (1998–2000). Cumulative risks based on data from regional registries and groups of regional registries are marked with *. </w:t>
      </w:r>
      <w:r w:rsidRPr="003E73CD">
        <w:rPr>
          <w:rFonts w:cs="Times"/>
          <w:color w:val="1A1718"/>
          <w:sz w:val="22"/>
          <w:szCs w:val="22"/>
        </w:rPr>
        <w:fldChar w:fldCharType="begin" w:fldLock="1"/>
      </w:r>
      <w:r w:rsidRPr="003E73CD">
        <w:rPr>
          <w:rFonts w:cs="Times"/>
          <w:color w:val="1A1718"/>
          <w:sz w:val="22"/>
          <w:szCs w:val="22"/>
        </w:rPr>
        <w:instrText>ADDIN CSL_CITATION { "citationItems" : [ { "id" : "ITEM-1", "itemData" : { "abstract" : "The incidence of cutaneous malignant melanoma has steadily increased over the past 50 years in predominately fair-skinned populations. This increase is reported to have leveled off recently in several Northern and Western European countries, Australia, New Zealand and in North America. We studied the global patterns and time trends in incidence of melanoma by country and sex, with a focus on and age- and cohort-specific variations. We analyzed the incidence data from 39 population-based cancer registries, examining all-ages and age-truncated standardized incidence rates of melanoma, estimating the annual percentage change and incidence rate ratios from age-period-cohort models. Incidence rates of melanoma continue to rise in most European countries (primarily Southern and Eastern Europe), whereas in Australia, New Zealand, the U.S., Canada, Israel and Norway, rates have become rather stable in recent years. Indications of a stabilization or decreasing trend were observed mainly in the youngest age group (25-44 years). Rates have been rising steadily in generations born up to the end of the 1940s, followed by a stabilization or decline in rates for more recently born cohorts in Australia, New Zealand, the U.S., Canada and Norway. In addition to the birth cohort effect, there was a suggestion of a period-related influence on melanoma trends in certain populations. Although our findings provide support that primary and secondary prevention can halt and reverse the observed increasing burden of melanoma, they also indicate that those prevention measures require further endorsement in many countries.", "author" : [ { "dropping-particle" : "", "family" : "Erdmann", "given" : "Friederike", "non-dropping-particle" : "", "parse-names" : false, "suffix" : "" }, { "dropping-particle" : "", "family" : "Lortet-Tieulent", "given" : "Joannie", "non-dropping-particle" : "", "parse-names" : false, "suffix" : "" }, { "dropping-particle" : "", "family" : "Sch\u00fcz", "given" : "Joachim", "non-dropping-particle" : "", "parse-names" : false, "suffix" : "" }, { "dropping-particle" : "", "family" : "Zeeb", "given" : "Hajo", "non-dropping-particle" : "", "parse-names" : false, "suffix" : "" }, { "dropping-particle" : "", "family" : "Greinert", "given" : "R\u00fcdiger", "non-dropping-particle" : "", "parse-names" : false, "suffix" : "" }, { "dropping-particle" : "", "family" : "Breitbart", "given" : "Eckhard W.", "non-dropping-particle" : "", "parse-names" : false, "suffix" : "" }, { "dropping-particle" : "", "family" : "Bray", "given" : "Freddie", "non-dropping-particle" : "", "parse-names" : false, "suffix" : "" } ], "container-title" : "International Journal of Cancer", "id" : "ITEM-1", "issue" : "2", "issued" : { "date-parts" : [ [ "2013" ] ] }, "page" : "385-400", "title" : "International trends in the incidence of malignant melanoma 1953-2008-are recent generations at higher or lower risk?", "type" : "article-journal", "volume" : "132" }, "uris" : [ "http://www.mendeley.com/documents/?uuid=2ea4dedf-0bcc-44df-bafa-20f030765da1" ] } ], "mendeley" : { "formattedCitation" : "&lt;sup&gt;8&lt;/sup&gt;", "plainTextFormattedCitation" : "8", "previouslyFormattedCitation" : "&lt;sup&gt;8&lt;/sup&gt;" }, "properties" : { "noteIndex" : 0 }, "schema" : "https://github.com/citation-style-language/schema/raw/master/csl-citation.json" }</w:instrText>
      </w:r>
      <w:r w:rsidRPr="003E73CD">
        <w:rPr>
          <w:rFonts w:cs="Times"/>
          <w:color w:val="1A1718"/>
          <w:sz w:val="22"/>
          <w:szCs w:val="22"/>
        </w:rPr>
        <w:fldChar w:fldCharType="separate"/>
      </w:r>
      <w:r w:rsidRPr="003E73CD">
        <w:rPr>
          <w:rFonts w:cs="Times"/>
          <w:noProof/>
          <w:color w:val="1A1718"/>
          <w:sz w:val="22"/>
          <w:szCs w:val="22"/>
          <w:vertAlign w:val="superscript"/>
        </w:rPr>
        <w:t>8</w:t>
      </w:r>
      <w:r w:rsidRPr="003E73CD">
        <w:rPr>
          <w:rFonts w:cs="Times"/>
          <w:color w:val="1A1718"/>
          <w:sz w:val="22"/>
          <w:szCs w:val="22"/>
        </w:rPr>
        <w:fldChar w:fldCharType="end"/>
      </w:r>
      <w:r w:rsidR="00994A63" w:rsidRPr="003E73CD">
        <w:rPr>
          <w:rFonts w:cs="Times"/>
          <w:color w:val="1A1718"/>
          <w:sz w:val="22"/>
          <w:szCs w:val="22"/>
        </w:rPr>
        <w:t xml:space="preserve"> </w:t>
      </w:r>
      <w:r w:rsidR="00994A63" w:rsidRPr="003E73CD">
        <w:rPr>
          <w:rFonts w:ascii="Arial" w:eastAsiaTheme="minorEastAsia" w:hAnsi="Arial" w:cs="Arial"/>
          <w:color w:val="929191"/>
          <w:sz w:val="22"/>
          <w:szCs w:val="22"/>
        </w:rPr>
        <w:t>Copyright © 2012 UICC (reproduced with permission from John Wiley and Sons)</w:t>
      </w:r>
      <w:r w:rsidR="005C6DB7" w:rsidRPr="003E73CD">
        <w:rPr>
          <w:rFonts w:ascii="Arial" w:eastAsiaTheme="minorEastAsia" w:hAnsi="Arial" w:cs="Arial"/>
          <w:color w:val="929191"/>
          <w:sz w:val="22"/>
          <w:szCs w:val="22"/>
        </w:rPr>
        <w:t>.</w:t>
      </w:r>
    </w:p>
    <w:p w14:paraId="36CB122A" w14:textId="77777777" w:rsidR="0061482C" w:rsidRPr="003E73CD" w:rsidRDefault="0061482C" w:rsidP="0061482C">
      <w:pPr>
        <w:spacing w:line="480" w:lineRule="auto"/>
        <w:rPr>
          <w:rFonts w:cs="Helvetica"/>
          <w:sz w:val="22"/>
          <w:szCs w:val="22"/>
        </w:rPr>
      </w:pPr>
    </w:p>
    <w:p w14:paraId="0BBC47D3" w14:textId="1929DCB5" w:rsidR="00F104CE" w:rsidRPr="0027632D" w:rsidRDefault="00F104CE" w:rsidP="00F104CE">
      <w:pPr>
        <w:spacing w:line="480" w:lineRule="auto"/>
        <w:rPr>
          <w:rFonts w:cs="Times"/>
          <w:color w:val="1A1718"/>
          <w:sz w:val="22"/>
          <w:szCs w:val="22"/>
        </w:rPr>
      </w:pPr>
      <w:r w:rsidRPr="003E73CD">
        <w:rPr>
          <w:u w:val="single"/>
        </w:rPr>
        <w:t>Presentation and Diagnosis</w:t>
      </w:r>
    </w:p>
    <w:p w14:paraId="373A14D1" w14:textId="2A2E80E5" w:rsidR="0061482C" w:rsidRPr="003E73CD" w:rsidRDefault="0061482C" w:rsidP="00994A63">
      <w:pPr>
        <w:spacing w:line="480" w:lineRule="auto"/>
        <w:ind w:firstLine="720"/>
        <w:rPr>
          <w:sz w:val="22"/>
          <w:szCs w:val="22"/>
        </w:rPr>
      </w:pPr>
      <w:r w:rsidRPr="003E73CD">
        <w:rPr>
          <w:sz w:val="22"/>
          <w:szCs w:val="22"/>
        </w:rPr>
        <w:t>Melanoma lies within a spectrum of disorders of melanocytes, which includes benign, pre-malignant and malignant lesions, along with lesions of uncertain malignant potential.  There are a number of non-melanocytic skin tumours and conditions that result in pigmented lesions that may be confused with melanoma.  There are also a number of melanocytic tumours that are non-pigmented, including amelanotic melanoma.  This combination of factors poses diagnostic challenges both clinically and histologically.  The best chance of cure for a patient with a melanoma is early diagnosis and early complete surgical excision.  Therefore the assessment of patients who present with a pigmented skin lesion is aimed at identifying or excluding melanoma.  There are a number of features on history and clinical examination that raise suspicion that a pigmented lesion could be a melanoma.  These include an increase in size, a change in colour (usually darkening), becoming irregular, itching and/or bleeding.  The ABCD(E) warning signs for melanoma (Table 1</w:t>
      </w:r>
      <w:r w:rsidR="006417CB" w:rsidRPr="003E73CD">
        <w:rPr>
          <w:sz w:val="22"/>
          <w:szCs w:val="22"/>
        </w:rPr>
        <w:t>.1</w:t>
      </w:r>
      <w:r w:rsidR="00373BF4" w:rsidRPr="003E73CD">
        <w:rPr>
          <w:sz w:val="22"/>
          <w:szCs w:val="22"/>
        </w:rPr>
        <w:t>.1</w:t>
      </w:r>
      <w:r w:rsidRPr="003E73CD">
        <w:rPr>
          <w:sz w:val="22"/>
          <w:szCs w:val="22"/>
        </w:rPr>
        <w:t>) described by Friedman, Rigel and Kopf in 1985, and subsequently modified, provides a useful aide memoire when examining a pigmented lesion.</w:t>
      </w:r>
      <w:r w:rsidRPr="003E73CD">
        <w:rPr>
          <w:sz w:val="22"/>
          <w:szCs w:val="22"/>
        </w:rPr>
        <w:fldChar w:fldCharType="begin" w:fldLock="1"/>
      </w:r>
      <w:r w:rsidRPr="003E73CD">
        <w:rPr>
          <w:sz w:val="22"/>
          <w:szCs w:val="22"/>
        </w:rPr>
        <w:instrText>ADDIN CSL_CITATION { "citationItems" : [ { "id" : "ITEM-1", "itemData" : { "DOI" : "10.3322/canjclin.35.3.130", "ISSN" : "0007-9235", "author" : [ { "dropping-particle" : "", "family" : "Friedman", "given" : "R. J.", "non-dropping-particle" : "", "parse-names" : false, "suffix" : "" }, { "dropping-particle" : "", "family" : "Rigel", "given" : "D. S.", "non-dropping-particle" : "", "parse-names" : false, "suffix" : "" }, { "dropping-particle" : "", "family" : "Kopf", "given" : "A. W.", "non-dropping-particle" : "", "parse-names" : false, "suffix" : "" } ], "container-title" : "CA: A Cancer Journal for Clinicians", "id" : "ITEM-1", "issue" : "3", "issued" : { "date-parts" : [ [ "1985", "5", "1" ] ] }, "page" : "130-151", "title" : "Early Detection of Malignant Melanoma: The Role of Physician Examination and Self-Examination of the Skin", "type" : "article-journal", "volume" : "35" }, "uris" : [ "http://www.mendeley.com/documents/?uuid=b2cd7b89-9ab7-4513-ae24-15c206e4d9dc" ] }, { "id" : "ITEM-2", "itemData" : { "DOI" : "10.1001/jama.292.22.2771", "ISSN" : "0098-7484", "abstract" : "Context The incidence of cutaneous melanoma has increased over the past several decades, making its early diagnosis a continuing public health priority. The ABCD (Asymmetry, Border irregularity, Color variegation, Diameter &gt;6 mm) acronym for the appraisal of cutaneous pigmented lesions was devised in 1985 and has been widely adopted but requires reexamination in light of recent data regarding the existence of small-diameter (\u22646 mm) melanomas. Evidence Acquisition Cochrane Library and PubMed searches for the period 1980-2004 were conducted using search terms ABCD and melanoma and small-diameter melanoma. Bibliographies of retrieved articles were also used to identify additional relevant information. Evidence Synthesis Available data do not support the utility of lowering the diameter criterion of ABCD from the current greater than 6 mm guideline. However, the data support expansion to ABCDE to emphasize the significance of evolving pigmented lesions in the natural history of melanoma. Physicians and patients with nevi should be attentive to changes (evolving) of size, shape, symptoms (itching, tenderness), surface (especially bleeding), and shades of color. Conclusions The ABCD criteria for the gross inspection of pigmented skin lesions and early diagnosis of cutaneous melanoma should be expanded to ABCDE (to include \u201cevolving\u201d). No change to the existing diameter criterion is required at this time.", "author" : [ { "dropping-particle" : "", "family" : "Abbasi", "given" : "Naheed R.", "non-dropping-particle" : "", "parse-names" : false, "suffix" : "" }, { "dropping-particle" : "", "family" : "Shaw", "given" : "Helen M.", "non-dropping-particle" : "", "parse-names" : false, "suffix" : "" }, { "dropping-particle" : "", "family" : "Rigel", "given" : "Darrell S.", "non-dropping-particle" : "", "parse-names" : false, "suffix" : "" }, { "dropping-particle" : "", "family" : "Friedman", "given" : "Robert J.", "non-dropping-particle" : "", "parse-names" : false, "suffix" : "" }, { "dropping-particle" : "", "family" : "McCarthy", "given" : "William H.", "non-dropping-particle" : "", "parse-names" : false, "suffix" : "" }, { "dropping-particle" : "", "family" : "Osman", "given" : "Iman", "non-dropping-particle" : "", "parse-names" : false, "suffix" : "" }, { "dropping-particle" : "", "family" : "Kopf", "given" : "Alfred W.", "non-dropping-particle" : "", "parse-names" : false, "suffix" : "" }, { "dropping-particle" : "", "family" : "Polsky", "given" : "David", "non-dropping-particle" : "", "parse-names" : false, "suffix" : "" } ], "container-title" : "JAMA", "id" : "ITEM-2", "issue" : "22", "issued" : { "date-parts" : [ [ "2004", "12", "8" ] ] }, "page" : "2771-2776", "publisher" : "American Medical Association", "title" : "Early Diagnosis of Cutaneous Melanoma", "type" : "article-journal", "volume" : "292" }, "uris" : [ "http://www.mendeley.com/documents/?uuid=02dc751d-f2fc-4747-a4c9-aaed038fe48e" ] } ], "mendeley" : { "formattedCitation" : "&lt;sup&gt;9,10&lt;/sup&gt;", "plainTextFormattedCitation" : "9,10", "previouslyFormattedCitation" : "&lt;sup&gt;9,10&lt;/sup&gt;" }, "properties" : { "noteIndex" : 0 }, "schema" : "https://github.com/citation-style-language/schema/raw/master/csl-citation.json" }</w:instrText>
      </w:r>
      <w:r w:rsidRPr="003E73CD">
        <w:rPr>
          <w:sz w:val="22"/>
          <w:szCs w:val="22"/>
        </w:rPr>
        <w:fldChar w:fldCharType="separate"/>
      </w:r>
      <w:r w:rsidRPr="003E73CD">
        <w:rPr>
          <w:noProof/>
          <w:sz w:val="22"/>
          <w:szCs w:val="22"/>
          <w:vertAlign w:val="superscript"/>
        </w:rPr>
        <w:t>9,10</w:t>
      </w:r>
      <w:r w:rsidRPr="003E73CD">
        <w:rPr>
          <w:sz w:val="22"/>
          <w:szCs w:val="22"/>
        </w:rPr>
        <w:fldChar w:fldCharType="end"/>
      </w:r>
      <w:r w:rsidRPr="003E73CD">
        <w:rPr>
          <w:rFonts w:cs="Georgia"/>
          <w:color w:val="262626"/>
          <w:sz w:val="22"/>
          <w:szCs w:val="22"/>
        </w:rPr>
        <w:t xml:space="preserve"> </w:t>
      </w:r>
      <w:r w:rsidRPr="003E73CD">
        <w:rPr>
          <w:sz w:val="22"/>
          <w:szCs w:val="22"/>
        </w:rPr>
        <w:t xml:space="preserve"> There are, however, many exceptions that do not follow these categories.</w:t>
      </w:r>
    </w:p>
    <w:p w14:paraId="4A3D5AA2" w14:textId="77777777" w:rsidR="0061482C" w:rsidRPr="003E73CD" w:rsidRDefault="0061482C" w:rsidP="0061482C">
      <w:pPr>
        <w:widowControl w:val="0"/>
        <w:autoSpaceDE w:val="0"/>
        <w:autoSpaceDN w:val="0"/>
        <w:adjustRightInd w:val="0"/>
        <w:spacing w:after="240" w:line="480" w:lineRule="auto"/>
        <w:rPr>
          <w:sz w:val="22"/>
          <w:szCs w:val="22"/>
        </w:rPr>
      </w:pPr>
    </w:p>
    <w:p w14:paraId="2ECAE859" w14:textId="26A1D9D5" w:rsidR="0061482C" w:rsidRPr="003E73CD" w:rsidRDefault="0061482C" w:rsidP="0061482C">
      <w:pPr>
        <w:widowControl w:val="0"/>
        <w:autoSpaceDE w:val="0"/>
        <w:autoSpaceDN w:val="0"/>
        <w:adjustRightInd w:val="0"/>
        <w:spacing w:after="240" w:line="480" w:lineRule="auto"/>
        <w:rPr>
          <w:sz w:val="22"/>
          <w:szCs w:val="22"/>
        </w:rPr>
      </w:pPr>
      <w:r w:rsidRPr="003E73CD">
        <w:rPr>
          <w:sz w:val="22"/>
          <w:szCs w:val="22"/>
        </w:rPr>
        <w:t>Table 1</w:t>
      </w:r>
      <w:r w:rsidR="006417CB" w:rsidRPr="003E73CD">
        <w:rPr>
          <w:sz w:val="22"/>
          <w:szCs w:val="22"/>
        </w:rPr>
        <w:t>.1</w:t>
      </w:r>
      <w:r w:rsidR="00373BF4" w:rsidRPr="003E73CD">
        <w:rPr>
          <w:sz w:val="22"/>
          <w:szCs w:val="22"/>
        </w:rPr>
        <w:t>.1</w:t>
      </w:r>
      <w:r w:rsidRPr="003E73CD">
        <w:rPr>
          <w:sz w:val="22"/>
          <w:szCs w:val="22"/>
        </w:rPr>
        <w:t>.  The ABCD(E) warning signs for melanoma versus benign mole.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8"/>
        <w:gridCol w:w="2699"/>
        <w:gridCol w:w="2699"/>
      </w:tblGrid>
      <w:tr w:rsidR="0061482C" w:rsidRPr="003E73CD" w14:paraId="30E2A9EB" w14:textId="77777777" w:rsidTr="00717272">
        <w:tc>
          <w:tcPr>
            <w:tcW w:w="3118" w:type="dxa"/>
            <w:shd w:val="clear" w:color="auto" w:fill="auto"/>
          </w:tcPr>
          <w:p w14:paraId="39405C99" w14:textId="77777777" w:rsidR="0061482C" w:rsidRPr="003E73CD" w:rsidRDefault="0061482C" w:rsidP="003245B7">
            <w:pPr>
              <w:widowControl w:val="0"/>
              <w:autoSpaceDE w:val="0"/>
              <w:autoSpaceDN w:val="0"/>
              <w:adjustRightInd w:val="0"/>
              <w:spacing w:after="240"/>
              <w:rPr>
                <w:b/>
              </w:rPr>
            </w:pPr>
            <w:r w:rsidRPr="003E73CD">
              <w:rPr>
                <w:b/>
              </w:rPr>
              <w:t>Feature</w:t>
            </w:r>
          </w:p>
        </w:tc>
        <w:tc>
          <w:tcPr>
            <w:tcW w:w="2699" w:type="dxa"/>
            <w:shd w:val="clear" w:color="auto" w:fill="auto"/>
          </w:tcPr>
          <w:p w14:paraId="752D313F" w14:textId="77777777" w:rsidR="0061482C" w:rsidRPr="003E73CD" w:rsidRDefault="0061482C" w:rsidP="003245B7">
            <w:pPr>
              <w:widowControl w:val="0"/>
              <w:autoSpaceDE w:val="0"/>
              <w:autoSpaceDN w:val="0"/>
              <w:adjustRightInd w:val="0"/>
              <w:spacing w:after="240"/>
              <w:rPr>
                <w:b/>
              </w:rPr>
            </w:pPr>
            <w:r w:rsidRPr="003E73CD">
              <w:rPr>
                <w:b/>
              </w:rPr>
              <w:t>Benign mole</w:t>
            </w:r>
          </w:p>
        </w:tc>
        <w:tc>
          <w:tcPr>
            <w:tcW w:w="2699" w:type="dxa"/>
            <w:shd w:val="clear" w:color="auto" w:fill="auto"/>
          </w:tcPr>
          <w:p w14:paraId="61C72BA8" w14:textId="77777777" w:rsidR="0061482C" w:rsidRPr="003E73CD" w:rsidRDefault="0061482C" w:rsidP="003245B7">
            <w:pPr>
              <w:widowControl w:val="0"/>
              <w:autoSpaceDE w:val="0"/>
              <w:autoSpaceDN w:val="0"/>
              <w:adjustRightInd w:val="0"/>
              <w:spacing w:after="240"/>
              <w:rPr>
                <w:b/>
              </w:rPr>
            </w:pPr>
            <w:r w:rsidRPr="003E73CD">
              <w:rPr>
                <w:b/>
              </w:rPr>
              <w:t>Melanoma</w:t>
            </w:r>
          </w:p>
        </w:tc>
      </w:tr>
      <w:tr w:rsidR="0061482C" w:rsidRPr="003E73CD" w14:paraId="3367F7C3" w14:textId="77777777" w:rsidTr="00717272">
        <w:tc>
          <w:tcPr>
            <w:tcW w:w="3118" w:type="dxa"/>
            <w:shd w:val="clear" w:color="auto" w:fill="auto"/>
          </w:tcPr>
          <w:p w14:paraId="029D66B4" w14:textId="77777777" w:rsidR="0061482C" w:rsidRPr="003E73CD" w:rsidRDefault="0061482C" w:rsidP="003245B7">
            <w:pPr>
              <w:widowControl w:val="0"/>
              <w:autoSpaceDE w:val="0"/>
              <w:autoSpaceDN w:val="0"/>
              <w:adjustRightInd w:val="0"/>
              <w:spacing w:after="240"/>
              <w:rPr>
                <w:b/>
                <w:sz w:val="22"/>
                <w:szCs w:val="22"/>
              </w:rPr>
            </w:pPr>
            <w:r w:rsidRPr="003E73CD">
              <w:rPr>
                <w:b/>
                <w:sz w:val="22"/>
                <w:szCs w:val="22"/>
              </w:rPr>
              <w:t>A –Asymmetry</w:t>
            </w:r>
          </w:p>
        </w:tc>
        <w:tc>
          <w:tcPr>
            <w:tcW w:w="2699" w:type="dxa"/>
            <w:shd w:val="clear" w:color="auto" w:fill="auto"/>
          </w:tcPr>
          <w:p w14:paraId="6B79C20F" w14:textId="77777777" w:rsidR="0061482C" w:rsidRPr="003E73CD" w:rsidRDefault="0061482C" w:rsidP="003245B7">
            <w:pPr>
              <w:widowControl w:val="0"/>
              <w:autoSpaceDE w:val="0"/>
              <w:autoSpaceDN w:val="0"/>
              <w:adjustRightInd w:val="0"/>
              <w:spacing w:after="240"/>
              <w:rPr>
                <w:sz w:val="22"/>
                <w:szCs w:val="22"/>
              </w:rPr>
            </w:pPr>
            <w:r w:rsidRPr="003E73CD">
              <w:rPr>
                <w:sz w:val="22"/>
                <w:szCs w:val="22"/>
              </w:rPr>
              <w:t>Symmetrical</w:t>
            </w:r>
          </w:p>
        </w:tc>
        <w:tc>
          <w:tcPr>
            <w:tcW w:w="2699" w:type="dxa"/>
            <w:shd w:val="clear" w:color="auto" w:fill="auto"/>
          </w:tcPr>
          <w:p w14:paraId="39169BE8" w14:textId="77777777" w:rsidR="0061482C" w:rsidRPr="003E73CD" w:rsidRDefault="0061482C" w:rsidP="003245B7">
            <w:pPr>
              <w:widowControl w:val="0"/>
              <w:autoSpaceDE w:val="0"/>
              <w:autoSpaceDN w:val="0"/>
              <w:adjustRightInd w:val="0"/>
              <w:spacing w:after="240"/>
              <w:rPr>
                <w:sz w:val="22"/>
                <w:szCs w:val="22"/>
              </w:rPr>
            </w:pPr>
            <w:r w:rsidRPr="003E73CD">
              <w:rPr>
                <w:sz w:val="22"/>
                <w:szCs w:val="22"/>
              </w:rPr>
              <w:t>Asymmetrical</w:t>
            </w:r>
          </w:p>
        </w:tc>
      </w:tr>
      <w:tr w:rsidR="0061482C" w:rsidRPr="003E73CD" w14:paraId="312BD468" w14:textId="77777777" w:rsidTr="00717272">
        <w:tc>
          <w:tcPr>
            <w:tcW w:w="3118" w:type="dxa"/>
            <w:shd w:val="clear" w:color="auto" w:fill="auto"/>
          </w:tcPr>
          <w:p w14:paraId="3698BD92" w14:textId="77777777" w:rsidR="0061482C" w:rsidRPr="003E73CD" w:rsidRDefault="0061482C" w:rsidP="003245B7">
            <w:pPr>
              <w:widowControl w:val="0"/>
              <w:autoSpaceDE w:val="0"/>
              <w:autoSpaceDN w:val="0"/>
              <w:adjustRightInd w:val="0"/>
              <w:spacing w:after="240"/>
              <w:rPr>
                <w:b/>
                <w:sz w:val="22"/>
                <w:szCs w:val="22"/>
              </w:rPr>
            </w:pPr>
            <w:r w:rsidRPr="003E73CD">
              <w:rPr>
                <w:b/>
                <w:sz w:val="22"/>
                <w:szCs w:val="22"/>
              </w:rPr>
              <w:t>B – Border</w:t>
            </w:r>
          </w:p>
        </w:tc>
        <w:tc>
          <w:tcPr>
            <w:tcW w:w="2699" w:type="dxa"/>
            <w:shd w:val="clear" w:color="auto" w:fill="auto"/>
          </w:tcPr>
          <w:p w14:paraId="1CAD59B1" w14:textId="77777777" w:rsidR="0061482C" w:rsidRPr="003E73CD" w:rsidRDefault="0061482C" w:rsidP="003245B7">
            <w:pPr>
              <w:widowControl w:val="0"/>
              <w:autoSpaceDE w:val="0"/>
              <w:autoSpaceDN w:val="0"/>
              <w:adjustRightInd w:val="0"/>
              <w:spacing w:after="240"/>
              <w:rPr>
                <w:sz w:val="22"/>
                <w:szCs w:val="22"/>
              </w:rPr>
            </w:pPr>
            <w:r w:rsidRPr="003E73CD">
              <w:rPr>
                <w:sz w:val="22"/>
                <w:szCs w:val="22"/>
              </w:rPr>
              <w:t>Smooth</w:t>
            </w:r>
          </w:p>
        </w:tc>
        <w:tc>
          <w:tcPr>
            <w:tcW w:w="2699" w:type="dxa"/>
            <w:shd w:val="clear" w:color="auto" w:fill="auto"/>
          </w:tcPr>
          <w:p w14:paraId="41569200" w14:textId="77777777" w:rsidR="0061482C" w:rsidRPr="003E73CD" w:rsidRDefault="0061482C" w:rsidP="003245B7">
            <w:pPr>
              <w:widowControl w:val="0"/>
              <w:autoSpaceDE w:val="0"/>
              <w:autoSpaceDN w:val="0"/>
              <w:adjustRightInd w:val="0"/>
              <w:spacing w:after="240"/>
              <w:rPr>
                <w:sz w:val="22"/>
                <w:szCs w:val="22"/>
              </w:rPr>
            </w:pPr>
            <w:r w:rsidRPr="003E73CD">
              <w:rPr>
                <w:sz w:val="22"/>
                <w:szCs w:val="22"/>
              </w:rPr>
              <w:t>Uneven, scalloped, notched</w:t>
            </w:r>
          </w:p>
        </w:tc>
      </w:tr>
      <w:tr w:rsidR="0061482C" w:rsidRPr="003E73CD" w14:paraId="26CA6416" w14:textId="77777777" w:rsidTr="00717272">
        <w:tc>
          <w:tcPr>
            <w:tcW w:w="3118" w:type="dxa"/>
            <w:shd w:val="clear" w:color="auto" w:fill="auto"/>
          </w:tcPr>
          <w:p w14:paraId="79805B6A" w14:textId="77777777" w:rsidR="0061482C" w:rsidRPr="003E73CD" w:rsidRDefault="0061482C" w:rsidP="003245B7">
            <w:pPr>
              <w:widowControl w:val="0"/>
              <w:autoSpaceDE w:val="0"/>
              <w:autoSpaceDN w:val="0"/>
              <w:adjustRightInd w:val="0"/>
              <w:spacing w:after="240"/>
              <w:rPr>
                <w:b/>
                <w:sz w:val="22"/>
                <w:szCs w:val="22"/>
              </w:rPr>
            </w:pPr>
            <w:r w:rsidRPr="003E73CD">
              <w:rPr>
                <w:b/>
                <w:sz w:val="22"/>
                <w:szCs w:val="22"/>
              </w:rPr>
              <w:t>C – Colour</w:t>
            </w:r>
          </w:p>
        </w:tc>
        <w:tc>
          <w:tcPr>
            <w:tcW w:w="2699" w:type="dxa"/>
            <w:shd w:val="clear" w:color="auto" w:fill="auto"/>
          </w:tcPr>
          <w:p w14:paraId="4C3FF635" w14:textId="77777777" w:rsidR="0061482C" w:rsidRPr="003E73CD" w:rsidRDefault="0061482C" w:rsidP="003245B7">
            <w:pPr>
              <w:widowControl w:val="0"/>
              <w:autoSpaceDE w:val="0"/>
              <w:autoSpaceDN w:val="0"/>
              <w:adjustRightInd w:val="0"/>
              <w:spacing w:after="240"/>
              <w:rPr>
                <w:sz w:val="22"/>
                <w:szCs w:val="22"/>
              </w:rPr>
            </w:pPr>
            <w:r w:rsidRPr="003E73CD">
              <w:rPr>
                <w:sz w:val="22"/>
                <w:szCs w:val="22"/>
              </w:rPr>
              <w:t>One colour and often one shade</w:t>
            </w:r>
          </w:p>
        </w:tc>
        <w:tc>
          <w:tcPr>
            <w:tcW w:w="2699" w:type="dxa"/>
            <w:shd w:val="clear" w:color="auto" w:fill="auto"/>
          </w:tcPr>
          <w:p w14:paraId="4CD51D1B" w14:textId="77777777" w:rsidR="0061482C" w:rsidRPr="003E73CD" w:rsidRDefault="0061482C" w:rsidP="003245B7">
            <w:pPr>
              <w:widowControl w:val="0"/>
              <w:autoSpaceDE w:val="0"/>
              <w:autoSpaceDN w:val="0"/>
              <w:adjustRightInd w:val="0"/>
              <w:spacing w:after="240"/>
              <w:rPr>
                <w:sz w:val="22"/>
                <w:szCs w:val="22"/>
              </w:rPr>
            </w:pPr>
            <w:r w:rsidRPr="003E73CD">
              <w:rPr>
                <w:sz w:val="22"/>
                <w:szCs w:val="22"/>
              </w:rPr>
              <w:t>Multiple shades or colours</w:t>
            </w:r>
          </w:p>
        </w:tc>
      </w:tr>
      <w:tr w:rsidR="0061482C" w:rsidRPr="003E73CD" w14:paraId="4F46CF31" w14:textId="77777777" w:rsidTr="00717272">
        <w:tc>
          <w:tcPr>
            <w:tcW w:w="3118" w:type="dxa"/>
            <w:shd w:val="clear" w:color="auto" w:fill="auto"/>
          </w:tcPr>
          <w:p w14:paraId="3D6E5A36" w14:textId="77777777" w:rsidR="0061482C" w:rsidRPr="003E73CD" w:rsidRDefault="0061482C" w:rsidP="003245B7">
            <w:pPr>
              <w:widowControl w:val="0"/>
              <w:autoSpaceDE w:val="0"/>
              <w:autoSpaceDN w:val="0"/>
              <w:adjustRightInd w:val="0"/>
              <w:spacing w:after="240"/>
              <w:rPr>
                <w:b/>
                <w:sz w:val="22"/>
                <w:szCs w:val="22"/>
              </w:rPr>
            </w:pPr>
            <w:r w:rsidRPr="003E73CD">
              <w:rPr>
                <w:b/>
                <w:sz w:val="22"/>
                <w:szCs w:val="22"/>
              </w:rPr>
              <w:t>D - Diameter</w:t>
            </w:r>
          </w:p>
        </w:tc>
        <w:tc>
          <w:tcPr>
            <w:tcW w:w="2699" w:type="dxa"/>
            <w:shd w:val="clear" w:color="auto" w:fill="auto"/>
          </w:tcPr>
          <w:p w14:paraId="4D87A8A0" w14:textId="77777777" w:rsidR="0061482C" w:rsidRPr="003E73CD" w:rsidRDefault="0061482C" w:rsidP="003245B7">
            <w:pPr>
              <w:widowControl w:val="0"/>
              <w:autoSpaceDE w:val="0"/>
              <w:autoSpaceDN w:val="0"/>
              <w:adjustRightInd w:val="0"/>
              <w:spacing w:after="240"/>
              <w:rPr>
                <w:sz w:val="22"/>
                <w:szCs w:val="22"/>
              </w:rPr>
            </w:pPr>
            <w:r w:rsidRPr="003E73CD">
              <w:rPr>
                <w:sz w:val="22"/>
                <w:szCs w:val="22"/>
              </w:rPr>
              <w:t>Small (&lt;6mm)</w:t>
            </w:r>
          </w:p>
        </w:tc>
        <w:tc>
          <w:tcPr>
            <w:tcW w:w="2699" w:type="dxa"/>
            <w:shd w:val="clear" w:color="auto" w:fill="auto"/>
          </w:tcPr>
          <w:p w14:paraId="685CE840" w14:textId="77777777" w:rsidR="0061482C" w:rsidRPr="003E73CD" w:rsidRDefault="0061482C" w:rsidP="003245B7">
            <w:pPr>
              <w:widowControl w:val="0"/>
              <w:autoSpaceDE w:val="0"/>
              <w:autoSpaceDN w:val="0"/>
              <w:adjustRightInd w:val="0"/>
              <w:spacing w:after="240"/>
              <w:rPr>
                <w:sz w:val="22"/>
                <w:szCs w:val="22"/>
              </w:rPr>
            </w:pPr>
            <w:r w:rsidRPr="003E73CD">
              <w:rPr>
                <w:sz w:val="22"/>
                <w:szCs w:val="22"/>
              </w:rPr>
              <w:t>Larger</w:t>
            </w:r>
          </w:p>
        </w:tc>
      </w:tr>
      <w:tr w:rsidR="0061482C" w:rsidRPr="003E73CD" w14:paraId="4741D954" w14:textId="77777777" w:rsidTr="00717272">
        <w:tc>
          <w:tcPr>
            <w:tcW w:w="3118" w:type="dxa"/>
            <w:shd w:val="clear" w:color="auto" w:fill="auto"/>
          </w:tcPr>
          <w:p w14:paraId="6A8772E0" w14:textId="77777777" w:rsidR="0061482C" w:rsidRPr="003E73CD" w:rsidRDefault="0061482C" w:rsidP="003245B7">
            <w:pPr>
              <w:widowControl w:val="0"/>
              <w:autoSpaceDE w:val="0"/>
              <w:autoSpaceDN w:val="0"/>
              <w:adjustRightInd w:val="0"/>
              <w:spacing w:after="240"/>
              <w:rPr>
                <w:b/>
                <w:sz w:val="22"/>
                <w:szCs w:val="22"/>
              </w:rPr>
            </w:pPr>
            <w:r w:rsidRPr="003E73CD">
              <w:rPr>
                <w:b/>
                <w:sz w:val="22"/>
                <w:szCs w:val="22"/>
              </w:rPr>
              <w:t>E - Evolving</w:t>
            </w:r>
          </w:p>
        </w:tc>
        <w:tc>
          <w:tcPr>
            <w:tcW w:w="2699" w:type="dxa"/>
            <w:shd w:val="clear" w:color="auto" w:fill="auto"/>
          </w:tcPr>
          <w:p w14:paraId="694EE0AD" w14:textId="77777777" w:rsidR="0061482C" w:rsidRPr="003E73CD" w:rsidRDefault="0061482C" w:rsidP="003245B7">
            <w:pPr>
              <w:widowControl w:val="0"/>
              <w:autoSpaceDE w:val="0"/>
              <w:autoSpaceDN w:val="0"/>
              <w:adjustRightInd w:val="0"/>
              <w:spacing w:after="240"/>
              <w:rPr>
                <w:sz w:val="22"/>
                <w:szCs w:val="22"/>
              </w:rPr>
            </w:pPr>
            <w:r w:rsidRPr="003E73CD">
              <w:rPr>
                <w:sz w:val="22"/>
                <w:szCs w:val="22"/>
              </w:rPr>
              <w:t>Stable over time</w:t>
            </w:r>
          </w:p>
        </w:tc>
        <w:tc>
          <w:tcPr>
            <w:tcW w:w="2699" w:type="dxa"/>
            <w:shd w:val="clear" w:color="auto" w:fill="auto"/>
          </w:tcPr>
          <w:p w14:paraId="120E3CDE" w14:textId="77777777" w:rsidR="0061482C" w:rsidRPr="003E73CD" w:rsidRDefault="0061482C" w:rsidP="003245B7">
            <w:pPr>
              <w:widowControl w:val="0"/>
              <w:autoSpaceDE w:val="0"/>
              <w:autoSpaceDN w:val="0"/>
              <w:adjustRightInd w:val="0"/>
              <w:spacing w:after="240"/>
              <w:rPr>
                <w:sz w:val="22"/>
                <w:szCs w:val="22"/>
              </w:rPr>
            </w:pPr>
            <w:r w:rsidRPr="003E73CD">
              <w:rPr>
                <w:sz w:val="22"/>
                <w:szCs w:val="22"/>
              </w:rPr>
              <w:t>Changing size, shape, colour, becoming itchy or bleeding</w:t>
            </w:r>
          </w:p>
        </w:tc>
      </w:tr>
    </w:tbl>
    <w:p w14:paraId="31FA390F" w14:textId="77777777" w:rsidR="0061482C" w:rsidRPr="003E73CD" w:rsidRDefault="0061482C" w:rsidP="003245B7">
      <w:pPr>
        <w:widowControl w:val="0"/>
        <w:autoSpaceDE w:val="0"/>
        <w:autoSpaceDN w:val="0"/>
        <w:adjustRightInd w:val="0"/>
        <w:spacing w:after="240" w:line="480" w:lineRule="auto"/>
        <w:ind w:firstLine="720"/>
        <w:rPr>
          <w:rFonts w:cs="Times"/>
          <w:sz w:val="22"/>
          <w:szCs w:val="22"/>
        </w:rPr>
      </w:pPr>
      <w:r w:rsidRPr="003E73CD">
        <w:rPr>
          <w:sz w:val="22"/>
          <w:szCs w:val="22"/>
        </w:rPr>
        <w:t>Some patients will present with a single pigmented lesion of concern, whereas others, such as patients with dysplastic naevus or atypical mole syndrome, may present with hundreds of pigmented lesions, many of which exhibit some features of melanoma.  In patients with a large number of moles the “ugly duckling” sign can be useful.</w:t>
      </w:r>
      <w:r w:rsidRPr="003E73CD">
        <w:rPr>
          <w:sz w:val="22"/>
          <w:szCs w:val="22"/>
        </w:rPr>
        <w:fldChar w:fldCharType="begin" w:fldLock="1"/>
      </w:r>
      <w:r w:rsidRPr="003E73CD">
        <w:rPr>
          <w:sz w:val="22"/>
          <w:szCs w:val="22"/>
        </w:rPr>
        <w:instrText>ADDIN CSL_CITATION { "citationItems" : [ { "id" : "ITEM-1", "itemData" : { "ISSN" : "0003-987X", "author" : [ { "dropping-particle" : "", "family" : "Grob", "given" : "J. J.", "non-dropping-particle" : "", "parse-names" : false, "suffix" : "" }, { "dropping-particle" : "", "family" : "Bonerandi", "given" : "J. J.", "non-dropping-particle" : "", "parse-names" : false, "suffix" : "" } ], "container-title" : "Archives of Dermatology", "id" : "ITEM-1", "issue" : "1", "issued" : { "date-parts" : [ [ "1998", "1", "1" ] ] }, "page" : "103-104", "publisher" : "American Medical Association", "title" : "The \u2018Ugly Duckling' Sign: Identification of the Common Characteristics of Nevi in an Individual as a Basis for Melanoma Screening", "type" : "article-journal", "volume" : "134" }, "uris" : [ "http://www.mendeley.com/documents/?uuid=330c3d41-ee55-43ce-a190-a8959eb99150" ] } ], "mendeley" : { "formattedCitation" : "&lt;sup&gt;11&lt;/sup&gt;", "plainTextFormattedCitation" : "11", "previouslyFormattedCitation" : "&lt;sup&gt;11&lt;/sup&gt;" }, "properties" : { "noteIndex" : 0 }, "schema" : "https://github.com/citation-style-language/schema/raw/master/csl-citation.json" }</w:instrText>
      </w:r>
      <w:r w:rsidRPr="003E73CD">
        <w:rPr>
          <w:sz w:val="22"/>
          <w:szCs w:val="22"/>
        </w:rPr>
        <w:fldChar w:fldCharType="separate"/>
      </w:r>
      <w:r w:rsidRPr="003E73CD">
        <w:rPr>
          <w:noProof/>
          <w:sz w:val="22"/>
          <w:szCs w:val="22"/>
          <w:vertAlign w:val="superscript"/>
        </w:rPr>
        <w:t>11</w:t>
      </w:r>
      <w:r w:rsidRPr="003E73CD">
        <w:rPr>
          <w:sz w:val="22"/>
          <w:szCs w:val="22"/>
        </w:rPr>
        <w:fldChar w:fldCharType="end"/>
      </w:r>
      <w:r w:rsidRPr="003E73CD">
        <w:rPr>
          <w:sz w:val="22"/>
          <w:szCs w:val="22"/>
        </w:rPr>
        <w:t xml:space="preserve">  Often a patient’s moles all tend to have a similar appearance and if one stands out as different from the rest then it may be a melanoma.  A number of strategies and medical devices have been developed to aid clinical diagnosis.  These include serial photography and clinical examination, dermoscopy and confocal microscopy.  Confocal microscopy requires a confocal microscope, which is used to produce in vivo images of the melanocytes within the skin.</w:t>
      </w:r>
      <w:r w:rsidRPr="003E73CD">
        <w:rPr>
          <w:sz w:val="22"/>
          <w:szCs w:val="22"/>
        </w:rPr>
        <w:fldChar w:fldCharType="begin" w:fldLock="1"/>
      </w:r>
      <w:r w:rsidRPr="003E73CD">
        <w:rPr>
          <w:sz w:val="22"/>
          <w:szCs w:val="22"/>
        </w:rPr>
        <w:instrText>ADDIN CSL_CITATION { "citationItems" : [ { "id" : "ITEM-1", "itemData" : { "ISSN" : "0022-202X", "PMID" : "7769264", "abstract" : "Confocal scanning laser microscopy of live human skin was performed to investigate the correlation of in vivo cellular and morphologic features to histology, the effect of wavelength on imaging, and the role of melanin as a contrast agent. We built a video-rate confocal scanning laser microscope for in vivo imaging of human skin. Using a 100 x microscope objective, we imaged high-contrast optical \"sections\" of normal skin, vitiliginous skin, and a compound nevus. In vivo \"confocal histology\" correlated well with conventional histology. The maximum imaging depth increased with wavelength: the epidermis was imaged with visible 400-700-nm wavelengths; the superficial papillary dermis and blood cells (erythrocytes and leukocytes) in the deeper capillaries were imaged with the near infrared 800-900-nm wavelengths. For confocal reflectance imaging, melanin provided strong contrast by increased backscattering of light such that the cytoplasm in heavily pigmented cells imaged brightly. In vivo confocal microscopy potentially offers dermatologists a diagnostic tool that is instant and entirely non-invasive compared to conventional histopathology.", "author" : [ { "dropping-particle" : "", "family" : "Rajadhyaksha", "given" : "M", "non-dropping-particle" : "", "parse-names" : false, "suffix" : "" }, { "dropping-particle" : "", "family" : "Grossman", "given" : "M", "non-dropping-particle" : "", "parse-names" : false, "suffix" : "" }, { "dropping-particle" : "", "family" : "Esterowitz", "given" : "D", "non-dropping-particle" : "", "parse-names" : false, "suffix" : "" }, { "dropping-particle" : "", "family" : "Webb", "given" : "R H", "non-dropping-particle" : "", "parse-names" : false, "suffix" : "" }, { "dropping-particle" : "", "family" : "Anderson", "given" : "R R", "non-dropping-particle" : "", "parse-names" : false, "suffix" : "" } ], "container-title" : "The Journal of investigative dermatology", "id" : "ITEM-1", "issue" : "6", "issued" : { "date-parts" : [ [ "1995", "6" ] ] }, "page" : "946-52", "title" : "In vivo confocal scanning laser microscopy of human skin: melanin provides strong contrast.", "type" : "article-journal", "volume" : "104" }, "uris" : [ "http://www.mendeley.com/documents/?uuid=58d71834-c07b-4c7d-99d4-556e6804a0ae" ] } ], "mendeley" : { "formattedCitation" : "&lt;sup&gt;12&lt;/sup&gt;", "plainTextFormattedCitation" : "12", "previouslyFormattedCitation" : "&lt;sup&gt;12&lt;/sup&gt;" }, "properties" : { "noteIndex" : 0 }, "schema" : "https://github.com/citation-style-language/schema/raw/master/csl-citation.json" }</w:instrText>
      </w:r>
      <w:r w:rsidRPr="003E73CD">
        <w:rPr>
          <w:sz w:val="22"/>
          <w:szCs w:val="22"/>
        </w:rPr>
        <w:fldChar w:fldCharType="separate"/>
      </w:r>
      <w:r w:rsidRPr="003E73CD">
        <w:rPr>
          <w:noProof/>
          <w:sz w:val="22"/>
          <w:szCs w:val="22"/>
          <w:vertAlign w:val="superscript"/>
        </w:rPr>
        <w:t>12</w:t>
      </w:r>
      <w:r w:rsidRPr="003E73CD">
        <w:rPr>
          <w:sz w:val="22"/>
          <w:szCs w:val="22"/>
        </w:rPr>
        <w:fldChar w:fldCharType="end"/>
      </w:r>
      <w:r w:rsidRPr="003E73CD">
        <w:rPr>
          <w:sz w:val="22"/>
          <w:szCs w:val="22"/>
        </w:rPr>
        <w:t xml:space="preserve">   It is not suited to widespread use by a variety of health professionals because it is expensive to set up, the microscope takes up a significant amount of space and it requires specialized training and time to perform.  Dermoscopy however, is quick to perform and requires only a hand-held dermatoscope, which is relatively inexpensive and portable.  Basic training can provide the clinician with useful skills that can result in a reduction in the number of excisions of benign pigmented lesions and also improve the rate of detection of melanoma.</w:t>
      </w:r>
      <w:r w:rsidRPr="003E73CD">
        <w:rPr>
          <w:sz w:val="22"/>
          <w:szCs w:val="22"/>
        </w:rPr>
        <w:fldChar w:fldCharType="begin" w:fldLock="1"/>
      </w:r>
      <w:r w:rsidRPr="003E73CD">
        <w:rPr>
          <w:sz w:val="22"/>
          <w:szCs w:val="22"/>
        </w:rPr>
        <w:instrText>ADDIN CSL_CITATION { "citationItems" : [ { "id" : "ITEM-1", "itemData" : { "DOI" : "10.1016/j.jaad.2003.09.009", "ISSN" : "0190-9622", "PMID" : "15097950", "abstract" : "OBJECTIVE: We sought to assess the difference in lesion management between combined examination (naked-eye and dermoscopy) and conventional naked-eye examination in evaluations for melanoma; and to assess the impact on patient treatment of facilities for digital follow-up of diagnostically equivocal lesions.\n\nMETHODS: We conducted a randomized, controlled trial at a pigmented lesion clinic in a university hospital. A total of 938 consecutive subjects presenting between November 1, 2001, and March 31, 2002, were eligible and 25 were excluded because they were younger than 12 years of age; hence 913 subjects were enrolled. Participants were randomized to combined examination with mandatory excision of equivocal lesion (arm B) and with possibility of digital follow-up according to the clinician's decision (arm C), or to conventional naked-eye examination (mandatory excision of equivocal lesion) (arm A). The same pigmented lesion clinic staff examined all subjects.\n\nRESULTS: Combined examination determined a significant reduction in the percentage of patients referred for operation (9.0% vs 15.6%) (P =.013). When facilities for digital follow-up of equivocal lesions were available, the percentage of patients classified as harboring lesions difficult to diagnose increased (group C, 35.8%; group B, 17.8%; P &lt;.01). About half of them were immediately referred for operation whereas the remainder submitted to second examination (digital follow-up). Two melanomas (1 in situ and 1 invasive, 0.40-mm thick) were diagnosed after second examination performed 6 months later. The number of melanomas eventually excised within the study were similar among the 3 allocation groups (3, 2, and 3, respectively).\n\nCONCLUSIONS: the addition of dermoscopy to conventional naked-eye examination is associated with a significant reduction of number of pigmented skin lesions excised for diagnostic verification. The possibility of digital follow-up of equivocal lesions is associated with a not negligible occurrence of initial melanomas left unexcised until the second consultation.", "author" : [ { "dropping-particle" : "", "family" : "Carli", "given" : "Paolo", "non-dropping-particle" : "", "parse-names" : false, "suffix" : "" }, { "dropping-particle" : "", "family" : "Giorgi", "given" : "Vincenzo", "non-dropping-particle" : "de", "parse-names" : false, "suffix" : "" }, { "dropping-particle" : "", "family" : "Chiarugi", "given" : "Alessandra", "non-dropping-particle" : "", "parse-names" : false, "suffix" : "" }, { "dropping-particle" : "", "family" : "Nardini", "given" : "Paolo", "non-dropping-particle" : "", "parse-names" : false, "suffix" : "" }, { "dropping-particle" : "", "family" : "Weinstock", "given" : "Martin A", "non-dropping-particle" : "", "parse-names" : false, "suffix" : "" }, { "dropping-particle" : "", "family" : "Crocetti", "given" : "Emanuele", "non-dropping-particle" : "", "parse-names" : false, "suffix" : "" }, { "dropping-particle" : "", "family" : "Stante", "given" : "Marcello", "non-dropping-particle" : "", "parse-names" : false, "suffix" : "" }, { "dropping-particle" : "", "family" : "Giannotti", "given" : "Benvenuto", "non-dropping-particle" : "", "parse-names" : false, "suffix" : "" } ], "container-title" : "Journal of the American Academy of Dermatology", "id" : "ITEM-1", "issue" : "5", "issued" : { "date-parts" : [ [ "2004", "5", "5" ] ] }, "language" : "English", "page" : "683-9", "publisher" : "Elsevier", "title" : "Addition of dermoscopy to conventional naked-eye examination in melanoma screening: a randomized study.", "type" : "article-journal", "volume" : "50" }, "uris" : [ "http://www.mendeley.com/documents/?uuid=d82cdde0-915a-47b4-9abf-6e5e632f1e01" ] }, { "id" : "ITEM-2", "itemData" : { "DOI" : "10.1111/j.1365-2133.2008.08713.x", "ISSN" : "1365-2133", "PMID" : "18616769", "abstract" : "BACKGROUND: Dermoscopy is a noninvasive technique that enables the clinician to perform direct microscopic examination of diagnostic features, not seen by the naked eye, in pigmented skin lesions. Diagnostic accuracy of dermoscopy has previously been assessed in meta-analyses including studies performed in experimental and clinical settings.\n\nOBJECTIVES: To assess the diagnostic accuracy of dermoscopy for the diagnosis of melanoma compared with naked eye examination by performing a meta-analysis exclusively on studies performed in a clinical setting.\n\nMETHODS: We searched for publications from 1987 to January 2008 and found nine eligible studies. The selected studies compare diagnostic accuracy of dermoscopy with naked eye examination using a valid reference test on consecutive patients with a defined clinical presentation, performed in a clinical setting. Hierarchical summary receiver operator curve analysis was used to estimate the relative diagnostic accuracy for clinical examination with, and without, the use of dermoscopy.\n\nRESULTS: We found the relative diagnostic odds ratio for melanoma, for dermoscopy compared with naked eye examination, to be 15.6 [95% confidence interval (CI) 2.9-83.7, P = 0.016]; removal of two outlier studies changed this to 9.0 (95% CI 1.5-54.6, P = 0.03).\n\nCONCLUSIONS: Dermoscopy is more accurate than naked eye examination for the diagnosis of cutaneous melanoma in suspicious skin lesions when performed in the clinical setting.", "author" : [ { "dropping-particle" : "", "family" : "Vestergaard", "given" : "M E", "non-dropping-particle" : "", "parse-names" : false, "suffix" : "" }, { "dropping-particle" : "", "family" : "Macaskill", "given" : "P", "non-dropping-particle" : "", "parse-names" : false, "suffix" : "" }, { "dropping-particle" : "", "family" : "Holt", "given" : "P E", "non-dropping-particle" : "", "parse-names" : false, "suffix" : "" }, { "dropping-particle" : "", "family" : "Menzies", "given" : "S W", "non-dropping-particle" : "", "parse-names" : false, "suffix" : "" } ], "container-title" : "The British journal of dermatology", "id" : "ITEM-2", "issue" : "3", "issued" : { "date-parts" : [ [ "2008", "9" ] ] }, "page" : "669-76", "title" : "Dermoscopy compared with naked eye examination for the diagnosis of primary melanoma: a meta-analysis of studies performed in a clinical setting.", "type" : "article-journal", "volume" : "159" }, "uris" : [ "http://www.mendeley.com/documents/?uuid=da57bca7-5169-4ea1-8c3a-6d7e96d21c52" ] } ], "mendeley" : { "formattedCitation" : "&lt;sup&gt;13,14&lt;/sup&gt;", "plainTextFormattedCitation" : "13,14", "previouslyFormattedCitation" : "&lt;sup&gt;13,14&lt;/sup&gt;" }, "properties" : { "noteIndex" : 0 }, "schema" : "https://github.com/citation-style-language/schema/raw/master/csl-citation.json" }</w:instrText>
      </w:r>
      <w:r w:rsidRPr="003E73CD">
        <w:rPr>
          <w:sz w:val="22"/>
          <w:szCs w:val="22"/>
        </w:rPr>
        <w:fldChar w:fldCharType="separate"/>
      </w:r>
      <w:r w:rsidRPr="003E73CD">
        <w:rPr>
          <w:noProof/>
          <w:sz w:val="22"/>
          <w:szCs w:val="22"/>
          <w:vertAlign w:val="superscript"/>
        </w:rPr>
        <w:t>13,14</w:t>
      </w:r>
      <w:r w:rsidRPr="003E73CD">
        <w:rPr>
          <w:sz w:val="22"/>
          <w:szCs w:val="22"/>
        </w:rPr>
        <w:fldChar w:fldCharType="end"/>
      </w:r>
      <w:r w:rsidRPr="003E73CD">
        <w:rPr>
          <w:rFonts w:cs="Times"/>
          <w:position w:val="12"/>
          <w:sz w:val="22"/>
          <w:szCs w:val="22"/>
        </w:rPr>
        <w:t xml:space="preserve"> </w:t>
      </w:r>
    </w:p>
    <w:p w14:paraId="676BB99B" w14:textId="7DC799D7" w:rsidR="0061482C" w:rsidRPr="003E73CD" w:rsidRDefault="0061482C" w:rsidP="0061482C">
      <w:pPr>
        <w:spacing w:line="480" w:lineRule="auto"/>
        <w:ind w:firstLine="720"/>
        <w:rPr>
          <w:sz w:val="22"/>
          <w:szCs w:val="22"/>
        </w:rPr>
      </w:pPr>
      <w:r w:rsidRPr="003E73CD">
        <w:rPr>
          <w:sz w:val="22"/>
          <w:szCs w:val="22"/>
        </w:rPr>
        <w:t>Once the decision has been made that a pigmented lesion is suspicious for melanoma an excision biopsy is recommended with a 2mm margin, taking a cuff of underlying fat.</w:t>
      </w:r>
      <w:r w:rsidRPr="003E73CD">
        <w:rPr>
          <w:sz w:val="22"/>
          <w:szCs w:val="22"/>
        </w:rPr>
        <w:fldChar w:fldCharType="begin" w:fldLock="1"/>
      </w:r>
      <w:r w:rsidRPr="003E73CD">
        <w:rPr>
          <w:sz w:val="22"/>
          <w:szCs w:val="22"/>
        </w:rPr>
        <w:instrText>ADDIN CSL_CITATION { "citationItems" : [ { "id" : "ITEM-1", "itemData" : { "DOI" : "10.1016/j.bjps.2010.07.006", "ISSN" : "1878-0539", "PMID" : "20728418", "abstract" : "These guidelines for the management of cutaneous melanoma present an evidence-based guidance for treatment, with identification of the strength of evidence available at the time of preparation of the guidelines, and a brief overview of epidemiology, diagnosis, investigation, and follow-up.", "author" : [ { "dropping-particle" : "", "family" : "Marsden", "given" : "J R", "non-dropping-particle" : "", "parse-names" : false, "suffix" : "" }, { "dropping-particle" : "", "family" : "Newton-Bishop", "given" : "J A", "non-dropping-particle" : "", "parse-names" : false, "suffix" : "" }, { "dropping-particle" : "", "family" : "Burrows", "given" : "L", "non-dropping-particle" : "", "parse-names" : false, "suffix" : "" }, { "dropping-particle" : "", "family" : "Cook", "given" : "M", "non-dropping-particle" : "", "parse-names" : false, "suffix" : "" }, { "dropping-particle" : "", "family" : "Corrie", "given" : "P G", "non-dropping-particle" : "", "parse-names" : false, "suffix" : "" }, { "dropping-particle" : "", "family" : "Cox", "given" : "N H", "non-dropping-particle" : "", "parse-names" : false, "suffix" : "" }, { "dropping-particle" : "", "family" : "Gore", "given" : "M E", "non-dropping-particle" : "", "parse-names" : false, "suffix" : "" }, { "dropping-particle" : "", "family" : "Lorigan", "given" : "P", "non-dropping-particle" : "", "parse-names" : false, "suffix" : "" }, { "dropping-particle" : "", "family" : "Mackie", "given" : "R", "non-dropping-particle" : "", "parse-names" : false, "suffix" : "" }, { "dropping-particle" : "", "family" : "Nathan", "given" : "P", "non-dropping-particle" : "", "parse-names" : false, "suffix" : "" }, { "dropping-particle" : "", "family" : "Peach", "given" : "H", "non-dropping-particle" : "", "parse-names" : false, "suffix" : "" }, { "dropping-particle" : "", "family" : "Powell", "given" : "B", "non-dropping-particle" : "", "parse-names" : false, "suffix" : "" }, { "dropping-particle" : "", "family" : "Walker", "given" : "C", "non-dropping-particle" : "", "parse-names" : false, "suffix" : "" } ], "container-title" : "Journal of plastic, reconstructive &amp; aesthetic surgery : JPRAS", "id" : "ITEM-1", "issue" : "9", "issued" : { "date-parts" : [ [ "2010", "9" ] ] }, "page" : "1401-19", "title" : "Revised UK guidelines for the management of cutaneous melanoma 2010.", "type" : "article-journal", "volume" : "63" }, "uris" : [ "http://www.mendeley.com/documents/?uuid=036583d7-b905-488e-93ab-def5d5ae595d" ] } ], "mendeley" : { "formattedCitation" : "&lt;sup&gt;15&lt;/sup&gt;", "plainTextFormattedCitation" : "15", "previouslyFormattedCitation" : "&lt;sup&gt;15&lt;/sup&gt;" }, "properties" : { "noteIndex" : 0 }, "schema" : "https://github.com/citation-style-language/schema/raw/master/csl-citation.json" }</w:instrText>
      </w:r>
      <w:r w:rsidRPr="003E73CD">
        <w:rPr>
          <w:sz w:val="22"/>
          <w:szCs w:val="22"/>
        </w:rPr>
        <w:fldChar w:fldCharType="separate"/>
      </w:r>
      <w:r w:rsidRPr="003E73CD">
        <w:rPr>
          <w:noProof/>
          <w:sz w:val="22"/>
          <w:szCs w:val="22"/>
          <w:vertAlign w:val="superscript"/>
        </w:rPr>
        <w:t>15</w:t>
      </w:r>
      <w:r w:rsidRPr="003E73CD">
        <w:rPr>
          <w:sz w:val="22"/>
          <w:szCs w:val="22"/>
        </w:rPr>
        <w:fldChar w:fldCharType="end"/>
      </w:r>
      <w:r w:rsidR="0022443E">
        <w:rPr>
          <w:sz w:val="22"/>
          <w:szCs w:val="22"/>
        </w:rPr>
        <w:t xml:space="preserve">  In rare</w:t>
      </w:r>
      <w:r w:rsidRPr="003E73CD">
        <w:rPr>
          <w:sz w:val="22"/>
          <w:szCs w:val="22"/>
        </w:rPr>
        <w:t xml:space="preserve"> circumstances an incisional biopsy or biopsies, taking only a representative portion of the lesion for histological analysis</w:t>
      </w:r>
      <w:r w:rsidR="0022443E">
        <w:rPr>
          <w:sz w:val="22"/>
          <w:szCs w:val="22"/>
        </w:rPr>
        <w:t>,</w:t>
      </w:r>
      <w:r w:rsidRPr="003E73CD">
        <w:rPr>
          <w:sz w:val="22"/>
          <w:szCs w:val="22"/>
        </w:rPr>
        <w:t xml:space="preserve"> may be appropriate</w:t>
      </w:r>
      <w:r w:rsidR="0022443E">
        <w:rPr>
          <w:sz w:val="22"/>
          <w:szCs w:val="22"/>
        </w:rPr>
        <w:t>.  This is due to the size and/or</w:t>
      </w:r>
      <w:r w:rsidRPr="003E73CD">
        <w:rPr>
          <w:sz w:val="22"/>
          <w:szCs w:val="22"/>
        </w:rPr>
        <w:t xml:space="preserve"> location </w:t>
      </w:r>
      <w:r w:rsidR="0022443E">
        <w:rPr>
          <w:sz w:val="22"/>
          <w:szCs w:val="22"/>
        </w:rPr>
        <w:t xml:space="preserve">of </w:t>
      </w:r>
      <w:r w:rsidR="0095212C">
        <w:rPr>
          <w:sz w:val="22"/>
          <w:szCs w:val="22"/>
        </w:rPr>
        <w:t>the lesion i</w:t>
      </w:r>
      <w:r w:rsidRPr="003E73CD">
        <w:rPr>
          <w:sz w:val="22"/>
          <w:szCs w:val="22"/>
        </w:rPr>
        <w:t>n a cosmetically or functionally important site</w:t>
      </w:r>
      <w:r w:rsidR="0022443E">
        <w:rPr>
          <w:sz w:val="22"/>
          <w:szCs w:val="22"/>
        </w:rPr>
        <w:t xml:space="preserve">, such as the face or acral </w:t>
      </w:r>
      <w:r w:rsidR="0095212C">
        <w:rPr>
          <w:sz w:val="22"/>
          <w:szCs w:val="22"/>
        </w:rPr>
        <w:t xml:space="preserve">skin </w:t>
      </w:r>
      <w:r w:rsidR="0022443E">
        <w:rPr>
          <w:sz w:val="22"/>
          <w:szCs w:val="22"/>
        </w:rPr>
        <w:t>sites</w:t>
      </w:r>
      <w:r w:rsidR="0095212C">
        <w:rPr>
          <w:sz w:val="22"/>
          <w:szCs w:val="22"/>
        </w:rPr>
        <w:t>.</w:t>
      </w:r>
      <w:r w:rsidR="0095212C">
        <w:rPr>
          <w:sz w:val="22"/>
          <w:szCs w:val="22"/>
        </w:rPr>
        <w:fldChar w:fldCharType="begin" w:fldLock="1"/>
      </w:r>
      <w:r w:rsidR="0064551B">
        <w:rPr>
          <w:sz w:val="22"/>
          <w:szCs w:val="22"/>
        </w:rPr>
        <w:instrText>ADDIN CSL_CITATION { "citationItems" : [ { "id" : "ITEM-1", "itemData" : { "DOI" : "10.1016/j.bjps.2010.07.006", "ISSN" : "1878-0539", "PMID" : "20728418", "abstract" : "These guidelines for the management of cutaneous melanoma present an evidence-based guidance for treatment, with identification of the strength of evidence available at the time of preparation of the guidelines, and a brief overview of epidemiology, diagnosis, investigation, and follow-up.", "author" : [ { "dropping-particle" : "", "family" : "Marsden", "given" : "J R", "non-dropping-particle" : "", "parse-names" : false, "suffix" : "" }, { "dropping-particle" : "", "family" : "Newton-Bishop", "given" : "J A", "non-dropping-particle" : "", "parse-names" : false, "suffix" : "" }, { "dropping-particle" : "", "family" : "Burrows", "given" : "L", "non-dropping-particle" : "", "parse-names" : false, "suffix" : "" }, { "dropping-particle" : "", "family" : "Cook", "given" : "M", "non-dropping-particle" : "", "parse-names" : false, "suffix" : "" }, { "dropping-particle" : "", "family" : "Corrie", "given" : "P G", "non-dropping-particle" : "", "parse-names" : false, "suffix" : "" }, { "dropping-particle" : "", "family" : "Cox", "given" : "N H", "non-dropping-particle" : "", "parse-names" : false, "suffix" : "" }, { "dropping-particle" : "", "family" : "Gore", "given" : "M E", "non-dropping-particle" : "", "parse-names" : false, "suffix" : "" }, { "dropping-particle" : "", "family" : "Lorigan", "given" : "P", "non-dropping-particle" : "", "parse-names" : false, "suffix" : "" }, { "dropping-particle" : "", "family" : "Mackie", "given" : "R", "non-dropping-particle" : "", "parse-names" : false, "suffix" : "" }, { "dropping-particle" : "", "family" : "Nathan", "given" : "P", "non-dropping-particle" : "", "parse-names" : false, "suffix" : "" }, { "dropping-particle" : "", "family" : "Peach", "given" : "H", "non-dropping-particle" : "", "parse-names" : false, "suffix" : "" }, { "dropping-particle" : "", "family" : "Powell", "given" : "B", "non-dropping-particle" : "", "parse-names" : false, "suffix" : "" }, { "dropping-particle" : "", "family" : "Walker", "given" : "C", "non-dropping-particle" : "", "parse-names" : false, "suffix" : "" } ], "container-title" : "Journal of plastic, reconstructive &amp; aesthetic surgery : JPRAS", "id" : "ITEM-1", "issue" : "9", "issued" : { "date-parts" : [ [ "2010", "9" ] ] }, "page" : "1401-19", "title" : "Revised UK guidelines for the management of cutaneous melanoma 2010.", "type" : "article-journal", "volume" : "63" }, "uris" : [ "http://www.mendeley.com/documents/?uuid=036583d7-b905-488e-93ab-def5d5ae595d" ] } ], "mendeley" : { "formattedCitation" : "&lt;sup&gt;15&lt;/sup&gt;", "plainTextFormattedCitation" : "15", "previouslyFormattedCitation" : "&lt;sup&gt;15&lt;/sup&gt;" }, "properties" : { "noteIndex" : 0 }, "schema" : "https://github.com/citation-style-language/schema/raw/master/csl-citation.json" }</w:instrText>
      </w:r>
      <w:r w:rsidR="0095212C">
        <w:rPr>
          <w:sz w:val="22"/>
          <w:szCs w:val="22"/>
        </w:rPr>
        <w:fldChar w:fldCharType="separate"/>
      </w:r>
      <w:r w:rsidR="0095212C" w:rsidRPr="0095212C">
        <w:rPr>
          <w:noProof/>
          <w:sz w:val="22"/>
          <w:szCs w:val="22"/>
          <w:vertAlign w:val="superscript"/>
        </w:rPr>
        <w:t>15</w:t>
      </w:r>
      <w:r w:rsidR="0095212C">
        <w:rPr>
          <w:sz w:val="22"/>
          <w:szCs w:val="22"/>
        </w:rPr>
        <w:fldChar w:fldCharType="end"/>
      </w:r>
      <w:r w:rsidR="0095212C">
        <w:rPr>
          <w:sz w:val="22"/>
          <w:szCs w:val="22"/>
        </w:rPr>
        <w:t xml:space="preserve">  Incisional biopsies are</w:t>
      </w:r>
      <w:r w:rsidRPr="003E73CD">
        <w:rPr>
          <w:sz w:val="22"/>
          <w:szCs w:val="22"/>
        </w:rPr>
        <w:t xml:space="preserve"> not routinely recommended</w:t>
      </w:r>
      <w:r w:rsidR="0095212C">
        <w:rPr>
          <w:sz w:val="22"/>
          <w:szCs w:val="22"/>
        </w:rPr>
        <w:t xml:space="preserve"> because an</w:t>
      </w:r>
      <w:r w:rsidRPr="003E73CD">
        <w:rPr>
          <w:sz w:val="22"/>
          <w:szCs w:val="22"/>
        </w:rPr>
        <w:t xml:space="preserve"> incisional biopsy often misrepresents the features of the lesion and could lead to inadequate treatment.</w:t>
      </w:r>
      <w:r w:rsidRPr="003E73CD">
        <w:rPr>
          <w:sz w:val="22"/>
          <w:szCs w:val="22"/>
        </w:rPr>
        <w:fldChar w:fldCharType="begin" w:fldLock="1"/>
      </w:r>
      <w:r w:rsidRPr="003E73CD">
        <w:rPr>
          <w:sz w:val="22"/>
          <w:szCs w:val="22"/>
        </w:rPr>
        <w:instrText>ADDIN CSL_CITATION { "citationItems" : [ { "id" : "ITEM-1", "itemData" : { "DOI" : "10.3109/09546634.2015.1034083", "ISSN" : "1471-1753", "PMID" : "25886086", "abstract" : "INTRODUCTION: The incidence of melanoma has increased over the last decade. The Breslow thickness is one of the most important histological parameters. The gold standard for histological diagnosis is an excision biopsy. Incisional, punch or shave biopsies are not recommended as they are often incomplete and can result in false negatives. OBJECTIVE: To assess the validity of incision versus excision biopsies in the prediction of Breslow thickness in the histopathological analysis of malignant melanoma. METHODS: A retrospective review of histopathological records was conducted for all patients undergoing incision biopsy for malignant melanoma. The Breslow thicknesses of the incisional biopsies were matched to the later corresponding excisional biopsies. The demographical data, site of melanoma and histological subtype were also examined. RESULTS: Sixty patients between 1st January 2005 and 31st December 2013 were identified. The most common area biopsied was the upper and lower limbs - 50%. The Breslow thickness and Clark's level were found to be significantly increased in excision versus incision biopsy specimens. Nine patients had differing mitotic rates which were all higher in the excision biopsy samples. CONCLUSION: Our data supports the UK national guidelines on the management of malignant melanoma in that incisional biopsies are not indicated in the diagnostic pathway of malignant melanoma.", "author" : [ { "dropping-particle" : "", "family" : "Sharma", "given" : "Kavita S", "non-dropping-particle" : "", "parse-names" : false, "suffix" : "" }, { "dropping-particle" : "", "family" : "Lim", "given" : "Philip", "non-dropping-particle" : "", "parse-names" : false, "suffix" : "" }, { "dropping-particle" : "", "family" : "Brotherston", "given" : "Micheal T", "non-dropping-particle" : "", "parse-names" : false, "suffix" : "" } ], "container-title" : "The Journal of dermatological treatment", "id" : "ITEM-1", "issued" : { "date-parts" : [ [ "2015", "4", "17" ] ] }, "page" : "1-3", "title" : "Excision versus incision biopsy in the management of malignant melanoma.", "type" : "article-journal", "volume" : "17" }, "uris" : [ "http://www.mendeley.com/documents/?uuid=7363b376-7055-4b5e-adfc-b5a6eb02afa9" ] } ], "mendeley" : { "formattedCitation" : "&lt;sup&gt;16&lt;/sup&gt;", "plainTextFormattedCitation" : "16", "previouslyFormattedCitation" : "&lt;sup&gt;16&lt;/sup&gt;" }, "properties" : { "noteIndex" : 0 }, "schema" : "https://github.com/citation-style-language/schema/raw/master/csl-citation.json" }</w:instrText>
      </w:r>
      <w:r w:rsidRPr="003E73CD">
        <w:rPr>
          <w:sz w:val="22"/>
          <w:szCs w:val="22"/>
        </w:rPr>
        <w:fldChar w:fldCharType="separate"/>
      </w:r>
      <w:r w:rsidRPr="003E73CD">
        <w:rPr>
          <w:noProof/>
          <w:sz w:val="22"/>
          <w:szCs w:val="22"/>
          <w:vertAlign w:val="superscript"/>
        </w:rPr>
        <w:t>16</w:t>
      </w:r>
      <w:r w:rsidRPr="003E73CD">
        <w:rPr>
          <w:sz w:val="22"/>
          <w:szCs w:val="22"/>
        </w:rPr>
        <w:fldChar w:fldCharType="end"/>
      </w:r>
      <w:r w:rsidRPr="003E73CD">
        <w:rPr>
          <w:sz w:val="22"/>
          <w:szCs w:val="22"/>
        </w:rPr>
        <w:t xml:space="preserve">  </w:t>
      </w:r>
      <w:r w:rsidR="0095212C">
        <w:rPr>
          <w:sz w:val="22"/>
          <w:szCs w:val="22"/>
        </w:rPr>
        <w:t>When an appropriate biopsy has been performed t</w:t>
      </w:r>
      <w:r w:rsidRPr="003E73CD">
        <w:rPr>
          <w:sz w:val="22"/>
          <w:szCs w:val="22"/>
        </w:rPr>
        <w:t>he biopsy specimen is then fixed in formalin, sectioned and stained for histological analysis using standard haematoxylin and eosin along with immunostains such as S100, HMB45 and Melan A.  If a diagnosis of melanoma is made then a minimum dataset which contains information on the primary tumour location, along with a number of histopathological features, should be reported.</w:t>
      </w:r>
      <w:r w:rsidRPr="003E73CD">
        <w:rPr>
          <w:sz w:val="22"/>
          <w:szCs w:val="22"/>
        </w:rPr>
        <w:fldChar w:fldCharType="begin" w:fldLock="1"/>
      </w:r>
      <w:r w:rsidRPr="003E73CD">
        <w:rPr>
          <w:sz w:val="22"/>
          <w:szCs w:val="22"/>
        </w:rPr>
        <w:instrText>ADDIN CSL_CITATION { "citationItems" : [ { "id" : "ITEM-1", "itemData" : { "DOI" : "10.1097/PAS.0b013e31829d7f35", "ISSN" : "1532-0979", "PMID" : "24061524", "abstract" : "An accurate and complete pathology report is critical for the optimal management of cutaneous melanoma patients. Protocols for the pathologic reporting of melanoma have been independently developed by the Royal College of Pathologists of Australasia (RCPA), Royal College of Pathologists (United Kingdom) (RCPath), and College of American Pathologists (CAP). In this study, data sets, checklists, and structured reporting protocols for pathologic examination and reporting of cutaneous melanoma were analyzed by an international panel of melanoma pathologists and clinicians with the aim of developing a common, internationally agreed upon, evidence-based data set. The International Collaboration on Cancer Reporting cutaneous melanoma expert review panel analyzed the existing RCPA, RCPath, and CAP data sets to develop a protocol containing \"required\" (mandatory/core) and \"recommended\" (nonmandatory/noncore) elements. Required elements were defined as those that had agreed evidentiary support at National Health and Medical Research Council level III-2 level of evidence or above and that were unanimously agreed upon by the review panel to be essential for the clinical management, staging, or assessment of the prognosis of melanoma or fundamental for pathologic diagnosis. Recommended elements were those considered to be clinically important and recommended for good practice but with lesser degrees of supportive evidence. Sixteen core/required data elements for cutaneous melanoma pathology reports were defined (with an additional 4 core/required elements for specimens received with lymph nodes). Eighteen additional data elements with a lesser level of evidentiary support were included in the recommended data set. Consensus response values (permitted responses) were formulated for each data item. Development and agreement of this evidence-based protocol at an international level was accomplished in a timely and efficient manner, and the processes described herein may facilitate the development of protocols for other tumor types. Widespread utilization of an internationally agreed upon, structured pathology data set for melanoma will lead not only to improved patient management but is a prerequisite for research and for international benchmarking in health care.", "author" : [ { "dropping-particle" : "", "family" : "Scolyer", "given" : "Richard A", "non-dropping-particle" : "", "parse-names" : false, "suffix" : "" }, { "dropping-particle" : "", "family" : "Judge", "given" : "Meagan J", "non-dropping-particle" : "", "parse-names" : false, "suffix" : "" }, { "dropping-particle" : "", "family" : "Evans", "given" : "Alan", "non-dropping-particle" : "", "parse-names" : false, "suffix" : "" }, { "dropping-particle" : "", "family" : "Frishberg", "given" : "David P", "non-dropping-particle" : "", "parse-names" : false, "suffix" : "" }, { "dropping-particle" : "", "family" : "Prieto", "given" : "Victor G", "non-dropping-particle" : "", "parse-names" : false, "suffix" : "" }, { "dropping-particle" : "", "family" : "Thompson", "given" : "John F", "non-dropping-particle" : "", "parse-names" : false, "suffix" : "" }, { "dropping-particle" : "", "family" : "Trotter", "given" : "Martin J", "non-dropping-particle" : "", "parse-names" : false, "suffix" : "" }, { "dropping-particle" : "", "family" : "Walsh", "given" : "Maureen Y", "non-dropping-particle" : "", "parse-names" : false, "suffix" : "" }, { "dropping-particle" : "", "family" : "Walsh", "given" : "Noreen M G", "non-dropping-particle" : "", "parse-names" : false, "suffix" : "" }, { "dropping-particle" : "", "family" : "Ellis", "given" : "David W", "non-dropping-particle" : "", "parse-names" : false, "suffix" : "" } ], "container-title" : "The American journal of surgical pathology", "id" : "ITEM-1", "issue" : "12", "issued" : { "date-parts" : [ [ "2013", "12" ] ] }, "page" : "1797-814", "title" : "Data set for pathology reporting of cutaneous invasive melanoma: recommendations from the international collaboration on cancer reporting (ICCR).", "type" : "article-journal", "volume" : "37" }, "uris" : [ "http://www.mendeley.com/documents/?uuid=a25d82c2-f408-4c03-901e-19b93e57e3f7" ] } ], "mendeley" : { "formattedCitation" : "&lt;sup&gt;17&lt;/sup&gt;", "plainTextFormattedCitation" : "17", "previouslyFormattedCitation" : "&lt;sup&gt;17&lt;/sup&gt;" }, "properties" : { "noteIndex" : 0 }, "schema" : "https://github.com/citation-style-language/schema/raw/master/csl-citation.json" }</w:instrText>
      </w:r>
      <w:r w:rsidRPr="003E73CD">
        <w:rPr>
          <w:sz w:val="22"/>
          <w:szCs w:val="22"/>
        </w:rPr>
        <w:fldChar w:fldCharType="separate"/>
      </w:r>
      <w:r w:rsidRPr="003E73CD">
        <w:rPr>
          <w:noProof/>
          <w:sz w:val="22"/>
          <w:szCs w:val="22"/>
          <w:vertAlign w:val="superscript"/>
        </w:rPr>
        <w:t>17</w:t>
      </w:r>
      <w:r w:rsidRPr="003E73CD">
        <w:rPr>
          <w:sz w:val="22"/>
          <w:szCs w:val="22"/>
        </w:rPr>
        <w:fldChar w:fldCharType="end"/>
      </w:r>
    </w:p>
    <w:p w14:paraId="406DFC13" w14:textId="77777777" w:rsidR="009E72EA" w:rsidRDefault="009E72EA" w:rsidP="00F104CE">
      <w:pPr>
        <w:spacing w:line="480" w:lineRule="auto"/>
        <w:rPr>
          <w:u w:val="single"/>
        </w:rPr>
      </w:pPr>
    </w:p>
    <w:p w14:paraId="3FEC5D45" w14:textId="69C301C5" w:rsidR="00F104CE" w:rsidRPr="003E73CD" w:rsidRDefault="00F104CE" w:rsidP="00F104CE">
      <w:pPr>
        <w:spacing w:line="480" w:lineRule="auto"/>
        <w:rPr>
          <w:u w:val="single"/>
        </w:rPr>
      </w:pPr>
      <w:r w:rsidRPr="003E73CD">
        <w:rPr>
          <w:u w:val="single"/>
        </w:rPr>
        <w:t>Classification and Staging</w:t>
      </w:r>
    </w:p>
    <w:p w14:paraId="2ABC6240" w14:textId="77777777" w:rsidR="0061482C" w:rsidRPr="003E73CD" w:rsidRDefault="0061482C" w:rsidP="0061482C">
      <w:pPr>
        <w:spacing w:line="480" w:lineRule="auto"/>
        <w:ind w:firstLine="720"/>
        <w:rPr>
          <w:sz w:val="22"/>
          <w:szCs w:val="22"/>
        </w:rPr>
      </w:pPr>
      <w:r w:rsidRPr="003E73CD">
        <w:rPr>
          <w:sz w:val="22"/>
          <w:szCs w:val="22"/>
        </w:rPr>
        <w:t>Classically, melanomas have been described by their clinical and histological appearance into a number of subtypes.  These include four common subtypes: superficial spreading melanoma, nodular melanoma, lentigo maligna melanoma and acral lentiginous melanoma, and then rarer subtypes such as desmoplastic, spindle cell, epithelioid, balloon cell, malignant blue naevus and naevoid.  The absence of pigmentation within a melanoma does not denote a distinct histological subtype but a melanoma with this feature is described as amelanotic, in addition to its histological subtype e.g. amelanotic nodular melanoma.  Classification by clinicopathological subtype does not however provide independent prognostic information and has no implications for the choice of treatment.</w:t>
      </w:r>
    </w:p>
    <w:p w14:paraId="1811FD28" w14:textId="49260AF6" w:rsidR="0061482C" w:rsidRPr="003E73CD" w:rsidRDefault="0061482C" w:rsidP="0061482C">
      <w:pPr>
        <w:spacing w:line="480" w:lineRule="auto"/>
        <w:ind w:firstLine="720"/>
        <w:rPr>
          <w:sz w:val="22"/>
          <w:szCs w:val="22"/>
        </w:rPr>
      </w:pPr>
      <w:r w:rsidRPr="003E73CD">
        <w:rPr>
          <w:sz w:val="22"/>
          <w:szCs w:val="22"/>
        </w:rPr>
        <w:t>It had been recognized that the vertical extent of invasion of the primary melanoma was related to prognosis, and in 1969 Clark and co-workers published their group’s method for microstaging melanoma by depth of invasion in relation to the anatomical layers of the skin.</w:t>
      </w:r>
      <w:r w:rsidRPr="003E73CD">
        <w:rPr>
          <w:sz w:val="22"/>
          <w:szCs w:val="22"/>
        </w:rPr>
        <w:fldChar w:fldCharType="begin" w:fldLock="1"/>
      </w:r>
      <w:r w:rsidRPr="003E73CD">
        <w:rPr>
          <w:sz w:val="22"/>
          <w:szCs w:val="22"/>
        </w:rPr>
        <w:instrText>ADDIN CSL_CITATION { "citationItems" : [ { "id" : "ITEM-1", "itemData" : { "abstract" : "seminal article describing the Clark's levels Mentions 'radial growth' and 'vertical growth'", "author" : [ { "dropping-particle" : "", "family" : "Clark", "given" : "W", "non-dropping-particle" : "", "parse-names" : false, "suffix" : "" }, { "dropping-particle" : "", "family" : "From", "given" : "l", "non-dropping-particle" : "", "parse-names" : false, "suffix" : "" }, { "dropping-particle" : "", "family" : "Bernandino", "given" : "E", "non-dropping-particle" : "", "parse-names" : false, "suffix" : "" }, { "dropping-particle" : "", "family" : "Mihm", "given" : "M", "non-dropping-particle" : "", "parse-names" : false, "suffix" : "" } ], "container-title" : "Cancer Res", "id" : "ITEM-1", "issued" : { "date-parts" : [ [ "1969" ] ] }, "page" : "705-727", "title" : "The histogenesis and biologic behaviour of primary human malignant melanoma of the skin", "type" : "article-journal", "volume" : "29" }, "uris" : [ "http://www.mendeley.com/documents/?uuid=b7cc4849-0a36-4cfa-b94e-843f7b35d8f7" ] } ], "mendeley" : { "formattedCitation" : "&lt;sup&gt;18&lt;/sup&gt;", "plainTextFormattedCitation" : "18", "previouslyFormattedCitation" : "&lt;sup&gt;18&lt;/sup&gt;" }, "properties" : { "noteIndex" : 0 }, "schema" : "https://github.com/citation-style-language/schema/raw/master/csl-citation.json" }</w:instrText>
      </w:r>
      <w:r w:rsidRPr="003E73CD">
        <w:rPr>
          <w:sz w:val="22"/>
          <w:szCs w:val="22"/>
        </w:rPr>
        <w:fldChar w:fldCharType="separate"/>
      </w:r>
      <w:r w:rsidRPr="003E73CD">
        <w:rPr>
          <w:noProof/>
          <w:sz w:val="22"/>
          <w:szCs w:val="22"/>
          <w:vertAlign w:val="superscript"/>
        </w:rPr>
        <w:t>18</w:t>
      </w:r>
      <w:r w:rsidRPr="003E73CD">
        <w:rPr>
          <w:sz w:val="22"/>
          <w:szCs w:val="22"/>
        </w:rPr>
        <w:fldChar w:fldCharType="end"/>
      </w:r>
      <w:proofErr w:type="gramStart"/>
      <w:r w:rsidRPr="003E73CD">
        <w:rPr>
          <w:sz w:val="22"/>
          <w:szCs w:val="22"/>
        </w:rPr>
        <w:t xml:space="preserve">  The</w:t>
      </w:r>
      <w:proofErr w:type="gramEnd"/>
      <w:r w:rsidRPr="003E73CD">
        <w:rPr>
          <w:sz w:val="22"/>
          <w:szCs w:val="22"/>
        </w:rPr>
        <w:t xml:space="preserve"> following year, Breslow published an analysis of prognosis for 98 melanomas, according to primary tumour thickness, diameter and Clark’s microstaging classification.</w:t>
      </w:r>
      <w:r w:rsidRPr="003E73CD">
        <w:rPr>
          <w:sz w:val="22"/>
          <w:szCs w:val="22"/>
        </w:rPr>
        <w:fldChar w:fldCharType="begin" w:fldLock="1"/>
      </w:r>
      <w:r w:rsidRPr="003E73CD">
        <w:rPr>
          <w:sz w:val="22"/>
          <w:szCs w:val="22"/>
        </w:rPr>
        <w:instrText>ADDIN CSL_CITATION { "citationItems" : [ { "id" : "ITEM-1", "itemData" : { "ISSN" : "0003-4932", "PMID" : "5477666", "author" : [ { "dropping-particle" : "", "family" : "Breslow", "given" : "A", "non-dropping-particle" : "", "parse-names" : false, "suffix" : "" } ], "container-title" : "Annals of surgery", "id" : "ITEM-1", "issue" : "5", "issued" : { "date-parts" : [ [ "1970", "11" ] ] }, "page" : "902-8", "title" : "Thickness, cross-sectional areas and depth of invasion in the prognosis of cutaneous melanoma.", "type" : "article-journal", "volume" : "172" }, "uris" : [ "http://www.mendeley.com/documents/?uuid=b6a59b86-21da-43a8-828c-cfc0a44e1caa" ] } ], "mendeley" : { "formattedCitation" : "&lt;sup&gt;19&lt;/sup&gt;", "plainTextFormattedCitation" : "19", "previouslyFormattedCitation" : "&lt;sup&gt;19&lt;/sup&gt;" }, "properties" : { "noteIndex" : 0 }, "schema" : "https://github.com/citation-style-language/schema/raw/master/csl-citation.json" }</w:instrText>
      </w:r>
      <w:r w:rsidRPr="003E73CD">
        <w:rPr>
          <w:sz w:val="22"/>
          <w:szCs w:val="22"/>
        </w:rPr>
        <w:fldChar w:fldCharType="separate"/>
      </w:r>
      <w:r w:rsidRPr="003E73CD">
        <w:rPr>
          <w:noProof/>
          <w:sz w:val="22"/>
          <w:szCs w:val="22"/>
          <w:vertAlign w:val="superscript"/>
        </w:rPr>
        <w:t>19</w:t>
      </w:r>
      <w:r w:rsidRPr="003E73CD">
        <w:rPr>
          <w:sz w:val="22"/>
          <w:szCs w:val="22"/>
        </w:rPr>
        <w:fldChar w:fldCharType="end"/>
      </w:r>
      <w:proofErr w:type="gramStart"/>
      <w:r w:rsidRPr="003E73CD">
        <w:rPr>
          <w:sz w:val="22"/>
          <w:szCs w:val="22"/>
        </w:rPr>
        <w:t xml:space="preserve">  Melanoma</w:t>
      </w:r>
      <w:proofErr w:type="gramEnd"/>
      <w:r w:rsidRPr="003E73CD">
        <w:rPr>
          <w:sz w:val="22"/>
          <w:szCs w:val="22"/>
        </w:rPr>
        <w:t xml:space="preserve"> thickness was measured using an ocular micrometer “from the skin surface to the deepest point of invasion”.  The study findings confirmed the prognostic value of both tumour thickness and Clark’s stage.  Subsequent study identified that Breslow’s measurement of thickness provided the more important predictor of prognosis and this has been confirmed in large population group analyses.</w:t>
      </w:r>
      <w:r w:rsidRPr="003E73CD">
        <w:rPr>
          <w:sz w:val="22"/>
          <w:szCs w:val="22"/>
        </w:rPr>
        <w:fldChar w:fldCharType="begin" w:fldLock="1"/>
      </w:r>
      <w:r w:rsidRPr="003E73CD">
        <w:rPr>
          <w:sz w:val="22"/>
          <w:szCs w:val="22"/>
        </w:rPr>
        <w:instrText>ADDIN CSL_CITATION { "citationItems" : [ { "id" : "ITEM-1", "itemData" : { "ISSN" : "0003-4932", "PMID" : "736651", "abstract" : "A multifactorial analysis was used to identify the dominant prognostic variables affecting survival from a computerized data base of 339 melanoma patients treated at this institution during the past 17 years. Five of the 13 parameters examined simultaneously were found to independently influence five year survival rates: 1) pathological stage (I vs II, p = 0.0014), 2) lesion ulceration (present vs absent, p = 0.006), 3) surgical treatment (wide excision vs wide excision plus lymphadenectomy, p = 0.024), 4) melanoma thickness (p = 0.032), and 5) location (upper extremity vs lower extremity vs trunk vs head and neck, p = 0.038). Additional factors considered that had either indirect or no influence on survival rates were clinical stage of disease, age, sex, level of invasion, pigmentation, lymphocyte infiltration, growth pattern, and regression. Most of these latter variables derived their prognostic value from correlation with melanoma thickness, except sex which correlated with location (extremity lesions were more frequent on females, trunk lesions on males). This statistical analysis enabled us to derive a mathematical equation for predicting an individual patient's probability of five year survival. Three categories of risk were delineated by measuring tumor thickness (Breslow microstaging) in Stage I patients: 1) thin melanomas (&lt;0.76 mm) were associated with localized disease and a 100% cure rate: 2) intermediate thickness melanomas (0.76-4.00 mm) had an increasing risk (up to 80%) of harboring regional and/or distant metastases and 3) thick melanomas (&gt;/=4.00 mm) had a 80% risk of occult distant metastases at the time of initial presentation. The level of invasion (Clark's microstaging) correlated with survival, but was less predictive than measuring tumor thickness. Within each of Clark's Level II, III and IV groups, there were gradations of thickness with statistically different survival rates. Both microstaging methods (Breslow and Clark) were less predictive factors in patients with lymph node or distant metastases. Clinical trials evaluating alternative surgical treatments or adjunctive therapy modalities for melanoma patients should incorporate these parameters into their assessment, especially in Stage I (localized) disease where tumor thickness and the anatomical site of the primary melanoma are dominant prognostic factors.", "author" : [ { "dropping-particle" : "", "family" : "Balch", "given" : "C M", "non-dropping-particle" : "", "parse-names" : false, "suffix" : "" }, { "dropping-particle" : "", "family" : "Murad", "given" : "T M", "non-dropping-particle" : "", "parse-names" : false, "suffix" : "" }, { "dropping-particle" : "", "family" : "Soong", "given" : "S J", "non-dropping-particle" : "", "parse-names" : false, "suffix" : "" }, { "dropping-particle" : "", "family" : "Ingalls", "given" : "A L", "non-dropping-particle" : "", "parse-names" : false, "suffix" : "" }, { "dropping-particle" : "", "family" : "Halpern", "given" : "N B", "non-dropping-particle" : "", "parse-names" : false, "suffix" : "" }, { "dropping-particle" : "", "family" : "Maddox", "given" : "W A", "non-dropping-particle" : "", "parse-names" : false, "suffix" : "" } ], "container-title" : "Annals of surgery", "id" : "ITEM-1", "issue" : "6", "issued" : { "date-parts" : [ [ "1978", "12" ] ] }, "page" : "732-42", "title" : "A multifactorial analysis of melanoma: prognostic histopathological features comparing Clark's and Breslow's staging methods.", "type" : "article-journal", "volume" : "188" }, "uris" : [ "http://www.mendeley.com/documents/?uuid=c2b5e284-4574-4620-a28d-2bbf8aff729f" ] } ], "mendeley" : { "formattedCitation" : "&lt;sup&gt;20&lt;/sup&gt;", "plainTextFormattedCitation" : "20", "previouslyFormattedCitation" : "&lt;sup&gt;20&lt;/sup&gt;" }, "properties" : { "noteIndex" : 0 }, "schema" : "https://github.com/citation-style-language/schema/raw/master/csl-citation.json" }</w:instrText>
      </w:r>
      <w:r w:rsidRPr="003E73CD">
        <w:rPr>
          <w:sz w:val="22"/>
          <w:szCs w:val="22"/>
        </w:rPr>
        <w:fldChar w:fldCharType="separate"/>
      </w:r>
      <w:r w:rsidRPr="003E73CD">
        <w:rPr>
          <w:noProof/>
          <w:sz w:val="22"/>
          <w:szCs w:val="22"/>
          <w:vertAlign w:val="superscript"/>
        </w:rPr>
        <w:t>20</w:t>
      </w:r>
      <w:r w:rsidRPr="003E73CD">
        <w:rPr>
          <w:sz w:val="22"/>
          <w:szCs w:val="22"/>
        </w:rPr>
        <w:fldChar w:fldCharType="end"/>
      </w:r>
      <w:proofErr w:type="gramStart"/>
      <w:r w:rsidRPr="003E73CD">
        <w:rPr>
          <w:sz w:val="22"/>
          <w:szCs w:val="22"/>
        </w:rPr>
        <w:t xml:space="preserve">  These</w:t>
      </w:r>
      <w:proofErr w:type="gramEnd"/>
      <w:r w:rsidRPr="003E73CD">
        <w:rPr>
          <w:sz w:val="22"/>
          <w:szCs w:val="22"/>
        </w:rPr>
        <w:t xml:space="preserve"> have shown that it is the most important prognostic indicator for a patient with clinically localised primary melanoma.</w:t>
      </w:r>
      <w:r w:rsidRPr="003E73CD">
        <w:rPr>
          <w:sz w:val="22"/>
          <w:szCs w:val="22"/>
        </w:rPr>
        <w:fldChar w:fldCharType="begin" w:fldLock="1"/>
      </w:r>
      <w:r w:rsidRPr="003E73CD">
        <w:rPr>
          <w:sz w:val="22"/>
          <w:szCs w:val="22"/>
        </w:rPr>
        <w:instrText>ADDIN CSL_CITATION { "citationItems" : [ { "id" : "ITEM-1", "itemData" : { "DOI" : "10.1002/cncr.11196", "ISBN" : "0008-543X (Print)\\r0008-543X (Linking)", "ISSN" : "0008543X", "PMID" : "12627514", "abstract" : "BACKGROUND: The current study was performed to determine whether tumor mitotic rate (TMR) is a useful, independent prognostic factor in patients with localized cutaneous melanoma. METHODS: From the Sydney Melanoma Unit database, 3661 patients with complete clinical information and details of primary tumor thickness, ulcerative state, and TMR were studied. TMR was expressed as mitoses per mm(2) in the dermal part of the tumor in which most mitoses were seen, as recommended in the 1982 revision of the 1972 Sydney classification of malignant melanoma. To determine which was the more prognostically useful method of grouping TMR, two separate methods (A and B) were used. Factors predicting melanoma-specific survival were analyzed using the Cox proportional hazards regression model. RESULTS: Patients with a TMR of 0 mitoses/mm(2) had a significantly better survival than those with 1 mitosis/mm(2) (P &lt; 0.0001) but no significant survival differences were recorded for the stepwise increases from 1-2, 2-3, 3-4, and 4-5/mm(2). Tumor thickness, ulceration, and TMR were closely correlated, whether TMR was grouped using Method A (0, 1-4, 5-10, and &gt;/= 11 mitoses/mm(2)) or Method B (0-1, 2-4, and &gt;/= 5 mitoses/mm(2)). However, Cox regression analysis indicated that the TMR was a highly significant independent prognostic factor, particularly when grouped according to Method A, in which it was second only to tumor thickness as the most powerful predictor of survival (P &lt; 0.0001). CONCLUSIONS: TMR is an important independent predictor of survival for melanoma patients. If confirmed by studies from other centers, it has the potential to further improve the accuracy of melanoma staging, as well as to define more rigidly the risk categories for patients entering clinical trials.", "author" : [ { "dropping-particle" : "", "family" : "Azzola", "given" : "Manuela F.", "non-dropping-particle" : "", "parse-names" : false, "suffix" : "" }, { "dropping-particle" : "", "family" : "Shaw", "given" : "Helen M.", "non-dropping-particle" : "", "parse-names" : false, "suffix" : "" }, { "dropping-particle" : "", "family" : "Thompson", "given" : "John F.", "non-dropping-particle" : "", "parse-names" : false, "suffix" : "" }, { "dropping-particle" : "", "family" : "Soong", "given" : "Seng jaw", "non-dropping-particle" : "", "parse-names" : false, "suffix" : "" }, { "dropping-particle" : "", "family" : "Scolyer", "given" : "Richard A.", "non-dropping-particle" : "", "parse-names" : false, "suffix" : "" }, { "dropping-particle" : "", "family" : "Watson", "given" : "Geoffrey F.", "non-dropping-particle" : "", "parse-names" : false, "suffix" : "" }, { "dropping-particle" : "", "family" : "Colman", "given" : "Marjorie H.", "non-dropping-particle" : "", "parse-names" : false, "suffix" : "" }, { "dropping-particle" : "", "family" : "Zhang", "given" : "Yuting", "non-dropping-particle" : "", "parse-names" : false, "suffix" : "" } ], "container-title" : "Cancer", "id" : "ITEM-1", "issue" : "6", "issued" : { "date-parts" : [ [ "2003" ] ] }, "page" : "1488-1498", "title" : "Tumor mitotic rate is a more powerful prognostic indicator than ulceration in patients with primary cutaneous melanoma: An analysis of 3661 patients from a single center", "type" : "article-journal", "volume" : "97" }, "uris" : [ "http://www.mendeley.com/documents/?uuid=70e67fdc-f282-474a-bafc-6f3023cd2308" ] }, { "id" : "ITEM-2", "itemData" : { "ISSN" : "0003-4932", "PMID" : "736651", "abstract" : "A multifactorial analysis was used to identify the dominant prognostic variables affecting survival from a computerized data base of 339 melanoma patients treated at this institution during the past 17 years. Five of the 13 parameters examined simultaneously were found to independently influence five year survival rates: 1) pathological stage (I vs II, p = 0.0014), 2) lesion ulceration (present vs absent, p = 0.006), 3) surgical treatment (wide excision vs wide excision plus lymphadenectomy, p = 0.024), 4) melanoma thickness (p = 0.032), and 5) location (upper extremity vs lower extremity vs trunk vs head and neck, p = 0.038). Additional factors considered that had either indirect or no influence on survival rates were clinical stage of disease, age, sex, level of invasion, pigmentation, lymphocyte infiltration, growth pattern, and regression. Most of these latter variables derived their prognostic value from correlation with melanoma thickness, except sex which correlated with location (extremity lesions were more frequent on females, trunk lesions on males). This statistical analysis enabled us to derive a mathematical equation for predicting an individual patient's probability of five year survival. Three categories of risk were delineated by measuring tumor thickness (Breslow microstaging) in Stage I patients: 1) thin melanomas (&lt;0.76 mm) were associated with localized disease and a 100% cure rate: 2) intermediate thickness melanomas (0.76-4.00 mm) had an increasing risk (up to 80%) of harboring regional and/or distant metastases and 3) thick melanomas (&gt;/=4.00 mm) had a 80% risk of occult distant metastases at the time of initial presentation. The level of invasion (Clark's microstaging) correlated with survival, but was less predictive than measuring tumor thickness. Within each of Clark's Level II, III and IV groups, there were gradations of thickness with statistically different survival rates. Both microstaging methods (Breslow and Clark) were less predictive factors in patients with lymph node or distant metastases. Clinical trials evaluating alternative surgical treatments or adjunctive therapy modalities for melanoma patients should incorporate these parameters into their assessment, especially in Stage I (localized) disease where tumor thickness and the anatomical site of the primary melanoma are dominant prognostic factors.", "author" : [ { "dropping-particle" : "", "family" : "Balch", "given" : "C M", "non-dropping-particle" : "", "parse-names" : false, "suffix" : "" }, { "dropping-particle" : "", "family" : "Murad", "given" : "T M", "non-dropping-particle" : "", "parse-names" : false, "suffix" : "" }, { "dropping-particle" : "", "family" : "Soong", "given" : "S J", "non-dropping-particle" : "", "parse-names" : false, "suffix" : "" }, { "dropping-particle" : "", "family" : "Ingalls", "given" : "A L", "non-dropping-particle" : "", "parse-names" : false, "suffix" : "" }, { "dropping-particle" : "", "family" : "Halpern", "given" : "N B", "non-dropping-particle" : "", "parse-names" : false, "suffix" : "" }, { "dropping-particle" : "", "family" : "Maddox", "given" : "W A", "non-dropping-particle" : "", "parse-names" : false, "suffix" : "" } ], "container-title" : "Annals of surgery", "id" : "ITEM-2", "issue" : "6", "issued" : { "date-parts" : [ [ "1978", "12" ] ] }, "page" : "732-42", "title" : "A multifactorial analysis of melanoma: prognostic histopathological features comparing Clark's and Breslow's staging methods.", "type" : "article-journal", "volume" : "188" }, "uris" : [ "http://www.mendeley.com/documents/?uuid=c2b5e284-4574-4620-a28d-2bbf8aff729f" ] }, { "id" : "ITEM-3", "itemData" : { "ISBN" : "0732-183X (Print)\\r0732-183X (Linking)", "ISSN" : "0732183X", "PMID" : "11504744", "abstract" : "PURPOSE: The American Joint Committee on Cancer (AJCC) recently proposed major revisions of the tumor-node-metastases (TNM) categories and stage groupings for cutaneous melanoma. Thirteen cancer centers and cancer cooperative groups contributed staging and survival data from a total of 30,450 melanoma patients from their databases in order to validate this staging proposal. PATIENTS AND METHODS: There were 17,600 melanoma patients with complete clinical, pathologic, and follow-up information. Factors predicting melanoma-specific survival rates were analyzed using the Cox proportional hazards regression model. Follow-up survival data for 5 years or longer were available for 73% of the patients. RESULTS: This analysis demonstrated that (1) in the T category, tumor thickness and ulceration were the most powerful predictors of survival, and the level of invasion had a significant impact only within the subgroup of thin (&lt; or = 1 mm) melanomas; (2) in the N category, the following three independent factors were identified: the number of metastatic nodes, whether nodal metastases were clinically occult or clinically apparent, and the presence or absence of primary tumor ulceration; and (3) in the M category, nonvisceral metastases was associated with a better survival compared with visceral metastases. A marked diversity in the natural history of pathologic stage III melanoma was demonstrated by five-fold differences in 5-year survival rates for defined subgroups. This analysis also demonstrated that large and complex data sets could be used effectively to examine prognosis and survival outcome in melanoma patients. CONCLUSION: The results of this evidence-based methodology were incorporated into the AJCC melanoma staging as described in the companion publication.", "author" : [ { "dropping-particle" : "", "family" : "Balch", "given" : "C. M.", "non-dropping-particle" : "", "parse-names" : false, "suffix" : "" }, { "dropping-particle" : "", "family" : "Soong", "given" : "S. J.", "non-dropping-particle" : "", "parse-names" : false, "suffix" : "" }, { "dropping-particle" : "", "family" : "Gershenwald", "given" : "J. E.", "non-dropping-particle" : "", "parse-names" : false, "suffix" : "" }, { "dropping-particle" : "", "family" : "Thompson", "given" : "J. F.", "non-dropping-particle" : "", "parse-names" : false, "suffix" : "" }, { "dropping-particle" : "", "family" : "Reintgen", "given" : "D. S.", "non-dropping-particle" : "", "parse-names" : false, "suffix" : "" }, { "dropping-particle" : "", "family" : "Cascinelli", "given" : "N.", "non-dropping-particle" : "", "parse-names" : false, "suffix" : "" }, { "dropping-particle" : "", "family" : "Urist", "given" : "M.", "non-dropping-particle" : "", "parse-names" : false, "suffix" : "" }, { "dropping-particle" : "", "family" : "McMasters", "given" : "K. M.", "non-dropping-particle" : "", "parse-names" : false, "suffix" : "" }, { "dropping-particle" : "", "family" : "Ross", "given" : "M. I.", "non-dropping-particle" : "", "parse-names" : false, "suffix" : "" }, { "dropping-particle" : "", "family" : "Kirkwood", "given" : "J. M.", "non-dropping-particle" : "", "parse-names" : false, "suffix" : "" }, { "dropping-particle" : "", "family" : "Atkins", "given" : "M. B.", "non-dropping-particle" : "", "parse-names" : false, "suffix" : "" }, { "dropping-particle" : "", "family" : "Thompson", "given" : "J. A.", "non-dropping-particle" : "", "parse-names" : false, "suffix" : "" }, { "dropping-particle" : "", "family" : "Coit", "given" : "D. G.", "non-dropping-particle" : "", "parse-names" : false, "suffix" : "" }, { "dropping-particle" : "", "family" : "Byrd", "given" : "D.", "non-dropping-particle" : "", "parse-names" : false, "suffix" : "" }, { "dropping-particle" : "", "family" : "Desmond", "given" : "R.", "non-dropping-particle" : "", "parse-names" : false, "suffix" : "" }, { "dropping-particle" : "", "family" : "Zhang", "given" : "Y.", "non-dropping-particle" : "", "parse-names" : false, "suffix" : "" }, { "dropping-particle" : "", "family" : "Liu", "given" : "P. Y.", "non-dropping-particle" : "", "parse-names" : false, "suffix" : "" }, { "dropping-particle" : "", "family" : "Lyman", "given" : "G. H.", "non-dropping-particle" : "", "parse-names" : false, "suffix" : "" }, { "dropping-particle" : "", "family" : "Morabito", "given" : "A.", "non-dropping-particle" : "", "parse-names" : false, "suffix" : "" } ], "container-title" : "Journal of Clinical Oncology", "id" : "ITEM-3", "issue" : "16", "issued" : { "date-parts" : [ [ "2001" ] ] }, "page" : "3622-3634", "title" : "Prognostic factors analysis of 17,600 melanoma patients: Validation of the American Joint Committee on Cancer melanoma staging system", "type" : "article-journal", "volume" : "19" }, "uris" : [ "http://www.mendeley.com/documents/?uuid=a1eeb010-de29-49d0-a0b8-a73d7424858d" ] } ], "mendeley" : { "formattedCitation" : "&lt;sup&gt;20\u201322&lt;/sup&gt;", "plainTextFormattedCitation" : "20\u201322", "previouslyFormattedCitation" : "&lt;sup&gt;20\u201322&lt;/sup&gt;" }, "properties" : { "noteIndex" : 0 }, "schema" : "https://github.com/citation-style-language/schema/raw/master/csl-citation.json" }</w:instrText>
      </w:r>
      <w:r w:rsidRPr="003E73CD">
        <w:rPr>
          <w:sz w:val="22"/>
          <w:szCs w:val="22"/>
        </w:rPr>
        <w:fldChar w:fldCharType="separate"/>
      </w:r>
      <w:r w:rsidRPr="003E73CD">
        <w:rPr>
          <w:noProof/>
          <w:sz w:val="22"/>
          <w:szCs w:val="22"/>
          <w:vertAlign w:val="superscript"/>
        </w:rPr>
        <w:t>20–22</w:t>
      </w:r>
      <w:r w:rsidRPr="003E73CD">
        <w:rPr>
          <w:sz w:val="22"/>
          <w:szCs w:val="22"/>
        </w:rPr>
        <w:fldChar w:fldCharType="end"/>
      </w:r>
      <w:proofErr w:type="gramStart"/>
      <w:r w:rsidRPr="003E73CD">
        <w:rPr>
          <w:sz w:val="22"/>
          <w:szCs w:val="22"/>
        </w:rPr>
        <w:t xml:space="preserve">  Melanoma</w:t>
      </w:r>
      <w:proofErr w:type="gramEnd"/>
      <w:r w:rsidRPr="003E73CD">
        <w:rPr>
          <w:sz w:val="22"/>
          <w:szCs w:val="22"/>
        </w:rPr>
        <w:t xml:space="preserve"> thickness (Breslow thickness) is now more specifically-defined as the distance from the top of the granular layer of the overlying epidermis to the deepest invasive cell across the broad base of the tumour, with strategies to deal with situations such as ulceration or growth of tumour along adnexal structures.</w:t>
      </w:r>
      <w:r w:rsidRPr="003E73CD">
        <w:rPr>
          <w:sz w:val="22"/>
          <w:szCs w:val="22"/>
        </w:rPr>
        <w:fldChar w:fldCharType="begin" w:fldLock="1"/>
      </w:r>
      <w:r w:rsidRPr="003E73CD">
        <w:rPr>
          <w:sz w:val="22"/>
          <w:szCs w:val="22"/>
        </w:rPr>
        <w:instrText>ADDIN CSL_CITATION { "citationItems" : [ { "id" : "ITEM-1", "itemData" : { "DOI" : "10.1097/PAS.0b013e31829d7f35", "ISSN" : "1532-0979", "PMID" : "24061524", "abstract" : "An accurate and complete pathology report is critical for the optimal management of cutaneous melanoma patients. Protocols for the pathologic reporting of melanoma have been independently developed by the Royal College of Pathologists of Australasia (RCPA), Royal College of Pathologists (United Kingdom) (RCPath), and College of American Pathologists (CAP). In this study, data sets, checklists, and structured reporting protocols for pathologic examination and reporting of cutaneous melanoma were analyzed by an international panel of melanoma pathologists and clinicians with the aim of developing a common, internationally agreed upon, evidence-based data set. The International Collaboration on Cancer Reporting cutaneous melanoma expert review panel analyzed the existing RCPA, RCPath, and CAP data sets to develop a protocol containing \"required\" (mandatory/core) and \"recommended\" (nonmandatory/noncore) elements. Required elements were defined as those that had agreed evidentiary support at National Health and Medical Research Council level III-2 level of evidence or above and that were unanimously agreed upon by the review panel to be essential for the clinical management, staging, or assessment of the prognosis of melanoma or fundamental for pathologic diagnosis. Recommended elements were those considered to be clinically important and recommended for good practice but with lesser degrees of supportive evidence. Sixteen core/required data elements for cutaneous melanoma pathology reports were defined (with an additional 4 core/required elements for specimens received with lymph nodes). Eighteen additional data elements with a lesser level of evidentiary support were included in the recommended data set. Consensus response values (permitted responses) were formulated for each data item. Development and agreement of this evidence-based protocol at an international level was accomplished in a timely and efficient manner, and the processes described herein may facilitate the development of protocols for other tumor types. Widespread utilization of an internationally agreed upon, structured pathology data set for melanoma will lead not only to improved patient management but is a prerequisite for research and for international benchmarking in health care.", "author" : [ { "dropping-particle" : "", "family" : "Scolyer", "given" : "Richard A", "non-dropping-particle" : "", "parse-names" : false, "suffix" : "" }, { "dropping-particle" : "", "family" : "Judge", "given" : "Meagan J", "non-dropping-particle" : "", "parse-names" : false, "suffix" : "" }, { "dropping-particle" : "", "family" : "Evans", "given" : "Alan", "non-dropping-particle" : "", "parse-names" : false, "suffix" : "" }, { "dropping-particle" : "", "family" : "Frishberg", "given" : "David P", "non-dropping-particle" : "", "parse-names" : false, "suffix" : "" }, { "dropping-particle" : "", "family" : "Prieto", "given" : "Victor G", "non-dropping-particle" : "", "parse-names" : false, "suffix" : "" }, { "dropping-particle" : "", "family" : "Thompson", "given" : "John F", "non-dropping-particle" : "", "parse-names" : false, "suffix" : "" }, { "dropping-particle" : "", "family" : "Trotter", "given" : "Martin J", "non-dropping-particle" : "", "parse-names" : false, "suffix" : "" }, { "dropping-particle" : "", "family" : "Walsh", "given" : "Maureen Y", "non-dropping-particle" : "", "parse-names" : false, "suffix" : "" }, { "dropping-particle" : "", "family" : "Walsh", "given" : "Noreen M G", "non-dropping-particle" : "", "parse-names" : false, "suffix" : "" }, { "dropping-particle" : "", "family" : "Ellis", "given" : "David W", "non-dropping-particle" : "", "parse-names" : false, "suffix" : "" } ], "container-title" : "The American journal of surgical pathology", "id" : "ITEM-1", "issue" : "12", "issued" : { "date-parts" : [ [ "2013", "12" ] ] }, "page" : "1797-814", "title" : "Data set for pathology reporting of cutaneous invasive melanoma: recommendations from the international collaboration on cancer reporting (ICCR).", "type" : "article-journal", "volume" : "37" }, "uris" : [ "http://www.mendeley.com/documents/?uuid=a25d82c2-f408-4c03-901e-19b93e57e3f7" ] } ], "mendeley" : { "formattedCitation" : "&lt;sup&gt;17&lt;/sup&gt;", "plainTextFormattedCitation" : "17", "previouslyFormattedCitation" : "&lt;sup&gt;17&lt;/sup&gt;" }, "properties" : { "noteIndex" : 0 }, "schema" : "https://github.com/citation-style-language/schema/raw/master/csl-citation.json" }</w:instrText>
      </w:r>
      <w:r w:rsidRPr="003E73CD">
        <w:rPr>
          <w:sz w:val="22"/>
          <w:szCs w:val="22"/>
        </w:rPr>
        <w:fldChar w:fldCharType="separate"/>
      </w:r>
      <w:r w:rsidRPr="003E73CD">
        <w:rPr>
          <w:noProof/>
          <w:sz w:val="22"/>
          <w:szCs w:val="22"/>
          <w:vertAlign w:val="superscript"/>
        </w:rPr>
        <w:t>17</w:t>
      </w:r>
      <w:r w:rsidRPr="003E73CD">
        <w:rPr>
          <w:sz w:val="22"/>
          <w:szCs w:val="22"/>
        </w:rPr>
        <w:fldChar w:fldCharType="end"/>
      </w:r>
      <w:proofErr w:type="gramStart"/>
      <w:r w:rsidRPr="003E73CD">
        <w:rPr>
          <w:sz w:val="22"/>
          <w:szCs w:val="22"/>
        </w:rPr>
        <w:t xml:space="preserve">  A</w:t>
      </w:r>
      <w:proofErr w:type="gramEnd"/>
      <w:r w:rsidRPr="003E73CD">
        <w:rPr>
          <w:sz w:val="22"/>
          <w:szCs w:val="22"/>
        </w:rPr>
        <w:t xml:space="preserve"> number of other variables relating to the patient or the primary melanoma histopathology have also been identified as independent predictors of prognosis.  These include age, sex, primary tumour site, ulceration, mitotic rate and lymphovascular invasion.</w:t>
      </w:r>
      <w:r w:rsidRPr="003E73CD">
        <w:rPr>
          <w:sz w:val="22"/>
          <w:szCs w:val="22"/>
        </w:rPr>
        <w:fldChar w:fldCharType="begin" w:fldLock="1"/>
      </w:r>
      <w:r w:rsidRPr="003E73CD">
        <w:rPr>
          <w:sz w:val="22"/>
          <w:szCs w:val="22"/>
        </w:rPr>
        <w:instrText>ADDIN CSL_CITATION { "citationItems" : [ { "id" : "ITEM-1", "itemData" : { "ISBN" : "0732-183X (Print)\\r0732-183X (Linking)", "ISSN" : "0732183X", "PMID" : "11504744", "abstract" : "PURPOSE: The American Joint Committee on Cancer (AJCC) recently proposed major revisions of the tumor-node-metastases (TNM) categories and stage groupings for cutaneous melanoma. Thirteen cancer centers and cancer cooperative groups contributed staging and survival data from a total of 30,450 melanoma patients from their databases in order to validate this staging proposal. PATIENTS AND METHODS: There were 17,600 melanoma patients with complete clinical, pathologic, and follow-up information. Factors predicting melanoma-specific survival rates were analyzed using the Cox proportional hazards regression model. Follow-up survival data for 5 years or longer were available for 73% of the patients. RESULTS: This analysis demonstrated that (1) in the T category, tumor thickness and ulceration were the most powerful predictors of survival, and the level of invasion had a significant impact only within the subgroup of thin (&lt; or = 1 mm) melanomas; (2) in the N category, the following three independent factors were identified: the number of metastatic nodes, whether nodal metastases were clinically occult or clinically apparent, and the presence or absence of primary tumor ulceration; and (3) in the M category, nonvisceral metastases was associated with a better survival compared with visceral metastases. A marked diversity in the natural history of pathologic stage III melanoma was demonstrated by five-fold differences in 5-year survival rates for defined subgroups. This analysis also demonstrated that large and complex data sets could be used effectively to examine prognosis and survival outcome in melanoma patients. CONCLUSION: The results of this evidence-based methodology were incorporated into the AJCC melanoma staging as described in the companion publication.", "author" : [ { "dropping-particle" : "", "family" : "Balch", "given" : "C. M.", "non-dropping-particle" : "", "parse-names" : false, "suffix" : "" }, { "dropping-particle" : "", "family" : "Soong", "given" : "S. J.", "non-dropping-particle" : "", "parse-names" : false, "suffix" : "" }, { "dropping-particle" : "", "family" : "Gershenwald", "given" : "J. E.", "non-dropping-particle" : "", "parse-names" : false, "suffix" : "" }, { "dropping-particle" : "", "family" : "Thompson", "given" : "J. F.", "non-dropping-particle" : "", "parse-names" : false, "suffix" : "" }, { "dropping-particle" : "", "family" : "Reintgen", "given" : "D. S.", "non-dropping-particle" : "", "parse-names" : false, "suffix" : "" }, { "dropping-particle" : "", "family" : "Cascinelli", "given" : "N.", "non-dropping-particle" : "", "parse-names" : false, "suffix" : "" }, { "dropping-particle" : "", "family" : "Urist", "given" : "M.", "non-dropping-particle" : "", "parse-names" : false, "suffix" : "" }, { "dropping-particle" : "", "family" : "McMasters", "given" : "K. M.", "non-dropping-particle" : "", "parse-names" : false, "suffix" : "" }, { "dropping-particle" : "", "family" : "Ross", "given" : "M. I.", "non-dropping-particle" : "", "parse-names" : false, "suffix" : "" }, { "dropping-particle" : "", "family" : "Kirkwood", "given" : "J. M.", "non-dropping-particle" : "", "parse-names" : false, "suffix" : "" }, { "dropping-particle" : "", "family" : "Atkins", "given" : "M. B.", "non-dropping-particle" : "", "parse-names" : false, "suffix" : "" }, { "dropping-particle" : "", "family" : "Thompson", "given" : "J. A.", "non-dropping-particle" : "", "parse-names" : false, "suffix" : "" }, { "dropping-particle" : "", "family" : "Coit", "given" : "D. G.", "non-dropping-particle" : "", "parse-names" : false, "suffix" : "" }, { "dropping-particle" : "", "family" : "Byrd", "given" : "D.", "non-dropping-particle" : "", "parse-names" : false, "suffix" : "" }, { "dropping-particle" : "", "family" : "Desmond", "given" : "R.", "non-dropping-particle" : "", "parse-names" : false, "suffix" : "" }, { "dropping-particle" : "", "family" : "Zhang", "given" : "Y.", "non-dropping-particle" : "", "parse-names" : false, "suffix" : "" }, { "dropping-particle" : "", "family" : "Liu", "given" : "P. Y.", "non-dropping-particle" : "", "parse-names" : false, "suffix" : "" }, { "dropping-particle" : "", "family" : "Lyman", "given" : "G. H.", "non-dropping-particle" : "", "parse-names" : false, "suffix" : "" }, { "dropping-particle" : "", "family" : "Morabito", "given" : "A.", "non-dropping-particle" : "", "parse-names" : false, "suffix" : "" } ], "container-title" : "Journal of Clinical Oncology", "id" : "ITEM-1", "issue" : "16", "issued" : { "date-parts" : [ [ "2001" ] ] }, "page" : "3622-3634", "title" : "Prognostic factors analysis of 17,600 melanoma patients: Validation of the American Joint Committee on Cancer melanoma staging system", "type" : "article-journal", "volume" : "19" }, "uris" : [ "http://www.mendeley.com/documents/?uuid=a1eeb010-de29-49d0-a0b8-a73d7424858d" ] }, { "id" : "ITEM-2", "itemData" : { "DOI" : "10.1002/cncr.11196", "ISBN" : "0008-543X (Print)\\r0008-543X (Linking)", "ISSN" : "0008543X", "PMID" : "12627514", "abstract" : "BACKGROUND: The current study was performed to determine whether tumor mitotic rate (TMR) is a useful, independent prognostic factor in patients with localized cutaneous melanoma. METHODS: From the Sydney Melanoma Unit database, 3661 patients with complete clinical information and details of primary tumor thickness, ulcerative state, and TMR were studied. TMR was expressed as mitoses per mm(2) in the dermal part of the tumor in which most mitoses were seen, as recommended in the 1982 revision of the 1972 Sydney classification of malignant melanoma. To determine which was the more prognostically useful method of grouping TMR, two separate methods (A and B) were used. Factors predicting melanoma-specific survival were analyzed using the Cox proportional hazards regression model. RESULTS: Patients with a TMR of 0 mitoses/mm(2) had a significantly better survival than those with 1 mitosis/mm(2) (P &lt; 0.0001) but no significant survival differences were recorded for the stepwise increases from 1-2, 2-3, 3-4, and 4-5/mm(2). Tumor thickness, ulceration, and TMR were closely correlated, whether TMR was grouped using Method A (0, 1-4, 5-10, and &gt;/= 11 mitoses/mm(2)) or Method B (0-1, 2-4, and &gt;/= 5 mitoses/mm(2)). However, Cox regression analysis indicated that the TMR was a highly significant independent prognostic factor, particularly when grouped according to Method A, in which it was second only to tumor thickness as the most powerful predictor of survival (P &lt; 0.0001). CONCLUSIONS: TMR is an important independent predictor of survival for melanoma patients. If confirmed by studies from other centers, it has the potential to further improve the accuracy of melanoma staging, as well as to define more rigidly the risk categories for patients entering clinical trials.", "author" : [ { "dropping-particle" : "", "family" : "Azzola", "given" : "Manuela F.", "non-dropping-particle" : "", "parse-names" : false, "suffix" : "" }, { "dropping-particle" : "", "family" : "Shaw", "given" : "Helen M.", "non-dropping-particle" : "", "parse-names" : false, "suffix" : "" }, { "dropping-particle" : "", "family" : "Thompson", "given" : "John F.", "non-dropping-particle" : "", "parse-names" : false, "suffix" : "" }, { "dropping-particle" : "", "family" : "Soong", "given" : "Seng jaw", "non-dropping-particle" : "", "parse-names" : false, "suffix" : "" }, { "dropping-particle" : "", "family" : "Scolyer", "given" : "Richard A.", "non-dropping-particle" : "", "parse-names" : false, "suffix" : "" }, { "dropping-particle" : "", "family" : "Watson", "given" : "Geoffrey F.", "non-dropping-particle" : "", "parse-names" : false, "suffix" : "" }, { "dropping-particle" : "", "family" : "Colman", "given" : "Marjorie H.", "non-dropping-particle" : "", "parse-names" : false, "suffix" : "" }, { "dropping-particle" : "", "family" : "Zhang", "given" : "Yuting", "non-dropping-particle" : "", "parse-names" : false, "suffix" : "" } ], "container-title" : "Cancer", "id" : "ITEM-2", "issue" : "6", "issued" : { "date-parts" : [ [ "2003" ] ] }, "page" : "1488-1498", "title" : "Tumor mitotic rate is a more powerful prognostic indicator than ulceration in patients with primary cutaneous melanoma: An analysis of 3661 patients from a single center", "type" : "article-journal", "volume" : "97" }, "uris" : [ "http://www.mendeley.com/documents/?uuid=70e67fdc-f282-474a-bafc-6f3023cd2308" ] } ], "mendeley" : { "formattedCitation" : "&lt;sup&gt;21,22&lt;/sup&gt;", "plainTextFormattedCitation" : "21,22", "previouslyFormattedCitation" : "&lt;sup&gt;21,22&lt;/sup&gt;" }, "properties" : { "noteIndex" : 0 }, "schema" : "https://github.com/citation-style-language/schema/raw/master/csl-citation.json" }</w:instrText>
      </w:r>
      <w:r w:rsidRPr="003E73CD">
        <w:rPr>
          <w:sz w:val="22"/>
          <w:szCs w:val="22"/>
        </w:rPr>
        <w:fldChar w:fldCharType="separate"/>
      </w:r>
      <w:r w:rsidRPr="003E73CD">
        <w:rPr>
          <w:noProof/>
          <w:sz w:val="22"/>
          <w:szCs w:val="22"/>
          <w:vertAlign w:val="superscript"/>
        </w:rPr>
        <w:t>21,22</w:t>
      </w:r>
      <w:r w:rsidRPr="003E73CD">
        <w:rPr>
          <w:sz w:val="22"/>
          <w:szCs w:val="22"/>
        </w:rPr>
        <w:fldChar w:fldCharType="end"/>
      </w:r>
      <w:proofErr w:type="gramStart"/>
      <w:r w:rsidRPr="003E73CD">
        <w:rPr>
          <w:sz w:val="22"/>
          <w:szCs w:val="22"/>
        </w:rPr>
        <w:t xml:space="preserve">  The</w:t>
      </w:r>
      <w:proofErr w:type="gramEnd"/>
      <w:r w:rsidRPr="003E73CD">
        <w:rPr>
          <w:sz w:val="22"/>
          <w:szCs w:val="22"/>
        </w:rPr>
        <w:t xml:space="preserve"> relative importance of these variables in terms of prognosis forms the basis for the widely accepted staging system for melanoma published by the American Joint Committee on Cancer (AJCC), currently in its 7</w:t>
      </w:r>
      <w:r w:rsidRPr="003E73CD">
        <w:rPr>
          <w:sz w:val="22"/>
          <w:szCs w:val="22"/>
          <w:vertAlign w:val="superscript"/>
        </w:rPr>
        <w:t>th</w:t>
      </w:r>
      <w:r w:rsidRPr="003E73CD">
        <w:rPr>
          <w:sz w:val="22"/>
          <w:szCs w:val="22"/>
        </w:rPr>
        <w:t xml:space="preserve"> edition (see Figure </w:t>
      </w:r>
      <w:r w:rsidR="006417CB" w:rsidRPr="003E73CD">
        <w:rPr>
          <w:sz w:val="22"/>
          <w:szCs w:val="22"/>
        </w:rPr>
        <w:t>1.</w:t>
      </w:r>
      <w:r w:rsidR="00373BF4" w:rsidRPr="003E73CD">
        <w:rPr>
          <w:sz w:val="22"/>
          <w:szCs w:val="22"/>
        </w:rPr>
        <w:t>1.</w:t>
      </w:r>
      <w:r w:rsidR="0027632D">
        <w:rPr>
          <w:sz w:val="22"/>
          <w:szCs w:val="22"/>
        </w:rPr>
        <w:t>2</w:t>
      </w:r>
      <w:r w:rsidRPr="003E73CD">
        <w:rPr>
          <w:sz w:val="22"/>
          <w:szCs w:val="22"/>
        </w:rPr>
        <w:t xml:space="preserve">). </w:t>
      </w:r>
    </w:p>
    <w:p w14:paraId="05299B16" w14:textId="58239133" w:rsidR="0061482C" w:rsidRPr="003E73CD" w:rsidRDefault="0061482C" w:rsidP="0061482C">
      <w:pPr>
        <w:spacing w:line="480" w:lineRule="auto"/>
        <w:rPr>
          <w:sz w:val="22"/>
          <w:szCs w:val="22"/>
        </w:rPr>
      </w:pPr>
      <w:r w:rsidRPr="003E73CD">
        <w:rPr>
          <w:sz w:val="22"/>
          <w:szCs w:val="22"/>
        </w:rPr>
        <w:br w:type="page"/>
        <w:t xml:space="preserve">Figure </w:t>
      </w:r>
      <w:r w:rsidR="006417CB" w:rsidRPr="003E73CD">
        <w:rPr>
          <w:sz w:val="22"/>
          <w:szCs w:val="22"/>
        </w:rPr>
        <w:t>1.</w:t>
      </w:r>
      <w:r w:rsidR="00373BF4" w:rsidRPr="003E73CD">
        <w:rPr>
          <w:sz w:val="22"/>
          <w:szCs w:val="22"/>
        </w:rPr>
        <w:t>1.</w:t>
      </w:r>
      <w:r w:rsidR="0027632D">
        <w:rPr>
          <w:sz w:val="22"/>
          <w:szCs w:val="22"/>
        </w:rPr>
        <w:t>2</w:t>
      </w:r>
      <w:r w:rsidRPr="003E73CD">
        <w:rPr>
          <w:sz w:val="22"/>
          <w:szCs w:val="22"/>
        </w:rPr>
        <w:t>.  American Joint Committee on Cancer (AJCC) staging system for melanoma (7</w:t>
      </w:r>
      <w:r w:rsidRPr="003E73CD">
        <w:rPr>
          <w:sz w:val="22"/>
          <w:szCs w:val="22"/>
          <w:vertAlign w:val="superscript"/>
        </w:rPr>
        <w:t>th</w:t>
      </w:r>
      <w:r w:rsidRPr="003E73CD">
        <w:rPr>
          <w:sz w:val="22"/>
          <w:szCs w:val="22"/>
        </w:rPr>
        <w:t xml:space="preserve"> Edition)</w:t>
      </w:r>
    </w:p>
    <w:p w14:paraId="282F4D45" w14:textId="77777777" w:rsidR="0061482C" w:rsidRPr="003E73CD" w:rsidRDefault="0061482C" w:rsidP="0061482C">
      <w:pPr>
        <w:spacing w:line="480" w:lineRule="auto"/>
        <w:rPr>
          <w:sz w:val="22"/>
          <w:szCs w:val="22"/>
        </w:rPr>
      </w:pPr>
      <w:r w:rsidRPr="003E73CD">
        <w:rPr>
          <w:noProof/>
          <w:sz w:val="22"/>
          <w:szCs w:val="22"/>
        </w:rPr>
        <w:drawing>
          <wp:inline distT="0" distB="0" distL="0" distR="0" wp14:anchorId="304F8F93" wp14:editId="7743CCAC">
            <wp:extent cx="5262880" cy="681736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62880" cy="6817360"/>
                    </a:xfrm>
                    <a:prstGeom prst="rect">
                      <a:avLst/>
                    </a:prstGeom>
                    <a:noFill/>
                    <a:ln>
                      <a:noFill/>
                    </a:ln>
                  </pic:spPr>
                </pic:pic>
              </a:graphicData>
            </a:graphic>
          </wp:inline>
        </w:drawing>
      </w:r>
    </w:p>
    <w:p w14:paraId="39B42556" w14:textId="77777777" w:rsidR="0061482C" w:rsidRPr="003E73CD" w:rsidRDefault="0061482C" w:rsidP="0061482C">
      <w:pPr>
        <w:spacing w:line="480" w:lineRule="auto"/>
        <w:ind w:firstLine="720"/>
        <w:rPr>
          <w:sz w:val="22"/>
          <w:szCs w:val="22"/>
        </w:rPr>
      </w:pPr>
    </w:p>
    <w:p w14:paraId="4F0922D7" w14:textId="77777777" w:rsidR="0061482C" w:rsidRPr="003E73CD" w:rsidRDefault="0061482C" w:rsidP="0061482C">
      <w:pPr>
        <w:spacing w:line="480" w:lineRule="auto"/>
        <w:ind w:firstLine="720"/>
        <w:rPr>
          <w:sz w:val="22"/>
          <w:szCs w:val="22"/>
        </w:rPr>
      </w:pPr>
    </w:p>
    <w:p w14:paraId="2C8A80B3" w14:textId="77777777" w:rsidR="0061482C" w:rsidRPr="003E73CD" w:rsidRDefault="0061482C" w:rsidP="0061482C">
      <w:pPr>
        <w:spacing w:line="480" w:lineRule="auto"/>
        <w:ind w:firstLine="720"/>
        <w:rPr>
          <w:sz w:val="22"/>
          <w:szCs w:val="22"/>
        </w:rPr>
      </w:pPr>
    </w:p>
    <w:p w14:paraId="587830C3" w14:textId="7B900E34" w:rsidR="0061482C" w:rsidRPr="003E73CD" w:rsidRDefault="0061482C" w:rsidP="0061482C">
      <w:pPr>
        <w:spacing w:line="480" w:lineRule="auto"/>
        <w:ind w:firstLine="720"/>
        <w:rPr>
          <w:sz w:val="22"/>
          <w:szCs w:val="22"/>
        </w:rPr>
      </w:pPr>
      <w:r w:rsidRPr="003E73CD">
        <w:rPr>
          <w:sz w:val="22"/>
          <w:szCs w:val="22"/>
        </w:rPr>
        <w:t>The AJCC staging system for melanoma has undergone refinement since its inception in 1977 and is based on literature review and prognostic information from a large combined database of patients held at the University of Alabama.  The data originated from melanoma patients treated at several centres within the US and at the Sydney Melanoma Unit in Australia.</w:t>
      </w:r>
      <w:r w:rsidRPr="003E73CD">
        <w:rPr>
          <w:sz w:val="22"/>
          <w:szCs w:val="22"/>
        </w:rPr>
        <w:fldChar w:fldCharType="begin" w:fldLock="1"/>
      </w:r>
      <w:r w:rsidRPr="003E73CD">
        <w:rPr>
          <w:sz w:val="22"/>
          <w:szCs w:val="22"/>
        </w:rPr>
        <w:instrText>ADDIN CSL_CITATION { "citationItems" : [ { "id" : "ITEM-1", "itemData" : { "DOI" : "10.1200/JCO.2009.23.4799", "ISBN" : "1527-7755 (Electronic)\\r0732-183X (Linking)", "ISSN" : "0732183X", "PMID" : "19917835", "abstract" : "To revise the staging system for cutaneous melanoma on the basis of data from an expanded American Joint Committee on Cancer (AJCC) Melanoma Staging Database.", "author" : [ { "dropping-particle" : "", "family" : "Balch", "given" : "Charles M.", "non-dropping-particle" : "", "parse-names" : false, "suffix" : "" }, { "dropping-particle" : "", "family" : "Gershenwald", "given" : "Jeffrey E.", "non-dropping-particle" : "", "parse-names" : false, "suffix" : "" }, { "dropping-particle" : "", "family" : "Soong", "given" : "Seng Jaw", "non-dropping-particle" : "", "parse-names" : false, "suffix" : "" }, { "dropping-particle" : "", "family" : "Thompson", "given" : "John F.", "non-dropping-particle" : "", "parse-names" : false, "suffix" : "" }, { "dropping-particle" : "", "family" : "Atkins", "given" : "Michael B.", "non-dropping-particle" : "", "parse-names" : false, "suffix" : "" }, { "dropping-particle" : "", "family" : "Byrd", "given" : "David R.", "non-dropping-particle" : "", "parse-names" : false, "suffix" : "" }, { "dropping-particle" : "", "family" : "Buzaid", "given" : "Antonio C.", "non-dropping-particle" : "", "parse-names" : false, "suffix" : "" }, { "dropping-particle" : "", "family" : "Cochran", "given" : "Alistair J.", "non-dropping-particle" : "", "parse-names" : false, "suffix" : "" }, { "dropping-particle" : "", "family" : "Coit", "given" : "Daniel G.", "non-dropping-particle" : "", "parse-names" : false, "suffix" : "" }, { "dropping-particle" : "", "family" : "Ding", "given" : "Shouluan", "non-dropping-particle" : "", "parse-names" : false, "suffix" : "" }, { "dropping-particle" : "", "family" : "Eggermont", "given" : "Alexander M.", "non-dropping-particle" : "", "parse-names" : false, "suffix" : "" }, { "dropping-particle" : "", "family" : "Flaherty", "given" : "Keith T.", "non-dropping-particle" : "", "parse-names" : false, "suffix" : "" }, { "dropping-particle" : "", "family" : "Gimotty", "given" : "Phyllis A.", "non-dropping-particle" : "", "parse-names" : false, "suffix" : "" }, { "dropping-particle" : "", "family" : "Kirkwood", "given" : "John M.", "non-dropping-particle" : "", "parse-names" : false, "suffix" : "" }, { "dropping-particle" : "", "family" : "McMasters", "given" : "Kelly M.", "non-dropping-particle" : "", "parse-names" : false, "suffix" : "" }, { "dropping-particle" : "", "family" : "Mihm", "given" : "Martin C.", "non-dropping-particle" : "", "parse-names" : false, "suffix" : "" }, { "dropping-particle" : "", "family" : "Morton", "given" : "Donald L.", "non-dropping-particle" : "", "parse-names" : false, "suffix" : "" }, { "dropping-particle" : "", "family" : "Ross", "given" : "Merrick I.", "non-dropping-particle" : "", "parse-names" : false, "suffix" : "" }, { "dropping-particle" : "", "family" : "Sober", "given" : "Arthur J.", "non-dropping-particle" : "", "parse-names" : false, "suffix" : "" }, { "dropping-particle" : "", "family" : "Sondak", "given" : "Vernon K.", "non-dropping-particle" : "", "parse-names" : false, "suffix" : "" } ], "container-title" : "Journal of Clinical Oncology", "id" : "ITEM-1", "issue" : "36", "issued" : { "date-parts" : [ [ "2009" ] ] }, "page" : "6199-6206", "title" : "Final version of 2009 AJCC melanoma staging and classification", "type" : "article-journal", "volume" : "27" }, "uris" : [ "http://www.mendeley.com/documents/?uuid=aae1e76a-7c0d-44d0-9aaf-7876463f3bee" ] } ], "mendeley" : { "formattedCitation" : "&lt;sup&gt;23&lt;/sup&gt;", "plainTextFormattedCitation" : "23", "previouslyFormattedCitation" : "&lt;sup&gt;23&lt;/sup&gt;" }, "properties" : { "noteIndex" : 0 }, "schema" : "https://github.com/citation-style-language/schema/raw/master/csl-citation.json" }</w:instrText>
      </w:r>
      <w:r w:rsidRPr="003E73CD">
        <w:rPr>
          <w:sz w:val="22"/>
          <w:szCs w:val="22"/>
        </w:rPr>
        <w:fldChar w:fldCharType="separate"/>
      </w:r>
      <w:r w:rsidRPr="003E73CD">
        <w:rPr>
          <w:noProof/>
          <w:sz w:val="22"/>
          <w:szCs w:val="22"/>
          <w:vertAlign w:val="superscript"/>
        </w:rPr>
        <w:t>23</w:t>
      </w:r>
      <w:r w:rsidRPr="003E73CD">
        <w:rPr>
          <w:sz w:val="22"/>
          <w:szCs w:val="22"/>
        </w:rPr>
        <w:fldChar w:fldCharType="end"/>
      </w:r>
      <w:proofErr w:type="gramStart"/>
      <w:r w:rsidRPr="003E73CD">
        <w:rPr>
          <w:sz w:val="22"/>
          <w:szCs w:val="22"/>
        </w:rPr>
        <w:t xml:space="preserve">  The</w:t>
      </w:r>
      <w:proofErr w:type="gramEnd"/>
      <w:r w:rsidRPr="003E73CD">
        <w:rPr>
          <w:sz w:val="22"/>
          <w:szCs w:val="22"/>
        </w:rPr>
        <w:t xml:space="preserve"> main purpose of the staging system is to provide a method for conveying clinical information to others without ambiguity.  There are also a number of additional important uses.   These include selection of patients for treatment, estimating prognosis, allowing evaluation of treatment results in comparable groups within a single institution and between different institutions and allowing other data to be compared between institutions throughout the world.   As new research findings become available, staging criteria must be re-evaluated and revised.  Thus far, the staging system has followed the “Tumour, Node, Metastasis (TNM)” model that is used for a large variety of cancer staging systems.  The complexity of the system has increased with each revision and includes patient characteristics, primary melanoma histopathological characteristics and characteristics related to metastatic spread of the tumour (Figure </w:t>
      </w:r>
      <w:r w:rsidR="006417CB" w:rsidRPr="003E73CD">
        <w:rPr>
          <w:sz w:val="22"/>
          <w:szCs w:val="22"/>
        </w:rPr>
        <w:t>1</w:t>
      </w:r>
      <w:r w:rsidR="00373BF4" w:rsidRPr="003E73CD">
        <w:rPr>
          <w:sz w:val="22"/>
          <w:szCs w:val="22"/>
        </w:rPr>
        <w:t>.1</w:t>
      </w:r>
      <w:r w:rsidR="006417CB" w:rsidRPr="003E73CD">
        <w:rPr>
          <w:sz w:val="22"/>
          <w:szCs w:val="22"/>
        </w:rPr>
        <w:t>.</w:t>
      </w:r>
      <w:r w:rsidR="0085238A">
        <w:rPr>
          <w:sz w:val="22"/>
          <w:szCs w:val="22"/>
        </w:rPr>
        <w:t>2</w:t>
      </w:r>
      <w:r w:rsidRPr="003E73CD">
        <w:rPr>
          <w:sz w:val="22"/>
          <w:szCs w:val="22"/>
        </w:rPr>
        <w:t>).  In the future additional information may be incorporated from advances in molecular genetics.  This field of medicine is already leading to increased understanding and a new method for classification of melanoma based on mutations detected within the tumour cells, but of even greater significance, it has led to the development of new and effective drug therapies for metastatic melanoma.</w:t>
      </w:r>
      <w:r w:rsidRPr="003E73CD">
        <w:rPr>
          <w:sz w:val="22"/>
          <w:szCs w:val="22"/>
        </w:rPr>
        <w:fldChar w:fldCharType="begin" w:fldLock="1"/>
      </w:r>
      <w:r w:rsidRPr="003E73CD">
        <w:rPr>
          <w:sz w:val="22"/>
          <w:szCs w:val="22"/>
        </w:rPr>
        <w:instrText>ADDIN CSL_CITATION { "citationItems" : [ { "id" : "ITEM-1", "itemData" : { "DOI" : "10.1177/1758834014566619", "ISSN" : "1758-8340", "PMID" : "25755683", "abstract" : "Until recently, treatment for metastatic melanoma was characterised by a limited availability of treatment options that offer objective survival benefit. Cytotoxic agents fundamentally lack the ability to achieve disease control and cytokine therapy with interleukin-2 has an unacceptably high - for the use across all patient cohorts - rate of toxicities. The validation of braf as an oncogene driving melanoma tumorigenesis, as well as the discovery of the role of CTLA-4 receptor in the evasion of anticancer immune response by melanoma, has revolutionised our treatment options against a disease with dismal prognosis. Quick implementation of translational discoveries brought about BRAF/MEK inhibition in clinic, while at the same time, wider experience with CTLA-4 blockade enabled clinicians to manage previously fatal immune-related toxicities with greater confidence. The suitability for clinical use of other oncogenic drivers such as NRAS and c-kit is currently being tested whilst the PD-1/PD-L1/PD-L2 axis has emerged as a new immunotherapy target with exciting early phase results. The recent exponential progress in treatment of melanoma has set an example of translational medicine and the current review aims to explain why, as well as suggesting new goals for the future.", "author" : [ { "dropping-particle" : "", "family" : "Lindsay", "given" : "Colin R", "non-dropping-particle" : "", "parse-names" : false, "suffix" : "" }, { "dropping-particle" : "", "family" : "Spiliopoulou", "given" : "Pavlina", "non-dropping-particle" : "", "parse-names" : false, "suffix" : "" }, { "dropping-particle" : "", "family" : "Waterston", "given" : "Ashita", "non-dropping-particle" : "", "parse-names" : false, "suffix" : "" } ], "container-title" : "Therapeutic advances in medical oncology", "id" : "ITEM-1", "issue" : "2", "issued" : { "date-parts" : [ [ "2015", "3", "21" ] ] }, "page" : "107-21", "title" : "Blinded by the light: why the treatment of metastatic melanoma has created a new paradigm for the management of cancer.", "type" : "article-journal", "volume" : "7" }, "uris" : [ "http://www.mendeley.com/documents/?uuid=d3e3971b-8cd1-410e-879e-a24ccdba0811" ] }, { "id" : "ITEM-2", "itemData" : { "DOI" : "10.1111/ans.12673", "ISSN" : "14451433", "PMID" : "24842394", "abstract" : "The prognosis for patients with stage IV melanoma has historically been extremely poor and there have until recently been no effective treatment options. The last 3 years have seen a seismic shift in the management of these patients with the entry to the clinic of a number of novel agents with proven efficacy. These agents fall into two main classes: molecular-targeted therapy and immunotherapy. Molecular therapies have primarily targeted the mitogen-activated protein kinase pathway, most notably with oral inhibitors targetting oncogenic BRAF. Immunotherapy agents such as ipilimumab, and more recently antibodies against PD-1 boost the host immune response against the melanoma. It is important for surgeons to be aware of these advances for a number of reasons. Firstly, to be able to inform their patients of the general options available in the event of disease progression. Secondly, these agents are currently being assessed in the adjuvant setting and are likely to demonstrate efficacy for earlier stages of disease. Finally, it is important for surgeons to be able to advocate on their patients' behalf to minimize the lag time between publication of these promising results and the availability of these agents in the clinic. Furthermore, patients with advanced melanoma should be offered participation in clinical trials in order to refine the indications for these agents to maximize their chance of benefit.", "author" : [ { "dropping-particle" : "", "family" : "Gyorki", "given" : "David E.", "non-dropping-particle" : "", "parse-names" : false, "suffix" : "" }, { "dropping-particle" : "", "family" : "Spillane", "given" : "John", "non-dropping-particle" : "", "parse-names" : false, "suffix" : "" }, { "dropping-particle" : "", "family" : "Speakman", "given" : "David", "non-dropping-particle" : "", "parse-names" : false, "suffix" : "" }, { "dropping-particle" : "", "family" : "Shackleton", "given" : "Mark", "non-dropping-particle" : "", "parse-names" : false, "suffix" : "" }, { "dropping-particle" : "", "family" : "Henderson", "given" : "Michael A.", "non-dropping-particle" : "", "parse-names" : false, "suffix" : "" } ], "container-title" : "ANZ Journal of Surgery", "id" : "ITEM-2", "issue" : "9", "issued" : { "date-parts" : [ [ "2014", "9" ] ] }, "page" : "612-617", "title" : "Current management of advanced melanoma: a transformed landscape", "type" : "article-journal", "volume" : "84" }, "uris" : [ "http://www.mendeley.com/documents/?uuid=cc62a6c6-b9da-467e-aba1-9a7f1bf7e766" ] } ], "mendeley" : { "formattedCitation" : "&lt;sup&gt;24,25&lt;/sup&gt;", "plainTextFormattedCitation" : "24,25", "previouslyFormattedCitation" : "&lt;sup&gt;24,25&lt;/sup&gt;" }, "properties" : { "noteIndex" : 0 }, "schema" : "https://github.com/citation-style-language/schema/raw/master/csl-citation.json" }</w:instrText>
      </w:r>
      <w:r w:rsidRPr="003E73CD">
        <w:rPr>
          <w:sz w:val="22"/>
          <w:szCs w:val="22"/>
        </w:rPr>
        <w:fldChar w:fldCharType="separate"/>
      </w:r>
      <w:r w:rsidRPr="003E73CD">
        <w:rPr>
          <w:noProof/>
          <w:sz w:val="22"/>
          <w:szCs w:val="22"/>
          <w:vertAlign w:val="superscript"/>
        </w:rPr>
        <w:t>24,25</w:t>
      </w:r>
      <w:r w:rsidRPr="003E73CD">
        <w:rPr>
          <w:sz w:val="22"/>
          <w:szCs w:val="22"/>
        </w:rPr>
        <w:fldChar w:fldCharType="end"/>
      </w:r>
    </w:p>
    <w:p w14:paraId="15F38B99" w14:textId="5422F030" w:rsidR="0061482C" w:rsidRPr="003E73CD" w:rsidRDefault="0061482C" w:rsidP="0061482C">
      <w:pPr>
        <w:spacing w:line="480" w:lineRule="auto"/>
        <w:ind w:firstLine="720"/>
        <w:rPr>
          <w:sz w:val="22"/>
          <w:szCs w:val="22"/>
        </w:rPr>
      </w:pPr>
      <w:r w:rsidRPr="003E73CD">
        <w:rPr>
          <w:sz w:val="22"/>
          <w:szCs w:val="22"/>
        </w:rPr>
        <w:t>In the UK and many other countries, melanoma patients are managed in a multi-di</w:t>
      </w:r>
      <w:r w:rsidR="009C2FC6">
        <w:rPr>
          <w:sz w:val="22"/>
          <w:szCs w:val="22"/>
        </w:rPr>
        <w:t>sciplinary setting with recommendation</w:t>
      </w:r>
      <w:r w:rsidRPr="003E73CD">
        <w:rPr>
          <w:sz w:val="22"/>
          <w:szCs w:val="22"/>
        </w:rPr>
        <w:t xml:space="preserve">s regarding investigation and treatment made by a multi-disciplinary team, typically comprising clinical nurse specialists, clinical psychologist, dermatopathologists, dermatologists, oncologists, plastic surgeons, radiologists and clerical support staff.  </w:t>
      </w:r>
      <w:r w:rsidR="009C2FC6">
        <w:rPr>
          <w:sz w:val="22"/>
          <w:szCs w:val="22"/>
        </w:rPr>
        <w:t xml:space="preserve">The recommendations provided by the multi-disciplinary team are used as a basis for discussion between the responsible clinician and the patient to allow the patient to choose a care pathway that suits their individual circumstances.  </w:t>
      </w:r>
      <w:r w:rsidRPr="003E73CD">
        <w:rPr>
          <w:sz w:val="22"/>
          <w:szCs w:val="22"/>
        </w:rPr>
        <w:t>National guidelines for the management of cutaneous melanoma provide an evidence-based framework for decision-making and the AJCC staging system is used to stage patients and provide a basis for selection of patients for trials, for follow-up regime and for further staging investigations.</w:t>
      </w:r>
      <w:r w:rsidRPr="003E73CD">
        <w:rPr>
          <w:sz w:val="22"/>
          <w:szCs w:val="22"/>
        </w:rPr>
        <w:fldChar w:fldCharType="begin" w:fldLock="1"/>
      </w:r>
      <w:r w:rsidRPr="003E73CD">
        <w:rPr>
          <w:sz w:val="22"/>
          <w:szCs w:val="22"/>
        </w:rPr>
        <w:instrText>ADDIN CSL_CITATION { "citationItems" : [ { "id" : "ITEM-1", "itemData" : { "DOI" : "10.1016/j.bjps.2010.07.006", "ISSN" : "1878-0539", "PMID" : "20728418", "abstract" : "These guidelines for the management of cutaneous melanoma present an evidence-based guidance for treatment, with identification of the strength of evidence available at the time of preparation of the guidelines, and a brief overview of epidemiology, diagnosis, investigation, and follow-up.", "author" : [ { "dropping-particle" : "", "family" : "Marsden", "given" : "J R", "non-dropping-particle" : "", "parse-names" : false, "suffix" : "" }, { "dropping-particle" : "", "family" : "Newton-Bishop", "given" : "J A", "non-dropping-particle" : "", "parse-names" : false, "suffix" : "" }, { "dropping-particle" : "", "family" : "Burrows", "given" : "L", "non-dropping-particle" : "", "parse-names" : false, "suffix" : "" }, { "dropping-particle" : "", "family" : "Cook", "given" : "M", "non-dropping-particle" : "", "parse-names" : false, "suffix" : "" }, { "dropping-particle" : "", "family" : "Corrie", "given" : "P G", "non-dropping-particle" : "", "parse-names" : false, "suffix" : "" }, { "dropping-particle" : "", "family" : "Cox", "given" : "N H", "non-dropping-particle" : "", "parse-names" : false, "suffix" : "" }, { "dropping-particle" : "", "family" : "Gore", "given" : "M E", "non-dropping-particle" : "", "parse-names" : false, "suffix" : "" }, { "dropping-particle" : "", "family" : "Lorigan", "given" : "P", "non-dropping-particle" : "", "parse-names" : false, "suffix" : "" }, { "dropping-particle" : "", "family" : "Mackie", "given" : "R", "non-dropping-particle" : "", "parse-names" : false, "suffix" : "" }, { "dropping-particle" : "", "family" : "Nathan", "given" : "P", "non-dropping-particle" : "", "parse-names" : false, "suffix" : "" }, { "dropping-particle" : "", "family" : "Peach", "given" : "H", "non-dropping-particle" : "", "parse-names" : false, "suffix" : "" }, { "dropping-particle" : "", "family" : "Powell", "given" : "B", "non-dropping-particle" : "", "parse-names" : false, "suffix" : "" }, { "dropping-particle" : "", "family" : "Walker", "given" : "C", "non-dropping-particle" : "", "parse-names" : false, "suffix" : "" } ], "container-title" : "Journal of plastic, reconstructive &amp; aesthetic surgery : JPRAS", "id" : "ITEM-1", "issue" : "9", "issued" : { "date-parts" : [ [ "2010", "9" ] ] }, "page" : "1401-19", "title" : "Revised UK guidelines for the management of cutaneous melanoma 2010.", "type" : "article-journal", "volume" : "63" }, "uris" : [ "http://www.mendeley.com/documents/?uuid=036583d7-b905-488e-93ab-def5d5ae595d" ] } ], "mendeley" : { "formattedCitation" : "&lt;sup&gt;15&lt;/sup&gt;", "plainTextFormattedCitation" : "15", "previouslyFormattedCitation" : "&lt;sup&gt;15&lt;/sup&gt;" }, "properties" : { "noteIndex" : 0 }, "schema" : "https://github.com/citation-style-language/schema/raw/master/csl-citation.json" }</w:instrText>
      </w:r>
      <w:r w:rsidRPr="003E73CD">
        <w:rPr>
          <w:sz w:val="22"/>
          <w:szCs w:val="22"/>
        </w:rPr>
        <w:fldChar w:fldCharType="separate"/>
      </w:r>
      <w:r w:rsidRPr="003E73CD">
        <w:rPr>
          <w:noProof/>
          <w:sz w:val="22"/>
          <w:szCs w:val="22"/>
          <w:vertAlign w:val="superscript"/>
        </w:rPr>
        <w:t>15</w:t>
      </w:r>
      <w:r w:rsidRPr="003E73CD">
        <w:rPr>
          <w:sz w:val="22"/>
          <w:szCs w:val="22"/>
        </w:rPr>
        <w:fldChar w:fldCharType="end"/>
      </w:r>
      <w:r w:rsidRPr="003E73CD">
        <w:rPr>
          <w:sz w:val="22"/>
          <w:szCs w:val="22"/>
        </w:rPr>
        <w:t xml:space="preserve">  </w:t>
      </w:r>
    </w:p>
    <w:p w14:paraId="3B3F2F7E" w14:textId="2FB10A83" w:rsidR="0061482C" w:rsidRPr="003E73CD" w:rsidRDefault="0061482C" w:rsidP="0061482C">
      <w:pPr>
        <w:spacing w:line="480" w:lineRule="auto"/>
        <w:ind w:firstLine="720"/>
        <w:rPr>
          <w:sz w:val="22"/>
          <w:szCs w:val="22"/>
        </w:rPr>
      </w:pPr>
      <w:r w:rsidRPr="003E73CD">
        <w:rPr>
          <w:sz w:val="22"/>
          <w:szCs w:val="22"/>
        </w:rPr>
        <w:t>Once the patient diagnosed with a primary cutaneous melanoma has had the tumour completely excised, the management focuses on reducing the risk of developing local recurrence.  In some institutions management also aims to detect and remove occult metastases that would become clinically evident in the future, by targeting locations where melanoma cells may be present.  Metastasis generally occurs via lymphatics, the bloodstream or both.  Two hypotheses for models of metastasis in melanoma have been described: the incubator hypothesis and the marker hypothesis.</w:t>
      </w:r>
      <w:r w:rsidRPr="003E73CD">
        <w:rPr>
          <w:sz w:val="22"/>
          <w:szCs w:val="22"/>
        </w:rPr>
        <w:fldChar w:fldCharType="begin" w:fldLock="1"/>
      </w:r>
      <w:r w:rsidRPr="003E73CD">
        <w:rPr>
          <w:sz w:val="22"/>
          <w:szCs w:val="22"/>
        </w:rPr>
        <w:instrText>ADDIN CSL_CITATION { "citationItems" : [ { "id" : "ITEM-1", "itemData" : { "DOI" : "10.1097/01.sla.0000086543.45557.cb", "ISBN" : "0003-4932 (Print)\\r0003-4932 (Linking)", "ISSN" : "0003-4932", "PMID" : "14530725", "abstract" : "OBJECTIVE: Lymphatic mapping and sentinel lymphadenectomy (LM/SL) have been applied to virtually all solid neoplasms since our original description of LM/SL for melanoma. Our objectives were to determine the diagnostic and therapeutic utility of LM/SL, investigate carbon dye for mapping the microanatomy of lymphatic flow within the sentinel node (SN), and determine the prognostic accuracy of molecular assessment of the SN. METHODS: Since 1985, 1599 patients with AJCC Stage I/II melanoma have been treated by LM/SL at our institution and 4590 have been treated by wide excision (WE) without nodal staging. We examined the incidence of clinical nodal recurrence after WE alone, the incidence of subclinical nodal metastases found by LM/SL, and the incidence of nodal recurrence in basins with histopathology-negative SNs. RESULTS: In 1514 LM/SL patients with a primary of known Breslow thickness, the incidence of metastasis in nodes claimed to be sentinel was 7.3%, 19.7%, 33.2%, and 39.7% for primary lesions &lt;/=1.0, 1.01-2.0, 2.01-4.0, and &gt;4.0 mm, respectively. In 3652 WE-only patients, the corresponding rates of nodal recurrence were 12.0%, 32.0%, 34.4%, and 30.1%. Thus, LM/SL detected only 60% of expected nodal metastases from primary melanomas &lt;2.01 mm. Forty of 1599 (3.1%) patients developed recurrence in basins with immunohistochemistry (IH)-negative SNs. To determine whether nonrandom intranodal distribution of tumor cells could explain missed SN metastases, we coinjected carbon particles and blue dye during LM/SL in 166 patients: 25 (16%) patients had nodal metastases, all of which were found only in nodal subsectors containing carbon particles. When paraffin-embedded SNs from a subset of 162 IH-negative patients were re-examined by quantitative multimarker reverse-transcriptase polymerase chain reaction (qRT) assay, 49 (30%) gave positive signals. These patients had a significantly higher risk of disease recurrence and death than did patients whose IH and qRT results were negative (p &lt; 0.0001). Comparison of 287 prognostically matched pairs of patients who underwent immediate (after LM/SL) versus delayed (after observation) dissection of nodal metastases revealed 5-, 10-, and 15-year survival rates of 73%, 69%, and 69% versus 51%, 37%, and 32%, respectively (P &lt; or = 0.001). CONCLUSIONS: SN assessment based on intranodal compartmentalization of lymphatic flow (carbon dye mapping) should increase the accuracy of IH and, in combination with multimarker qRT\u2026", "author" : [ { "dropping-particle" : "", "family" : "Morton", "given" : "Donald L", "non-dropping-particle" : "", "parse-names" : false, "suffix" : "" }, { "dropping-particle" : "", "family" : "Hoon", "given" : "Dave S B", "non-dropping-particle" : "", "parse-names" : false, "suffix" : "" }, { "dropping-particle" : "", "family" : "Cochran", "given" : "Alistair J", "non-dropping-particle" : "", "parse-names" : false, "suffix" : "" }, { "dropping-particle" : "", "family" : "Turner", "given" : "Roderick R", "non-dropping-particle" : "", "parse-names" : false, "suffix" : "" }, { "dropping-particle" : "", "family" : "Essner", "given" : "Richard", "non-dropping-particle" : "", "parse-names" : false, "suffix" : "" }, { "dropping-particle" : "", "family" : "Takeuchi", "given" : "Hiroya", "non-dropping-particle" : "", "parse-names" : false, "suffix" : "" }, { "dropping-particle" : "", "family" : "Wanek", "given" : "Leslie A", "non-dropping-particle" : "", "parse-names" : false, "suffix" : "" }, { "dropping-particle" : "", "family" : "Glass", "given" : "Edwin", "non-dropping-particle" : "", "parse-names" : false, "suffix" : "" }, { "dropping-particle" : "", "family" : "Foshag", "given" : "Leland J", "non-dropping-particle" : "", "parse-names" : false, "suffix" : "" }, { "dropping-particle" : "", "family" : "Hsueh", "given" : "Eddy C", "non-dropping-particle" : "", "parse-names" : false, "suffix" : "" }, { "dropping-particle" : "", "family" : "Bilchik", "given" : "Anton J", "non-dropping-particle" : "", "parse-names" : false, "suffix" : "" }, { "dropping-particle" : "", "family" : "Elashoff", "given" : "David", "non-dropping-particle" : "", "parse-names" : false, "suffix" : "" }, { "dropping-particle" : "", "family" : "Elashoff", "given" : "Robert", "non-dropping-particle" : "", "parse-names" : false, "suffix" : "" } ], "container-title" : "Annals of surgery", "id" : "ITEM-1", "issue" : "4", "issued" : { "date-parts" : [ [ "2003" ] ] }, "page" : "538-549; discussion 549-550", "title" : "Lymphatic mapping and sentinel lymphadenectomy for early-stage melanoma: therapeutic utility and implications of nodal microanatomy and molecular staging for improving the accuracy of detection of nodal micrometastases.", "type" : "article-journal", "volume" : "238" }, "uris" : [ "http://www.mendeley.com/documents/?uuid=7880777d-d9bd-4977-a45e-49789e9359d8" ] } ], "mendeley" : { "formattedCitation" : "&lt;sup&gt;26&lt;/sup&gt;", "plainTextFormattedCitation" : "26", "previouslyFormattedCitation" : "&lt;sup&gt;26&lt;/sup&gt;" }, "properties" : { "noteIndex" : 0 }, "schema" : "https://github.com/citation-style-language/schema/raw/master/csl-citation.json" }</w:instrText>
      </w:r>
      <w:r w:rsidRPr="003E73CD">
        <w:rPr>
          <w:sz w:val="22"/>
          <w:szCs w:val="22"/>
        </w:rPr>
        <w:fldChar w:fldCharType="separate"/>
      </w:r>
      <w:r w:rsidRPr="003E73CD">
        <w:rPr>
          <w:noProof/>
          <w:sz w:val="22"/>
          <w:szCs w:val="22"/>
          <w:vertAlign w:val="superscript"/>
        </w:rPr>
        <w:t>26</w:t>
      </w:r>
      <w:r w:rsidRPr="003E73CD">
        <w:rPr>
          <w:sz w:val="22"/>
          <w:szCs w:val="22"/>
        </w:rPr>
        <w:fldChar w:fldCharType="end"/>
      </w:r>
      <w:proofErr w:type="gramStart"/>
      <w:r w:rsidRPr="003E73CD">
        <w:rPr>
          <w:sz w:val="22"/>
          <w:szCs w:val="22"/>
        </w:rPr>
        <w:t xml:space="preserve">  According</w:t>
      </w:r>
      <w:proofErr w:type="gramEnd"/>
      <w:r w:rsidRPr="003E73CD">
        <w:rPr>
          <w:sz w:val="22"/>
          <w:szCs w:val="22"/>
        </w:rPr>
        <w:t xml:space="preserve"> to the incubator hypothesis metastasis occurs first via lymphatics to the regional lymph nodes, where cells remain and grow before spreading via </w:t>
      </w:r>
      <w:r w:rsidR="00F44DFA">
        <w:rPr>
          <w:sz w:val="22"/>
          <w:szCs w:val="22"/>
        </w:rPr>
        <w:t>the blood-</w:t>
      </w:r>
      <w:r w:rsidRPr="003E73CD">
        <w:rPr>
          <w:sz w:val="22"/>
          <w:szCs w:val="22"/>
        </w:rPr>
        <w:t>stream to distant sites.  In the marker hypothesis metastasis occurs via the lymphatic and blood systems simultaneously.  For the ideal of obtaining cure for all patients with a primary melanoma to be achieved, staging investigations and/or further treatment must aim to detect and treat all potential sites of metastasis.  However, investigations and treatments all have the potential to cause morbidity to some degree, as well as making demands on resources, and so it is important that patients are selected appropriately for further investigation or treatment.  Staging investigations can include blood tests, radiological tests and more invasive interventions.  Investigations are also limited to varying degrees in terms of their sensitivity and specificity.  The only blood test that is incorporated into the AJCC staging system is the serum lactate dehydrogenase (LDH) level for patients with stage IV disease.  LDH is an enzyme that is present in body tissues within the cytoplasm of cells, wh</w:t>
      </w:r>
      <w:r w:rsidR="008C6DB8" w:rsidRPr="003E73CD">
        <w:rPr>
          <w:sz w:val="22"/>
          <w:szCs w:val="22"/>
        </w:rPr>
        <w:t>ere it converts lactate to pyruv</w:t>
      </w:r>
      <w:r w:rsidRPr="003E73CD">
        <w:rPr>
          <w:sz w:val="22"/>
          <w:szCs w:val="22"/>
        </w:rPr>
        <w:t>ate.  Tumour cells can increase their content of LDH as a part of the process of becoming less dependent on oxygen, thus allowing them to survive and grow more rapidly.</w:t>
      </w:r>
      <w:r w:rsidRPr="003E73CD">
        <w:rPr>
          <w:sz w:val="22"/>
          <w:szCs w:val="22"/>
        </w:rPr>
        <w:fldChar w:fldCharType="begin" w:fldLock="1"/>
      </w:r>
      <w:r w:rsidRPr="003E73CD">
        <w:rPr>
          <w:sz w:val="22"/>
          <w:szCs w:val="22"/>
        </w:rPr>
        <w:instrText>ADDIN CSL_CITATION { "citationItems" : [ { "id" : "ITEM-1", "itemData" : { "DOI" : "10.1016/j.ejca.2009.04.016", "ISSN" : "1879-0852", "PMID" : "19419855", "abstract" : "PURPOSE: In a randomised study (GM301; dacarbazine with/without oblimersen), patients with advanced melanoma were stratified based on performance status, metastatic site and lactate dehydrogenase (LDH). Progression-free survival and response and durable response rates showed a highly significant difference favouring dacarbazine-oblimersen and a nearly significant survival difference. All efficacy parameters significantly favoured dacarbazine-oblimersen in patients with normal baseline LDH [1.1xupper limit of normal (ULN)]. Each stratification factor was assessed for an interaction with treatment on survival and an interaction was detected only for LDH.\n\nEXPERIMENTAL DESIGN: Baseline LDH values in Study GM301 treatment groups were combined and analysed using cutoffs above and below 1xULN. Baseline LDH in EORTC study 18951 (dacarbazine, cisplatin, interferon-alfa-2b with/without interleukin-2 in advanced melanoma) was independently analysed using the same approach. In Study GM301, the relation between treatment effect and LDH, treatment effect and tumour size, LDH and tumour size and LDH and disease site were determined.\n\nRESULTS: In Study GM301 (N=760) and Study 18951 (N=325), LDH was within the upper range of normal for a large number of patients. This was not exhibited in the general population, suggesting such values may be elevated rather than normal in melanoma. A highly ordered and monotonic relationship was apparent between LDH and survival: survival worsened as LDH became more elevated, even when LDH remained within normal range. LDH and tumour size were poorly correlated; elevated LDH was not associated with any one disease site. LDH was highly predictive of oblimersen effect.\n\nCONCLUSION: In designing studies, LDH should be considered, regardless of tumour size or disease site.", "author" : [ { "dropping-particle" : "", "family" : "Agarwala", "given" : "Sanjiv S", "non-dropping-particle" : "", "parse-names" : false, "suffix" : "" }, { "dropping-particle" : "", "family" : "Keilholz", "given" : "Ulrich", "non-dropping-particle" : "", "parse-names" : false, "suffix" : "" }, { "dropping-particle" : "", "family" : "Gilles", "given" : "Erard", "non-dropping-particle" : "", "parse-names" : false, "suffix" : "" }, { "dropping-particle" : "", "family" : "Bedikian", "given" : "Agop Y", "non-dropping-particle" : "", "parse-names" : false, "suffix" : "" }, { "dropping-particle" : "", "family" : "Wu", "given" : "Jane", "non-dropping-particle" : "", "parse-names" : false, "suffix" : "" }, { "dropping-particle" : "", "family" : "Kay", "given" : "Richard", "non-dropping-particle" : "", "parse-names" : false, "suffix" : "" }, { "dropping-particle" : "", "family" : "Stein", "given" : "Cy A", "non-dropping-particle" : "", "parse-names" : false, "suffix" : "" }, { "dropping-particle" : "", "family" : "Itri", "given" : "Loretta M", "non-dropping-particle" : "", "parse-names" : false, "suffix" : "" }, { "dropping-particle" : "", "family" : "Suciu", "given" : "Stefan", "non-dropping-particle" : "", "parse-names" : false, "suffix" : "" }, { "dropping-particle" : "", "family" : "Eggermont", "given" : "Alexander M M", "non-dropping-particle" : "", "parse-names" : false, "suffix" : "" } ], "container-title" : "European journal of cancer (Oxford, England : 1990)", "id" : "ITEM-1", "issue" : "10", "issued" : { "date-parts" : [ [ "2009", "7" ] ] }, "page" : "1807-14", "title" : "LDH correlation with survival in advanced melanoma from two large, randomised trials (Oblimersen GM301 and EORTC 18951).", "type" : "article-journal", "volume" : "45" }, "uris" : [ "http://www.mendeley.com/documents/?uuid=bc49b118-e7a4-4ecf-aa77-26412ee2761f" ] } ], "mendeley" : { "formattedCitation" : "&lt;sup&gt;27&lt;/sup&gt;", "plainTextFormattedCitation" : "27", "previouslyFormattedCitation" : "&lt;sup&gt;27&lt;/sup&gt;" }, "properties" : { "noteIndex" : 0 }, "schema" : "https://github.com/citation-style-language/schema/raw/master/csl-citation.json" }</w:instrText>
      </w:r>
      <w:r w:rsidRPr="003E73CD">
        <w:rPr>
          <w:sz w:val="22"/>
          <w:szCs w:val="22"/>
        </w:rPr>
        <w:fldChar w:fldCharType="separate"/>
      </w:r>
      <w:r w:rsidRPr="003E73CD">
        <w:rPr>
          <w:noProof/>
          <w:sz w:val="22"/>
          <w:szCs w:val="22"/>
          <w:vertAlign w:val="superscript"/>
        </w:rPr>
        <w:t>27</w:t>
      </w:r>
      <w:r w:rsidRPr="003E73CD">
        <w:rPr>
          <w:sz w:val="22"/>
          <w:szCs w:val="22"/>
        </w:rPr>
        <w:fldChar w:fldCharType="end"/>
      </w:r>
      <w:proofErr w:type="gramStart"/>
      <w:r w:rsidRPr="003E73CD">
        <w:rPr>
          <w:sz w:val="22"/>
          <w:szCs w:val="22"/>
        </w:rPr>
        <w:t xml:space="preserve">  However</w:t>
      </w:r>
      <w:proofErr w:type="gramEnd"/>
      <w:r w:rsidRPr="003E73CD">
        <w:rPr>
          <w:sz w:val="22"/>
          <w:szCs w:val="22"/>
        </w:rPr>
        <w:t>, tumours that are growing very rapidly and have larger volumes are more likely to outgrow their blood and oxygen supply, resulting in areas of necrosis.  This leads to release of LDH, which can be detected as raised serum levels in patients.  The finding of raised serum LDH in patients with distant metastatic melanoma (stage IV disease) is associated with a worse prognosis.</w:t>
      </w:r>
      <w:r w:rsidRPr="003E73CD">
        <w:rPr>
          <w:sz w:val="22"/>
          <w:szCs w:val="22"/>
        </w:rPr>
        <w:fldChar w:fldCharType="begin" w:fldLock="1"/>
      </w:r>
      <w:r w:rsidRPr="003E73CD">
        <w:rPr>
          <w:sz w:val="22"/>
          <w:szCs w:val="22"/>
        </w:rPr>
        <w:instrText>ADDIN CSL_CITATION { "citationItems" : [ { "id" : "ITEM-1", "itemData" : { "ISSN" : "0008-543X", "PMID" : "8221576", "abstract" : "BACKGROUND: Current methods to predict survival in patients with advanced, metastatic melanoma are limited. To determine clinical prognostic factors that accurately predict survival in patients with metastatic melanoma, a retrospective analysis was performed.\n\nMETHODS: Clinical, hematologic, and biochemical pretreatment parameters from 284 patients entered on 18 Phase I and II clinical trials were analyzed to determine their prognostic effect on survival. A multivariate parametric regression based on the Weibull distribution was derived to estimate survival.\n\nRESULTS: Multivariate Weibull survival regression analysis showed that a simple model using the logarithm of the pretreatment values of lactate dehydrogenase and serum albumin, dichotomized as high and low, significantly and adequately predicted survival. A more complex multivariate model was also derived that involved the pretreatment platelet count, visceral organ involvement, and gender as additional factors. However, a larger study is needed to statistically validate such a model.\n\nCONCLUSIONS: The pretreatment values of serum lactate dehydrogenase and albumin are independent prognostic factors for survival in patients with metastatic melanoma. These two factors can be used to estimate survival of patients with advanced, metastatic melanoma and should be considered when designing melanoma trials in which survival is an endpoint.", "author" : [ { "dropping-particle" : "", "family" : "Sirott", "given" : "M N", "non-dropping-particle" : "", "parse-names" : false, "suffix" : "" }, { "dropping-particle" : "", "family" : "Bajorin", "given" : "D F", "non-dropping-particle" : "", "parse-names" : false, "suffix" : "" }, { "dropping-particle" : "", "family" : "Wong", "given" : "G Y", "non-dropping-particle" : "", "parse-names" : false, "suffix" : "" }, { "dropping-particle" : "", "family" : "Tao", "given" : "Y", "non-dropping-particle" : "", "parse-names" : false, "suffix" : "" }, { "dropping-particle" : "", "family" : "Chapman", "given" : "P B", "non-dropping-particle" : "", "parse-names" : false, "suffix" : "" }, { "dropping-particle" : "", "family" : "Templeton", "given" : "M A", "non-dropping-particle" : "", "parse-names" : false, "suffix" : "" }, { "dropping-particle" : "", "family" : "Houghton", "given" : "A N", "non-dropping-particle" : "", "parse-names" : false, "suffix" : "" } ], "container-title" : "Cancer", "id" : "ITEM-1", "issue" : "10", "issued" : { "date-parts" : [ [ "1993", "11", "15" ] ] }, "page" : "3091-8", "title" : "Prognostic factors in patients with metastatic malignant melanoma. A multivariate analysis.", "type" : "article-journal", "volume" : "72" }, "uris" : [ "http://www.mendeley.com/documents/?uuid=3438fadd-85ce-4e82-8d5d-330141431508" ] }, { "id" : "ITEM-2", "itemData" : { "ISSN" : "0732-183X", "PMID" : "9508197", "abstract" : "PURPOSE: The current American Joint Commission on Cancer (AJCC) staging system distinguishes between soft tissue and visceral metastases in advanced (stage IV) melanoma. We sought to verify these staging criteria and to identify prognostic variables that could be used to evaluate the impact of systemic therapy on long-term survival during the prior decade.\n\nPATIENTS AND METHODS: We conducted a retrospective study of patients with advanced cutaneous melanoma enrolled in clinical trials between 1979 and 1989 at The University of Texas M.D. Anderson Cancer Center. Pretreatment age, sex, number of organs with metastases, serum levels of lactate dehydrogenase (LDH) and albumin, and period of enrollment were analyzed using a Cox proportional hazards model of survival.\n\nRESULTS: In univariate and multivariate analyses that involved 318 stage IV patients, normal serum levels of LDH and albumin, soft tissue and/or single visceral organ metastases (especially lung), female sex, and enrollment late in the decade were independent positive predictors for survival. In multivariate analyses, the current AJCC criteria did not significantly predict outcome. Systemic treatment response did not bias these results, and only 4% of patients had a complete response. Patients who lived more than 2 years (11%) had a mix of favorable prognostic characteristics and a high frequency of systemic or surgically induced complete response.\n\nCONCLUSION: This study supports the use of stratification parameters that reflect the favorable prognostic impact of soft tissue or single visceral organ metastases and normal serum levels of LDH and albumin at time of enrollment in advanced melanoma trials. Improved survival over the prior decade probably reflects advances in diagnostic and palliative interventions.", "author" : [ { "dropping-particle" : "", "family" : "Eton", "given" : "O", "non-dropping-particle" : "", "parse-names" : false, "suffix" : "" }, { "dropping-particle" : "", "family" : "Legha", "given" : "S S", "non-dropping-particle" : "", "parse-names" : false, "suffix" : "" }, { "dropping-particle" : "", "family" : "Moon", "given" : "T E", "non-dropping-particle" : "", "parse-names" : false, "suffix" : "" }, { "dropping-particle" : "", "family" : "Buzaid", "given" : "A C", "non-dropping-particle" : "", "parse-names" : false, "suffix" : "" }, { "dropping-particle" : "", "family" : "Papadopoulos", "given" : "N E", "non-dropping-particle" : "", "parse-names" : false, "suffix" : "" }, { "dropping-particle" : "", "family" : "Plager", "given" : "C", "non-dropping-particle" : "", "parse-names" : false, "suffix" : "" }, { "dropping-particle" : "", "family" : "Burgess", "given" : "A M", "non-dropping-particle" : "", "parse-names" : false, "suffix" : "" }, { "dropping-particle" : "", "family" : "Bedikian", "given" : "A Y", "non-dropping-particle" : "", "parse-names" : false, "suffix" : "" }, { "dropping-particle" : "", "family" : "Ring", "given" : "S", "non-dropping-particle" : "", "parse-names" : false, "suffix" : "" }, { "dropping-particle" : "", "family" : "Dong", "given" : "Q", "non-dropping-particle" : "", "parse-names" : false, "suffix" : "" }, { "dropping-particle" : "", "family" : "Glassman", "given" : "A B", "non-dropping-particle" : "", "parse-names" : false, "suffix" : "" }, { "dropping-particle" : "", "family" : "Balch", "given" : "C M", "non-dropping-particle" : "", "parse-names" : false, "suffix" : "" }, { "dropping-particle" : "", "family" : "Benjamin", "given" : "R S", "non-dropping-particle" : "", "parse-names" : false, "suffix" : "" } ], "container-title" : "Journal of clinical oncology : official journal of the American Society of Clinical Oncology", "id" : "ITEM-2", "issue" : "3", "issued" : { "date-parts" : [ [ "1998", "3" ] ] }, "page" : "1103-11", "title" : "Prognostic factors for survival of patients treated systemically for disseminated melanoma.", "type" : "article-journal", "volume" : "16" }, "uris" : [ "http://www.mendeley.com/documents/?uuid=e0355697-dfa7-4e68-b001-7e4557b24a68" ] }, { "id" : "ITEM-3", "itemData" : { "ISSN" : "0732-183X", "PMID" : "11078491", "abstract" : "PURPOSE: To identify factors that are prognostic for survival in patients with metastatic melanoma treated in eight Eastern Cooperative Oncology Group (ECOG) trials conducted over the past 25 years.\n\nMETHODS: We identified common, significant patient characteristics collected at baseline on 1,362 eligible patients for inclusion in a pooled analysis. Proportional hazards models were used to examine simultaneously the effects of multiple covariates on survival.\n\nRESULTS: Median survival was 6.4 months (95% confidence interval, 6.1 to 6.9 months.) Factors conferring the greatest increased risk of death included number of metastatic sites (relative risk [RR] = 1.12), ECOG performance status of 1 or more (RR = 1.49), or metastatic disease in the gastrointestinal (GI) tract (RR = 1.49), liver (RR = 1.44), pleura (RR = 1.35), or lung (RR = 1.19). Prior immunotherapy (RR = 0.84) and female sex (RR = 0. 87) were associated with prolonged survival. Although only 12% of patients responded to protocol treatment, landmark analysis showed this to be a significant prognostic factor (RR = 0.57). A model based on three recent studies in which baseline values for alkaline phosphatase, lactate dehydrogenase (LDH), and platelets were available identified an increased number of sites of metastasis (RR = 1.30), abnormal LDH (RR = 1.89), abnormal alkaline phosphatase (RR = 1.76), abnormal platelets (RR = 1.63), and GI metastases (RR = 1. 66) as prognostic for poorer survival. Response to treatment, when examined by landmark analysis of studies with laboratory parameters, was associated with decreased risk of death (RR = 0.47).\n\nCONCLUSION: This study demonstrates the importance and utility of laboratory parameters as prognostic factors for survival and confirmed the deleterious effects of multiple metastatic sites. Prior immunotherapy and female sex were associated with improved prognosis. Prognostic factors identified in this analysis are consistent with the findings of prior published studies and argue for the adoption of laboratory findings in the staging systems that are used for entry and stratification of clinical trials in the future.", "author" : [ { "dropping-particle" : "", "family" : "Manola", "given" : "J", "non-dropping-particle" : "", "parse-names" : false, "suffix" : "" }, { "dropping-particle" : "", "family" : "Atkins", "given" : "M", "non-dropping-particle" : "", "parse-names" : false, "suffix" : "" }, { "dropping-particle" : "", "family" : "Ibrahim", "given" : "J", "non-dropping-particle" : "", "parse-names" : false, "suffix" : "" }, { "dropping-particle" : "", "family" : "Kirkwood", "given" : "J", "non-dropping-particle" : "", "parse-names" : false, "suffix" : "" } ], "container-title" : "Journal of clinical oncology : official journal of the American Society of Clinical Oncology", "id" : "ITEM-3", "issue" : "22", "issued" : { "date-parts" : [ [ "2000", "11", "15" ] ] }, "page" : "3782-93", "title" : "Prognostic factors in metastatic melanoma: a pooled analysis of Eastern Cooperative Oncology Group trials.", "type" : "article-journal", "volume" : "18" }, "uris" : [ "http://www.mendeley.com/documents/?uuid=724238e3-a3ec-451e-9f62-e71db46401d2" ] }, { "id" : "ITEM-4", "itemData" : { "DOI" : "10.1038/bjc.2012.306", "ISSN" : "1532-1827", "PMID" : "22782342", "abstract" : "BACKGROUND: Established prognostic factors are of limited value to predict long-term survival and benefit from metastasectomy in advanced melanoma. This study aimed to identify prognostic factors in patients with distant metastasis.\n\nMETHODS: We analysed overall survival of 855 institutional melanoma patients with distant metastasis by bivariate Kaplan-Meier survival probabilities and multivariate Cox hazard regression analysis.\n\nRESULTS: Serum lactate dehydrogenases (LDH), S100B, the interval between initial diagnosis and occurrence of distant metastasis, the site of distant metastases, and the number of involved distant sites were significant independent prognostic factors in both bivariate and multivariate analyses. Visceral metastases other than lung (hazard ratio (HR) 1.8), elevated S100B (HR 1.7) and elevated LDH (HR 1.6) had the highest negative impact on survival. Complete metastasectomy was likewise an independent prognostic factor in multivariate analysis. This treatment was associated with favourable survival for patients with normal LDH and S100B values (5-year survival, 37.2%).\n\nCONCLUSION: The serum markers LDH and S100B were both found to be prognostic factors in melanoma patients with distant metastasis. Furthermore, complete metastasectomy had an independent favourable prognostic impact in particular for the patient subgroup with normal LDH and S100B values.", "author" : [ { "dropping-particle" : "", "family" : "Weide", "given" : "B", "non-dropping-particle" : "", "parse-names" : false, "suffix" : "" }, { "dropping-particle" : "", "family" : "Els\u00e4sser", "given" : "M", "non-dropping-particle" : "", "parse-names" : false, "suffix" : "" }, { "dropping-particle" : "", "family" : "B\u00fcttner", "given" : "P", "non-dropping-particle" : "", "parse-names" : false, "suffix" : "" }, { "dropping-particle" : "", "family" : "Pflugfelder", "given" : "A", "non-dropping-particle" : "", "parse-names" : false, "suffix" : "" }, { "dropping-particle" : "", "family" : "Leiter", "given" : "U", "non-dropping-particle" : "", "parse-names" : false, "suffix" : "" }, { "dropping-particle" : "", "family" : "Eigentler", "given" : "T K", "non-dropping-particle" : "", "parse-names" : false, "suffix" : "" }, { "dropping-particle" : "", "family" : "Bauer", "given" : "J", "non-dropping-particle" : "", "parse-names" : false, "suffix" : "" }, { "dropping-particle" : "", "family" : "Witte", "given" : "M", "non-dropping-particle" : "", "parse-names" : false, "suffix" : "" }, { "dropping-particle" : "", "family" : "Meier", "given" : "F", "non-dropping-particle" : "", "parse-names" : false, "suffix" : "" }, { "dropping-particle" : "", "family" : "Garbe", "given" : "C", "non-dropping-particle" : "", "parse-names" : false, "suffix" : "" } ], "container-title" : "British journal of cancer", "id" : "ITEM-4", "issue" : "3", "issued" : { "date-parts" : [ [ "2012", "7", "24" ] ] }, "page" : "422-8", "title" : "Serum markers lactate dehydrogenase and S100B predict independently disease outcome in melanoma patients with distant metastasis.", "type" : "article-journal", "volume" : "107" }, "uris" : [ "http://www.mendeley.com/documents/?uuid=07071c46-bb4b-4fb5-bc8f-f410820f2d38" ] } ], "mendeley" : { "formattedCitation" : "&lt;sup&gt;28\u201331&lt;/sup&gt;", "plainTextFormattedCitation" : "28\u201331", "previouslyFormattedCitation" : "&lt;sup&gt;28\u201331&lt;/sup&gt;" }, "properties" : { "noteIndex" : 0 }, "schema" : "https://github.com/citation-style-language/schema/raw/master/csl-citation.json" }</w:instrText>
      </w:r>
      <w:r w:rsidRPr="003E73CD">
        <w:rPr>
          <w:sz w:val="22"/>
          <w:szCs w:val="22"/>
        </w:rPr>
        <w:fldChar w:fldCharType="separate"/>
      </w:r>
      <w:r w:rsidRPr="003E73CD">
        <w:rPr>
          <w:noProof/>
          <w:sz w:val="22"/>
          <w:szCs w:val="22"/>
          <w:vertAlign w:val="superscript"/>
        </w:rPr>
        <w:t>28–31</w:t>
      </w:r>
      <w:r w:rsidRPr="003E73CD">
        <w:rPr>
          <w:sz w:val="22"/>
          <w:szCs w:val="22"/>
        </w:rPr>
        <w:fldChar w:fldCharType="end"/>
      </w:r>
    </w:p>
    <w:p w14:paraId="020DD67C" w14:textId="77777777" w:rsidR="0061482C" w:rsidRPr="003E73CD" w:rsidRDefault="0061482C" w:rsidP="0061482C">
      <w:pPr>
        <w:spacing w:line="480" w:lineRule="auto"/>
        <w:ind w:firstLine="720"/>
        <w:rPr>
          <w:sz w:val="22"/>
          <w:szCs w:val="22"/>
        </w:rPr>
      </w:pPr>
      <w:r w:rsidRPr="003E73CD">
        <w:rPr>
          <w:sz w:val="22"/>
          <w:szCs w:val="22"/>
        </w:rPr>
        <w:t xml:space="preserve">A number of different imaging modalities have been used to detect melanoma metastases or as an adjunct in more invasive methods of staging.  These include plain x-ray, ultrasound, lymphangiography, lymphoscintigraphy, computed tomography (CT), single-photon emission computed tomography (SPECT) CT, magnetic resonance imaging (MRI), </w:t>
      </w:r>
      <w:proofErr w:type="gramStart"/>
      <w:r w:rsidRPr="003E73CD">
        <w:rPr>
          <w:sz w:val="22"/>
          <w:szCs w:val="22"/>
        </w:rPr>
        <w:t>positron emission tomography (PET) with or without CT and isotope bone scans</w:t>
      </w:r>
      <w:proofErr w:type="gramEnd"/>
      <w:r w:rsidRPr="003E73CD">
        <w:rPr>
          <w:sz w:val="22"/>
          <w:szCs w:val="22"/>
        </w:rPr>
        <w:t>.  The need for and choice of investigation are guided by symptoms and signs exhibited by the patient and routine imaging is not currently recommended for patients without evidence of metastatic disease (AJCC stage &lt;III).</w:t>
      </w:r>
      <w:r w:rsidRPr="003E73CD">
        <w:rPr>
          <w:sz w:val="22"/>
          <w:szCs w:val="22"/>
        </w:rPr>
        <w:fldChar w:fldCharType="begin" w:fldLock="1"/>
      </w:r>
      <w:r w:rsidRPr="003E73CD">
        <w:rPr>
          <w:sz w:val="22"/>
          <w:szCs w:val="22"/>
        </w:rPr>
        <w:instrText>ADDIN CSL_CITATION { "citationItems" : [ { "id" : "ITEM-1", "itemData" : { "DOI" : "10.1016/j.bjps.2010.07.006", "ISSN" : "1878-0539", "PMID" : "20728418", "abstract" : "These guidelines for the management of cutaneous melanoma present an evidence-based guidance for treatment, with identification of the strength of evidence available at the time of preparation of the guidelines, and a brief overview of epidemiology, diagnosis, investigation, and follow-up.", "author" : [ { "dropping-particle" : "", "family" : "Marsden", "given" : "J R", "non-dropping-particle" : "", "parse-names" : false, "suffix" : "" }, { "dropping-particle" : "", "family" : "Newton-Bishop", "given" : "J A", "non-dropping-particle" : "", "parse-names" : false, "suffix" : "" }, { "dropping-particle" : "", "family" : "Burrows", "given" : "L", "non-dropping-particle" : "", "parse-names" : false, "suffix" : "" }, { "dropping-particle" : "", "family" : "Cook", "given" : "M", "non-dropping-particle" : "", "parse-names" : false, "suffix" : "" }, { "dropping-particle" : "", "family" : "Corrie", "given" : "P G", "non-dropping-particle" : "", "parse-names" : false, "suffix" : "" }, { "dropping-particle" : "", "family" : "Cox", "given" : "N H", "non-dropping-particle" : "", "parse-names" : false, "suffix" : "" }, { "dropping-particle" : "", "family" : "Gore", "given" : "M E", "non-dropping-particle" : "", "parse-names" : false, "suffix" : "" }, { "dropping-particle" : "", "family" : "Lorigan", "given" : "P", "non-dropping-particle" : "", "parse-names" : false, "suffix" : "" }, { "dropping-particle" : "", "family" : "Mackie", "given" : "R", "non-dropping-particle" : "", "parse-names" : false, "suffix" : "" }, { "dropping-particle" : "", "family" : "Nathan", "given" : "P", "non-dropping-particle" : "", "parse-names" : false, "suffix" : "" }, { "dropping-particle" : "", "family" : "Peach", "given" : "H", "non-dropping-particle" : "", "parse-names" : false, "suffix" : "" }, { "dropping-particle" : "", "family" : "Powell", "given" : "B", "non-dropping-particle" : "", "parse-names" : false, "suffix" : "" }, { "dropping-particle" : "", "family" : "Walker", "given" : "C", "non-dropping-particle" : "", "parse-names" : false, "suffix" : "" } ], "container-title" : "Journal of plastic, reconstructive &amp; aesthetic surgery : JPRAS", "id" : "ITEM-1", "issue" : "9", "issued" : { "date-parts" : [ [ "2010", "9" ] ] }, "page" : "1401-19", "title" : "Revised UK guidelines for the management of cutaneous melanoma 2010.", "type" : "article-journal", "volume" : "63" }, "uris" : [ "http://www.mendeley.com/documents/?uuid=036583d7-b905-488e-93ab-def5d5ae595d" ] } ], "mendeley" : { "formattedCitation" : "&lt;sup&gt;15&lt;/sup&gt;", "plainTextFormattedCitation" : "15", "previouslyFormattedCitation" : "&lt;sup&gt;15&lt;/sup&gt;" }, "properties" : { "noteIndex" : 0 }, "schema" : "https://github.com/citation-style-language/schema/raw/master/csl-citation.json" }</w:instrText>
      </w:r>
      <w:r w:rsidRPr="003E73CD">
        <w:rPr>
          <w:sz w:val="22"/>
          <w:szCs w:val="22"/>
        </w:rPr>
        <w:fldChar w:fldCharType="separate"/>
      </w:r>
      <w:r w:rsidRPr="003E73CD">
        <w:rPr>
          <w:noProof/>
          <w:sz w:val="22"/>
          <w:szCs w:val="22"/>
          <w:vertAlign w:val="superscript"/>
        </w:rPr>
        <w:t>15</w:t>
      </w:r>
      <w:r w:rsidRPr="003E73CD">
        <w:rPr>
          <w:sz w:val="22"/>
          <w:szCs w:val="22"/>
        </w:rPr>
        <w:fldChar w:fldCharType="end"/>
      </w:r>
      <w:r w:rsidRPr="003E73CD">
        <w:rPr>
          <w:sz w:val="22"/>
          <w:szCs w:val="22"/>
        </w:rPr>
        <w:t xml:space="preserve">   Invasive investigations that have been used for staging include fine needle aspiration (FNA), core biopsy, incisional biopsy, excisional biopsy, </w:t>
      </w:r>
      <w:proofErr w:type="gramStart"/>
      <w:r w:rsidRPr="003E73CD">
        <w:rPr>
          <w:sz w:val="22"/>
          <w:szCs w:val="22"/>
        </w:rPr>
        <w:t>elective</w:t>
      </w:r>
      <w:proofErr w:type="gramEnd"/>
      <w:r w:rsidRPr="003E73CD">
        <w:rPr>
          <w:sz w:val="22"/>
          <w:szCs w:val="22"/>
        </w:rPr>
        <w:t xml:space="preserve"> lymphadenectomy and sentinel node biopsy.</w:t>
      </w:r>
    </w:p>
    <w:p w14:paraId="7927DD5F" w14:textId="77777777" w:rsidR="00F104CE" w:rsidRPr="003E73CD" w:rsidRDefault="00F104CE" w:rsidP="00F104CE">
      <w:pPr>
        <w:spacing w:line="480" w:lineRule="auto"/>
        <w:rPr>
          <w:sz w:val="22"/>
          <w:szCs w:val="22"/>
        </w:rPr>
      </w:pPr>
    </w:p>
    <w:p w14:paraId="09647A8E" w14:textId="6EBE4292" w:rsidR="00F104CE" w:rsidRPr="003E73CD" w:rsidRDefault="00F104CE" w:rsidP="00F104CE">
      <w:pPr>
        <w:spacing w:line="480" w:lineRule="auto"/>
        <w:rPr>
          <w:u w:val="single"/>
        </w:rPr>
      </w:pPr>
      <w:r w:rsidRPr="003E73CD">
        <w:rPr>
          <w:u w:val="single"/>
        </w:rPr>
        <w:t>Treatment</w:t>
      </w:r>
    </w:p>
    <w:p w14:paraId="67EA0120" w14:textId="77777777" w:rsidR="0061482C" w:rsidRPr="003E73CD" w:rsidRDefault="0061482C" w:rsidP="0061482C">
      <w:pPr>
        <w:spacing w:line="480" w:lineRule="auto"/>
        <w:ind w:firstLine="720"/>
        <w:rPr>
          <w:sz w:val="22"/>
          <w:szCs w:val="22"/>
        </w:rPr>
      </w:pPr>
      <w:r w:rsidRPr="003E73CD">
        <w:rPr>
          <w:sz w:val="22"/>
          <w:szCs w:val="22"/>
        </w:rPr>
        <w:t>The treatment strategy for melanoma is also based on the AJCC staging system, which incorporates available prognostic information and stratifies patients into prognostic groups.  However, in essence there are four main areas that can be addressed, as follows:</w:t>
      </w:r>
    </w:p>
    <w:p w14:paraId="173A1DAB" w14:textId="77777777" w:rsidR="0061482C" w:rsidRPr="003E73CD" w:rsidRDefault="0061482C" w:rsidP="0061482C">
      <w:pPr>
        <w:numPr>
          <w:ilvl w:val="0"/>
          <w:numId w:val="1"/>
        </w:numPr>
        <w:spacing w:line="480" w:lineRule="auto"/>
        <w:rPr>
          <w:sz w:val="22"/>
          <w:szCs w:val="22"/>
        </w:rPr>
      </w:pPr>
      <w:r w:rsidRPr="003E73CD">
        <w:rPr>
          <w:sz w:val="22"/>
          <w:szCs w:val="22"/>
        </w:rPr>
        <w:t>Management of the primary melanoma site.</w:t>
      </w:r>
    </w:p>
    <w:p w14:paraId="2B90E8F6" w14:textId="643E5A41" w:rsidR="0061482C" w:rsidRPr="003E73CD" w:rsidRDefault="0061482C" w:rsidP="0061482C">
      <w:pPr>
        <w:numPr>
          <w:ilvl w:val="0"/>
          <w:numId w:val="1"/>
        </w:numPr>
        <w:spacing w:line="480" w:lineRule="auto"/>
        <w:rPr>
          <w:sz w:val="22"/>
          <w:szCs w:val="22"/>
        </w:rPr>
      </w:pPr>
      <w:r w:rsidRPr="003E73CD">
        <w:rPr>
          <w:sz w:val="22"/>
          <w:szCs w:val="22"/>
        </w:rPr>
        <w:t>Management of local recurrence and in</w:t>
      </w:r>
      <w:r w:rsidR="00F44DFA">
        <w:rPr>
          <w:sz w:val="22"/>
          <w:szCs w:val="22"/>
        </w:rPr>
        <w:t>-</w:t>
      </w:r>
      <w:r w:rsidRPr="003E73CD">
        <w:rPr>
          <w:sz w:val="22"/>
          <w:szCs w:val="22"/>
        </w:rPr>
        <w:t>transit disease.</w:t>
      </w:r>
    </w:p>
    <w:p w14:paraId="7145F5EA" w14:textId="77777777" w:rsidR="0061482C" w:rsidRPr="003E73CD" w:rsidRDefault="0061482C" w:rsidP="0061482C">
      <w:pPr>
        <w:numPr>
          <w:ilvl w:val="0"/>
          <w:numId w:val="1"/>
        </w:numPr>
        <w:spacing w:line="480" w:lineRule="auto"/>
        <w:rPr>
          <w:sz w:val="22"/>
          <w:szCs w:val="22"/>
        </w:rPr>
      </w:pPr>
      <w:r w:rsidRPr="003E73CD">
        <w:rPr>
          <w:sz w:val="22"/>
          <w:szCs w:val="22"/>
        </w:rPr>
        <w:t>Management of regional nodal basins.</w:t>
      </w:r>
    </w:p>
    <w:p w14:paraId="23F7F5F7" w14:textId="77777777" w:rsidR="0061482C" w:rsidRPr="003E73CD" w:rsidRDefault="0061482C" w:rsidP="0061482C">
      <w:pPr>
        <w:numPr>
          <w:ilvl w:val="0"/>
          <w:numId w:val="1"/>
        </w:numPr>
        <w:spacing w:line="480" w:lineRule="auto"/>
        <w:rPr>
          <w:sz w:val="22"/>
          <w:szCs w:val="22"/>
        </w:rPr>
      </w:pPr>
      <w:r w:rsidRPr="003E73CD">
        <w:rPr>
          <w:sz w:val="22"/>
          <w:szCs w:val="22"/>
        </w:rPr>
        <w:t>Management of distant metastatic disease.</w:t>
      </w:r>
    </w:p>
    <w:p w14:paraId="34159DA3" w14:textId="35ED1B55" w:rsidR="00071CA2" w:rsidRPr="00E8519D" w:rsidRDefault="0061482C" w:rsidP="00E8519D">
      <w:pPr>
        <w:spacing w:line="480" w:lineRule="auto"/>
        <w:rPr>
          <w:sz w:val="22"/>
          <w:szCs w:val="22"/>
        </w:rPr>
      </w:pPr>
      <w:r w:rsidRPr="003E73CD">
        <w:rPr>
          <w:sz w:val="22"/>
          <w:szCs w:val="22"/>
        </w:rPr>
        <w:t xml:space="preserve">The strategies employed to manage each of these areas have evolved and continue to evolve over time. They are influenced by the presence or absence of either </w:t>
      </w:r>
      <w:proofErr w:type="gramStart"/>
      <w:r w:rsidRPr="003E73CD">
        <w:rPr>
          <w:sz w:val="22"/>
          <w:szCs w:val="22"/>
        </w:rPr>
        <w:t>clini</w:t>
      </w:r>
      <w:r w:rsidR="00E8519D">
        <w:rPr>
          <w:sz w:val="22"/>
          <w:szCs w:val="22"/>
        </w:rPr>
        <w:t>cal</w:t>
      </w:r>
      <w:r w:rsidR="00F44DFA">
        <w:rPr>
          <w:sz w:val="22"/>
          <w:szCs w:val="22"/>
        </w:rPr>
        <w:t>ly-</w:t>
      </w:r>
      <w:r w:rsidRPr="003E73CD">
        <w:rPr>
          <w:sz w:val="22"/>
          <w:szCs w:val="22"/>
        </w:rPr>
        <w:t>detectable</w:t>
      </w:r>
      <w:proofErr w:type="gramEnd"/>
      <w:r w:rsidRPr="003E73CD">
        <w:rPr>
          <w:sz w:val="22"/>
          <w:szCs w:val="22"/>
        </w:rPr>
        <w:t xml:space="preserve"> or microscopically-detectable (occult) metastases.</w:t>
      </w:r>
      <w:r w:rsidR="00071CA2" w:rsidRPr="003E73CD">
        <w:rPr>
          <w:b/>
          <w:sz w:val="22"/>
          <w:szCs w:val="22"/>
        </w:rPr>
        <w:br w:type="page"/>
      </w:r>
    </w:p>
    <w:p w14:paraId="63EC7E24" w14:textId="6F448E57" w:rsidR="0061482C" w:rsidRPr="003E73CD" w:rsidRDefault="0061482C" w:rsidP="0061482C">
      <w:pPr>
        <w:spacing w:line="480" w:lineRule="auto"/>
        <w:rPr>
          <w:b/>
          <w:sz w:val="22"/>
          <w:szCs w:val="22"/>
        </w:rPr>
      </w:pPr>
      <w:r w:rsidRPr="003E73CD">
        <w:rPr>
          <w:b/>
          <w:sz w:val="22"/>
          <w:szCs w:val="22"/>
        </w:rPr>
        <w:t>i) Management of the primary melanoma site.</w:t>
      </w:r>
    </w:p>
    <w:p w14:paraId="02B01CE6" w14:textId="0766F7A9" w:rsidR="0061482C" w:rsidRPr="003E73CD" w:rsidRDefault="0061482C" w:rsidP="0061482C">
      <w:pPr>
        <w:spacing w:line="480" w:lineRule="auto"/>
        <w:ind w:firstLine="720"/>
        <w:rPr>
          <w:sz w:val="22"/>
          <w:szCs w:val="22"/>
        </w:rPr>
      </w:pPr>
      <w:r w:rsidRPr="003E73CD">
        <w:rPr>
          <w:sz w:val="22"/>
          <w:szCs w:val="22"/>
        </w:rPr>
        <w:t>Once a diagnosis of primary melanoma has been confirmed by narrow margin excisional biopsy or, in some cases an incisional biopsy, treatment of the primary melanoma site aims to excise any residual primary tumour and to excise a wider margin of normal skin and subcutaneous fat to reduce the risk of local recurrence due to small groups of tumour cells that have moved away from the primary tumour site (microsatellites).  The exact amount of normal-appearing skin and subcutaneous fat that should be excised has been and remains the subject of investigation and debate.  In 1907, William Handley, delivered 2 Hunterian lectures that were published in The Lancet, and based largely on an autopsy of a patient with disseminated melanoma.</w:t>
      </w:r>
      <w:r w:rsidRPr="003E73CD">
        <w:rPr>
          <w:sz w:val="22"/>
          <w:szCs w:val="22"/>
        </w:rPr>
        <w:fldChar w:fldCharType="begin" w:fldLock="1"/>
      </w:r>
      <w:r w:rsidRPr="003E73CD">
        <w:rPr>
          <w:sz w:val="22"/>
          <w:szCs w:val="22"/>
        </w:rPr>
        <w:instrText>ADDIN CSL_CITATION { "citationItems" : [ { "id" : "ITEM-1", "itemData" : { "DOI" : "10.1016/S0140-6736(01)54569-9", "ISSN" : "01406736", "author" : [ { "dropping-particle" : "", "family" : "Handley", "given" : "William", "non-dropping-particle" : "", "parse-names" : false, "suffix" : "" } ], "container-title" : "The Lancet", "id" : "ITEM-1", "issue" : "4362", "issued" : { "date-parts" : [ [ "1907", "4" ] ] }, "page" : "927-933", "title" : "The Hunterian Lectures on the pathology of melanotic growths in relation to their operative treatment.", "type" : "article-journal", "volume" : "169" }, "uris" : [ "http://www.mendeley.com/documents/?uuid=eb0ef862-626e-45f7-ad4b-e4299097b6dd" ] }, { "id" : "ITEM-2", "itemData" : { "DOI" : "10.1016/S0140-6736(01)54641-3", "ISSN" : "01406736", "author" : [ { "dropping-particle" : "", "family" : "Handley", "given" : "William", "non-dropping-particle" : "", "parse-names" : false, "suffix" : "" } ], "container-title" : "The Lancet", "id" : "ITEM-2", "issue" : "4363", "issued" : { "date-parts" : [ [ "1907", "4" ] ] }, "page" : "996-1003", "title" : "The Hunterian Lectures on the pathology of melanotic growths in relation to their operative treatment.", "type" : "article-journal", "volume" : "169" }, "uris" : [ "http://www.mendeley.com/documents/?uuid=766878f5-e6d6-4db3-8f10-32f170060709" ] } ], "mendeley" : { "formattedCitation" : "&lt;sup&gt;32,33&lt;/sup&gt;", "plainTextFormattedCitation" : "32,33", "previouslyFormattedCitation" : "&lt;sup&gt;32,33&lt;/sup&gt;" }, "properties" : { "noteIndex" : 0 }, "schema" : "https://github.com/citation-style-language/schema/raw/master/csl-citation.json" }</w:instrText>
      </w:r>
      <w:r w:rsidRPr="003E73CD">
        <w:rPr>
          <w:sz w:val="22"/>
          <w:szCs w:val="22"/>
        </w:rPr>
        <w:fldChar w:fldCharType="separate"/>
      </w:r>
      <w:r w:rsidRPr="003E73CD">
        <w:rPr>
          <w:noProof/>
          <w:sz w:val="22"/>
          <w:szCs w:val="22"/>
          <w:vertAlign w:val="superscript"/>
        </w:rPr>
        <w:t>32,33</w:t>
      </w:r>
      <w:r w:rsidRPr="003E73CD">
        <w:rPr>
          <w:sz w:val="22"/>
          <w:szCs w:val="22"/>
        </w:rPr>
        <w:fldChar w:fldCharType="end"/>
      </w:r>
      <w:proofErr w:type="gramStart"/>
      <w:r w:rsidRPr="003E73CD">
        <w:rPr>
          <w:sz w:val="22"/>
          <w:szCs w:val="22"/>
        </w:rPr>
        <w:t xml:space="preserve">  He</w:t>
      </w:r>
      <w:proofErr w:type="gramEnd"/>
      <w:r w:rsidRPr="003E73CD">
        <w:rPr>
          <w:sz w:val="22"/>
          <w:szCs w:val="22"/>
        </w:rPr>
        <w:t xml:space="preserve"> recognised the mode of spread of melanoma via lymphatics and advised that a “</w:t>
      </w:r>
      <w:r w:rsidRPr="003E73CD">
        <w:rPr>
          <w:i/>
          <w:sz w:val="22"/>
          <w:szCs w:val="22"/>
        </w:rPr>
        <w:t>circular incision should be made through the skin around the tumour at what is judged by present standards to be a safe and practicable distance.  The incision, situated as a rule about an inch from the tumour, should be just deep enough to expose the subcutaneous fat.  The skin with a thin attached layer of subcutaneous fat is now separated from the deeper structures for about two inches in all directions around the skin incision.  At the extreme base of the elevated skin flaps, a ring incision down to the muscles surrounds and isolates the area of deep fascia and overlying deeper subcutaneous fat to be removed.  This fascial area is next to be dissected up centripetally from the muscles beneath up to a line, which corresponds with that of the circular skin incision.  Finally, the whole mass with the growth at its centre is removed by scooping out with the knife a circular area of the muscle immediately subjacent to the growth</w:t>
      </w:r>
      <w:r w:rsidRPr="003E73CD">
        <w:rPr>
          <w:sz w:val="22"/>
          <w:szCs w:val="22"/>
        </w:rPr>
        <w:t>.”  This work is likely to have formed the basis for the common practice of taking wide excisions with 4-5cm margins of skin and subcutaneous fat that was in existence well into the 1970s.  By the late 1970s there was recognition of the need to try to adopt a surgical approach that would result in less morbidity and disfigurement.  The prognostic importance of primary tumour thickness became recognised and this allowed a number of retrospective studies to be carried out documenting local recurrence in patients who had undergone narrower margin excision for tumours of varying Breslow thickness.</w:t>
      </w:r>
      <w:r w:rsidRPr="003E73CD">
        <w:rPr>
          <w:sz w:val="22"/>
          <w:szCs w:val="22"/>
        </w:rPr>
        <w:fldChar w:fldCharType="begin" w:fldLock="1"/>
      </w:r>
      <w:r w:rsidRPr="003E73CD">
        <w:rPr>
          <w:sz w:val="22"/>
          <w:szCs w:val="22"/>
        </w:rPr>
        <w:instrText>ADDIN CSL_CITATION { "citationItems" : [ { "id" : "ITEM-1", "itemData" : { "ISSN" : "0008-543X", "PMID" : "427730", "author" : [ { "dropping-particle" : "", "family" : "Balch", "given" : "C M", "non-dropping-particle" : "", "parse-names" : false, "suffix" : "" }, { "dropping-particle" : "", "family" : "Murad", "given" : "T M", "non-dropping-particle" : "", "parse-names" : false, "suffix" : "" }, { "dropping-particle" : "", "family" : "Soong", "given" : "S J", "non-dropping-particle" : "", "parse-names" : false, "suffix" : "" }, { "dropping-particle" : "", "family" : "Ingalls", "given" : "A L", "non-dropping-particle" : "", "parse-names" : false, "suffix" : "" }, { "dropping-particle" : "", "family" : "Richards", "given" : "P C", "non-dropping-particle" : "", "parse-names" : false, "suffix" : "" }, { "dropping-particle" : "", "family" : "Maddox", "given" : "W A", "non-dropping-particle" : "", "parse-names" : false, "suffix" : "" } ], "container-title" : "Cancer", "id" : "ITEM-1", "issue" : "3", "issued" : { "date-parts" : [ [ "1979", "3" ] ] }, "page" : "883-8", "title" : "Tumor thickness as a guide to surgical management of clinical stage I melanoma patients.", "type" : "article-journal", "volume" : "43" }, "uris" : [ "http://www.mendeley.com/documents/?uuid=6fa94311-989a-43f3-a32a-6974933ed48c" ] }, { "id" : "ITEM-2", "itemData" : { "ISSN" : "0039-6087", "PMID" : "910211", "abstract" : "The width of the resection margin for 62 melanomas less than 0.76 millimeter thick ranged from 0.10 to 5.50 centimeters, with 32 per cent being 1.0 centimeter or less. None of these patients has a local recurrence or metastases develop. It appears that these thin tumors should be treated conservatively, the size of the resection margin being dependent upon the anatomic location of the tumor. In most instances, skin grafting should not be necessary.", "author" : [ { "dropping-particle" : "", "family" : "Breslow", "given" : "A", "non-dropping-particle" : "", "parse-names" : false, "suffix" : "" }, { "dropping-particle" : "", "family" : "Macht", "given" : "S D", "non-dropping-particle" : "", "parse-names" : false, "suffix" : "" } ], "container-title" : "Surgery, gynecology &amp; obstetrics", "id" : "ITEM-2", "issue" : "5", "issued" : { "date-parts" : [ [ "1977", "11" ] ] }, "page" : "691-2", "title" : "Optimal size of resection margin for thin cutaneous melanoma.", "type" : "article-journal", "volume" : "145" }, "uris" : [ "http://www.mendeley.com/documents/?uuid=e05bfe95-4e8e-4ba2-93db-d607817ca933" ] }, { "id" : "ITEM-3", "itemData" : { "ISSN" : "0008-543X", "PMID" : "6692315", "abstract" : "Between 1976 and 1980, 136 patients were evaluated for primary treatment of cutaneous melanoma. Forty-nine lesions were invasive to Clark's Level II (38 patients) or III (11 patients) with a thickness of 0.3 to 1.2 mm. Conservative re-excision was advised as definitive therapy for these patients. The margin of resection was defined as the maximum excision that would allow primary closure of the wound. Pathology reports of the re-excised specimens revealed the narrowest margins to be 0.7 to 4 cm. Unexpected residual tumor was present in 2 specimens and melanocytic hyperplasia in 12 specimens. After a follow-up period of 2.5 to 7.0 years, there have been no local recurrences. One patient developed regional lymph node metastases 16 months and, then central nervous system (CNS) metastases 25 months after primary treatment. A second patient died with pulmonary metastases 4.5 years after initial therapy. Melanomas that are not deeply invasive do not require wide excision and skin grafting for local control. Occasionally these thin lesions do produce systemic metastases, emphasizing the need for long-term follow-up of even \"low-risk\" patients.", "author" : [ { "dropping-particle" : "", "family" : "Cosimi", "given" : "A B", "non-dropping-particle" : "", "parse-names" : false, "suffix" : "" }, { "dropping-particle" : "", "family" : "Sober", "given" : "A J", "non-dropping-particle" : "", "parse-names" : false, "suffix" : "" }, { "dropping-particle" : "", "family" : "Mihm", "given" : "M C", "non-dropping-particle" : "", "parse-names" : false, "suffix" : "" }, { "dropping-particle" : "", "family" : "Fitzpatrick", "given" : "T B", "non-dropping-particle" : "", "parse-names" : false, "suffix" : "" } ], "container-title" : "Cancer", "id" : "ITEM-3", "issue" : "6", "issued" : { "date-parts" : [ [ "1984", "3", "15" ] ] }, "page" : "1256-9", "title" : "Conservative surgical management of superficially invasive cutaneous melanoma.", "type" : "article-journal", "volume" : "53" }, "uris" : [ "http://www.mendeley.com/documents/?uuid=050015ad-ccc3-4132-ba5c-992c72b87fa9" ] }, { "id" : "ITEM-4", "itemData" : { "DOI" : "10.1056/NEJM198202253060810", "ISSN" : "0028-4793", "PMID" : "7057847", "author" : [ { "dropping-particle" : "", "family" : "Day", "given" : "C L", "non-dropping-particle" : "", "parse-names" : false, "suffix" : "" }, { "dropping-particle" : "", "family" : "Mihm", "given" : "M C", "non-dropping-particle" : "", "parse-names" : false, "suffix" : "" }, { "dropping-particle" : "", "family" : "Sober", "given" : "A J", "non-dropping-particle" : "", "parse-names" : false, "suffix" : "" }, { "dropping-particle" : "", "family" : "Fitzpatrick", "given" : "T B", "non-dropping-particle" : "", "parse-names" : false, "suffix" : "" }, { "dropping-particle" : "", "family" : "Malt", "given" : "R A", "non-dropping-particle" : "", "parse-names" : false, "suffix" : "" } ], "container-title" : "The New England journal of medicine", "id" : "ITEM-4", "issue" : "8", "issued" : { "date-parts" : [ [ "1982", "2", "25" ] ] }, "page" : "479-82", "title" : "Narrower margins for clinical stage I malignant melanoma.", "type" : "article-journal", "volume" : "306" }, "uris" : [ "http://www.mendeley.com/documents/?uuid=910a1fd1-4e2e-4181-adef-08a277563f5c" ] }, { "id" : "ITEM-5", "itemData" : { "ISSN" : "0032-1052", "PMID" : "6849024", "abstract" : "Cutaneous malignant melanoma has traditionally been treated by \"wide\" local excision with a 5-cm margin of normal skin about the tumor. The rationale of wide excision for melanoma has never been clearly defined, but the procedure is known to be effective in preventing local recurrence. We studied 105 patients who had 109 primary melanomas in 1977 and related margin width of the definitive excision to the presence of satellites, to the subsequent development of local recurrence and in-transit metastases, and to survival. Survival was not dependent on margin width, and there were no incidences of local recurrence. Satellitosis and in-transit cutaneous metastasis indicate that a melanoma is capable of local recurrence; these phenomena occurred only in tumors whose thickness (Breslow) was greater than 2.0 mm. These data provide a rationale for wide excision of \"thick\" melanomas and support more modest local therapy for thin cutaneous melanoma.", "author" : [ { "dropping-particle" : "", "family" : "Elder", "given" : "D E", "non-dropping-particle" : "", "parse-names" : false, "suffix" : "" }, { "dropping-particle" : "", "family" : "Guerry", "given" : "D", "non-dropping-particle" : "", "parse-names" : false, "suffix" : "" }, { "dropping-particle" : "", "family" : "Heiberger", "given" : "R M", "non-dropping-particle" : "", "parse-names" : false, "suffix" : "" }, { "dropping-particle" : "", "family" : "LaRossa", "given" : "D", "non-dropping-particle" : "", "parse-names" : false, "suffix" : "" }, { "dropping-particle" : "", "family" : "Goldman", "given" : "L I", "non-dropping-particle" : "", "parse-names" : false, "suffix" : "" }, { "dropping-particle" : "", "family" : "Clark", "given" : "W H", "non-dropping-particle" : "", "parse-names" : false, "suffix" : "" }, { "dropping-particle" : "", "family" : "Thompson", "given" : "C J", "non-dropping-particle" : "", "parse-names" : false, "suffix" : "" }, { "dropping-particle" : "", "family" : "Matozzo", "given" : "I", "non-dropping-particle" : "", "parse-names" : false, "suffix" : "" }, { "dropping-particle" : "", "family" : "Horn", "given" : "M", "non-dropping-particle" : "Van", "parse-names" : false, "suffix" : "" } ], "container-title" : "Plastic and reconstructive surgery", "id" : "ITEM-5", "issue" : "1", "issued" : { "date-parts" : [ [ "1983", "1" ] ] }, "page" : "66-72", "title" : "Optimal resection margin for cutaneous malignant melanoma.", "type" : "article-journal", "volume" : "71" }, "uris" : [ "http://www.mendeley.com/documents/?uuid=cbf956ab-191d-4d73-bd4e-fa55a57efcdd" ] }, { "id" : "ITEM-6", "itemData" : { "ISSN" : "0002-9610", "PMID" : "3341549", "abstract" : "Surgeons hesitate to accept lesser cancer operations for several reasons. Paramount, however, is the fear that they might jeopardize cure rates by inadvertently leaving residual tumor behind. In cutaneous melanoma, for example, wide excision of the primary tumor site, usually in combination with skin grafting, has been the standard for years. Recently, as the biologic characteristics of this neoplastic system have become better understood, a subset of patients has been identified who can be cured readily by surgical excision alone. It is in this low-risk group of patients that lesser margins of excisions have been advocated. To date, a majority of surgeons have not accepted this thesis. In an effort to study this further, one of us prospectively treated 45 patients with thin, low-risk melanomas by conservative excision of their primary tumor sites. The margins invariably were 2 cm or less, and two thirds of the patients were operated on as out-patients utilizing local anesthesia. After a mean follow-up period of 36 months, no recurrences of melanoma developed. Acceptance of this treatment appears appropriate in this subset of patients.", "author" : [ { "dropping-particle" : "", "family" : "Goldman", "given" : "L I", "non-dropping-particle" : "", "parse-names" : false, "suffix" : "" }, { "dropping-particle" : "", "family" : "Byrd", "given" : "R", "non-dropping-particle" : "", "parse-names" : false, "suffix" : "" } ], "container-title" : "American journal of surgery", "id" : "ITEM-6", "issue" : "2", "issued" : { "date-parts" : [ [ "1988", "2" ] ] }, "page" : "242-4", "title" : "Narrowing resection margins for patients with low-risk melanoma.", "type" : "article-journal", "volume" : "155" }, "uris" : [ "http://www.mendeley.com/documents/?uuid=17d4cc6f-cba1-4870-8b78-2a7533be10e2" ] }, { "id" : "ITEM-7", "itemData" : { "ISSN" : "0014-2964", "PMID" : "7439222", "container-title" : "European journal of cancer", "id" : "ITEM-7", "issue" : "8", "issued" : { "date-parts" : [ [ "1980", "8" ] ] }, "page" : "1079-85", "title" : "Stage I melanoma of the skin: the problem of resection margins. W.H.O. Collaborating Centres for Evaluation of Methods of Diagnosis and Treatment of Melanoma.", "type" : "article-journal", "volume" : "16" }, "uris" : [ "http://www.mendeley.com/documents/?uuid=38c0ab56-f2cc-4850-adbf-7ba8aa597c83" ] } ], "mendeley" : { "formattedCitation" : "&lt;sup&gt;34\u201340&lt;/sup&gt;", "plainTextFormattedCitation" : "34\u201340", "previouslyFormattedCitation" : "&lt;sup&gt;34\u201340&lt;/sup&gt;" }, "properties" : { "noteIndex" : 0 }, "schema" : "https://github.com/citation-style-language/schema/raw/master/csl-citation.json" }</w:instrText>
      </w:r>
      <w:r w:rsidRPr="003E73CD">
        <w:rPr>
          <w:sz w:val="22"/>
          <w:szCs w:val="22"/>
        </w:rPr>
        <w:fldChar w:fldCharType="separate"/>
      </w:r>
      <w:r w:rsidRPr="003E73CD">
        <w:rPr>
          <w:noProof/>
          <w:sz w:val="22"/>
          <w:szCs w:val="22"/>
          <w:vertAlign w:val="superscript"/>
        </w:rPr>
        <w:t>34–40</w:t>
      </w:r>
      <w:r w:rsidRPr="003E73CD">
        <w:rPr>
          <w:sz w:val="22"/>
          <w:szCs w:val="22"/>
        </w:rPr>
        <w:fldChar w:fldCharType="end"/>
      </w:r>
      <w:proofErr w:type="gramStart"/>
      <w:r w:rsidRPr="003E73CD">
        <w:rPr>
          <w:sz w:val="22"/>
          <w:szCs w:val="22"/>
        </w:rPr>
        <w:t xml:space="preserve">  These</w:t>
      </w:r>
      <w:proofErr w:type="gramEnd"/>
      <w:r w:rsidRPr="003E73CD">
        <w:rPr>
          <w:sz w:val="22"/>
          <w:szCs w:val="22"/>
        </w:rPr>
        <w:t xml:space="preserve"> studies suggested that margins narrower than 4-5cm could be taken without increasing the risk of local recurrence.  However, they also demonstrated an increased rate of local recurrence when very narrow (&lt;0.5cm) margins were taken.  Prospective randomised studies were therefore required and to date there have been six published trials.</w:t>
      </w:r>
      <w:r w:rsidRPr="003E73CD">
        <w:rPr>
          <w:sz w:val="22"/>
          <w:szCs w:val="22"/>
        </w:rPr>
        <w:fldChar w:fldCharType="begin" w:fldLock="1"/>
      </w:r>
      <w:r w:rsidRPr="003E73CD">
        <w:rPr>
          <w:sz w:val="22"/>
          <w:szCs w:val="22"/>
        </w:rPr>
        <w:instrText>ADDIN CSL_CITATION { "citationItems" : [ { "id" : "ITEM-1", "itemData" : { "DOI" : "10.1056/NEJM198805053181804", "ISSN" : "0028-4793", "PMID" : "3079582", "abstract" : "Although wide surgical excision is the accepted treatment for thin malignant melanomas, there is reason to believe that narrower margins may be adequate. We conducted a randomized prospective study to assess the efficacy of narrow excision (excision with 1-cm margins) for primary melanomas no thicker than 2 mm. Narrow excision was performed in 305 patients, and wide excision (margins of 3 cm or more) was performed in 307 patients. The major prognostic criteria were well balanced in the two groups. The mean thickness of melanomas was 0.99 mm in the narrow-excision group and 1.02 mm in the wide-excision group. The subsequent development of metastatic disease involving regional nodes and distant organs was not different in the two groups (4.6 and 2.3 percent, respectively, in the narrow-excision group, as compared with 6.5 and 2.6 percent in the wide-excision group). Disease-free survival rates and overall survival rates (mean follow-up period, 55 months) were also similar in the two groups. Only three patients had a local recurrence as a first relapse. All had undergone narrow excision, and each had a primary melanoma with a thickness of 1 mm or more. The absence of local recurrence in the group of patients with a primary melanoma thinner than 1 mm and the very low rate of local recurrences indicate that narrow excision is a safe and effective procedure for such patients.", "author" : [ { "dropping-particle" : "", "family" : "Veronesi", "given" : "U", "non-dropping-particle" : "", "parse-names" : false, "suffix" : "" }, { "dropping-particle" : "", "family" : "Cascinelli", "given" : "N", "non-dropping-particle" : "", "parse-names" : false, "suffix" : "" }, { "dropping-particle" : "", "family" : "Adamus", "given" : "J", "non-dropping-particle" : "", "parse-names" : false, "suffix" : "" }, { "dropping-particle" : "", "family" : "Balch", "given" : "C", "non-dropping-particle" : "", "parse-names" : false, "suffix" : "" }, { "dropping-particle" : "", "family" : "Bandiera", "given" : "D", "non-dropping-particle" : "", "parse-names" : false, "suffix" : "" }, { "dropping-particle" : "", "family" : "Barchuk", "given" : "A", "non-dropping-particle" : "", "parse-names" : false, "suffix" : "" }, { "dropping-particle" : "", "family" : "Bufalino", "given" : "R", "non-dropping-particle" : "", "parse-names" : false, "suffix" : "" }, { "dropping-particle" : "", "family" : "Craig", "given" : "P", "non-dropping-particle" : "", "parse-names" : false, "suffix" : "" }, { "dropping-particle" : "", "family" : "Marsillac", "given" : "J", "non-dropping-particle" : "De", "parse-names" : false, "suffix" : "" }, { "dropping-particle" : "", "family" : "Durand", "given" : "J C", "non-dropping-particle" : "", "parse-names" : false, "suffix" : "" } ], "container-title" : "The New England journal of medicine", "id" : "ITEM-1", "issue" : "18", "issued" : { "date-parts" : [ [ "1988", "5", "5" ] ] }, "page" : "1159-62", "title" : "Thin stage I primary cutaneous malignant melanoma. Comparison of excision with margins of 1 or 3 cm.", "type" : "article-journal", "volume" : "318" }, "uris" : [ "http://www.mendeley.com/documents/?uuid=1578f3fc-b46e-4700-8daf-23c7d5b20e68" ] }, { "id" : "ITEM-2", "itemData" : { "ISSN" : "0003-4932", "PMID" : "8373269", "abstract" : "BACKGROUND: A prospective, multi-institutional, randomized surgical trial involving 486 localized melanoma patients was conducted to determine whether excision margins for intermediate-thickness melanomas (1.0 to 4.0 mm) could be safely reduced from the standard 4-cm radius.\n\nMETHODS: Patients with 1- to 4-mm-thick melanomas on the trunk or proximal extremities were randomly assigned to receive either a 2- or 4-cm surgical margin.\n\nRESULTS: The median follow-up time was 6 years. The local recurrence rate was 0.8% for 2-cm margins and 1.7% for 4-cm margins (p value not significant [NS]). The rates of in-transit metastases were 2.1% and 2.5%, respectively (p = NS). Of the six patients with local recurrences, five have died. Recurrence rates did not correlate with surgical margins, even among stratified thickness groups. The overall 5-year survival rate was 79.5% for the 2-cm margin patients and 83.7% for the 4-cm margin patients (p = NS). The need for skin grafting was reduced from 46% with 4-cm surgical margins to 11% with 2-cm surgical margins (p &lt; 0.001). The hospital stay was shortened from 7.0 days for patients receiving 4-cm surgical margins to 5.2 days for those receiving 2-cm margins (p = 0.0001). This reduction was largely due to reduced need for skin grafting, since the hospital stay for those who had a skin graft was 2.5 days longer than that for those who had a primary wound closure (p &lt; 0.01).\n\nCONCLUSION: Margins of excision can be safely reduced to 2 cm for patients with intermediate-thickness melanomas. The narrower margins significantly reduced the need for skin grafting and shortened the hospital stay.", "author" : [ { "dropping-particle" : "", "family" : "Balch", "given" : "C M", "non-dropping-particle" : "", "parse-names" : false, "suffix" : "" }, { "dropping-particle" : "", "family" : "Urist", "given" : "M M", "non-dropping-particle" : "", "parse-names" : false, "suffix" : "" }, { "dropping-particle" : "", "family" : "Karakousis", "given" : "C P", "non-dropping-particle" : "", "parse-names" : false, "suffix" : "" }, { "dropping-particle" : "", "family" : "Smith", "given" : "T J", "non-dropping-particle" : "", "parse-names" : false, "suffix" : "" }, { "dropping-particle" : "", "family" : "Temple", "given" : "W J", "non-dropping-particle" : "", "parse-names" : false, "suffix" : "" }, { "dropping-particle" : "", "family" : "Drzewiecki", "given" : "K", "non-dropping-particle" : "", "parse-names" : false, "suffix" : "" }, { "dropping-particle" : "", "family" : "Jewell", "given" : "W R", "non-dropping-particle" : "", "parse-names" : false, "suffix" : "" }, { "dropping-particle" : "", "family" : "Bartolucci", "given" : "A A", "non-dropping-particle" : "", "parse-names" : false, "suffix" : "" }, { "dropping-particle" : "", "family" : "Mihm", "given" : "M C", "non-dropping-particle" : "", "parse-names" : false, "suffix" : "" }, { "dropping-particle" : "", "family" : "Barnhill", "given" : "R", "non-dropping-particle" : "", "parse-names" : false, "suffix" : "" } ], "container-title" : "Annals of surgery", "id" : "ITEM-2", "issue" : "3", "issued" : { "date-parts" : [ [ "1993", "9" ] ] }, "page" : "262-7; discussion 267-9", "title" : "Efficacy of 2-cm surgical margins for intermediate-thickness melanomas (1 to 4 mm). Results of a multi-institutional randomized surgical trial.", "type" : "article-journal", "volume" : "218" }, "uris" : [ "http://www.mendeley.com/documents/?uuid=334d1709-7962-42cf-9f1e-3dfcf0df2542" ] }, { "id" : "ITEM-3", "itemData" : { "DOI" : "10.1002/(SICI)1097-0142(19960501)77:9&lt;1809::AID-CNCR8&gt;3.0.CO;2-6", "ISSN" : "0008-543X", "PMID" : "8646678", "abstract" : "BACKGROUND: The traditional surgical treatment for primary malignant melanoma has often been a wide excision with a margin of about 5 cm. Since the risk of local recurrences is dependent on tumor thickness, thin tumors (&lt;1 mm) have routinely been excised with a narrow margin. For thick tumors, the optimal resection margin is controversial, and can be determined only by prospective, randomized trials.\n\nMETHODS: The Swedish Melanoma Study Group performed a prospective, randomized multicenter study to evaluate an excision margin of 2 versus 5 cm for patients with cutaneous malignant melanoma with tumor thickness &gt; 0.8 and &lt; or = 2.0 mm. The trial includes 769 patients. Patients with melanomas of the skin of the head, neck, hands, feet, or vulva were not included in the trial. In the event of an excision biopsy for diagnosis, radical surgery was completed within 6 weeks. The median follow-up time was 5.8 years for estimation of survival and 4.0 years for diagnosis of recurrent disease.\n\nRESULTS: No significant differences have been observed between the treatment groups regarding local or regional recurrences or survival.\n\nCONCLUSIONS: We recommend an excision with a margin of 2 cm for cutaneous malignant melanoma with a tumor thickness &gt; 0.8 and &lt; or = 2.0 mm.", "author" : [ { "dropping-particle" : "", "family" : "Ringborg", "given" : "U", "non-dropping-particle" : "", "parse-names" : false, "suffix" : "" }, { "dropping-particle" : "", "family" : "Andersson", "given" : "R", "non-dropping-particle" : "", "parse-names" : false, "suffix" : "" }, { "dropping-particle" : "", "family" : "Eldh", "given" : "J", "non-dropping-particle" : "", "parse-names" : false, "suffix" : "" }, { "dropping-particle" : "", "family" : "Glaumann", "given" : "B", "non-dropping-particle" : "", "parse-names" : false, "suffix" : "" }, { "dropping-particle" : "", "family" : "Hafstr\u00f6m", "given" : "L", "non-dropping-particle" : "", "parse-names" : false, "suffix" : "" }, { "dropping-particle" : "", "family" : "Jacobsson", "given" : "S", "non-dropping-particle" : "", "parse-names" : false, "suffix" : "" }, { "dropping-particle" : "", "family" : "J\u00f6nsson", "given" : "P E", "non-dropping-particle" : "", "parse-names" : false, "suffix" : "" }, { "dropping-particle" : "", "family" : "Johansson", "given" : "H", "non-dropping-particle" : "", "parse-names" : false, "suffix" : "" }, { "dropping-particle" : "", "family" : "Krysander", "given" : "L", "non-dropping-particle" : "", "parse-names" : false, "suffix" : "" }, { "dropping-particle" : "", "family" : "Lagerl\u00f6f", "given" : "B", "non-dropping-particle" : "", "parse-names" : false, "suffix" : "" } ], "container-title" : "Cancer", "id" : "ITEM-3", "issue" : "9", "issued" : { "date-parts" : [ [ "1996", "5", "1" ] ] }, "page" : "1809-14", "title" : "Resection margins of 2 versus 5 cm for cutaneous malignant melanoma with a tumor thickness of 0.8 to 2.0 mm: randomized study by the Swedish Melanoma Study Group.", "type" : "article-journal", "volume" : "77" }, "uris" : [ "http://www.mendeley.com/documents/?uuid=60b976d6-4a44-46ff-8572-9cab9ac2430c" ] }, { "id" : "ITEM-4", "itemData" : { "DOI" : "10.1002/cncr.11272", "ISSN" : "0008-543X", "PMID" : "12673721", "abstract" : "BACKGROUND: This study addressed the question of whether limited surgery for primary malignant melanoma with a 2-cm margin is as good as a 5-cm margin. An update of a 16-year follow-up is provided.\n\nMETHODS: Nine European Centers, over a period of 5 years, prospectively randomized 337 patients with melanoma measuring less than 2.1 mm in thickness to undergo a local excision with either a 2-cm or a 5-cm margin. Three hundred twenty-six patients were eligible for statistical analysis. Excluded from the trial were patients older than 70 years; those with melanomas from the toe, nail, or finger; and those with acral-lentiginous melanoma. A separate randomization was performed to independently test an adjuvant treatment with a nonspecific immunostimulant, isoprinosine, compared with observation. The median follow-up time was 192 months (16 years) for the estimation of survival and disease recurrences.\n\nRESULTS: There were 22 tumor recurrences in the 2-cm arm and 33 in the 5-cm arm. The median time to disease recurrence was 43 months and 37.6 months, respectively. The 10-year disease-free survival rates were 85% for the group with a 2-cm margin and 83% for the group with a 5-cm margin. There was no difference in the 10-year overall survival rates (87% vs. 86%). Isoprinosine did not demonstrate any activity in this setting.\n\nCONCLUSIONS: The authors concluded that for melanoma less than 2.1-mm thick, a margin of excision of 2 cm is sufficient. A larger margin of 5 cm does not appear to have any impact on either the rate or the time to disease recurrence or on survival.", "author" : [ { "dropping-particle" : "", "family" : "Khayat", "given" : "David", "non-dropping-particle" : "", "parse-names" : false, "suffix" : "" }, { "dropping-particle" : "", "family" : "Rixe", "given" : "Olivier", "non-dropping-particle" : "", "parse-names" : false, "suffix" : "" }, { "dropping-particle" : "", "family" : "Martin", "given" : "Ginette", "non-dropping-particle" : "", "parse-names" : false, "suffix" : "" }, { "dropping-particle" : "", "family" : "Soubrane", "given" : "Claude", "non-dropping-particle" : "", "parse-names" : false, "suffix" : "" }, { "dropping-particle" : "", "family" : "Banzet", "given" : "Martine", "non-dropping-particle" : "", "parse-names" : false, "suffix" : "" }, { "dropping-particle" : "", "family" : "Bazex", "given" : "Jacques-Andr\u00e9", "non-dropping-particle" : "", "parse-names" : false, "suffix" : "" }, { "dropping-particle" : "", "family" : "Lauret", "given" : "Philippe", "non-dropping-particle" : "", "parse-names" : false, "suffix" : "" }, { "dropping-particle" : "", "family" : "V\u00e9rola", "given" : "Olivier", "non-dropping-particle" : "", "parse-names" : false, "suffix" : "" }, { "dropping-particle" : "", "family" : "Auclerc", "given" : "G\u00e9rard", "non-dropping-particle" : "", "parse-names" : false, "suffix" : "" }, { "dropping-particle" : "", "family" : "Harper", "given" : "Peter", "non-dropping-particle" : "", "parse-names" : false, "suffix" : "" }, { "dropping-particle" : "", "family" : "Banzet", "given" : "Pierre", "non-dropping-particle" : "", "parse-names" : false, "suffix" : "" } ], "container-title" : "Cancer", "id" : "ITEM-4", "issue" : "8", "issued" : { "date-parts" : [ [ "2003", "4", "15" ] ] }, "page" : "1941-6", "title" : "Surgical margins in cutaneous melanoma (2 cm versus 5 cm for lesions measuring less than 2.1-mm thick).", "type" : "article-journal", "volume" : "97" }, "uris" : [ "http://www.mendeley.com/documents/?uuid=b263fdaf-620f-4308-bab5-9bd413c7d11e" ] }, { "id" : "ITEM-5", "itemData" : { "DOI" : "10.1056/NEJMoa030681", "ISSN" : "1533-4406", "PMID" : "14973217", "abstract" : "BACKGROUND: Controversy exists concerning the necessary margin of excision for cutaneous melanoma 2 mm or greater in thickness.\n\nMETHODS: We conducted a randomized clinical trial comparing 1-cm and 3-cm margins.\n\nRESULTS: Of the 900 patients who were enrolled, 453 were randomly assigned to undergo surgery with a 1-cm margin of excision and 447 with a 3-cm margin of excision; the median follow-up was 60 months. A 1-cm margin of excision was associated with a significantly increased risk of locoregional recurrence. There were 168 locoregional recurrences (as first events) in the group with 1-cm margins of excision, as compared with 142 in the group with 3-cm margins (hazard ratio, 1.26; 95 percent confidence interval, 1.00 to 1.59; P=0.05). There were 128 deaths attributable to melanoma in the group with 1-cm margins, as compared with 105 in the group with 3-cm margins (hazard ratio, 1.24; 95 percent confidence interval, 0.96 to 1.61; P=0.1); overall survival was similar in the two groups (hazard ratio for death, 1.07; 95 percent confidence interval, 0.85 to 1.36; P=0.6).\n\nCONCLUSIONS: A 1-cm margin of excision for melanoma with a poor prognosis (as defined by a tumor thickness of at least 2 mm) is associated with a significantly greater risk of regional recurrence than is a 3-cm margin, but with a similar overall survival rate.", "author" : [ { "dropping-particle" : "", "family" : "Thomas", "given" : "J Meirion", "non-dropping-particle" : "", "parse-names" : false, "suffix" : "" }, { "dropping-particle" : "", "family" : "Newton-Bishop", "given" : "Julia", "non-dropping-particle" : "", "parse-names" : false, "suffix" : "" }, { "dropping-particle" : "", "family" : "A'Hern", "given" : "Roger", "non-dropping-particle" : "", "parse-names" : false, "suffix" : "" }, { "dropping-particle" : "", "family" : "Coombes", "given" : "Gill", "non-dropping-particle" : "", "parse-names" : false, "suffix" : "" }, { "dropping-particle" : "", "family" : "Timmons", "given" : "Michael", "non-dropping-particle" : "", "parse-names" : false, "suffix" : "" }, { "dropping-particle" : "", "family" : "Evans", "given" : "Judy", "non-dropping-particle" : "", "parse-names" : false, "suffix" : "" }, { "dropping-particle" : "", "family" : "Cook", "given" : "Martin", "non-dropping-particle" : "", "parse-names" : false, "suffix" : "" }, { "dropping-particle" : "", "family" : "Theaker", "given" : "Jeffery", "non-dropping-particle" : "", "parse-names" : false, "suffix" : "" }, { "dropping-particle" : "", "family" : "Fallowfield", "given" : "Mary", "non-dropping-particle" : "", "parse-names" : false, "suffix" : "" }, { "dropping-particle" : "", "family" : "O'Neill", "given" : "Trevor", "non-dropping-particle" : "", "parse-names" : false, "suffix" : "" }, { "dropping-particle" : "", "family" : "Ruka", "given" : "Wlodek", "non-dropping-particle" : "", "parse-names" : false, "suffix" : "" }, { "dropping-particle" : "", "family" : "Bliss", "given" : "Judith M", "non-dropping-particle" : "", "parse-names" : false, "suffix" : "" } ], "container-title" : "The New England journal of medicine", "id" : "ITEM-5", "issue" : "8", "issued" : { "date-parts" : [ [ "2004", "2", "19" ] ] }, "page" : "757-66", "title" : "Excision margins in high-risk malignant melanoma.", "type" : "article-journal", "volume" : "350" }, "uris" : [ "http://www.mendeley.com/documents/?uuid=47009b47-ad87-467d-9f44-07254d4418d0" ] }, { "id" : "ITEM-6", "itemData" : { "DOI" : "10.1016/S0140-6736(11)61546-8", "ISSN" : "1474-547X", "PMID" : "22027547", "abstract" : "BACKGROUND: Optimum surgical resection margins for patients with clinical stage IIA-C cutaneous melanoma thicker than 2 mm are controversial. The aim of the study was to test whether survival was different for a wide local excision margin of 2 cm compared with a 4-cm excision margin. METHODS: We undertook a randomised controlled trial in nine European centres. Patients with cutaneous melanoma thicker than 2 mm, at clinical stage IIA-C, were allocated to have either a 2-cm or a 4-cm surgical resection margin. Patients were randomised in a 1:1 allocation to one of the two groups and stratified by geographic region. Randomisation was done by sealed envelope or by computer generated lists with permuted blocks. Our primary endpoint was overall survival. The trial was not masked at any stage. Analyses were by intention to treat. Adverse events were not systematically recorded. The study is registered with ClinicalTrials.gov, number NCT01183936. FINDINGS: 936 patients were enrolled from Jan 22, 1992, to May 19, 2004; 465 were randomly allocated to treatment with a 2-cm resection margin, and 471 to receive treatment with a 4-cm resection margin. One patient in each group was lost to follow-up but included in the analysis. After a median follow-up of 6\u00b77 years (IQR 4\u00b73-9\u00b75) 181 patients in the 2-cm margin group and 177 in the 4-cm group had died (hazard ratio 1\u00b705, 95% CI 0\u00b785-1\u00b729; p=0.64). 5-year overall survival was 65% (95% CI 60-70) [corrected] in the 2-cm group and 65% (40-70) in the 4-cm group (p=0\u00b769). INTERPRETATION: Our findings suggest that a 2-cm resection margin is sufficient and safe for patients with cutaneous melanoma thicker than 2 mm. FUNDING: Swedish Cancer Society and Stockholm Cancer Society.", "author" : [ { "dropping-particle" : "", "family" : "Gillgren", "given" : "Peter", "non-dropping-particle" : "", "parse-names" : false, "suffix" : "" }, { "dropping-particle" : "", "family" : "Drzewiecki", "given" : "Krzysztof T", "non-dropping-particle" : "", "parse-names" : false, "suffix" : "" }, { "dropping-particle" : "", "family" : "Niin", "given" : "Marianne", "non-dropping-particle" : "", "parse-names" : false, "suffix" : "" }, { "dropping-particle" : "", "family" : "Gullestad", "given" : "Hans P", "non-dropping-particle" : "", "parse-names" : false, "suffix" : "" }, { "dropping-particle" : "", "family" : "Hellborg", "given" : "Henrik", "non-dropping-particle" : "", "parse-names" : false, "suffix" : "" }, { "dropping-particle" : "", "family" : "M\u00e5nsson-Brahme", "given" : "Eva", "non-dropping-particle" : "", "parse-names" : false, "suffix" : "" }, { "dropping-particle" : "", "family" : "Ingvar", "given" : "Christian", "non-dropping-particle" : "", "parse-names" : false, "suffix" : "" }, { "dropping-particle" : "", "family" : "Ringborg", "given" : "Ulrik", "non-dropping-particle" : "", "parse-names" : false, "suffix" : "" } ], "container-title" : "Lancet", "id" : "ITEM-6", "issue" : "9803", "issued" : { "date-parts" : [ [ "2011", "11", "5" ] ] }, "page" : "1635-42", "title" : "2-cm versus 4-cm surgical excision margins for primary cutaneous melanoma thicker than 2 mm: a randomised, multicentre trial.", "type" : "article-journal", "volume" : "378" }, "uris" : [ "http://www.mendeley.com/documents/?uuid=dae73001-f10c-4d77-b877-63fc7392318d" ] } ], "mendeley" : { "formattedCitation" : "&lt;sup&gt;41\u201346&lt;/sup&gt;", "plainTextFormattedCitation" : "41\u201346", "previouslyFormattedCitation" : "&lt;sup&gt;41\u201346&lt;/sup&gt;" }, "properties" : { "noteIndex" : 0 }, "schema" : "https://github.com/citation-style-language/schema/raw/master/csl-citation.json" }</w:instrText>
      </w:r>
      <w:r w:rsidRPr="003E73CD">
        <w:rPr>
          <w:sz w:val="22"/>
          <w:szCs w:val="22"/>
        </w:rPr>
        <w:fldChar w:fldCharType="separate"/>
      </w:r>
      <w:r w:rsidRPr="003E73CD">
        <w:rPr>
          <w:noProof/>
          <w:sz w:val="22"/>
          <w:szCs w:val="22"/>
          <w:vertAlign w:val="superscript"/>
        </w:rPr>
        <w:t>41–46</w:t>
      </w:r>
      <w:r w:rsidRPr="003E73CD">
        <w:rPr>
          <w:sz w:val="22"/>
          <w:szCs w:val="22"/>
        </w:rPr>
        <w:fldChar w:fldCharType="end"/>
      </w:r>
      <w:proofErr w:type="gramStart"/>
      <w:r w:rsidRPr="003E73CD">
        <w:rPr>
          <w:sz w:val="22"/>
          <w:szCs w:val="22"/>
        </w:rPr>
        <w:t xml:space="preserve">  The</w:t>
      </w:r>
      <w:proofErr w:type="gramEnd"/>
      <w:r w:rsidRPr="003E73CD">
        <w:rPr>
          <w:sz w:val="22"/>
          <w:szCs w:val="22"/>
        </w:rPr>
        <w:t xml:space="preserve"> details of the published randomised trials are documented in Table </w:t>
      </w:r>
      <w:r w:rsidR="006417CB" w:rsidRPr="003E73CD">
        <w:rPr>
          <w:sz w:val="22"/>
          <w:szCs w:val="22"/>
        </w:rPr>
        <w:t>1.1.</w:t>
      </w:r>
      <w:r w:rsidRPr="003E73CD">
        <w:rPr>
          <w:sz w:val="22"/>
          <w:szCs w:val="22"/>
        </w:rPr>
        <w:t>2.</w:t>
      </w:r>
    </w:p>
    <w:p w14:paraId="395153A9" w14:textId="662CC73F" w:rsidR="0061482C" w:rsidRPr="003E73CD" w:rsidRDefault="0061482C" w:rsidP="0061482C">
      <w:pPr>
        <w:spacing w:line="480" w:lineRule="auto"/>
        <w:rPr>
          <w:sz w:val="22"/>
          <w:szCs w:val="22"/>
        </w:rPr>
      </w:pPr>
      <w:r w:rsidRPr="003E73CD">
        <w:rPr>
          <w:sz w:val="22"/>
          <w:szCs w:val="22"/>
        </w:rPr>
        <w:br w:type="page"/>
        <w:t xml:space="preserve">Table </w:t>
      </w:r>
      <w:r w:rsidR="006417CB" w:rsidRPr="003E73CD">
        <w:rPr>
          <w:sz w:val="22"/>
          <w:szCs w:val="22"/>
        </w:rPr>
        <w:t>1.1.</w:t>
      </w:r>
      <w:r w:rsidRPr="003E73CD">
        <w:rPr>
          <w:sz w:val="22"/>
          <w:szCs w:val="22"/>
        </w:rPr>
        <w:t>2.  Completed randomized trials comparing excision margins for melanoma.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3"/>
        <w:gridCol w:w="873"/>
        <w:gridCol w:w="588"/>
        <w:gridCol w:w="1025"/>
        <w:gridCol w:w="1242"/>
        <w:gridCol w:w="1114"/>
        <w:gridCol w:w="1321"/>
        <w:gridCol w:w="1228"/>
      </w:tblGrid>
      <w:tr w:rsidR="0061482C" w:rsidRPr="003E73CD" w14:paraId="2505B780" w14:textId="77777777" w:rsidTr="002D2F6B">
        <w:trPr>
          <w:trHeight w:val="514"/>
        </w:trPr>
        <w:tc>
          <w:tcPr>
            <w:tcW w:w="846" w:type="pct"/>
            <w:vMerge w:val="restart"/>
            <w:shd w:val="clear" w:color="auto" w:fill="auto"/>
          </w:tcPr>
          <w:p w14:paraId="00034568" w14:textId="77777777" w:rsidR="0061482C" w:rsidRPr="003E73CD" w:rsidRDefault="0061482C" w:rsidP="002D2F6B">
            <w:pPr>
              <w:rPr>
                <w:sz w:val="20"/>
                <w:szCs w:val="20"/>
              </w:rPr>
            </w:pPr>
            <w:r w:rsidRPr="003E73CD">
              <w:rPr>
                <w:sz w:val="20"/>
                <w:szCs w:val="20"/>
              </w:rPr>
              <w:t>Study</w:t>
            </w:r>
          </w:p>
        </w:tc>
        <w:tc>
          <w:tcPr>
            <w:tcW w:w="662" w:type="pct"/>
            <w:vMerge w:val="restart"/>
            <w:shd w:val="clear" w:color="auto" w:fill="auto"/>
          </w:tcPr>
          <w:p w14:paraId="188A4415" w14:textId="77777777" w:rsidR="0061482C" w:rsidRPr="003E73CD" w:rsidRDefault="0061482C" w:rsidP="002D2F6B">
            <w:pPr>
              <w:rPr>
                <w:sz w:val="20"/>
                <w:szCs w:val="20"/>
              </w:rPr>
            </w:pPr>
            <w:r w:rsidRPr="003E73CD">
              <w:rPr>
                <w:sz w:val="20"/>
                <w:szCs w:val="20"/>
              </w:rPr>
              <w:t>Period of accrual</w:t>
            </w:r>
          </w:p>
        </w:tc>
        <w:tc>
          <w:tcPr>
            <w:tcW w:w="958" w:type="pct"/>
            <w:gridSpan w:val="2"/>
            <w:shd w:val="clear" w:color="auto" w:fill="auto"/>
          </w:tcPr>
          <w:p w14:paraId="0B628DEF" w14:textId="77777777" w:rsidR="0061482C" w:rsidRPr="003E73CD" w:rsidRDefault="0061482C" w:rsidP="002D2F6B">
            <w:pPr>
              <w:rPr>
                <w:sz w:val="20"/>
                <w:szCs w:val="20"/>
              </w:rPr>
            </w:pPr>
            <w:r w:rsidRPr="003E73CD">
              <w:rPr>
                <w:sz w:val="20"/>
                <w:szCs w:val="20"/>
              </w:rPr>
              <w:t>Excision margins compared</w:t>
            </w:r>
          </w:p>
        </w:tc>
        <w:tc>
          <w:tcPr>
            <w:tcW w:w="401" w:type="pct"/>
            <w:vMerge w:val="restart"/>
            <w:shd w:val="clear" w:color="auto" w:fill="auto"/>
          </w:tcPr>
          <w:p w14:paraId="5EEBC2E1" w14:textId="69084A79" w:rsidR="0061482C" w:rsidRPr="003E73CD" w:rsidRDefault="0061482C" w:rsidP="002D2F6B">
            <w:pPr>
              <w:rPr>
                <w:sz w:val="20"/>
                <w:szCs w:val="20"/>
              </w:rPr>
            </w:pPr>
            <w:r w:rsidRPr="003E73CD">
              <w:rPr>
                <w:sz w:val="20"/>
                <w:szCs w:val="20"/>
              </w:rPr>
              <w:t xml:space="preserve">Number of patients </w:t>
            </w:r>
            <w:r w:rsidR="004C7A46" w:rsidRPr="003E73CD">
              <w:rPr>
                <w:sz w:val="20"/>
                <w:szCs w:val="20"/>
              </w:rPr>
              <w:t>randomis</w:t>
            </w:r>
            <w:r w:rsidRPr="003E73CD">
              <w:rPr>
                <w:sz w:val="20"/>
                <w:szCs w:val="20"/>
              </w:rPr>
              <w:t>ed</w:t>
            </w:r>
          </w:p>
        </w:tc>
        <w:tc>
          <w:tcPr>
            <w:tcW w:w="552" w:type="pct"/>
            <w:vMerge w:val="restart"/>
            <w:shd w:val="clear" w:color="auto" w:fill="auto"/>
          </w:tcPr>
          <w:p w14:paraId="15A02B03" w14:textId="77777777" w:rsidR="0061482C" w:rsidRPr="003E73CD" w:rsidRDefault="0061482C" w:rsidP="002D2F6B">
            <w:pPr>
              <w:rPr>
                <w:sz w:val="20"/>
                <w:szCs w:val="20"/>
              </w:rPr>
            </w:pPr>
            <w:r w:rsidRPr="003E73CD">
              <w:rPr>
                <w:sz w:val="20"/>
                <w:szCs w:val="20"/>
              </w:rPr>
              <w:t>Primary melanoma thickness inclusion criteria</w:t>
            </w:r>
          </w:p>
        </w:tc>
        <w:tc>
          <w:tcPr>
            <w:tcW w:w="948" w:type="pct"/>
            <w:vMerge w:val="restart"/>
            <w:shd w:val="clear" w:color="auto" w:fill="auto"/>
          </w:tcPr>
          <w:p w14:paraId="3C9ED839" w14:textId="77777777" w:rsidR="0061482C" w:rsidRPr="003E73CD" w:rsidRDefault="0061482C" w:rsidP="002D2F6B">
            <w:pPr>
              <w:rPr>
                <w:sz w:val="20"/>
                <w:szCs w:val="20"/>
              </w:rPr>
            </w:pPr>
            <w:r w:rsidRPr="003E73CD">
              <w:rPr>
                <w:sz w:val="20"/>
                <w:szCs w:val="20"/>
              </w:rPr>
              <w:t>Primary melanoma sites and/or subtypes excluded</w:t>
            </w:r>
          </w:p>
        </w:tc>
        <w:tc>
          <w:tcPr>
            <w:tcW w:w="634" w:type="pct"/>
            <w:vMerge w:val="restart"/>
            <w:shd w:val="clear" w:color="auto" w:fill="auto"/>
          </w:tcPr>
          <w:p w14:paraId="34D9DD26" w14:textId="77777777" w:rsidR="0061482C" w:rsidRPr="003E73CD" w:rsidRDefault="0061482C" w:rsidP="002D2F6B">
            <w:pPr>
              <w:rPr>
                <w:sz w:val="20"/>
                <w:szCs w:val="20"/>
              </w:rPr>
            </w:pPr>
            <w:r w:rsidRPr="003E73CD">
              <w:rPr>
                <w:sz w:val="20"/>
                <w:szCs w:val="20"/>
              </w:rPr>
              <w:t>Overall survival comparison</w:t>
            </w:r>
          </w:p>
        </w:tc>
      </w:tr>
      <w:tr w:rsidR="0061482C" w:rsidRPr="003E73CD" w14:paraId="1A5EBC83" w14:textId="77777777" w:rsidTr="002D2F6B">
        <w:trPr>
          <w:trHeight w:val="513"/>
        </w:trPr>
        <w:tc>
          <w:tcPr>
            <w:tcW w:w="846" w:type="pct"/>
            <w:vMerge/>
            <w:shd w:val="clear" w:color="auto" w:fill="auto"/>
          </w:tcPr>
          <w:p w14:paraId="675D61EB" w14:textId="77777777" w:rsidR="0061482C" w:rsidRPr="003E73CD" w:rsidRDefault="0061482C" w:rsidP="002D2F6B">
            <w:pPr>
              <w:rPr>
                <w:sz w:val="20"/>
                <w:szCs w:val="20"/>
              </w:rPr>
            </w:pPr>
          </w:p>
        </w:tc>
        <w:tc>
          <w:tcPr>
            <w:tcW w:w="662" w:type="pct"/>
            <w:vMerge/>
            <w:shd w:val="clear" w:color="auto" w:fill="auto"/>
          </w:tcPr>
          <w:p w14:paraId="04826BF6" w14:textId="77777777" w:rsidR="0061482C" w:rsidRPr="003E73CD" w:rsidRDefault="0061482C" w:rsidP="002D2F6B">
            <w:pPr>
              <w:rPr>
                <w:sz w:val="20"/>
                <w:szCs w:val="20"/>
              </w:rPr>
            </w:pPr>
          </w:p>
        </w:tc>
        <w:tc>
          <w:tcPr>
            <w:tcW w:w="394" w:type="pct"/>
            <w:shd w:val="clear" w:color="auto" w:fill="auto"/>
          </w:tcPr>
          <w:p w14:paraId="1A746BF3" w14:textId="77777777" w:rsidR="0061482C" w:rsidRPr="003E73CD" w:rsidRDefault="0061482C" w:rsidP="002D2F6B">
            <w:pPr>
              <w:rPr>
                <w:sz w:val="20"/>
                <w:szCs w:val="20"/>
              </w:rPr>
            </w:pPr>
            <w:r w:rsidRPr="003E73CD">
              <w:rPr>
                <w:sz w:val="20"/>
                <w:szCs w:val="20"/>
              </w:rPr>
              <w:t>Skin</w:t>
            </w:r>
          </w:p>
        </w:tc>
        <w:tc>
          <w:tcPr>
            <w:tcW w:w="563" w:type="pct"/>
            <w:shd w:val="clear" w:color="auto" w:fill="auto"/>
          </w:tcPr>
          <w:p w14:paraId="7F5E09DD" w14:textId="77777777" w:rsidR="0061482C" w:rsidRPr="003E73CD" w:rsidRDefault="0061482C" w:rsidP="002D2F6B">
            <w:pPr>
              <w:rPr>
                <w:sz w:val="20"/>
                <w:szCs w:val="20"/>
              </w:rPr>
            </w:pPr>
            <w:r w:rsidRPr="003E73CD">
              <w:rPr>
                <w:sz w:val="20"/>
                <w:szCs w:val="20"/>
              </w:rPr>
              <w:t>Fat</w:t>
            </w:r>
          </w:p>
        </w:tc>
        <w:tc>
          <w:tcPr>
            <w:tcW w:w="401" w:type="pct"/>
            <w:vMerge/>
            <w:shd w:val="clear" w:color="auto" w:fill="auto"/>
          </w:tcPr>
          <w:p w14:paraId="55AD5327" w14:textId="77777777" w:rsidR="0061482C" w:rsidRPr="003E73CD" w:rsidRDefault="0061482C" w:rsidP="002D2F6B">
            <w:pPr>
              <w:rPr>
                <w:sz w:val="20"/>
                <w:szCs w:val="20"/>
              </w:rPr>
            </w:pPr>
          </w:p>
        </w:tc>
        <w:tc>
          <w:tcPr>
            <w:tcW w:w="552" w:type="pct"/>
            <w:vMerge/>
            <w:shd w:val="clear" w:color="auto" w:fill="auto"/>
          </w:tcPr>
          <w:p w14:paraId="755BE059" w14:textId="77777777" w:rsidR="0061482C" w:rsidRPr="003E73CD" w:rsidRDefault="0061482C" w:rsidP="002D2F6B">
            <w:pPr>
              <w:rPr>
                <w:sz w:val="20"/>
                <w:szCs w:val="20"/>
              </w:rPr>
            </w:pPr>
          </w:p>
        </w:tc>
        <w:tc>
          <w:tcPr>
            <w:tcW w:w="948" w:type="pct"/>
            <w:vMerge/>
            <w:shd w:val="clear" w:color="auto" w:fill="auto"/>
          </w:tcPr>
          <w:p w14:paraId="60BAA6B9" w14:textId="77777777" w:rsidR="0061482C" w:rsidRPr="003E73CD" w:rsidRDefault="0061482C" w:rsidP="002D2F6B">
            <w:pPr>
              <w:rPr>
                <w:sz w:val="20"/>
                <w:szCs w:val="20"/>
              </w:rPr>
            </w:pPr>
          </w:p>
        </w:tc>
        <w:tc>
          <w:tcPr>
            <w:tcW w:w="634" w:type="pct"/>
            <w:vMerge/>
            <w:shd w:val="clear" w:color="auto" w:fill="auto"/>
          </w:tcPr>
          <w:p w14:paraId="739AF2BA" w14:textId="77777777" w:rsidR="0061482C" w:rsidRPr="003E73CD" w:rsidRDefault="0061482C" w:rsidP="002D2F6B">
            <w:pPr>
              <w:rPr>
                <w:sz w:val="20"/>
                <w:szCs w:val="20"/>
              </w:rPr>
            </w:pPr>
          </w:p>
        </w:tc>
      </w:tr>
      <w:tr w:rsidR="0061482C" w:rsidRPr="003E73CD" w14:paraId="2BD20DEA" w14:textId="77777777" w:rsidTr="002D2F6B">
        <w:tc>
          <w:tcPr>
            <w:tcW w:w="846" w:type="pct"/>
            <w:shd w:val="clear" w:color="auto" w:fill="auto"/>
          </w:tcPr>
          <w:p w14:paraId="3F72B9A4" w14:textId="77777777" w:rsidR="0061482C" w:rsidRPr="003E73CD" w:rsidRDefault="0061482C" w:rsidP="002D2F6B">
            <w:pPr>
              <w:rPr>
                <w:sz w:val="20"/>
                <w:szCs w:val="20"/>
              </w:rPr>
            </w:pPr>
            <w:r w:rsidRPr="003E73CD">
              <w:rPr>
                <w:sz w:val="20"/>
                <w:szCs w:val="20"/>
              </w:rPr>
              <w:t>World Health Organization (WHO)</w:t>
            </w:r>
            <w:r w:rsidRPr="003E73CD">
              <w:rPr>
                <w:sz w:val="20"/>
                <w:szCs w:val="20"/>
              </w:rPr>
              <w:fldChar w:fldCharType="begin" w:fldLock="1"/>
            </w:r>
            <w:r w:rsidRPr="003E73CD">
              <w:rPr>
                <w:sz w:val="20"/>
                <w:szCs w:val="20"/>
              </w:rPr>
              <w:instrText>ADDIN CSL_CITATION { "citationItems" : [ { "id" : "ITEM-1", "itemData" : { "DOI" : "10.1056/NEJM198805053181804", "ISSN" : "0028-4793", "PMID" : "3079582", "abstract" : "Although wide surgical excision is the accepted treatment for thin malignant melanomas, there is reason to believe that narrower margins may be adequate. We conducted a randomized prospective study to assess the efficacy of narrow excision (excision with 1-cm margins) for primary melanomas no thicker than 2 mm. Narrow excision was performed in 305 patients, and wide excision (margins of 3 cm or more) was performed in 307 patients. The major prognostic criteria were well balanced in the two groups. The mean thickness of melanomas was 0.99 mm in the narrow-excision group and 1.02 mm in the wide-excision group. The subsequent development of metastatic disease involving regional nodes and distant organs was not different in the two groups (4.6 and 2.3 percent, respectively, in the narrow-excision group, as compared with 6.5 and 2.6 percent in the wide-excision group). Disease-free survival rates and overall survival rates (mean follow-up period, 55 months) were also similar in the two groups. Only three patients had a local recurrence as a first relapse. All had undergone narrow excision, and each had a primary melanoma with a thickness of 1 mm or more. The absence of local recurrence in the group of patients with a primary melanoma thinner than 1 mm and the very low rate of local recurrences indicate that narrow excision is a safe and effective procedure for such patients.", "author" : [ { "dropping-particle" : "", "family" : "Veronesi", "given" : "U", "non-dropping-particle" : "", "parse-names" : false, "suffix" : "" }, { "dropping-particle" : "", "family" : "Cascinelli", "given" : "N", "non-dropping-particle" : "", "parse-names" : false, "suffix" : "" }, { "dropping-particle" : "", "family" : "Adamus", "given" : "J", "non-dropping-particle" : "", "parse-names" : false, "suffix" : "" }, { "dropping-particle" : "", "family" : "Balch", "given" : "C", "non-dropping-particle" : "", "parse-names" : false, "suffix" : "" }, { "dropping-particle" : "", "family" : "Bandiera", "given" : "D", "non-dropping-particle" : "", "parse-names" : false, "suffix" : "" }, { "dropping-particle" : "", "family" : "Barchuk", "given" : "A", "non-dropping-particle" : "", "parse-names" : false, "suffix" : "" }, { "dropping-particle" : "", "family" : "Bufalino", "given" : "R", "non-dropping-particle" : "", "parse-names" : false, "suffix" : "" }, { "dropping-particle" : "", "family" : "Craig", "given" : "P", "non-dropping-particle" : "", "parse-names" : false, "suffix" : "" }, { "dropping-particle" : "", "family" : "Marsillac", "given" : "J", "non-dropping-particle" : "De", "parse-names" : false, "suffix" : "" }, { "dropping-particle" : "", "family" : "Durand", "given" : "J C", "non-dropping-particle" : "", "parse-names" : false, "suffix" : "" } ], "container-title" : "The New England journal of medicine", "id" : "ITEM-1", "issue" : "18", "issued" : { "date-parts" : [ [ "1988", "5", "5" ] ] }, "page" : "1159-62", "title" : "Thin stage I primary cutaneous malignant melanoma. Comparison of excision with margins of 1 or 3 cm.", "type" : "article-journal", "volume" : "318" }, "uris" : [ "http://www.mendeley.com/documents/?uuid=1578f3fc-b46e-4700-8daf-23c7d5b20e68" ] }, { "id" : "ITEM-2", "itemData" : { "ISSN" : "0004-0010", "PMID" : "2009058", "abstract" : "We analyzed the results at 8 years of an international, randomized, prospective study carried out by the World Health Organization Melanoma Programme aimed at evaluating the efficacy of 1-cm-margin excision of primary melanomas not thicker than 2 mm. Data for 612 patients were assessable; 305 were randomized to receive 1-cm-margin excision and 307 to receive wide excision (margins of greater than or equal to 3 cm). The major prognostic criteria were similar in the two groups. Breslow thickness was 0.99 mm in the narrow excision group and 1.02 mm in the wide excision group. Disease-free and overall survival rates (mean follow-up period, 90 months) were similar in the two groups. Only four patients had a local recurrence as a first relapse. All underwent narrow excision, and each had primary melanomas thicker than 1 mm.", "author" : [ { "dropping-particle" : "", "family" : "Veronesi", "given" : "U", "non-dropping-particle" : "", "parse-names" : false, "suffix" : "" }, { "dropping-particle" : "", "family" : "Cascinelli", "given" : "N", "non-dropping-particle" : "", "parse-names" : false, "suffix" : "" } ], "container-title" : "Archives of surgery (Chicago, Ill. : 1960)", "id" : "ITEM-2", "issue" : "4", "issued" : { "date-parts" : [ [ "1991", "4" ] ] }, "page" : "438-41", "title" : "Narrow excision (1-cm margin). A safe procedure for thin cutaneous melanoma.", "type" : "article-journal", "volume" : "126" }, "uris" : [ "http://www.mendeley.com/documents/?uuid=44a7d0fd-25c8-4c46-b49f-e5b35921eada" ] }, { "id" : "ITEM-3", "itemData" : { "ISSN" : "8756-0437", "PMID" : "9588719", "abstract" : "In the last 20 years, it has become evident that the continued use of 4 to 5 cm margins of resection around a primary melanoma is not justified. A prospective randomized trial by the World Health Organization (WHO) Melanoma Group showed that for melanomas up to 2 mm thick, a 1 cm margin provides local control similar to that observed after a 3 cm margin. Another prospective randomized trial by the Melanoma Intergroup Committee in the United States concluded that for melanomas 1 to 4 mm in thickness, a 2 cm margin of resection provides local control that is as good as a 4 cm margin. For melanomas thicker than 4 mm, the current evidence suggests that a 2 cm margin is adequate, the chief manifestation of recurrence for these thick lesions being hematogenous and lymphogenous spread. The adoption of the narrower surgical margins suggested above should reduce the morbidity caused by the radical margins of the past without compromising local control of the disease.", "author" : [ { "dropping-particle" : "", "family" : "Cascinelli", "given" : "N", "non-dropping-particle" : "", "parse-names" : false, "suffix" : "" } ], "container-title" : "Seminars in surgical oncology", "id" : "ITEM-3", "issue" : "4", "issued" : { "date-parts" : [ [ "1998", "6" ] ] }, "page" : "272-5", "title" : "Margin of resection in the management of primary melanoma.", "type" : "article-journal", "volume" : "14" }, "uris" : [ "http://www.mendeley.com/documents/?uuid=f87760c8-82bf-46da-9d0b-3eb46afca3d6" ] } ], "mendeley" : { "formattedCitation" : "&lt;sup&gt;41,47,48&lt;/sup&gt;", "plainTextFormattedCitation" : "41,47,48", "previouslyFormattedCitation" : "&lt;sup&gt;41,47,48&lt;/sup&gt;" }, "properties" : { "noteIndex" : 0 }, "schema" : "https://github.com/citation-style-language/schema/raw/master/csl-citation.json" }</w:instrText>
            </w:r>
            <w:r w:rsidRPr="003E73CD">
              <w:rPr>
                <w:sz w:val="20"/>
                <w:szCs w:val="20"/>
              </w:rPr>
              <w:fldChar w:fldCharType="separate"/>
            </w:r>
            <w:r w:rsidRPr="003E73CD">
              <w:rPr>
                <w:noProof/>
                <w:sz w:val="20"/>
                <w:szCs w:val="20"/>
                <w:vertAlign w:val="superscript"/>
              </w:rPr>
              <w:t>41,47,48</w:t>
            </w:r>
            <w:r w:rsidRPr="003E73CD">
              <w:rPr>
                <w:sz w:val="20"/>
                <w:szCs w:val="20"/>
              </w:rPr>
              <w:fldChar w:fldCharType="end"/>
            </w:r>
          </w:p>
        </w:tc>
        <w:tc>
          <w:tcPr>
            <w:tcW w:w="662" w:type="pct"/>
            <w:shd w:val="clear" w:color="auto" w:fill="auto"/>
          </w:tcPr>
          <w:p w14:paraId="2F48B06E" w14:textId="77777777" w:rsidR="0061482C" w:rsidRPr="003E73CD" w:rsidRDefault="0061482C" w:rsidP="002D2F6B">
            <w:pPr>
              <w:rPr>
                <w:sz w:val="20"/>
                <w:szCs w:val="20"/>
              </w:rPr>
            </w:pPr>
            <w:r w:rsidRPr="003E73CD">
              <w:rPr>
                <w:sz w:val="20"/>
                <w:szCs w:val="20"/>
              </w:rPr>
              <w:t>1980-1985</w:t>
            </w:r>
          </w:p>
        </w:tc>
        <w:tc>
          <w:tcPr>
            <w:tcW w:w="394" w:type="pct"/>
            <w:shd w:val="clear" w:color="auto" w:fill="auto"/>
          </w:tcPr>
          <w:p w14:paraId="12A53C5D" w14:textId="77777777" w:rsidR="0061482C" w:rsidRPr="003E73CD" w:rsidRDefault="0061482C" w:rsidP="002D2F6B">
            <w:pPr>
              <w:rPr>
                <w:sz w:val="20"/>
                <w:szCs w:val="20"/>
              </w:rPr>
            </w:pPr>
            <w:r w:rsidRPr="003E73CD">
              <w:rPr>
                <w:sz w:val="20"/>
                <w:szCs w:val="20"/>
              </w:rPr>
              <w:t>1cm vs 3cm</w:t>
            </w:r>
          </w:p>
        </w:tc>
        <w:tc>
          <w:tcPr>
            <w:tcW w:w="563" w:type="pct"/>
            <w:shd w:val="clear" w:color="auto" w:fill="auto"/>
          </w:tcPr>
          <w:p w14:paraId="68096B70" w14:textId="77777777" w:rsidR="0061482C" w:rsidRPr="003E73CD" w:rsidRDefault="0061482C" w:rsidP="002D2F6B">
            <w:pPr>
              <w:rPr>
                <w:sz w:val="20"/>
                <w:szCs w:val="20"/>
              </w:rPr>
            </w:pPr>
            <w:r w:rsidRPr="003E73CD">
              <w:rPr>
                <w:sz w:val="20"/>
                <w:szCs w:val="20"/>
              </w:rPr>
              <w:t>1-2cm wider than skin excision</w:t>
            </w:r>
          </w:p>
        </w:tc>
        <w:tc>
          <w:tcPr>
            <w:tcW w:w="401" w:type="pct"/>
            <w:shd w:val="clear" w:color="auto" w:fill="auto"/>
          </w:tcPr>
          <w:p w14:paraId="4C6B959B" w14:textId="77777777" w:rsidR="0061482C" w:rsidRPr="003E73CD" w:rsidRDefault="0061482C" w:rsidP="002D2F6B">
            <w:pPr>
              <w:rPr>
                <w:sz w:val="20"/>
                <w:szCs w:val="20"/>
              </w:rPr>
            </w:pPr>
            <w:r w:rsidRPr="003E73CD">
              <w:rPr>
                <w:sz w:val="20"/>
                <w:szCs w:val="20"/>
              </w:rPr>
              <w:t>703</w:t>
            </w:r>
          </w:p>
        </w:tc>
        <w:tc>
          <w:tcPr>
            <w:tcW w:w="552" w:type="pct"/>
            <w:shd w:val="clear" w:color="auto" w:fill="auto"/>
          </w:tcPr>
          <w:p w14:paraId="5657470E" w14:textId="77777777" w:rsidR="0061482C" w:rsidRPr="003E73CD" w:rsidRDefault="0061482C" w:rsidP="002D2F6B">
            <w:pPr>
              <w:rPr>
                <w:rFonts w:eastAsia="ＭＳ ゴシック" w:cs="Baskerville"/>
                <w:color w:val="000000"/>
                <w:sz w:val="20"/>
                <w:szCs w:val="20"/>
              </w:rPr>
            </w:pPr>
            <w:r w:rsidRPr="003E73CD">
              <w:rPr>
                <w:rFonts w:eastAsia="ＭＳ ゴシック" w:cs="Baskerville"/>
                <w:color w:val="000000"/>
                <w:sz w:val="20"/>
                <w:szCs w:val="20"/>
              </w:rPr>
              <w:t>≤2mm</w:t>
            </w:r>
          </w:p>
          <w:p w14:paraId="6D4DC591" w14:textId="77777777" w:rsidR="0061482C" w:rsidRPr="003E73CD" w:rsidRDefault="0061482C" w:rsidP="002D2F6B">
            <w:pPr>
              <w:rPr>
                <w:sz w:val="20"/>
                <w:szCs w:val="20"/>
              </w:rPr>
            </w:pPr>
          </w:p>
        </w:tc>
        <w:tc>
          <w:tcPr>
            <w:tcW w:w="948" w:type="pct"/>
            <w:shd w:val="clear" w:color="auto" w:fill="auto"/>
          </w:tcPr>
          <w:p w14:paraId="5BA13194" w14:textId="77777777" w:rsidR="0061482C" w:rsidRPr="003E73CD" w:rsidRDefault="0061482C" w:rsidP="002D2F6B">
            <w:pPr>
              <w:rPr>
                <w:sz w:val="20"/>
                <w:szCs w:val="20"/>
              </w:rPr>
            </w:pPr>
          </w:p>
        </w:tc>
        <w:tc>
          <w:tcPr>
            <w:tcW w:w="634" w:type="pct"/>
            <w:shd w:val="clear" w:color="auto" w:fill="auto"/>
          </w:tcPr>
          <w:p w14:paraId="51F7D5CD" w14:textId="77777777" w:rsidR="0061482C" w:rsidRPr="003E73CD" w:rsidRDefault="0061482C" w:rsidP="002D2F6B">
            <w:pPr>
              <w:rPr>
                <w:sz w:val="20"/>
                <w:szCs w:val="20"/>
              </w:rPr>
            </w:pPr>
            <w:r w:rsidRPr="003E73CD">
              <w:rPr>
                <w:sz w:val="20"/>
                <w:szCs w:val="20"/>
              </w:rPr>
              <w:t>At 8yrs 89.6% (1cm) vs 90.3% (3cm), p =0.64</w:t>
            </w:r>
          </w:p>
        </w:tc>
      </w:tr>
      <w:tr w:rsidR="0061482C" w:rsidRPr="003E73CD" w14:paraId="36562F83" w14:textId="77777777" w:rsidTr="002D2F6B">
        <w:tc>
          <w:tcPr>
            <w:tcW w:w="846" w:type="pct"/>
            <w:shd w:val="clear" w:color="auto" w:fill="auto"/>
          </w:tcPr>
          <w:p w14:paraId="346C87D3" w14:textId="77777777" w:rsidR="0061482C" w:rsidRPr="003E73CD" w:rsidRDefault="0061482C" w:rsidP="002D2F6B">
            <w:pPr>
              <w:rPr>
                <w:sz w:val="20"/>
                <w:szCs w:val="20"/>
              </w:rPr>
            </w:pPr>
            <w:r w:rsidRPr="003E73CD">
              <w:rPr>
                <w:sz w:val="20"/>
                <w:szCs w:val="20"/>
              </w:rPr>
              <w:t>French Co-operative Group</w:t>
            </w:r>
            <w:r w:rsidRPr="003E73CD">
              <w:rPr>
                <w:sz w:val="20"/>
                <w:szCs w:val="20"/>
              </w:rPr>
              <w:fldChar w:fldCharType="begin" w:fldLock="1"/>
            </w:r>
            <w:r w:rsidRPr="003E73CD">
              <w:rPr>
                <w:sz w:val="20"/>
                <w:szCs w:val="20"/>
              </w:rPr>
              <w:instrText>ADDIN CSL_CITATION { "citationItems" : [ { "id" : "ITEM-1", "itemData" : { "DOI" : "10.1002/cncr.11272", "ISSN" : "0008-543X", "PMID" : "12673721", "abstract" : "BACKGROUND: This study addressed the question of whether limited surgery for primary malignant melanoma with a 2-cm margin is as good as a 5-cm margin. An update of a 16-year follow-up is provided.\n\nMETHODS: Nine European Centers, over a period of 5 years, prospectively randomized 337 patients with melanoma measuring less than 2.1 mm in thickness to undergo a local excision with either a 2-cm or a 5-cm margin. Three hundred twenty-six patients were eligible for statistical analysis. Excluded from the trial were patients older than 70 years; those with melanomas from the toe, nail, or finger; and those with acral-lentiginous melanoma. A separate randomization was performed to independently test an adjuvant treatment with a nonspecific immunostimulant, isoprinosine, compared with observation. The median follow-up time was 192 months (16 years) for the estimation of survival and disease recurrences.\n\nRESULTS: There were 22 tumor recurrences in the 2-cm arm and 33 in the 5-cm arm. The median time to disease recurrence was 43 months and 37.6 months, respectively. The 10-year disease-free survival rates were 85% for the group with a 2-cm margin and 83% for the group with a 5-cm margin. There was no difference in the 10-year overall survival rates (87% vs. 86%). Isoprinosine did not demonstrate any activity in this setting.\n\nCONCLUSIONS: The authors concluded that for melanoma less than 2.1-mm thick, a margin of excision of 2 cm is sufficient. A larger margin of 5 cm does not appear to have any impact on either the rate or the time to disease recurrence or on survival.", "author" : [ { "dropping-particle" : "", "family" : "Khayat", "given" : "David", "non-dropping-particle" : "", "parse-names" : false, "suffix" : "" }, { "dropping-particle" : "", "family" : "Rixe", "given" : "Olivier", "non-dropping-particle" : "", "parse-names" : false, "suffix" : "" }, { "dropping-particle" : "", "family" : "Martin", "given" : "Ginette", "non-dropping-particle" : "", "parse-names" : false, "suffix" : "" }, { "dropping-particle" : "", "family" : "Soubrane", "given" : "Claude", "non-dropping-particle" : "", "parse-names" : false, "suffix" : "" }, { "dropping-particle" : "", "family" : "Banzet", "given" : "Martine", "non-dropping-particle" : "", "parse-names" : false, "suffix" : "" }, { "dropping-particle" : "", "family" : "Bazex", "given" : "Jacques-Andr\u00e9", "non-dropping-particle" : "", "parse-names" : false, "suffix" : "" }, { "dropping-particle" : "", "family" : "Lauret", "given" : "Philippe", "non-dropping-particle" : "", "parse-names" : false, "suffix" : "" }, { "dropping-particle" : "", "family" : "V\u00e9rola", "given" : "Olivier", "non-dropping-particle" : "", "parse-names" : false, "suffix" : "" }, { "dropping-particle" : "", "family" : "Auclerc", "given" : "G\u00e9rard", "non-dropping-particle" : "", "parse-names" : false, "suffix" : "" }, { "dropping-particle" : "", "family" : "Harper", "given" : "Peter", "non-dropping-particle" : "", "parse-names" : false, "suffix" : "" }, { "dropping-particle" : "", "family" : "Banzet", "given" : "Pierre", "non-dropping-particle" : "", "parse-names" : false, "suffix" : "" } ], "container-title" : "Cancer", "id" : "ITEM-1", "issue" : "8", "issued" : { "date-parts" : [ [ "2003", "4", "15" ] ] }, "page" : "1941-6", "title" : "Surgical margins in cutaneous melanoma (2 cm versus 5 cm for lesions measuring less than 2.1-mm thick).", "type" : "article-journal", "volume" : "97" }, "uris" : [ "http://www.mendeley.com/documents/?uuid=b263fdaf-620f-4308-bab5-9bd413c7d11e" ] } ], "mendeley" : { "formattedCitation" : "&lt;sup&gt;44&lt;/sup&gt;", "plainTextFormattedCitation" : "44", "previouslyFormattedCitation" : "&lt;sup&gt;44&lt;/sup&gt;" }, "properties" : { "noteIndex" : 0 }, "schema" : "https://github.com/citation-style-language/schema/raw/master/csl-citation.json" }</w:instrText>
            </w:r>
            <w:r w:rsidRPr="003E73CD">
              <w:rPr>
                <w:sz w:val="20"/>
                <w:szCs w:val="20"/>
              </w:rPr>
              <w:fldChar w:fldCharType="separate"/>
            </w:r>
            <w:r w:rsidRPr="003E73CD">
              <w:rPr>
                <w:noProof/>
                <w:sz w:val="20"/>
                <w:szCs w:val="20"/>
                <w:vertAlign w:val="superscript"/>
              </w:rPr>
              <w:t>44</w:t>
            </w:r>
            <w:r w:rsidRPr="003E73CD">
              <w:rPr>
                <w:sz w:val="20"/>
                <w:szCs w:val="20"/>
              </w:rPr>
              <w:fldChar w:fldCharType="end"/>
            </w:r>
          </w:p>
        </w:tc>
        <w:tc>
          <w:tcPr>
            <w:tcW w:w="662" w:type="pct"/>
            <w:shd w:val="clear" w:color="auto" w:fill="auto"/>
          </w:tcPr>
          <w:p w14:paraId="42A37DDF" w14:textId="77777777" w:rsidR="0061482C" w:rsidRPr="003E73CD" w:rsidRDefault="0061482C" w:rsidP="002D2F6B">
            <w:pPr>
              <w:rPr>
                <w:sz w:val="20"/>
                <w:szCs w:val="20"/>
              </w:rPr>
            </w:pPr>
            <w:r w:rsidRPr="003E73CD">
              <w:rPr>
                <w:sz w:val="20"/>
                <w:szCs w:val="20"/>
              </w:rPr>
              <w:t>1981-1986</w:t>
            </w:r>
          </w:p>
        </w:tc>
        <w:tc>
          <w:tcPr>
            <w:tcW w:w="394" w:type="pct"/>
            <w:shd w:val="clear" w:color="auto" w:fill="auto"/>
          </w:tcPr>
          <w:p w14:paraId="1520B426" w14:textId="77777777" w:rsidR="0061482C" w:rsidRPr="003E73CD" w:rsidRDefault="0061482C" w:rsidP="002D2F6B">
            <w:pPr>
              <w:rPr>
                <w:sz w:val="20"/>
                <w:szCs w:val="20"/>
              </w:rPr>
            </w:pPr>
            <w:r w:rsidRPr="003E73CD">
              <w:rPr>
                <w:sz w:val="20"/>
                <w:szCs w:val="20"/>
              </w:rPr>
              <w:t>2cm vs 5cm</w:t>
            </w:r>
          </w:p>
        </w:tc>
        <w:tc>
          <w:tcPr>
            <w:tcW w:w="563" w:type="pct"/>
            <w:shd w:val="clear" w:color="auto" w:fill="auto"/>
          </w:tcPr>
          <w:p w14:paraId="22ABCB02" w14:textId="77777777" w:rsidR="0061482C" w:rsidRPr="003E73CD" w:rsidRDefault="0061482C" w:rsidP="002D2F6B">
            <w:pPr>
              <w:rPr>
                <w:sz w:val="20"/>
                <w:szCs w:val="20"/>
              </w:rPr>
            </w:pPr>
            <w:r w:rsidRPr="003E73CD">
              <w:rPr>
                <w:sz w:val="20"/>
                <w:szCs w:val="20"/>
              </w:rPr>
              <w:t>Extended down to muscle fascia</w:t>
            </w:r>
          </w:p>
        </w:tc>
        <w:tc>
          <w:tcPr>
            <w:tcW w:w="401" w:type="pct"/>
            <w:shd w:val="clear" w:color="auto" w:fill="auto"/>
          </w:tcPr>
          <w:p w14:paraId="3397BDDB" w14:textId="77777777" w:rsidR="0061482C" w:rsidRPr="003E73CD" w:rsidRDefault="0061482C" w:rsidP="002D2F6B">
            <w:pPr>
              <w:rPr>
                <w:sz w:val="20"/>
                <w:szCs w:val="20"/>
              </w:rPr>
            </w:pPr>
            <w:r w:rsidRPr="003E73CD">
              <w:rPr>
                <w:sz w:val="20"/>
                <w:szCs w:val="20"/>
              </w:rPr>
              <w:t>337</w:t>
            </w:r>
          </w:p>
        </w:tc>
        <w:tc>
          <w:tcPr>
            <w:tcW w:w="552" w:type="pct"/>
            <w:shd w:val="clear" w:color="auto" w:fill="auto"/>
          </w:tcPr>
          <w:p w14:paraId="5F5B41E4" w14:textId="77777777" w:rsidR="0061482C" w:rsidRPr="003E73CD" w:rsidRDefault="0061482C" w:rsidP="002D2F6B">
            <w:pPr>
              <w:rPr>
                <w:sz w:val="20"/>
                <w:szCs w:val="20"/>
              </w:rPr>
            </w:pPr>
            <w:r w:rsidRPr="003E73CD">
              <w:rPr>
                <w:sz w:val="20"/>
                <w:szCs w:val="20"/>
              </w:rPr>
              <w:t>&lt;2mm, age &lt;70</w:t>
            </w:r>
          </w:p>
        </w:tc>
        <w:tc>
          <w:tcPr>
            <w:tcW w:w="948" w:type="pct"/>
            <w:shd w:val="clear" w:color="auto" w:fill="auto"/>
          </w:tcPr>
          <w:p w14:paraId="4AFB9EAB" w14:textId="77777777" w:rsidR="0061482C" w:rsidRPr="003E73CD" w:rsidRDefault="0061482C" w:rsidP="002D2F6B">
            <w:pPr>
              <w:rPr>
                <w:sz w:val="20"/>
                <w:szCs w:val="20"/>
              </w:rPr>
            </w:pPr>
            <w:r w:rsidRPr="003E73CD">
              <w:rPr>
                <w:sz w:val="20"/>
                <w:szCs w:val="20"/>
              </w:rPr>
              <w:t>Toe, nail, finger lesions, melanomas arising form melanosis, lentigo and acral lesions.</w:t>
            </w:r>
          </w:p>
        </w:tc>
        <w:tc>
          <w:tcPr>
            <w:tcW w:w="634" w:type="pct"/>
            <w:shd w:val="clear" w:color="auto" w:fill="auto"/>
          </w:tcPr>
          <w:p w14:paraId="3202F3F8" w14:textId="77777777" w:rsidR="0061482C" w:rsidRPr="003E73CD" w:rsidRDefault="0061482C" w:rsidP="002D2F6B">
            <w:pPr>
              <w:rPr>
                <w:sz w:val="20"/>
                <w:szCs w:val="20"/>
              </w:rPr>
            </w:pPr>
            <w:r w:rsidRPr="003E73CD">
              <w:rPr>
                <w:sz w:val="20"/>
                <w:szCs w:val="20"/>
              </w:rPr>
              <w:t>At 10yrs 87% (2cm) vs 85% (5cm), p=0.56</w:t>
            </w:r>
          </w:p>
        </w:tc>
      </w:tr>
      <w:tr w:rsidR="0061482C" w:rsidRPr="003E73CD" w14:paraId="5451FC0B" w14:textId="77777777" w:rsidTr="002D2F6B">
        <w:tc>
          <w:tcPr>
            <w:tcW w:w="846" w:type="pct"/>
            <w:shd w:val="clear" w:color="auto" w:fill="auto"/>
          </w:tcPr>
          <w:p w14:paraId="236973D5" w14:textId="77777777" w:rsidR="0061482C" w:rsidRPr="003E73CD" w:rsidRDefault="0061482C" w:rsidP="002D2F6B">
            <w:pPr>
              <w:rPr>
                <w:sz w:val="20"/>
                <w:szCs w:val="20"/>
              </w:rPr>
            </w:pPr>
            <w:r w:rsidRPr="003E73CD">
              <w:rPr>
                <w:sz w:val="20"/>
                <w:szCs w:val="20"/>
              </w:rPr>
              <w:t>Intergroup Melanoma Trial</w:t>
            </w:r>
            <w:r w:rsidRPr="003E73CD">
              <w:rPr>
                <w:sz w:val="20"/>
                <w:szCs w:val="20"/>
              </w:rPr>
              <w:fldChar w:fldCharType="begin" w:fldLock="1"/>
            </w:r>
            <w:r w:rsidRPr="003E73CD">
              <w:rPr>
                <w:sz w:val="20"/>
                <w:szCs w:val="20"/>
              </w:rPr>
              <w:instrText>ADDIN CSL_CITATION { "citationItems" : [ { "id" : "ITEM-1", "itemData" : { "ISSN" : "1068-9265", "PMID" : "11258773", "abstract" : "BACKGROUND: The Intergroup Melanoma Surgical Trial began in 1983 to examine the optimal surgical margins of excision for primary melanomas of intermediate thickness (i.e., 1-4 mm). There is now a median 10-year follow-up.\n\nMETHODS: There were two cohorts entered into a prospective multi-institutional trial: (1) 468 patients with melanomas on the trunk or proximal extremity who randomly received a 2 cm or 4 cm radial excision margin and (2) 272 patients with melanomas on the head, neck, or distal extremities who received a 2 cm radial excision margin.\n\nRESULTS: A local recurrence (LR) was associated with a high mortality rate, with a 5-year survival rate of only 9% (as a first relapse) or 11% (anytime) compared with an 86% survival for those patients who did not have a LR (P &lt; .0001). The 10-year survival for all patients with a LR was 5%. The 10-year survival rates were not significantly different when comparing 2 cm vs. 4 cm margins of excision (70% vs. 77%) or comparing the management of the regional lymph nodes (observation vs. elective node dissection). The incidences of LR were the same for patients having a 2 cm vs. 4 cm excision margin regardless of whether the comparisons were made as first relapse (0.4% vs. 0.9%) or at anytime (2.1% vs. 2.6%). When analyzed by anatomic site, the LR rates were 1.1% for melanomas arising on the proximal extremity, 3.1% for the trunk, 5.3% for the distal extremities, and 9.4% for the head and neck. The most profound influence on LR rates was the presence or absence of ulceration; it was 6.6% vs. 1.1% in the randomized group involving the trunk and proximal extremity and was 16.2% vs. 2.1% in the non-randomized group involving the distal extremity and head and neck (P &lt; .001). A multivariate (Cox) regression analysis showed that ulceration was an adverse and independent factor (P = .0001) as was head and neck melanoma site (P = .01), while the remaining factors were not significant (all with P &gt; .12).\n\nCONCLUSION: For this group of melanoma patients, a local recurrence is associated with a high mortality rate, a 2-cm margin of excision is safe and ulceration of the primary melanoma is the most significant prognostic factor heralding an increased risk for a local recurrence.", "author" : [ { "dropping-particle" : "", "family" : "Balch", "given" : "C M", "non-dropping-particle" : "", "parse-names" : false, "suffix" : "" }, { "dropping-particle" : "", "family" : "Soong", "given" : "S J", "non-dropping-particle" : "", "parse-names" : false, "suffix" : "" }, { "dropping-particle" : "", "family" : "Smith", "given" : "T", "non-dropping-particle" : "", "parse-names" : false, "suffix" : "" }, { "dropping-particle" : "", "family" : "Ross", "given" : "M I", "non-dropping-particle" : "", "parse-names" : false, "suffix" : "" }, { "dropping-particle" : "", "family" : "Urist", "given" : "M M", "non-dropping-particle" : "", "parse-names" : false, "suffix" : "" }, { "dropping-particle" : "", "family" : "Karakousis", "given" : "C P", "non-dropping-particle" : "", "parse-names" : false, "suffix" : "" }, { "dropping-particle" : "", "family" : "Temple", "given" : "W J", "non-dropping-particle" : "", "parse-names" : false, "suffix" : "" }, { "dropping-particle" : "", "family" : "Mihm", "given" : "M C", "non-dropping-particle" : "", "parse-names" : false, "suffix" : "" }, { "dropping-particle" : "", "family" : "Barnhill", "given" : "R L", "non-dropping-particle" : "", "parse-names" : false, "suffix" : "" }, { "dropping-particle" : "", "family" : "Jewell", "given" : "W R", "non-dropping-particle" : "", "parse-names" : false, "suffix" : "" }, { "dropping-particle" : "", "family" : "Wanebo", "given" : "H J", "non-dropping-particle" : "", "parse-names" : false, "suffix" : "" }, { "dropping-particle" : "", "family" : "Desmond", "given" : "R", "non-dropping-particle" : "", "parse-names" : false, "suffix" : "" } ], "container-title" : "Annals of surgical oncology", "id" : "ITEM-1", "issue" : "2", "issued" : { "date-parts" : [ [ "2001", "3" ] ] }, "page" : "101-8", "title" : "Long-term results of a prospective surgical trial comparing 2 cm vs. 4 cm excision margins for 740 patients with 1-4 mm melanomas.", "type" : "article-journal", "volume" : "8" }, "uris" : [ "http://www.mendeley.com/documents/?uuid=eebd0df7-5685-4a07-93b5-e05c91a97455" ] }, { "id" : "ITEM-2", "itemData" : { "ISSN" : "0003-4932", "PMID" : "8373269", "abstract" : "BACKGROUND: A prospective, multi-institutional, randomized surgical trial involving 486 localized melanoma patients was conducted to determine whether excision margins for intermediate-thickness melanomas (1.0 to 4.0 mm) could be safely reduced from the standard 4-cm radius.\n\nMETHODS: Patients with 1- to 4-mm-thick melanomas on the trunk or proximal extremities were randomly assigned to receive either a 2- or 4-cm surgical margin.\n\nRESULTS: The median follow-up time was 6 years. The local recurrence rate was 0.8% for 2-cm margins and 1.7% for 4-cm margins (p value not significant [NS]). The rates of in-transit metastases were 2.1% and 2.5%, respectively (p = NS). Of the six patients with local recurrences, five have died. Recurrence rates did not correlate with surgical margins, even among stratified thickness groups. The overall 5-year survival rate was 79.5% for the 2-cm margin patients and 83.7% for the 4-cm margin patients (p = NS). The need for skin grafting was reduced from 46% with 4-cm surgical margins to 11% with 2-cm surgical margins (p &lt; 0.001). The hospital stay was shortened from 7.0 days for patients receiving 4-cm surgical margins to 5.2 days for those receiving 2-cm margins (p = 0.0001). This reduction was largely due to reduced need for skin grafting, since the hospital stay for those who had a skin graft was 2.5 days longer than that for those who had a primary wound closure (p &lt; 0.01).\n\nCONCLUSION: Margins of excision can be safely reduced to 2 cm for patients with intermediate-thickness melanomas. The narrower margins significantly reduced the need for skin grafting and shortened the hospital stay.", "author" : [ { "dropping-particle" : "", "family" : "Balch", "given" : "C M", "non-dropping-particle" : "", "parse-names" : false, "suffix" : "" }, { "dropping-particle" : "", "family" : "Urist", "given" : "M M", "non-dropping-particle" : "", "parse-names" : false, "suffix" : "" }, { "dropping-particle" : "", "family" : "Karakousis", "given" : "C P", "non-dropping-particle" : "", "parse-names" : false, "suffix" : "" }, { "dropping-particle" : "", "family" : "Smith", "given" : "T J", "non-dropping-particle" : "", "parse-names" : false, "suffix" : "" }, { "dropping-particle" : "", "family" : "Temple", "given" : "W J", "non-dropping-particle" : "", "parse-names" : false, "suffix" : "" }, { "dropping-particle" : "", "family" : "Drzewiecki", "given" : "K", "non-dropping-particle" : "", "parse-names" : false, "suffix" : "" }, { "dropping-particle" : "", "family" : "Jewell", "given" : "W R", "non-dropping-particle" : "", "parse-names" : false, "suffix" : "" }, { "dropping-particle" : "", "family" : "Bartolucci", "given" : "A A", "non-dropping-particle" : "", "parse-names" : false, "suffix" : "" }, { "dropping-particle" : "", "family" : "Mihm", "given" : "M C", "non-dropping-particle" : "", "parse-names" : false, "suffix" : "" }, { "dropping-particle" : "", "family" : "Barnhill", "given" : "R", "non-dropping-particle" : "", "parse-names" : false, "suffix" : "" } ], "container-title" : "Annals of surgery", "id" : "ITEM-2", "issue" : "3", "issued" : { "date-parts" : [ [ "1993", "9" ] ] }, "page" : "262-7; discussion 267-9", "title" : "Efficacy of 2-cm surgical margins for intermediate-thickness melanomas (1 to 4 mm). Results of a multi-institutional randomized surgical trial.", "type" : "article-journal", "volume" : "218" }, "uris" : [ "http://www.mendeley.com/documents/?uuid=334d1709-7962-42cf-9f1e-3dfcf0df2542" ] } ], "mendeley" : { "formattedCitation" : "&lt;sup&gt;42,49&lt;/sup&gt;", "plainTextFormattedCitation" : "42,49", "previouslyFormattedCitation" : "&lt;sup&gt;42,49&lt;/sup&gt;" }, "properties" : { "noteIndex" : 0 }, "schema" : "https://github.com/citation-style-language/schema/raw/master/csl-citation.json" }</w:instrText>
            </w:r>
            <w:r w:rsidRPr="003E73CD">
              <w:rPr>
                <w:sz w:val="20"/>
                <w:szCs w:val="20"/>
              </w:rPr>
              <w:fldChar w:fldCharType="separate"/>
            </w:r>
            <w:r w:rsidRPr="003E73CD">
              <w:rPr>
                <w:noProof/>
                <w:sz w:val="20"/>
                <w:szCs w:val="20"/>
                <w:vertAlign w:val="superscript"/>
              </w:rPr>
              <w:t>42,49</w:t>
            </w:r>
            <w:r w:rsidRPr="003E73CD">
              <w:rPr>
                <w:sz w:val="20"/>
                <w:szCs w:val="20"/>
              </w:rPr>
              <w:fldChar w:fldCharType="end"/>
            </w:r>
          </w:p>
        </w:tc>
        <w:tc>
          <w:tcPr>
            <w:tcW w:w="662" w:type="pct"/>
            <w:shd w:val="clear" w:color="auto" w:fill="auto"/>
          </w:tcPr>
          <w:p w14:paraId="1F8D718C" w14:textId="77777777" w:rsidR="0061482C" w:rsidRPr="003E73CD" w:rsidRDefault="0061482C" w:rsidP="002D2F6B">
            <w:pPr>
              <w:rPr>
                <w:sz w:val="20"/>
                <w:szCs w:val="20"/>
              </w:rPr>
            </w:pPr>
            <w:r w:rsidRPr="003E73CD">
              <w:rPr>
                <w:sz w:val="20"/>
                <w:szCs w:val="20"/>
              </w:rPr>
              <w:t>Not stated</w:t>
            </w:r>
          </w:p>
        </w:tc>
        <w:tc>
          <w:tcPr>
            <w:tcW w:w="394" w:type="pct"/>
            <w:shd w:val="clear" w:color="auto" w:fill="auto"/>
          </w:tcPr>
          <w:p w14:paraId="1049C00F" w14:textId="77777777" w:rsidR="0061482C" w:rsidRPr="003E73CD" w:rsidRDefault="0061482C" w:rsidP="002D2F6B">
            <w:pPr>
              <w:rPr>
                <w:sz w:val="20"/>
                <w:szCs w:val="20"/>
              </w:rPr>
            </w:pPr>
            <w:r w:rsidRPr="003E73CD">
              <w:rPr>
                <w:sz w:val="20"/>
                <w:szCs w:val="20"/>
              </w:rPr>
              <w:t>2cm vs 4 cm</w:t>
            </w:r>
          </w:p>
        </w:tc>
        <w:tc>
          <w:tcPr>
            <w:tcW w:w="563" w:type="pct"/>
            <w:shd w:val="clear" w:color="auto" w:fill="auto"/>
          </w:tcPr>
          <w:p w14:paraId="7859BBC3" w14:textId="77777777" w:rsidR="0061482C" w:rsidRPr="003E73CD" w:rsidRDefault="0061482C" w:rsidP="002D2F6B">
            <w:pPr>
              <w:rPr>
                <w:sz w:val="20"/>
                <w:szCs w:val="20"/>
              </w:rPr>
            </w:pPr>
            <w:r w:rsidRPr="003E73CD">
              <w:rPr>
                <w:sz w:val="20"/>
                <w:szCs w:val="20"/>
              </w:rPr>
              <w:t>Same as skin down to or including fascia</w:t>
            </w:r>
          </w:p>
        </w:tc>
        <w:tc>
          <w:tcPr>
            <w:tcW w:w="401" w:type="pct"/>
            <w:shd w:val="clear" w:color="auto" w:fill="auto"/>
          </w:tcPr>
          <w:p w14:paraId="25853083" w14:textId="77777777" w:rsidR="0061482C" w:rsidRPr="003E73CD" w:rsidRDefault="0061482C" w:rsidP="002D2F6B">
            <w:pPr>
              <w:rPr>
                <w:sz w:val="20"/>
                <w:szCs w:val="20"/>
              </w:rPr>
            </w:pPr>
            <w:r w:rsidRPr="003E73CD">
              <w:rPr>
                <w:sz w:val="20"/>
                <w:szCs w:val="20"/>
              </w:rPr>
              <w:t>486*</w:t>
            </w:r>
          </w:p>
          <w:p w14:paraId="01A2D10F" w14:textId="77777777" w:rsidR="0061482C" w:rsidRPr="003E73CD" w:rsidRDefault="0061482C" w:rsidP="002D2F6B">
            <w:pPr>
              <w:rPr>
                <w:sz w:val="20"/>
                <w:szCs w:val="20"/>
              </w:rPr>
            </w:pPr>
            <w:r w:rsidRPr="003E73CD">
              <w:rPr>
                <w:sz w:val="20"/>
                <w:szCs w:val="20"/>
              </w:rPr>
              <w:t>470*</w:t>
            </w:r>
          </w:p>
          <w:p w14:paraId="5E3ADA27" w14:textId="77777777" w:rsidR="0061482C" w:rsidRPr="003E73CD" w:rsidRDefault="0061482C" w:rsidP="002D2F6B">
            <w:pPr>
              <w:rPr>
                <w:sz w:val="20"/>
                <w:szCs w:val="20"/>
              </w:rPr>
            </w:pPr>
            <w:r w:rsidRPr="003E73CD">
              <w:rPr>
                <w:sz w:val="20"/>
                <w:szCs w:val="20"/>
              </w:rPr>
              <w:t>468*</w:t>
            </w:r>
          </w:p>
        </w:tc>
        <w:tc>
          <w:tcPr>
            <w:tcW w:w="552" w:type="pct"/>
            <w:shd w:val="clear" w:color="auto" w:fill="auto"/>
          </w:tcPr>
          <w:p w14:paraId="12D002BB" w14:textId="77777777" w:rsidR="0061482C" w:rsidRPr="003E73CD" w:rsidRDefault="0061482C" w:rsidP="002D2F6B">
            <w:pPr>
              <w:rPr>
                <w:sz w:val="20"/>
                <w:szCs w:val="20"/>
              </w:rPr>
            </w:pPr>
            <w:r w:rsidRPr="003E73CD">
              <w:rPr>
                <w:sz w:val="20"/>
                <w:szCs w:val="20"/>
              </w:rPr>
              <w:t xml:space="preserve">1 to 4 mm </w:t>
            </w:r>
          </w:p>
        </w:tc>
        <w:tc>
          <w:tcPr>
            <w:tcW w:w="948" w:type="pct"/>
            <w:shd w:val="clear" w:color="auto" w:fill="auto"/>
          </w:tcPr>
          <w:p w14:paraId="510588D7" w14:textId="77777777" w:rsidR="0061482C" w:rsidRPr="003E73CD" w:rsidRDefault="0061482C" w:rsidP="002D2F6B">
            <w:pPr>
              <w:rPr>
                <w:sz w:val="20"/>
                <w:szCs w:val="20"/>
              </w:rPr>
            </w:pPr>
            <w:r w:rsidRPr="003E73CD">
              <w:rPr>
                <w:sz w:val="20"/>
                <w:szCs w:val="20"/>
              </w:rPr>
              <w:t>Lentigo maligna melanoma, melanomas distal to knee or elbow or on head and neck</w:t>
            </w:r>
          </w:p>
        </w:tc>
        <w:tc>
          <w:tcPr>
            <w:tcW w:w="634" w:type="pct"/>
            <w:shd w:val="clear" w:color="auto" w:fill="auto"/>
          </w:tcPr>
          <w:p w14:paraId="5C5F6FD4" w14:textId="77777777" w:rsidR="0061482C" w:rsidRPr="003E73CD" w:rsidRDefault="0061482C" w:rsidP="002D2F6B">
            <w:pPr>
              <w:rPr>
                <w:sz w:val="20"/>
                <w:szCs w:val="20"/>
              </w:rPr>
            </w:pPr>
            <w:r w:rsidRPr="003E73CD">
              <w:rPr>
                <w:sz w:val="20"/>
                <w:szCs w:val="20"/>
              </w:rPr>
              <w:t>At 10 yrs 70% (2cm) vs 77% (4cm), p=0.07</w:t>
            </w:r>
          </w:p>
        </w:tc>
      </w:tr>
      <w:tr w:rsidR="0061482C" w:rsidRPr="003E73CD" w14:paraId="1A291558" w14:textId="77777777" w:rsidTr="002D2F6B">
        <w:tc>
          <w:tcPr>
            <w:tcW w:w="846" w:type="pct"/>
            <w:shd w:val="clear" w:color="auto" w:fill="auto"/>
          </w:tcPr>
          <w:p w14:paraId="683F1EA4" w14:textId="77777777" w:rsidR="0061482C" w:rsidRPr="003E73CD" w:rsidRDefault="0061482C" w:rsidP="002D2F6B">
            <w:pPr>
              <w:rPr>
                <w:sz w:val="20"/>
                <w:szCs w:val="20"/>
              </w:rPr>
            </w:pPr>
            <w:r w:rsidRPr="003E73CD">
              <w:rPr>
                <w:sz w:val="20"/>
                <w:szCs w:val="20"/>
              </w:rPr>
              <w:t>Swedish Melanoma Study Group</w:t>
            </w:r>
            <w:r w:rsidRPr="003E73CD">
              <w:rPr>
                <w:sz w:val="20"/>
                <w:szCs w:val="20"/>
              </w:rPr>
              <w:fldChar w:fldCharType="begin" w:fldLock="1"/>
            </w:r>
            <w:r w:rsidRPr="003E73CD">
              <w:rPr>
                <w:sz w:val="20"/>
                <w:szCs w:val="20"/>
              </w:rPr>
              <w:instrText>ADDIN CSL_CITATION { "citationItems" : [ { "id" : "ITEM-1", "itemData" : { "ISSN" : "0008-543X", "PMID" : "11013363", "abstract" : "BACKGROUND: Large, prospective, randomized trials with long term follow-up are required to obtain an unbiased evaluation of the significance of resection margins in patients with cutaneous melanoma.\n\nMETHODS: The Swedish Melanoma Study Group performed a prospective, randomized, multicenter study of patients with primary melanoma located on trunk or extremities and with a tumor thickness &gt; 0.8 mm and &lt;/= 2 mm. Patients were allocated randomly to a 2-cm excision margin or a 5-cm excision margin. In total, 989 patients were recruited during the period 1982-1991. The median follow-up was 11 years (range, 7-17 years) for estimation of survival and 8 years (range, 0-17 years) for evaluation of recurrent disease.\n\nRESULTS: The crude rate of local recurrence, defined as a recurrence in the scar or transplant, was &lt; 1% (8 of 989 patients). Twenty percent of the patients (194 of 989 patients) experienced any disease recurrence, and 15% (146 of 989 patients) died of melanoma. There were no statistically significant differences between the two treatment arms. In a multivariate Cox analysis with patients allocated to wide excision as the reference group, the estimated relative hazards for overall survival and recurrence free survival among those allocated to a 2-cm resection margin were 0.96 (95% confidence interval, 0.75-1.24), and 1.02 (95% confidence interval, 0.80-1.30), respectively.\n\nCONCLUSIONS: In this long term follow-up study, local recurrences were found to be rare among patients with tumors &gt; 0.8 mm thick and &lt;/= 2.0 mm thick. No difference in recurrence rate or survival between the two treatment groups was found. Patients in this category can be treated with a resection margin of 2 cm as safely as with a resection margin of 5 cm.", "author" : [ { "dropping-particle" : "", "family" : "Cohn-Cedermark", "given" : "G", "non-dropping-particle" : "", "parse-names" : false, "suffix" : "" }, { "dropping-particle" : "", "family" : "Rutqvist", "given" : "L E", "non-dropping-particle" : "", "parse-names" : false, "suffix" : "" }, { "dropping-particle" : "", "family" : "Andersson", "given" : "R", "non-dropping-particle" : "", "parse-names" : false, "suffix" : "" }, { "dropping-particle" : "", "family" : "Breivald", "given" : "M", "non-dropping-particle" : "", "parse-names" : false, "suffix" : "" }, { "dropping-particle" : "", "family" : "Ingvar", "given" : "C", "non-dropping-particle" : "", "parse-names" : false, "suffix" : "" }, { "dropping-particle" : "", "family" : "Johansson", "given" : "H", "non-dropping-particle" : "", "parse-names" : false, "suffix" : "" }, { "dropping-particle" : "", "family" : "J\u00f6nsson", "given" : "P E", "non-dropping-particle" : "", "parse-names" : false, "suffix" : "" }, { "dropping-particle" : "", "family" : "Krysander", "given" : "L", "non-dropping-particle" : "", "parse-names" : false, "suffix" : "" }, { "dropping-particle" : "", "family" : "Lindholm", "given" : "C", "non-dropping-particle" : "", "parse-names" : false, "suffix" : "" }, { "dropping-particle" : "", "family" : "Ringborg", "given" : "U", "non-dropping-particle" : "", "parse-names" : false, "suffix" : "" } ], "container-title" : "Cancer", "id" : "ITEM-1", "issue" : "7", "issued" : { "date-parts" : [ [ "2000", "10", "1" ] ] }, "page" : "1495-501", "title" : "Long term results of a randomized study by the Swedish Melanoma Study Group on 2-cm versus 5-cm resection margins for patients with cutaneous melanoma with a tumor thickness of 0.8-2.0 mm.", "type" : "article-journal", "volume" : "89" }, "uris" : [ "http://www.mendeley.com/documents/?uuid=32de1304-02c9-4724-bcb3-c08f8b9645ec" ] }, { "id" : "ITEM-2", "itemData" : { "DOI" : "10.1002/(SICI)1097-0142(19960501)77:9&lt;1809::AID-CNCR8&gt;3.0.CO;2-6", "ISSN" : "0008-543X", "PMID" : "8646678", "abstract" : "BACKGROUND: The traditional surgical treatment for primary malignant melanoma has often been a wide excision with a margin of about 5 cm. Since the risk of local recurrences is dependent on tumor thickness, thin tumors (&lt;1 mm) have routinely been excised with a narrow margin. For thick tumors, the optimal resection margin is controversial, and can be determined only by prospective, randomized trials.\n\nMETHODS: The Swedish Melanoma Study Group performed a prospective, randomized multicenter study to evaluate an excision margin of 2 versus 5 cm for patients with cutaneous malignant melanoma with tumor thickness &gt; 0.8 and &lt; or = 2.0 mm. The trial includes 769 patients. Patients with melanomas of the skin of the head, neck, hands, feet, or vulva were not included in the trial. In the event of an excision biopsy for diagnosis, radical surgery was completed within 6 weeks. The median follow-up time was 5.8 years for estimation of survival and 4.0 years for diagnosis of recurrent disease.\n\nRESULTS: No significant differences have been observed between the treatment groups regarding local or regional recurrences or survival.\n\nCONCLUSIONS: We recommend an excision with a margin of 2 cm for cutaneous malignant melanoma with a tumor thickness &gt; 0.8 and &lt; or = 2.0 mm.", "author" : [ { "dropping-particle" : "", "family" : "Ringborg", "given" : "U", "non-dropping-particle" : "", "parse-names" : false, "suffix" : "" }, { "dropping-particle" : "", "family" : "Andersson", "given" : "R", "non-dropping-particle" : "", "parse-names" : false, "suffix" : "" }, { "dropping-particle" : "", "family" : "Eldh", "given" : "J", "non-dropping-particle" : "", "parse-names" : false, "suffix" : "" }, { "dropping-particle" : "", "family" : "Glaumann", "given" : "B", "non-dropping-particle" : "", "parse-names" : false, "suffix" : "" }, { "dropping-particle" : "", "family" : "Hafstr\u00f6m", "given" : "L", "non-dropping-particle" : "", "parse-names" : false, "suffix" : "" }, { "dropping-particle" : "", "family" : "Jacobsson", "given" : "S", "non-dropping-particle" : "", "parse-names" : false, "suffix" : "" }, { "dropping-particle" : "", "family" : "J\u00f6nsson", "given" : "P E", "non-dropping-particle" : "", "parse-names" : false, "suffix" : "" }, { "dropping-particle" : "", "family" : "Johansson", "given" : "H", "non-dropping-particle" : "", "parse-names" : false, "suffix" : "" }, { "dropping-particle" : "", "family" : "Krysander", "given" : "L", "non-dropping-particle" : "", "parse-names" : false, "suffix" : "" }, { "dropping-particle" : "", "family" : "Lagerl\u00f6f", "given" : "B", "non-dropping-particle" : "", "parse-names" : false, "suffix" : "" } ], "container-title" : "Cancer", "id" : "ITEM-2", "issue" : "9", "issued" : { "date-parts" : [ [ "1996", "5", "1" ] ] }, "page" : "1809-14", "title" : "Resection margins of 2 versus 5 cm for cutaneous malignant melanoma with a tumor thickness of 0.8 to 2.0 mm: randomized study by the Swedish Melanoma Study Group.", "type" : "article-journal", "volume" : "77" }, "uris" : [ "http://www.mendeley.com/documents/?uuid=60b976d6-4a44-46ff-8572-9cab9ac2430c" ] } ], "mendeley" : { "formattedCitation" : "&lt;sup&gt;43,50&lt;/sup&gt;", "plainTextFormattedCitation" : "43,50", "previouslyFormattedCitation" : "&lt;sup&gt;43,50&lt;/sup&gt;" }, "properties" : { "noteIndex" : 0 }, "schema" : "https://github.com/citation-style-language/schema/raw/master/csl-citation.json" }</w:instrText>
            </w:r>
            <w:r w:rsidRPr="003E73CD">
              <w:rPr>
                <w:sz w:val="20"/>
                <w:szCs w:val="20"/>
              </w:rPr>
              <w:fldChar w:fldCharType="separate"/>
            </w:r>
            <w:r w:rsidRPr="003E73CD">
              <w:rPr>
                <w:noProof/>
                <w:sz w:val="20"/>
                <w:szCs w:val="20"/>
                <w:vertAlign w:val="superscript"/>
              </w:rPr>
              <w:t>43,50</w:t>
            </w:r>
            <w:r w:rsidRPr="003E73CD">
              <w:rPr>
                <w:sz w:val="20"/>
                <w:szCs w:val="20"/>
              </w:rPr>
              <w:fldChar w:fldCharType="end"/>
            </w:r>
          </w:p>
        </w:tc>
        <w:tc>
          <w:tcPr>
            <w:tcW w:w="662" w:type="pct"/>
            <w:shd w:val="clear" w:color="auto" w:fill="auto"/>
          </w:tcPr>
          <w:p w14:paraId="588761F4" w14:textId="77777777" w:rsidR="0061482C" w:rsidRPr="003E73CD" w:rsidRDefault="0061482C" w:rsidP="002D2F6B">
            <w:pPr>
              <w:rPr>
                <w:sz w:val="20"/>
                <w:szCs w:val="20"/>
              </w:rPr>
            </w:pPr>
            <w:r w:rsidRPr="003E73CD">
              <w:rPr>
                <w:sz w:val="20"/>
                <w:szCs w:val="20"/>
              </w:rPr>
              <w:t>1982-1991</w:t>
            </w:r>
          </w:p>
        </w:tc>
        <w:tc>
          <w:tcPr>
            <w:tcW w:w="394" w:type="pct"/>
            <w:shd w:val="clear" w:color="auto" w:fill="auto"/>
          </w:tcPr>
          <w:p w14:paraId="5CC5A874" w14:textId="77777777" w:rsidR="0061482C" w:rsidRPr="003E73CD" w:rsidRDefault="0061482C" w:rsidP="002D2F6B">
            <w:pPr>
              <w:rPr>
                <w:sz w:val="20"/>
                <w:szCs w:val="20"/>
              </w:rPr>
            </w:pPr>
            <w:r w:rsidRPr="003E73CD">
              <w:rPr>
                <w:sz w:val="20"/>
                <w:szCs w:val="20"/>
              </w:rPr>
              <w:t>2cm vs 5 cm</w:t>
            </w:r>
          </w:p>
        </w:tc>
        <w:tc>
          <w:tcPr>
            <w:tcW w:w="563" w:type="pct"/>
            <w:shd w:val="clear" w:color="auto" w:fill="auto"/>
          </w:tcPr>
          <w:p w14:paraId="25DC49AD" w14:textId="08255409" w:rsidR="0061482C" w:rsidRPr="003E73CD" w:rsidRDefault="00666B2D" w:rsidP="002D2F6B">
            <w:pPr>
              <w:rPr>
                <w:sz w:val="20"/>
                <w:szCs w:val="20"/>
              </w:rPr>
            </w:pPr>
            <w:r w:rsidRPr="003E73CD">
              <w:rPr>
                <w:sz w:val="20"/>
                <w:szCs w:val="20"/>
              </w:rPr>
              <w:t>Incis</w:t>
            </w:r>
            <w:r w:rsidR="0061482C" w:rsidRPr="003E73CD">
              <w:rPr>
                <w:sz w:val="20"/>
                <w:szCs w:val="20"/>
              </w:rPr>
              <w:t>ions extended to or included fascia</w:t>
            </w:r>
          </w:p>
        </w:tc>
        <w:tc>
          <w:tcPr>
            <w:tcW w:w="401" w:type="pct"/>
            <w:shd w:val="clear" w:color="auto" w:fill="auto"/>
          </w:tcPr>
          <w:p w14:paraId="0F033C08" w14:textId="77777777" w:rsidR="0061482C" w:rsidRPr="003E73CD" w:rsidRDefault="0061482C" w:rsidP="002D2F6B">
            <w:pPr>
              <w:rPr>
                <w:sz w:val="20"/>
                <w:szCs w:val="20"/>
              </w:rPr>
            </w:pPr>
            <w:r w:rsidRPr="003E73CD">
              <w:rPr>
                <w:sz w:val="20"/>
                <w:szCs w:val="20"/>
              </w:rPr>
              <w:t>989</w:t>
            </w:r>
          </w:p>
        </w:tc>
        <w:tc>
          <w:tcPr>
            <w:tcW w:w="552" w:type="pct"/>
            <w:shd w:val="clear" w:color="auto" w:fill="auto"/>
          </w:tcPr>
          <w:p w14:paraId="0A22ABA4" w14:textId="77777777" w:rsidR="0061482C" w:rsidRPr="003E73CD" w:rsidRDefault="0061482C" w:rsidP="002D2F6B">
            <w:pPr>
              <w:rPr>
                <w:sz w:val="20"/>
                <w:szCs w:val="20"/>
              </w:rPr>
            </w:pPr>
            <w:r w:rsidRPr="003E73CD">
              <w:rPr>
                <w:sz w:val="20"/>
                <w:szCs w:val="20"/>
              </w:rPr>
              <w:t>&gt;0.8 to 2mm</w:t>
            </w:r>
          </w:p>
        </w:tc>
        <w:tc>
          <w:tcPr>
            <w:tcW w:w="948" w:type="pct"/>
            <w:shd w:val="clear" w:color="auto" w:fill="auto"/>
          </w:tcPr>
          <w:p w14:paraId="6F1F76E9" w14:textId="77777777" w:rsidR="0061482C" w:rsidRPr="003E73CD" w:rsidRDefault="0061482C" w:rsidP="002D2F6B">
            <w:pPr>
              <w:rPr>
                <w:sz w:val="20"/>
                <w:szCs w:val="20"/>
              </w:rPr>
            </w:pPr>
            <w:r w:rsidRPr="003E73CD">
              <w:rPr>
                <w:sz w:val="20"/>
                <w:szCs w:val="20"/>
              </w:rPr>
              <w:t>Head and neck, hands, feet.</w:t>
            </w:r>
          </w:p>
        </w:tc>
        <w:tc>
          <w:tcPr>
            <w:tcW w:w="634" w:type="pct"/>
            <w:shd w:val="clear" w:color="auto" w:fill="auto"/>
          </w:tcPr>
          <w:p w14:paraId="2521BBA9" w14:textId="77777777" w:rsidR="0061482C" w:rsidRPr="003E73CD" w:rsidRDefault="0061482C" w:rsidP="002D2F6B">
            <w:pPr>
              <w:rPr>
                <w:sz w:val="20"/>
                <w:szCs w:val="20"/>
              </w:rPr>
            </w:pPr>
            <w:r w:rsidRPr="003E73CD">
              <w:rPr>
                <w:sz w:val="20"/>
                <w:szCs w:val="20"/>
              </w:rPr>
              <w:t>At 10 yrs 79% (2cm) vs 76% (5cm), p=non-significant</w:t>
            </w:r>
          </w:p>
        </w:tc>
      </w:tr>
      <w:tr w:rsidR="0061482C" w:rsidRPr="003E73CD" w14:paraId="398B4250" w14:textId="77777777" w:rsidTr="002D2F6B">
        <w:tc>
          <w:tcPr>
            <w:tcW w:w="846" w:type="pct"/>
            <w:shd w:val="clear" w:color="auto" w:fill="auto"/>
          </w:tcPr>
          <w:p w14:paraId="3524875E" w14:textId="77777777" w:rsidR="0061482C" w:rsidRPr="003E73CD" w:rsidRDefault="0061482C" w:rsidP="002D2F6B">
            <w:pPr>
              <w:rPr>
                <w:sz w:val="20"/>
                <w:szCs w:val="20"/>
              </w:rPr>
            </w:pPr>
            <w:r w:rsidRPr="003E73CD">
              <w:rPr>
                <w:sz w:val="20"/>
                <w:szCs w:val="20"/>
              </w:rPr>
              <w:t>UK Melanoma Study Group</w:t>
            </w:r>
            <w:r w:rsidRPr="003E73CD">
              <w:rPr>
                <w:sz w:val="20"/>
                <w:szCs w:val="20"/>
              </w:rPr>
              <w:fldChar w:fldCharType="begin" w:fldLock="1"/>
            </w:r>
            <w:r w:rsidRPr="003E73CD">
              <w:rPr>
                <w:sz w:val="20"/>
                <w:szCs w:val="20"/>
              </w:rPr>
              <w:instrText>ADDIN CSL_CITATION { "citationItems" : [ { "id" : "ITEM-1", "itemData" : { "DOI" : "10.1056/NEJMoa030681", "ISSN" : "1533-4406", "PMID" : "14973217", "abstract" : "BACKGROUND: Controversy exists concerning the necessary margin of excision for cutaneous melanoma 2 mm or greater in thickness.\n\nMETHODS: We conducted a randomized clinical trial comparing 1-cm and 3-cm margins.\n\nRESULTS: Of the 900 patients who were enrolled, 453 were randomly assigned to undergo surgery with a 1-cm margin of excision and 447 with a 3-cm margin of excision; the median follow-up was 60 months. A 1-cm margin of excision was associated with a significantly increased risk of locoregional recurrence. There were 168 locoregional recurrences (as first events) in the group with 1-cm margins of excision, as compared with 142 in the group with 3-cm margins (hazard ratio, 1.26; 95 percent confidence interval, 1.00 to 1.59; P=0.05). There were 128 deaths attributable to melanoma in the group with 1-cm margins, as compared with 105 in the group with 3-cm margins (hazard ratio, 1.24; 95 percent confidence interval, 0.96 to 1.61; P=0.1); overall survival was similar in the two groups (hazard ratio for death, 1.07; 95 percent confidence interval, 0.85 to 1.36; P=0.6).\n\nCONCLUSIONS: A 1-cm margin of excision for melanoma with a poor prognosis (as defined by a tumor thickness of at least 2 mm) is associated with a significantly greater risk of regional recurrence than is a 3-cm margin, but with a similar overall survival rate.", "author" : [ { "dropping-particle" : "", "family" : "Thomas", "given" : "J Meirion", "non-dropping-particle" : "", "parse-names" : false, "suffix" : "" }, { "dropping-particle" : "", "family" : "Newton-Bishop", "given" : "Julia", "non-dropping-particle" : "", "parse-names" : false, "suffix" : "" }, { "dropping-particle" : "", "family" : "A'Hern", "given" : "Roger", "non-dropping-particle" : "", "parse-names" : false, "suffix" : "" }, { "dropping-particle" : "", "family" : "Coombes", "given" : "Gill", "non-dropping-particle" : "", "parse-names" : false, "suffix" : "" }, { "dropping-particle" : "", "family" : "Timmons", "given" : "Michael", "non-dropping-particle" : "", "parse-names" : false, "suffix" : "" }, { "dropping-particle" : "", "family" : "Evans", "given" : "Judy", "non-dropping-particle" : "", "parse-names" : false, "suffix" : "" }, { "dropping-particle" : "", "family" : "Cook", "given" : "Martin", "non-dropping-particle" : "", "parse-names" : false, "suffix" : "" }, { "dropping-particle" : "", "family" : "Theaker", "given" : "Jeffery", "non-dropping-particle" : "", "parse-names" : false, "suffix" : "" }, { "dropping-particle" : "", "family" : "Fallowfield", "given" : "Mary", "non-dropping-particle" : "", "parse-names" : false, "suffix" : "" }, { "dropping-particle" : "", "family" : "O'Neill", "given" : "Trevor", "non-dropping-particle" : "", "parse-names" : false, "suffix" : "" }, { "dropping-particle" : "", "family" : "Ruka", "given" : "Wlodek", "non-dropping-particle" : "", "parse-names" : false, "suffix" : "" }, { "dropping-particle" : "", "family" : "Bliss", "given" : "Judith M", "non-dropping-particle" : "", "parse-names" : false, "suffix" : "" } ], "container-title" : "The New England journal of medicine", "id" : "ITEM-1", "issue" : "8", "issued" : { "date-parts" : [ [ "2004", "2", "19" ] ] }, "page" : "757-66", "title" : "Excision margins in high-risk malignant melanoma.", "type" : "article-journal", "volume" : "350" }, "uris" : [ "http://www.mendeley.com/documents/?uuid=47009b47-ad87-467d-9f44-07254d4418d0" ] } ], "mendeley" : { "formattedCitation" : "&lt;sup&gt;45&lt;/sup&gt;", "plainTextFormattedCitation" : "45", "previouslyFormattedCitation" : "&lt;sup&gt;45&lt;/sup&gt;" }, "properties" : { "noteIndex" : 0 }, "schema" : "https://github.com/citation-style-language/schema/raw/master/csl-citation.json" }</w:instrText>
            </w:r>
            <w:r w:rsidRPr="003E73CD">
              <w:rPr>
                <w:sz w:val="20"/>
                <w:szCs w:val="20"/>
              </w:rPr>
              <w:fldChar w:fldCharType="separate"/>
            </w:r>
            <w:r w:rsidRPr="003E73CD">
              <w:rPr>
                <w:noProof/>
                <w:sz w:val="20"/>
                <w:szCs w:val="20"/>
                <w:vertAlign w:val="superscript"/>
              </w:rPr>
              <w:t>45</w:t>
            </w:r>
            <w:r w:rsidRPr="003E73CD">
              <w:rPr>
                <w:sz w:val="20"/>
                <w:szCs w:val="20"/>
              </w:rPr>
              <w:fldChar w:fldCharType="end"/>
            </w:r>
          </w:p>
        </w:tc>
        <w:tc>
          <w:tcPr>
            <w:tcW w:w="662" w:type="pct"/>
            <w:shd w:val="clear" w:color="auto" w:fill="auto"/>
          </w:tcPr>
          <w:p w14:paraId="5569F60B" w14:textId="77777777" w:rsidR="0061482C" w:rsidRPr="003E73CD" w:rsidRDefault="0061482C" w:rsidP="002D2F6B">
            <w:pPr>
              <w:rPr>
                <w:sz w:val="20"/>
                <w:szCs w:val="20"/>
              </w:rPr>
            </w:pPr>
            <w:r w:rsidRPr="003E73CD">
              <w:rPr>
                <w:sz w:val="20"/>
                <w:szCs w:val="20"/>
              </w:rPr>
              <w:t>1993-2001</w:t>
            </w:r>
          </w:p>
        </w:tc>
        <w:tc>
          <w:tcPr>
            <w:tcW w:w="394" w:type="pct"/>
            <w:shd w:val="clear" w:color="auto" w:fill="auto"/>
          </w:tcPr>
          <w:p w14:paraId="5D10D61E" w14:textId="77777777" w:rsidR="0061482C" w:rsidRPr="003E73CD" w:rsidRDefault="0061482C" w:rsidP="002D2F6B">
            <w:pPr>
              <w:rPr>
                <w:sz w:val="20"/>
                <w:szCs w:val="20"/>
              </w:rPr>
            </w:pPr>
            <w:r w:rsidRPr="003E73CD">
              <w:rPr>
                <w:sz w:val="20"/>
                <w:szCs w:val="20"/>
              </w:rPr>
              <w:t>1cm vs 3cm</w:t>
            </w:r>
          </w:p>
        </w:tc>
        <w:tc>
          <w:tcPr>
            <w:tcW w:w="563" w:type="pct"/>
            <w:shd w:val="clear" w:color="auto" w:fill="auto"/>
          </w:tcPr>
          <w:p w14:paraId="69F319BB" w14:textId="77777777" w:rsidR="0061482C" w:rsidRPr="003E73CD" w:rsidRDefault="0061482C" w:rsidP="002D2F6B">
            <w:pPr>
              <w:rPr>
                <w:sz w:val="20"/>
                <w:szCs w:val="20"/>
              </w:rPr>
            </w:pPr>
            <w:r w:rsidRPr="003E73CD">
              <w:rPr>
                <w:sz w:val="20"/>
                <w:szCs w:val="20"/>
              </w:rPr>
              <w:t>Not stated but to extend to or include deep fascia</w:t>
            </w:r>
          </w:p>
        </w:tc>
        <w:tc>
          <w:tcPr>
            <w:tcW w:w="401" w:type="pct"/>
            <w:shd w:val="clear" w:color="auto" w:fill="auto"/>
          </w:tcPr>
          <w:p w14:paraId="2E2F1D29" w14:textId="77777777" w:rsidR="0061482C" w:rsidRPr="003E73CD" w:rsidRDefault="0061482C" w:rsidP="002D2F6B">
            <w:pPr>
              <w:rPr>
                <w:sz w:val="20"/>
                <w:szCs w:val="20"/>
              </w:rPr>
            </w:pPr>
            <w:r w:rsidRPr="003E73CD">
              <w:rPr>
                <w:sz w:val="20"/>
                <w:szCs w:val="20"/>
              </w:rPr>
              <w:t>900</w:t>
            </w:r>
          </w:p>
        </w:tc>
        <w:tc>
          <w:tcPr>
            <w:tcW w:w="552" w:type="pct"/>
            <w:shd w:val="clear" w:color="auto" w:fill="auto"/>
          </w:tcPr>
          <w:p w14:paraId="607E7BE5" w14:textId="77777777" w:rsidR="0061482C" w:rsidRPr="003E73CD" w:rsidRDefault="0061482C" w:rsidP="002D2F6B">
            <w:pPr>
              <w:rPr>
                <w:sz w:val="20"/>
                <w:szCs w:val="20"/>
              </w:rPr>
            </w:pPr>
            <w:r w:rsidRPr="003E73CD">
              <w:rPr>
                <w:rFonts w:eastAsia="ＭＳ ゴシック"/>
                <w:color w:val="000000"/>
                <w:sz w:val="20"/>
                <w:szCs w:val="20"/>
              </w:rPr>
              <w:t xml:space="preserve">≥2mm  </w:t>
            </w:r>
          </w:p>
        </w:tc>
        <w:tc>
          <w:tcPr>
            <w:tcW w:w="948" w:type="pct"/>
            <w:shd w:val="clear" w:color="auto" w:fill="auto"/>
          </w:tcPr>
          <w:p w14:paraId="6F63DD66" w14:textId="77777777" w:rsidR="0061482C" w:rsidRPr="003E73CD" w:rsidRDefault="0061482C" w:rsidP="002D2F6B">
            <w:pPr>
              <w:rPr>
                <w:sz w:val="20"/>
                <w:szCs w:val="20"/>
              </w:rPr>
            </w:pPr>
            <w:r w:rsidRPr="003E73CD">
              <w:rPr>
                <w:sz w:val="20"/>
                <w:szCs w:val="20"/>
              </w:rPr>
              <w:t>Head and neck, palms and soles or if 3cm margin not technically possible.</w:t>
            </w:r>
          </w:p>
        </w:tc>
        <w:tc>
          <w:tcPr>
            <w:tcW w:w="634" w:type="pct"/>
            <w:shd w:val="clear" w:color="auto" w:fill="auto"/>
          </w:tcPr>
          <w:p w14:paraId="653190C2" w14:textId="77777777" w:rsidR="0061482C" w:rsidRPr="003E73CD" w:rsidRDefault="0061482C" w:rsidP="002D2F6B">
            <w:pPr>
              <w:rPr>
                <w:sz w:val="20"/>
                <w:szCs w:val="20"/>
              </w:rPr>
            </w:pPr>
            <w:r w:rsidRPr="003E73CD">
              <w:rPr>
                <w:sz w:val="20"/>
                <w:szCs w:val="20"/>
              </w:rPr>
              <w:t>No significant difference</w:t>
            </w:r>
          </w:p>
        </w:tc>
      </w:tr>
      <w:tr w:rsidR="0061482C" w:rsidRPr="003E73CD" w14:paraId="25656A4A" w14:textId="77777777" w:rsidTr="002D2F6B">
        <w:tc>
          <w:tcPr>
            <w:tcW w:w="846" w:type="pct"/>
            <w:shd w:val="clear" w:color="auto" w:fill="auto"/>
          </w:tcPr>
          <w:p w14:paraId="2E7BB6C1" w14:textId="77777777" w:rsidR="0061482C" w:rsidRPr="003E73CD" w:rsidRDefault="0061482C" w:rsidP="002D2F6B">
            <w:pPr>
              <w:rPr>
                <w:sz w:val="20"/>
                <w:szCs w:val="20"/>
              </w:rPr>
            </w:pPr>
            <w:r w:rsidRPr="003E73CD">
              <w:rPr>
                <w:sz w:val="20"/>
                <w:szCs w:val="20"/>
              </w:rPr>
              <w:t>Swedish Study II</w:t>
            </w:r>
            <w:r w:rsidRPr="003E73CD">
              <w:rPr>
                <w:sz w:val="20"/>
                <w:szCs w:val="20"/>
              </w:rPr>
              <w:fldChar w:fldCharType="begin" w:fldLock="1"/>
            </w:r>
            <w:r w:rsidRPr="003E73CD">
              <w:rPr>
                <w:sz w:val="20"/>
                <w:szCs w:val="20"/>
              </w:rPr>
              <w:instrText>ADDIN CSL_CITATION { "citationItems" : [ { "id" : "ITEM-1", "itemData" : { "DOI" : "10.1016/S0140-6736(11)61546-8", "ISSN" : "1474-547X", "PMID" : "22027547", "abstract" : "BACKGROUND: Optimum surgical resection margins for patients with clinical stage IIA-C cutaneous melanoma thicker than 2 mm are controversial. The aim of the study was to test whether survival was different for a wide local excision margin of 2 cm compared with a 4-cm excision margin. METHODS: We undertook a randomised controlled trial in nine European centres. Patients with cutaneous melanoma thicker than 2 mm, at clinical stage IIA-C, were allocated to have either a 2-cm or a 4-cm surgical resection margin. Patients were randomised in a 1:1 allocation to one of the two groups and stratified by geographic region. Randomisation was done by sealed envelope or by computer generated lists with permuted blocks. Our primary endpoint was overall survival. The trial was not masked at any stage. Analyses were by intention to treat. Adverse events were not systematically recorded. The study is registered with ClinicalTrials.gov, number NCT01183936. FINDINGS: 936 patients were enrolled from Jan 22, 1992, to May 19, 2004; 465 were randomly allocated to treatment with a 2-cm resection margin, and 471 to receive treatment with a 4-cm resection margin. One patient in each group was lost to follow-up but included in the analysis. After a median follow-up of 6\u00b77 years (IQR 4\u00b73-9\u00b75) 181 patients in the 2-cm margin group and 177 in the 4-cm group had died (hazard ratio 1\u00b705, 95% CI 0\u00b785-1\u00b729; p=0.64). 5-year overall survival was 65% (95% CI 60-70) [corrected] in the 2-cm group and 65% (40-70) in the 4-cm group (p=0\u00b769). INTERPRETATION: Our findings suggest that a 2-cm resection margin is sufficient and safe for patients with cutaneous melanoma thicker than 2 mm. FUNDING: Swedish Cancer Society and Stockholm Cancer Society.", "author" : [ { "dropping-particle" : "", "family" : "Gillgren", "given" : "Peter", "non-dropping-particle" : "", "parse-names" : false, "suffix" : "" }, { "dropping-particle" : "", "family" : "Drzewiecki", "given" : "Krzysztof T", "non-dropping-particle" : "", "parse-names" : false, "suffix" : "" }, { "dropping-particle" : "", "family" : "Niin", "given" : "Marianne", "non-dropping-particle" : "", "parse-names" : false, "suffix" : "" }, { "dropping-particle" : "", "family" : "Gullestad", "given" : "Hans P", "non-dropping-particle" : "", "parse-names" : false, "suffix" : "" }, { "dropping-particle" : "", "family" : "Hellborg", "given" : "Henrik", "non-dropping-particle" : "", "parse-names" : false, "suffix" : "" }, { "dropping-particle" : "", "family" : "M\u00e5nsson-Brahme", "given" : "Eva", "non-dropping-particle" : "", "parse-names" : false, "suffix" : "" }, { "dropping-particle" : "", "family" : "Ingvar", "given" : "Christian", "non-dropping-particle" : "", "parse-names" : false, "suffix" : "" }, { "dropping-particle" : "", "family" : "Ringborg", "given" : "Ulrik", "non-dropping-particle" : "", "parse-names" : false, "suffix" : "" } ], "container-title" : "Lancet", "id" : "ITEM-1", "issue" : "9803", "issued" : { "date-parts" : [ [ "2011", "11", "5" ] ] }, "page" : "1635-42", "title" : "2-cm versus 4-cm surgical excision margins for primary cutaneous melanoma thicker than 2 mm: a randomised, multicentre trial.", "type" : "article-journal", "volume" : "378" }, "uris" : [ "http://www.mendeley.com/documents/?uuid=dae73001-f10c-4d77-b877-63fc7392318d" ] } ], "mendeley" : { "formattedCitation" : "&lt;sup&gt;46&lt;/sup&gt;", "plainTextFormattedCitation" : "46", "previouslyFormattedCitation" : "&lt;sup&gt;46&lt;/sup&gt;" }, "properties" : { "noteIndex" : 0 }, "schema" : "https://github.com/citation-style-language/schema/raw/master/csl-citation.json" }</w:instrText>
            </w:r>
            <w:r w:rsidRPr="003E73CD">
              <w:rPr>
                <w:sz w:val="20"/>
                <w:szCs w:val="20"/>
              </w:rPr>
              <w:fldChar w:fldCharType="separate"/>
            </w:r>
            <w:r w:rsidRPr="003E73CD">
              <w:rPr>
                <w:noProof/>
                <w:sz w:val="20"/>
                <w:szCs w:val="20"/>
                <w:vertAlign w:val="superscript"/>
              </w:rPr>
              <w:t>46</w:t>
            </w:r>
            <w:r w:rsidRPr="003E73CD">
              <w:rPr>
                <w:sz w:val="20"/>
                <w:szCs w:val="20"/>
              </w:rPr>
              <w:fldChar w:fldCharType="end"/>
            </w:r>
          </w:p>
        </w:tc>
        <w:tc>
          <w:tcPr>
            <w:tcW w:w="662" w:type="pct"/>
            <w:shd w:val="clear" w:color="auto" w:fill="auto"/>
          </w:tcPr>
          <w:p w14:paraId="5B1ECCB9" w14:textId="77777777" w:rsidR="0061482C" w:rsidRPr="003E73CD" w:rsidRDefault="0061482C" w:rsidP="002D2F6B">
            <w:pPr>
              <w:rPr>
                <w:sz w:val="20"/>
                <w:szCs w:val="20"/>
              </w:rPr>
            </w:pPr>
            <w:r w:rsidRPr="003E73CD">
              <w:rPr>
                <w:sz w:val="20"/>
                <w:szCs w:val="20"/>
              </w:rPr>
              <w:t>1992-2004</w:t>
            </w:r>
          </w:p>
        </w:tc>
        <w:tc>
          <w:tcPr>
            <w:tcW w:w="394" w:type="pct"/>
            <w:shd w:val="clear" w:color="auto" w:fill="auto"/>
          </w:tcPr>
          <w:p w14:paraId="47A0C167" w14:textId="77777777" w:rsidR="0061482C" w:rsidRPr="003E73CD" w:rsidRDefault="0061482C" w:rsidP="002D2F6B">
            <w:pPr>
              <w:rPr>
                <w:sz w:val="20"/>
                <w:szCs w:val="20"/>
              </w:rPr>
            </w:pPr>
            <w:r w:rsidRPr="003E73CD">
              <w:rPr>
                <w:sz w:val="20"/>
                <w:szCs w:val="20"/>
              </w:rPr>
              <w:t>2cm vs 4cm</w:t>
            </w:r>
          </w:p>
        </w:tc>
        <w:tc>
          <w:tcPr>
            <w:tcW w:w="563" w:type="pct"/>
            <w:shd w:val="clear" w:color="auto" w:fill="auto"/>
          </w:tcPr>
          <w:p w14:paraId="7D287158" w14:textId="77777777" w:rsidR="0061482C" w:rsidRPr="003E73CD" w:rsidRDefault="0061482C" w:rsidP="002D2F6B">
            <w:pPr>
              <w:rPr>
                <w:sz w:val="20"/>
                <w:szCs w:val="20"/>
              </w:rPr>
            </w:pPr>
            <w:r w:rsidRPr="003E73CD">
              <w:rPr>
                <w:sz w:val="20"/>
                <w:szCs w:val="20"/>
              </w:rPr>
              <w:t>Down to the fascia</w:t>
            </w:r>
          </w:p>
        </w:tc>
        <w:tc>
          <w:tcPr>
            <w:tcW w:w="401" w:type="pct"/>
            <w:shd w:val="clear" w:color="auto" w:fill="auto"/>
          </w:tcPr>
          <w:p w14:paraId="13913083" w14:textId="77777777" w:rsidR="0061482C" w:rsidRPr="003E73CD" w:rsidRDefault="0061482C" w:rsidP="002D2F6B">
            <w:pPr>
              <w:rPr>
                <w:sz w:val="20"/>
                <w:szCs w:val="20"/>
              </w:rPr>
            </w:pPr>
            <w:r w:rsidRPr="003E73CD">
              <w:rPr>
                <w:sz w:val="20"/>
                <w:szCs w:val="20"/>
              </w:rPr>
              <w:t>936</w:t>
            </w:r>
          </w:p>
        </w:tc>
        <w:tc>
          <w:tcPr>
            <w:tcW w:w="552" w:type="pct"/>
            <w:shd w:val="clear" w:color="auto" w:fill="auto"/>
          </w:tcPr>
          <w:p w14:paraId="43FEC8AA" w14:textId="77777777" w:rsidR="0061482C" w:rsidRPr="003E73CD" w:rsidRDefault="0061482C" w:rsidP="002D2F6B">
            <w:pPr>
              <w:rPr>
                <w:rFonts w:eastAsia="ＭＳ ゴシック" w:cs="Baskerville"/>
                <w:color w:val="000000"/>
                <w:sz w:val="20"/>
                <w:szCs w:val="20"/>
              </w:rPr>
            </w:pPr>
            <w:r w:rsidRPr="003E73CD">
              <w:rPr>
                <w:rFonts w:cs="Baskerville"/>
                <w:sz w:val="20"/>
                <w:szCs w:val="20"/>
              </w:rPr>
              <w:t>Age</w:t>
            </w:r>
            <w:r w:rsidRPr="003E73CD">
              <w:rPr>
                <w:rFonts w:eastAsia="ＭＳ ゴシック" w:cs="Baskerville"/>
                <w:color w:val="000000"/>
                <w:sz w:val="20"/>
                <w:szCs w:val="20"/>
              </w:rPr>
              <w:t>≤75</w:t>
            </w:r>
          </w:p>
          <w:p w14:paraId="2064E8A4" w14:textId="77777777" w:rsidR="0061482C" w:rsidRPr="003E73CD" w:rsidRDefault="0061482C" w:rsidP="002D2F6B">
            <w:pPr>
              <w:rPr>
                <w:rFonts w:cs="Baskerville"/>
                <w:sz w:val="20"/>
                <w:szCs w:val="20"/>
              </w:rPr>
            </w:pPr>
            <w:r w:rsidRPr="003E73CD">
              <w:rPr>
                <w:rFonts w:eastAsia="ＭＳ ゴシック" w:cs="Baskerville"/>
                <w:color w:val="000000"/>
                <w:sz w:val="20"/>
                <w:szCs w:val="20"/>
              </w:rPr>
              <w:t>Breslow thickness &gt;2mm</w:t>
            </w:r>
          </w:p>
        </w:tc>
        <w:tc>
          <w:tcPr>
            <w:tcW w:w="948" w:type="pct"/>
            <w:shd w:val="clear" w:color="auto" w:fill="auto"/>
          </w:tcPr>
          <w:p w14:paraId="5A3DAEF9" w14:textId="77777777" w:rsidR="0061482C" w:rsidRPr="003E73CD" w:rsidRDefault="0061482C" w:rsidP="002D2F6B">
            <w:pPr>
              <w:rPr>
                <w:sz w:val="20"/>
                <w:szCs w:val="20"/>
              </w:rPr>
            </w:pPr>
            <w:r w:rsidRPr="003E73CD">
              <w:rPr>
                <w:sz w:val="20"/>
                <w:szCs w:val="20"/>
              </w:rPr>
              <w:t>Hand, foot, head, neck, ano-genital</w:t>
            </w:r>
          </w:p>
        </w:tc>
        <w:tc>
          <w:tcPr>
            <w:tcW w:w="634" w:type="pct"/>
            <w:shd w:val="clear" w:color="auto" w:fill="auto"/>
          </w:tcPr>
          <w:p w14:paraId="0B6E66AB" w14:textId="77777777" w:rsidR="0061482C" w:rsidRPr="003E73CD" w:rsidRDefault="0061482C" w:rsidP="002D2F6B">
            <w:pPr>
              <w:rPr>
                <w:sz w:val="20"/>
                <w:szCs w:val="20"/>
              </w:rPr>
            </w:pPr>
            <w:r w:rsidRPr="003E73CD">
              <w:rPr>
                <w:sz w:val="20"/>
                <w:szCs w:val="20"/>
              </w:rPr>
              <w:t>At 5 years 65% (2cm) vs 65% (4cm), p=0.69</w:t>
            </w:r>
          </w:p>
        </w:tc>
      </w:tr>
    </w:tbl>
    <w:p w14:paraId="3EAB6D41" w14:textId="77777777" w:rsidR="0061482C" w:rsidRPr="003E73CD" w:rsidRDefault="0061482C" w:rsidP="0061482C">
      <w:pPr>
        <w:spacing w:line="480" w:lineRule="auto"/>
        <w:rPr>
          <w:sz w:val="22"/>
          <w:szCs w:val="22"/>
        </w:rPr>
      </w:pPr>
      <w:r w:rsidRPr="003E73CD">
        <w:rPr>
          <w:sz w:val="22"/>
          <w:szCs w:val="22"/>
        </w:rPr>
        <w:t>*</w:t>
      </w:r>
      <w:proofErr w:type="gramStart"/>
      <w:r w:rsidRPr="003E73CD">
        <w:rPr>
          <w:sz w:val="22"/>
          <w:szCs w:val="22"/>
        </w:rPr>
        <w:t>published</w:t>
      </w:r>
      <w:proofErr w:type="gramEnd"/>
      <w:r w:rsidRPr="003E73CD">
        <w:rPr>
          <w:sz w:val="22"/>
          <w:szCs w:val="22"/>
        </w:rPr>
        <w:t xml:space="preserve"> value varied in separate reports of the trial.</w:t>
      </w:r>
    </w:p>
    <w:p w14:paraId="518B1E52" w14:textId="77777777" w:rsidR="0061482C" w:rsidRPr="003E73CD" w:rsidRDefault="0061482C" w:rsidP="0061482C">
      <w:pPr>
        <w:spacing w:line="480" w:lineRule="auto"/>
        <w:rPr>
          <w:sz w:val="22"/>
          <w:szCs w:val="22"/>
        </w:rPr>
      </w:pPr>
    </w:p>
    <w:p w14:paraId="6117031C" w14:textId="77777777" w:rsidR="0061482C" w:rsidRPr="003E73CD" w:rsidRDefault="0061482C" w:rsidP="0061482C">
      <w:pPr>
        <w:spacing w:line="480" w:lineRule="auto"/>
        <w:rPr>
          <w:sz w:val="22"/>
          <w:szCs w:val="22"/>
        </w:rPr>
      </w:pPr>
      <w:r w:rsidRPr="003E73CD">
        <w:rPr>
          <w:sz w:val="22"/>
          <w:szCs w:val="22"/>
        </w:rPr>
        <w:br w:type="page"/>
      </w:r>
    </w:p>
    <w:p w14:paraId="4ADF2269" w14:textId="77777777" w:rsidR="0061482C" w:rsidRPr="003E73CD" w:rsidRDefault="0061482C" w:rsidP="0061482C">
      <w:pPr>
        <w:spacing w:line="480" w:lineRule="auto"/>
        <w:rPr>
          <w:sz w:val="22"/>
          <w:szCs w:val="22"/>
        </w:rPr>
      </w:pPr>
    </w:p>
    <w:p w14:paraId="6D37FCCB" w14:textId="61D7B8AB" w:rsidR="0061482C" w:rsidRPr="003E73CD" w:rsidRDefault="0061482C" w:rsidP="0061482C">
      <w:pPr>
        <w:spacing w:line="480" w:lineRule="auto"/>
        <w:rPr>
          <w:sz w:val="22"/>
          <w:szCs w:val="22"/>
        </w:rPr>
      </w:pPr>
      <w:r w:rsidRPr="003E73CD">
        <w:rPr>
          <w:sz w:val="22"/>
          <w:szCs w:val="22"/>
        </w:rPr>
        <w:t xml:space="preserve"> The first trials were conducted in the late 1970s and 1980s by the French Cooperative Group and the World Health Organisation (WHO).</w:t>
      </w:r>
      <w:r w:rsidRPr="003E73CD">
        <w:rPr>
          <w:sz w:val="22"/>
          <w:szCs w:val="22"/>
        </w:rPr>
        <w:fldChar w:fldCharType="begin" w:fldLock="1"/>
      </w:r>
      <w:r w:rsidRPr="003E73CD">
        <w:rPr>
          <w:sz w:val="22"/>
          <w:szCs w:val="22"/>
        </w:rPr>
        <w:instrText>ADDIN CSL_CITATION { "citationItems" : [ { "id" : "ITEM-1", "itemData" : { "DOI" : "10.1002/cncr.11272", "ISSN" : "0008-543X", "PMID" : "12673721", "abstract" : "BACKGROUND: This study addressed the question of whether limited surgery for primary malignant melanoma with a 2-cm margin is as good as a 5-cm margin. An update of a 16-year follow-up is provided.\n\nMETHODS: Nine European Centers, over a period of 5 years, prospectively randomized 337 patients with melanoma measuring less than 2.1 mm in thickness to undergo a local excision with either a 2-cm or a 5-cm margin. Three hundred twenty-six patients were eligible for statistical analysis. Excluded from the trial were patients older than 70 years; those with melanomas from the toe, nail, or finger; and those with acral-lentiginous melanoma. A separate randomization was performed to independently test an adjuvant treatment with a nonspecific immunostimulant, isoprinosine, compared with observation. The median follow-up time was 192 months (16 years) for the estimation of survival and disease recurrences.\n\nRESULTS: There were 22 tumor recurrences in the 2-cm arm and 33 in the 5-cm arm. The median time to disease recurrence was 43 months and 37.6 months, respectively. The 10-year disease-free survival rates were 85% for the group with a 2-cm margin and 83% for the group with a 5-cm margin. There was no difference in the 10-year overall survival rates (87% vs. 86%). Isoprinosine did not demonstrate any activity in this setting.\n\nCONCLUSIONS: The authors concluded that for melanoma less than 2.1-mm thick, a margin of excision of 2 cm is sufficient. A larger margin of 5 cm does not appear to have any impact on either the rate or the time to disease recurrence or on survival.", "author" : [ { "dropping-particle" : "", "family" : "Khayat", "given" : "David", "non-dropping-particle" : "", "parse-names" : false, "suffix" : "" }, { "dropping-particle" : "", "family" : "Rixe", "given" : "Olivier", "non-dropping-particle" : "", "parse-names" : false, "suffix" : "" }, { "dropping-particle" : "", "family" : "Martin", "given" : "Ginette", "non-dropping-particle" : "", "parse-names" : false, "suffix" : "" }, { "dropping-particle" : "", "family" : "Soubrane", "given" : "Claude", "non-dropping-particle" : "", "parse-names" : false, "suffix" : "" }, { "dropping-particle" : "", "family" : "Banzet", "given" : "Martine", "non-dropping-particle" : "", "parse-names" : false, "suffix" : "" }, { "dropping-particle" : "", "family" : "Bazex", "given" : "Jacques-Andr\u00e9", "non-dropping-particle" : "", "parse-names" : false, "suffix" : "" }, { "dropping-particle" : "", "family" : "Lauret", "given" : "Philippe", "non-dropping-particle" : "", "parse-names" : false, "suffix" : "" }, { "dropping-particle" : "", "family" : "V\u00e9rola", "given" : "Olivier", "non-dropping-particle" : "", "parse-names" : false, "suffix" : "" }, { "dropping-particle" : "", "family" : "Auclerc", "given" : "G\u00e9rard", "non-dropping-particle" : "", "parse-names" : false, "suffix" : "" }, { "dropping-particle" : "", "family" : "Harper", "given" : "Peter", "non-dropping-particle" : "", "parse-names" : false, "suffix" : "" }, { "dropping-particle" : "", "family" : "Banzet", "given" : "Pierre", "non-dropping-particle" : "", "parse-names" : false, "suffix" : "" } ], "container-title" : "Cancer", "id" : "ITEM-1", "issue" : "8", "issued" : { "date-parts" : [ [ "2003", "4", "15" ] ] }, "page" : "1941-6", "title" : "Surgical margins in cutaneous melanoma (2 cm versus 5 cm for lesions measuring less than 2.1-mm thick).", "type" : "article-journal", "volume" : "97" }, "uris" : [ "http://www.mendeley.com/documents/?uuid=b263fdaf-620f-4308-bab5-9bd413c7d11e" ] }, { "id" : "ITEM-2", "itemData" : { "DOI" : "10.1056/NEJM198805053181804", "ISSN" : "0028-4793", "PMID" : "3079582", "abstract" : "Although wide surgical excision is the accepted treatment for thin malignant melanomas, there is reason to believe that narrower margins may be adequate. We conducted a randomized prospective study to assess the efficacy of narrow excision (excision with 1-cm margins) for primary melanomas no thicker than 2 mm. Narrow excision was performed in 305 patients, and wide excision (margins of 3 cm or more) was performed in 307 patients. The major prognostic criteria were well balanced in the two groups. The mean thickness of melanomas was 0.99 mm in the narrow-excision group and 1.02 mm in the wide-excision group. The subsequent development of metastatic disease involving regional nodes and distant organs was not different in the two groups (4.6 and 2.3 percent, respectively, in the narrow-excision group, as compared with 6.5 and 2.6 percent in the wide-excision group). Disease-free survival rates and overall survival rates (mean follow-up period, 55 months) were also similar in the two groups. Only three patients had a local recurrence as a first relapse. All had undergone narrow excision, and each had a primary melanoma with a thickness of 1 mm or more. The absence of local recurrence in the group of patients with a primary melanoma thinner than 1 mm and the very low rate of local recurrences indicate that narrow excision is a safe and effective procedure for such patients.", "author" : [ { "dropping-particle" : "", "family" : "Veronesi", "given" : "U", "non-dropping-particle" : "", "parse-names" : false, "suffix" : "" }, { "dropping-particle" : "", "family" : "Cascinelli", "given" : "N", "non-dropping-particle" : "", "parse-names" : false, "suffix" : "" }, { "dropping-particle" : "", "family" : "Adamus", "given" : "J", "non-dropping-particle" : "", "parse-names" : false, "suffix" : "" }, { "dropping-particle" : "", "family" : "Balch", "given" : "C", "non-dropping-particle" : "", "parse-names" : false, "suffix" : "" }, { "dropping-particle" : "", "family" : "Bandiera", "given" : "D", "non-dropping-particle" : "", "parse-names" : false, "suffix" : "" }, { "dropping-particle" : "", "family" : "Barchuk", "given" : "A", "non-dropping-particle" : "", "parse-names" : false, "suffix" : "" }, { "dropping-particle" : "", "family" : "Bufalino", "given" : "R", "non-dropping-particle" : "", "parse-names" : false, "suffix" : "" }, { "dropping-particle" : "", "family" : "Craig", "given" : "P", "non-dropping-particle" : "", "parse-names" : false, "suffix" : "" }, { "dropping-particle" : "", "family" : "Marsillac", "given" : "J", "non-dropping-particle" : "De", "parse-names" : false, "suffix" : "" }, { "dropping-particle" : "", "family" : "Durand", "given" : "J C", "non-dropping-particle" : "", "parse-names" : false, "suffix" : "" } ], "container-title" : "The New England journal of medicine", "id" : "ITEM-2", "issue" : "18", "issued" : { "date-parts" : [ [ "1988", "5", "5" ] ] }, "page" : "1159-62", "title" : "Thin stage I primary cutaneous malignant melanoma. Comparison of excision with margins of 1 or 3 cm.", "type" : "article-journal", "volume" : "318" }, "uris" : [ "http://www.mendeley.com/documents/?uuid=1578f3fc-b46e-4700-8daf-23c7d5b20e68" ] } ], "mendeley" : { "formattedCitation" : "&lt;sup&gt;41,44&lt;/sup&gt;", "plainTextFormattedCitation" : "41,44", "previouslyFormattedCitation" : "&lt;sup&gt;41,44&lt;/sup&gt;" }, "properties" : { "noteIndex" : 0 }, "schema" : "https://github.com/citation-style-language/schema/raw/master/csl-citation.json" }</w:instrText>
      </w:r>
      <w:r w:rsidRPr="003E73CD">
        <w:rPr>
          <w:sz w:val="22"/>
          <w:szCs w:val="22"/>
        </w:rPr>
        <w:fldChar w:fldCharType="separate"/>
      </w:r>
      <w:r w:rsidRPr="003E73CD">
        <w:rPr>
          <w:noProof/>
          <w:sz w:val="22"/>
          <w:szCs w:val="22"/>
          <w:vertAlign w:val="superscript"/>
        </w:rPr>
        <w:t>41,44</w:t>
      </w:r>
      <w:r w:rsidRPr="003E73CD">
        <w:rPr>
          <w:sz w:val="22"/>
          <w:szCs w:val="22"/>
        </w:rPr>
        <w:fldChar w:fldCharType="end"/>
      </w:r>
      <w:proofErr w:type="gramStart"/>
      <w:r w:rsidRPr="003E73CD">
        <w:rPr>
          <w:sz w:val="22"/>
          <w:szCs w:val="22"/>
        </w:rPr>
        <w:t xml:space="preserve">  The</w:t>
      </w:r>
      <w:proofErr w:type="gramEnd"/>
      <w:r w:rsidRPr="003E73CD">
        <w:rPr>
          <w:sz w:val="22"/>
          <w:szCs w:val="22"/>
        </w:rPr>
        <w:t xml:space="preserve"> French Cooperative Group trial compared 2cm versus 5cm wide excision in patients with primary melanoma Breslow thickness of 2mm or less.</w:t>
      </w:r>
      <w:r w:rsidRPr="003E73CD">
        <w:rPr>
          <w:sz w:val="22"/>
          <w:szCs w:val="22"/>
        </w:rPr>
        <w:fldChar w:fldCharType="begin" w:fldLock="1"/>
      </w:r>
      <w:r w:rsidRPr="003E73CD">
        <w:rPr>
          <w:sz w:val="22"/>
          <w:szCs w:val="22"/>
        </w:rPr>
        <w:instrText>ADDIN CSL_CITATION { "citationItems" : [ { "id" : "ITEM-1", "itemData" : { "DOI" : "10.1002/cncr.11272", "ISSN" : "0008-543X", "PMID" : "12673721", "abstract" : "BACKGROUND: This study addressed the question of whether limited surgery for primary malignant melanoma with a 2-cm margin is as good as a 5-cm margin. An update of a 16-year follow-up is provided.\n\nMETHODS: Nine European Centers, over a period of 5 years, prospectively randomized 337 patients with melanoma measuring less than 2.1 mm in thickness to undergo a local excision with either a 2-cm or a 5-cm margin. Three hundred twenty-six patients were eligible for statistical analysis. Excluded from the trial were patients older than 70 years; those with melanomas from the toe, nail, or finger; and those with acral-lentiginous melanoma. A separate randomization was performed to independently test an adjuvant treatment with a nonspecific immunostimulant, isoprinosine, compared with observation. The median follow-up time was 192 months (16 years) for the estimation of survival and disease recurrences.\n\nRESULTS: There were 22 tumor recurrences in the 2-cm arm and 33 in the 5-cm arm. The median time to disease recurrence was 43 months and 37.6 months, respectively. The 10-year disease-free survival rates were 85% for the group with a 2-cm margin and 83% for the group with a 5-cm margin. There was no difference in the 10-year overall survival rates (87% vs. 86%). Isoprinosine did not demonstrate any activity in this setting.\n\nCONCLUSIONS: The authors concluded that for melanoma less than 2.1-mm thick, a margin of excision of 2 cm is sufficient. A larger margin of 5 cm does not appear to have any impact on either the rate or the time to disease recurrence or on survival.", "author" : [ { "dropping-particle" : "", "family" : "Khayat", "given" : "David", "non-dropping-particle" : "", "parse-names" : false, "suffix" : "" }, { "dropping-particle" : "", "family" : "Rixe", "given" : "Olivier", "non-dropping-particle" : "", "parse-names" : false, "suffix" : "" }, { "dropping-particle" : "", "family" : "Martin", "given" : "Ginette", "non-dropping-particle" : "", "parse-names" : false, "suffix" : "" }, { "dropping-particle" : "", "family" : "Soubrane", "given" : "Claude", "non-dropping-particle" : "", "parse-names" : false, "suffix" : "" }, { "dropping-particle" : "", "family" : "Banzet", "given" : "Martine", "non-dropping-particle" : "", "parse-names" : false, "suffix" : "" }, { "dropping-particle" : "", "family" : "Bazex", "given" : "Jacques-Andr\u00e9", "non-dropping-particle" : "", "parse-names" : false, "suffix" : "" }, { "dropping-particle" : "", "family" : "Lauret", "given" : "Philippe", "non-dropping-particle" : "", "parse-names" : false, "suffix" : "" }, { "dropping-particle" : "", "family" : "V\u00e9rola", "given" : "Olivier", "non-dropping-particle" : "", "parse-names" : false, "suffix" : "" }, { "dropping-particle" : "", "family" : "Auclerc", "given" : "G\u00e9rard", "non-dropping-particle" : "", "parse-names" : false, "suffix" : "" }, { "dropping-particle" : "", "family" : "Harper", "given" : "Peter", "non-dropping-particle" : "", "parse-names" : false, "suffix" : "" }, { "dropping-particle" : "", "family" : "Banzet", "given" : "Pierre", "non-dropping-particle" : "", "parse-names" : false, "suffix" : "" } ], "container-title" : "Cancer", "id" : "ITEM-1", "issue" : "8", "issued" : { "date-parts" : [ [ "2003", "4", "15" ] ] }, "page" : "1941-6", "title" : "Surgical margins in cutaneous melanoma (2 cm versus 5 cm for lesions measuring less than 2.1-mm thick).", "type" : "article-journal", "volume" : "97" }, "uris" : [ "http://www.mendeley.com/documents/?uuid=b263fdaf-620f-4308-bab5-9bd413c7d11e" ] } ], "mendeley" : { "formattedCitation" : "&lt;sup&gt;44&lt;/sup&gt;", "plainTextFormattedCitation" : "44", "previouslyFormattedCitation" : "&lt;sup&gt;44&lt;/sup&gt;" }, "properties" : { "noteIndex" : 0 }, "schema" : "https://github.com/citation-style-language/schema/raw/master/csl-citation.json" }</w:instrText>
      </w:r>
      <w:r w:rsidRPr="003E73CD">
        <w:rPr>
          <w:sz w:val="22"/>
          <w:szCs w:val="22"/>
        </w:rPr>
        <w:fldChar w:fldCharType="separate"/>
      </w:r>
      <w:r w:rsidRPr="003E73CD">
        <w:rPr>
          <w:noProof/>
          <w:sz w:val="22"/>
          <w:szCs w:val="22"/>
          <w:vertAlign w:val="superscript"/>
        </w:rPr>
        <w:t>44</w:t>
      </w:r>
      <w:r w:rsidRPr="003E73CD">
        <w:rPr>
          <w:sz w:val="22"/>
          <w:szCs w:val="22"/>
        </w:rPr>
        <w:fldChar w:fldCharType="end"/>
      </w:r>
      <w:proofErr w:type="gramStart"/>
      <w:r w:rsidRPr="003E73CD">
        <w:rPr>
          <w:sz w:val="22"/>
          <w:szCs w:val="22"/>
        </w:rPr>
        <w:t xml:space="preserve">  There</w:t>
      </w:r>
      <w:proofErr w:type="gramEnd"/>
      <w:r w:rsidRPr="003E73CD">
        <w:rPr>
          <w:sz w:val="22"/>
          <w:szCs w:val="22"/>
        </w:rPr>
        <w:t xml:space="preserve"> was no increase in risk of local or distant recurrence with a 2cm margin and no difference in overall survival rate.  It was therefore concluded that a 2cm margin was sufficient for melanoma with a Breslow thickness of 2mm or less.  The WHO trial similarly involved patients with primary melanoma &lt;2mm thick but compared an excision margin of 3cm versus 1cm.</w:t>
      </w:r>
      <w:r w:rsidRPr="003E73CD">
        <w:rPr>
          <w:sz w:val="22"/>
          <w:szCs w:val="22"/>
        </w:rPr>
        <w:fldChar w:fldCharType="begin" w:fldLock="1"/>
      </w:r>
      <w:r w:rsidRPr="003E73CD">
        <w:rPr>
          <w:sz w:val="22"/>
          <w:szCs w:val="22"/>
        </w:rPr>
        <w:instrText>ADDIN CSL_CITATION { "citationItems" : [ { "id" : "ITEM-1", "itemData" : { "DOI" : "10.1056/NEJM198805053181804", "ISSN" : "0028-4793", "PMID" : "3079582", "abstract" : "Although wide surgical excision is the accepted treatment for thin malignant melanomas, there is reason to believe that narrower margins may be adequate. We conducted a randomized prospective study to assess the efficacy of narrow excision (excision with 1-cm margins) for primary melanomas no thicker than 2 mm. Narrow excision was performed in 305 patients, and wide excision (margins of 3 cm or more) was performed in 307 patients. The major prognostic criteria were well balanced in the two groups. The mean thickness of melanomas was 0.99 mm in the narrow-excision group and 1.02 mm in the wide-excision group. The subsequent development of metastatic disease involving regional nodes and distant organs was not different in the two groups (4.6 and 2.3 percent, respectively, in the narrow-excision group, as compared with 6.5 and 2.6 percent in the wide-excision group). Disease-free survival rates and overall survival rates (mean follow-up period, 55 months) were also similar in the two groups. Only three patients had a local recurrence as a first relapse. All had undergone narrow excision, and each had a primary melanoma with a thickness of 1 mm or more. The absence of local recurrence in the group of patients with a primary melanoma thinner than 1 mm and the very low rate of local recurrences indicate that narrow excision is a safe and effective procedure for such patients.", "author" : [ { "dropping-particle" : "", "family" : "Veronesi", "given" : "U", "non-dropping-particle" : "", "parse-names" : false, "suffix" : "" }, { "dropping-particle" : "", "family" : "Cascinelli", "given" : "N", "non-dropping-particle" : "", "parse-names" : false, "suffix" : "" }, { "dropping-particle" : "", "family" : "Adamus", "given" : "J", "non-dropping-particle" : "", "parse-names" : false, "suffix" : "" }, { "dropping-particle" : "", "family" : "Balch", "given" : "C", "non-dropping-particle" : "", "parse-names" : false, "suffix" : "" }, { "dropping-particle" : "", "family" : "Bandiera", "given" : "D", "non-dropping-particle" : "", "parse-names" : false, "suffix" : "" }, { "dropping-particle" : "", "family" : "Barchuk", "given" : "A", "non-dropping-particle" : "", "parse-names" : false, "suffix" : "" }, { "dropping-particle" : "", "family" : "Bufalino", "given" : "R", "non-dropping-particle" : "", "parse-names" : false, "suffix" : "" }, { "dropping-particle" : "", "family" : "Craig", "given" : "P", "non-dropping-particle" : "", "parse-names" : false, "suffix" : "" }, { "dropping-particle" : "", "family" : "Marsillac", "given" : "J", "non-dropping-particle" : "De", "parse-names" : false, "suffix" : "" }, { "dropping-particle" : "", "family" : "Durand", "given" : "J C", "non-dropping-particle" : "", "parse-names" : false, "suffix" : "" } ], "container-title" : "The New England journal of medicine", "id" : "ITEM-1", "issue" : "18", "issued" : { "date-parts" : [ [ "1988", "5", "5" ] ] }, "page" : "1159-62", "title" : "Thin stage I primary cutaneous malignant melanoma. Comparison of excision with margins of 1 or 3 cm.", "type" : "article-journal", "volume" : "318" }, "uris" : [ "http://www.mendeley.com/documents/?uuid=1578f3fc-b46e-4700-8daf-23c7d5b20e68" ] } ], "mendeley" : { "formattedCitation" : "&lt;sup&gt;41&lt;/sup&gt;", "plainTextFormattedCitation" : "41", "previouslyFormattedCitation" : "&lt;sup&gt;41&lt;/sup&gt;" }, "properties" : { "noteIndex" : 0 }, "schema" : "https://github.com/citation-style-language/schema/raw/master/csl-citation.json" }</w:instrText>
      </w:r>
      <w:r w:rsidRPr="003E73CD">
        <w:rPr>
          <w:sz w:val="22"/>
          <w:szCs w:val="22"/>
        </w:rPr>
        <w:fldChar w:fldCharType="separate"/>
      </w:r>
      <w:r w:rsidRPr="003E73CD">
        <w:rPr>
          <w:noProof/>
          <w:sz w:val="22"/>
          <w:szCs w:val="22"/>
          <w:vertAlign w:val="superscript"/>
        </w:rPr>
        <w:t>41</w:t>
      </w:r>
      <w:r w:rsidRPr="003E73CD">
        <w:rPr>
          <w:sz w:val="22"/>
          <w:szCs w:val="22"/>
        </w:rPr>
        <w:fldChar w:fldCharType="end"/>
      </w:r>
      <w:proofErr w:type="gramStart"/>
      <w:r w:rsidRPr="003E73CD">
        <w:rPr>
          <w:sz w:val="22"/>
          <w:szCs w:val="22"/>
        </w:rPr>
        <w:t xml:space="preserve">  The</w:t>
      </w:r>
      <w:proofErr w:type="gramEnd"/>
      <w:r w:rsidRPr="003E73CD">
        <w:rPr>
          <w:sz w:val="22"/>
          <w:szCs w:val="22"/>
        </w:rPr>
        <w:t xml:space="preserve"> study showed no difference in survival between the two groups and the rate of local recurrence was not statistically significantly different, leading to the recommendation that a 1cm margin be adopted for patients with primary tumour thickness &lt;2mm.  However, although it appeared safe to perform a 1cm wide excision for melanoma w</w:t>
      </w:r>
      <w:r w:rsidR="0064551B">
        <w:rPr>
          <w:sz w:val="22"/>
          <w:szCs w:val="22"/>
        </w:rPr>
        <w:t>ith primary tumour thickness &lt;1m</w:t>
      </w:r>
      <w:r w:rsidRPr="003E73CD">
        <w:rPr>
          <w:sz w:val="22"/>
          <w:szCs w:val="22"/>
        </w:rPr>
        <w:t>m, there were concerns that the risk of local recurrence may be increased in the subgroup of patients with primary tumour thickness between 1 and 2mm.  Five out of six local recurrences detected during the trial were in the group that had a 1cm excision margin and a primary tumour thickness of 1-2mm.  It should also be noted that in this trial the wide excision technique involved excision of a wider area (additional 1-2cm) of subcutaneous fat than skin.  Thus a significant volume of subcutaneous tissue would have been excised beyond the 1cm skin margin.  Modern practice tends to involve wide excision with the same margin of skin and subcutaneous tissue, an important difference in technique.  Despite this, a 1cm margin has become established as the excision margin for melanoma with Breslow thickness &lt;1mm, based on the result of the WHO trial.</w:t>
      </w:r>
      <w:r w:rsidR="0064551B">
        <w:rPr>
          <w:sz w:val="22"/>
          <w:szCs w:val="22"/>
        </w:rPr>
        <w:fldChar w:fldCharType="begin" w:fldLock="1"/>
      </w:r>
      <w:r w:rsidR="0064551B">
        <w:rPr>
          <w:sz w:val="22"/>
          <w:szCs w:val="22"/>
        </w:rPr>
        <w:instrText>ADDIN CSL_CITATION { "citationItems" : [ { "id" : "ITEM-1", "itemData" : { "DOI" : "10.1056/NEJM198805053181804", "ISSN" : "0028-4793", "PMID" : "3079582", "abstract" : "Although wide surgical excision is the accepted treatment for thin malignant melanomas, there is reason to believe that narrower margins may be adequate. We conducted a randomized prospective study to assess the efficacy of narrow excision (excision with 1-cm margins) for primary melanomas no thicker than 2 mm. Narrow excision was performed in 305 patients, and wide excision (margins of 3 cm or more) was performed in 307 patients. The major prognostic criteria were well balanced in the two groups. The mean thickness of melanomas was 0.99 mm in the narrow-excision group and 1.02 mm in the wide-excision group. The subsequent development of metastatic disease involving regional nodes and distant organs was not different in the two groups (4.6 and 2.3 percent, respectively, in the narrow-excision group, as compared with 6.5 and 2.6 percent in the wide-excision group). Disease-free survival rates and overall survival rates (mean follow-up period, 55 months) were also similar in the two groups. Only three patients had a local recurrence as a first relapse. All had undergone narrow excision, and each had a primary melanoma with a thickness of 1 mm or more. The absence of local recurrence in the group of patients with a primary melanoma thinner than 1 mm and the very low rate of local recurrences indicate that narrow excision is a safe and effective procedure for such patients.", "author" : [ { "dropping-particle" : "", "family" : "Veronesi", "given" : "U", "non-dropping-particle" : "", "parse-names" : false, "suffix" : "" }, { "dropping-particle" : "", "family" : "Cascinelli", "given" : "N", "non-dropping-particle" : "", "parse-names" : false, "suffix" : "" }, { "dropping-particle" : "", "family" : "Adamus", "given" : "J", "non-dropping-particle" : "", "parse-names" : false, "suffix" : "" }, { "dropping-particle" : "", "family" : "Balch", "given" : "C", "non-dropping-particle" : "", "parse-names" : false, "suffix" : "" }, { "dropping-particle" : "", "family" : "Bandiera", "given" : "D", "non-dropping-particle" : "", "parse-names" : false, "suffix" : "" }, { "dropping-particle" : "", "family" : "Barchuk", "given" : "A", "non-dropping-particle" : "", "parse-names" : false, "suffix" : "" }, { "dropping-particle" : "", "family" : "Bufalino", "given" : "R", "non-dropping-particle" : "", "parse-names" : false, "suffix" : "" }, { "dropping-particle" : "", "family" : "Craig", "given" : "P", "non-dropping-particle" : "", "parse-names" : false, "suffix" : "" }, { "dropping-particle" : "", "family" : "Marsillac", "given" : "J", "non-dropping-particle" : "De", "parse-names" : false, "suffix" : "" }, { "dropping-particle" : "", "family" : "Durand", "given" : "J C", "non-dropping-particle" : "", "parse-names" : false, "suffix" : "" } ], "container-title" : "The New England journal of medicine", "id" : "ITEM-1", "issue" : "18", "issued" : { "date-parts" : [ [ "1988", "5", "5" ] ] }, "page" : "1159-62", "title" : "Thin stage I primary cutaneous malignant melanoma. Comparison of excision with margins of 1 or 3 cm.", "type" : "article-journal", "volume" : "318" }, "uris" : [ "http://www.mendeley.com/documents/?uuid=1578f3fc-b46e-4700-8daf-23c7d5b20e68" ] } ], "mendeley" : { "formattedCitation" : "&lt;sup&gt;41&lt;/sup&gt;", "plainTextFormattedCitation" : "41", "previouslyFormattedCitation" : "&lt;sup&gt;41&lt;/sup&gt;" }, "properties" : { "noteIndex" : 0 }, "schema" : "https://github.com/citation-style-language/schema/raw/master/csl-citation.json" }</w:instrText>
      </w:r>
      <w:r w:rsidR="0064551B">
        <w:rPr>
          <w:sz w:val="22"/>
          <w:szCs w:val="22"/>
        </w:rPr>
        <w:fldChar w:fldCharType="separate"/>
      </w:r>
      <w:r w:rsidR="0064551B" w:rsidRPr="0064551B">
        <w:rPr>
          <w:noProof/>
          <w:sz w:val="22"/>
          <w:szCs w:val="22"/>
          <w:vertAlign w:val="superscript"/>
        </w:rPr>
        <w:t>41</w:t>
      </w:r>
      <w:r w:rsidR="0064551B">
        <w:rPr>
          <w:sz w:val="22"/>
          <w:szCs w:val="22"/>
        </w:rPr>
        <w:fldChar w:fldCharType="end"/>
      </w:r>
    </w:p>
    <w:p w14:paraId="17E9F21B" w14:textId="77777777" w:rsidR="0061482C" w:rsidRPr="003E73CD" w:rsidRDefault="0061482C" w:rsidP="0061482C">
      <w:pPr>
        <w:spacing w:line="480" w:lineRule="auto"/>
        <w:rPr>
          <w:sz w:val="22"/>
          <w:szCs w:val="22"/>
        </w:rPr>
      </w:pPr>
      <w:r w:rsidRPr="003E73CD">
        <w:rPr>
          <w:sz w:val="22"/>
          <w:szCs w:val="22"/>
        </w:rPr>
        <w:t xml:space="preserve">  </w:t>
      </w:r>
    </w:p>
    <w:p w14:paraId="04F9C11E" w14:textId="301DF913" w:rsidR="0061482C" w:rsidRDefault="0061482C" w:rsidP="0061482C">
      <w:pPr>
        <w:spacing w:line="480" w:lineRule="auto"/>
        <w:ind w:firstLine="720"/>
        <w:rPr>
          <w:sz w:val="22"/>
          <w:szCs w:val="22"/>
        </w:rPr>
      </w:pPr>
      <w:r w:rsidRPr="003E73CD">
        <w:rPr>
          <w:sz w:val="22"/>
          <w:szCs w:val="22"/>
        </w:rPr>
        <w:t>In order to guide best practice in management of intermediate thickness melanoma, a third trial was conducted.  The Intergroup Melanoma Trial included patients with primary tumour thickness 1-4mm and compared 2cm and 4cm margins of excision.  There was no statistically significant difference between the two groups in terms of overall survival, local recurrence or rates of metastases, thus suggesting that a 2cm margin was sufficient for this subgroup.</w:t>
      </w:r>
      <w:r w:rsidRPr="003E73CD">
        <w:rPr>
          <w:sz w:val="22"/>
          <w:szCs w:val="22"/>
        </w:rPr>
        <w:fldChar w:fldCharType="begin" w:fldLock="1"/>
      </w:r>
      <w:r w:rsidRPr="003E73CD">
        <w:rPr>
          <w:sz w:val="22"/>
          <w:szCs w:val="22"/>
        </w:rPr>
        <w:instrText>ADDIN CSL_CITATION { "citationItems" : [ { "id" : "ITEM-1", "itemData" : { "ISSN" : "1068-9265", "PMID" : "11258773", "abstract" : "BACKGROUND: The Intergroup Melanoma Surgical Trial began in 1983 to examine the optimal surgical margins of excision for primary melanomas of intermediate thickness (i.e., 1-4 mm). There is now a median 10-year follow-up.\n\nMETHODS: There were two cohorts entered into a prospective multi-institutional trial: (1) 468 patients with melanomas on the trunk or proximal extremity who randomly received a 2 cm or 4 cm radial excision margin and (2) 272 patients with melanomas on the head, neck, or distal extremities who received a 2 cm radial excision margin.\n\nRESULTS: A local recurrence (LR) was associated with a high mortality rate, with a 5-year survival rate of only 9% (as a first relapse) or 11% (anytime) compared with an 86% survival for those patients who did not have a LR (P &lt; .0001). The 10-year survival for all patients with a LR was 5%. The 10-year survival rates were not significantly different when comparing 2 cm vs. 4 cm margins of excision (70% vs. 77%) or comparing the management of the regional lymph nodes (observation vs. elective node dissection). The incidences of LR were the same for patients having a 2 cm vs. 4 cm excision margin regardless of whether the comparisons were made as first relapse (0.4% vs. 0.9%) or at anytime (2.1% vs. 2.6%). When analyzed by anatomic site, the LR rates were 1.1% for melanomas arising on the proximal extremity, 3.1% for the trunk, 5.3% for the distal extremities, and 9.4% for the head and neck. The most profound influence on LR rates was the presence or absence of ulceration; it was 6.6% vs. 1.1% in the randomized group involving the trunk and proximal extremity and was 16.2% vs. 2.1% in the non-randomized group involving the distal extremity and head and neck (P &lt; .001). A multivariate (Cox) regression analysis showed that ulceration was an adverse and independent factor (P = .0001) as was head and neck melanoma site (P = .01), while the remaining factors were not significant (all with P &gt; .12).\n\nCONCLUSION: For this group of melanoma patients, a local recurrence is associated with a high mortality rate, a 2-cm margin of excision is safe and ulceration of the primary melanoma is the most significant prognostic factor heralding an increased risk for a local recurrence.", "author" : [ { "dropping-particle" : "", "family" : "Balch", "given" : "C M", "non-dropping-particle" : "", "parse-names" : false, "suffix" : "" }, { "dropping-particle" : "", "family" : "Soong", "given" : "S J", "non-dropping-particle" : "", "parse-names" : false, "suffix" : "" }, { "dropping-particle" : "", "family" : "Smith", "given" : "T", "non-dropping-particle" : "", "parse-names" : false, "suffix" : "" }, { "dropping-particle" : "", "family" : "Ross", "given" : "M I", "non-dropping-particle" : "", "parse-names" : false, "suffix" : "" }, { "dropping-particle" : "", "family" : "Urist", "given" : "M M", "non-dropping-particle" : "", "parse-names" : false, "suffix" : "" }, { "dropping-particle" : "", "family" : "Karakousis", "given" : "C P", "non-dropping-particle" : "", "parse-names" : false, "suffix" : "" }, { "dropping-particle" : "", "family" : "Temple", "given" : "W J", "non-dropping-particle" : "", "parse-names" : false, "suffix" : "" }, { "dropping-particle" : "", "family" : "Mihm", "given" : "M C", "non-dropping-particle" : "", "parse-names" : false, "suffix" : "" }, { "dropping-particle" : "", "family" : "Barnhill", "given" : "R L", "non-dropping-particle" : "", "parse-names" : false, "suffix" : "" }, { "dropping-particle" : "", "family" : "Jewell", "given" : "W R", "non-dropping-particle" : "", "parse-names" : false, "suffix" : "" }, { "dropping-particle" : "", "family" : "Wanebo", "given" : "H J", "non-dropping-particle" : "", "parse-names" : false, "suffix" : "" }, { "dropping-particle" : "", "family" : "Desmond", "given" : "R", "non-dropping-particle" : "", "parse-names" : false, "suffix" : "" } ], "container-title" : "Annals of surgical oncology", "id" : "ITEM-1", "issue" : "2", "issued" : { "date-parts" : [ [ "2001", "3" ] ] }, "page" : "101-8", "title" : "Long-term results of a prospective surgical trial comparing 2 cm vs. 4 cm excision margins for 740 patients with 1-4 mm melanomas.", "type" : "article-journal", "volume" : "8" }, "uris" : [ "http://www.mendeley.com/documents/?uuid=eebd0df7-5685-4a07-93b5-e05c91a97455" ] }, { "id" : "ITEM-2", "itemData" : { "ISSN" : "0003-4932", "PMID" : "8373269", "abstract" : "BACKGROUND: A prospective, multi-institutional, randomized surgical trial involving 486 localized melanoma patients was conducted to determine whether excision margins for intermediate-thickness melanomas (1.0 to 4.0 mm) could be safely reduced from the standard 4-cm radius.\n\nMETHODS: Patients with 1- to 4-mm-thick melanomas on the trunk or proximal extremities were randomly assigned to receive either a 2- or 4-cm surgical margin.\n\nRESULTS: The median follow-up time was 6 years. The local recurrence rate was 0.8% for 2-cm margins and 1.7% for 4-cm margins (p value not significant [NS]). The rates of in-transit metastases were 2.1% and 2.5%, respectively (p = NS). Of the six patients with local recurrences, five have died. Recurrence rates did not correlate with surgical margins, even among stratified thickness groups. The overall 5-year survival rate was 79.5% for the 2-cm margin patients and 83.7% for the 4-cm margin patients (p = NS). The need for skin grafting was reduced from 46% with 4-cm surgical margins to 11% with 2-cm surgical margins (p &lt; 0.001). The hospital stay was shortened from 7.0 days for patients receiving 4-cm surgical margins to 5.2 days for those receiving 2-cm margins (p = 0.0001). This reduction was largely due to reduced need for skin grafting, since the hospital stay for those who had a skin graft was 2.5 days longer than that for those who had a primary wound closure (p &lt; 0.01).\n\nCONCLUSION: Margins of excision can be safely reduced to 2 cm for patients with intermediate-thickness melanomas. The narrower margins significantly reduced the need for skin grafting and shortened the hospital stay.", "author" : [ { "dropping-particle" : "", "family" : "Balch", "given" : "C M", "non-dropping-particle" : "", "parse-names" : false, "suffix" : "" }, { "dropping-particle" : "", "family" : "Urist", "given" : "M M", "non-dropping-particle" : "", "parse-names" : false, "suffix" : "" }, { "dropping-particle" : "", "family" : "Karakousis", "given" : "C P", "non-dropping-particle" : "", "parse-names" : false, "suffix" : "" }, { "dropping-particle" : "", "family" : "Smith", "given" : "T J", "non-dropping-particle" : "", "parse-names" : false, "suffix" : "" }, { "dropping-particle" : "", "family" : "Temple", "given" : "W J", "non-dropping-particle" : "", "parse-names" : false, "suffix" : "" }, { "dropping-particle" : "", "family" : "Drzewiecki", "given" : "K", "non-dropping-particle" : "", "parse-names" : false, "suffix" : "" }, { "dropping-particle" : "", "family" : "Jewell", "given" : "W R", "non-dropping-particle" : "", "parse-names" : false, "suffix" : "" }, { "dropping-particle" : "", "family" : "Bartolucci", "given" : "A A", "non-dropping-particle" : "", "parse-names" : false, "suffix" : "" }, { "dropping-particle" : "", "family" : "Mihm", "given" : "M C", "non-dropping-particle" : "", "parse-names" : false, "suffix" : "" }, { "dropping-particle" : "", "family" : "Barnhill", "given" : "R", "non-dropping-particle" : "", "parse-names" : false, "suffix" : "" } ], "container-title" : "Annals of surgery", "id" : "ITEM-2", "issue" : "3", "issued" : { "date-parts" : [ [ "1993", "9" ] ] }, "page" : "262-7; discussion 267-9", "title" : "Efficacy of 2-cm surgical margins for intermediate-thickness melanomas (1 to 4 mm). Results of a multi-institutional randomized surgical trial.", "type" : "article-journal", "volume" : "218" }, "uris" : [ "http://www.mendeley.com/documents/?uuid=334d1709-7962-42cf-9f1e-3dfcf0df2542" ] } ], "mendeley" : { "formattedCitation" : "&lt;sup&gt;42,49&lt;/sup&gt;", "plainTextFormattedCitation" : "42,49", "previouslyFormattedCitation" : "&lt;sup&gt;42,49&lt;/sup&gt;" }, "properties" : { "noteIndex" : 0 }, "schema" : "https://github.com/citation-style-language/schema/raw/master/csl-citation.json" }</w:instrText>
      </w:r>
      <w:r w:rsidRPr="003E73CD">
        <w:rPr>
          <w:sz w:val="22"/>
          <w:szCs w:val="22"/>
        </w:rPr>
        <w:fldChar w:fldCharType="separate"/>
      </w:r>
      <w:r w:rsidRPr="003E73CD">
        <w:rPr>
          <w:noProof/>
          <w:sz w:val="22"/>
          <w:szCs w:val="22"/>
          <w:vertAlign w:val="superscript"/>
        </w:rPr>
        <w:t>42,49</w:t>
      </w:r>
      <w:r w:rsidRPr="003E73CD">
        <w:rPr>
          <w:sz w:val="22"/>
          <w:szCs w:val="22"/>
        </w:rPr>
        <w:fldChar w:fldCharType="end"/>
      </w:r>
      <w:proofErr w:type="gramStart"/>
      <w:r w:rsidRPr="003E73CD">
        <w:rPr>
          <w:sz w:val="22"/>
          <w:szCs w:val="22"/>
        </w:rPr>
        <w:t xml:space="preserve">  At</w:t>
      </w:r>
      <w:proofErr w:type="gramEnd"/>
      <w:r w:rsidRPr="003E73CD">
        <w:rPr>
          <w:sz w:val="22"/>
          <w:szCs w:val="22"/>
        </w:rPr>
        <w:t xml:space="preserve"> a similar time the Swedish Melanoma Study Group conducted a multicentre study comparing 2cm versus 5cm margins for patients with melanoma of 0.81mm to 2mm thickness.</w:t>
      </w:r>
      <w:r w:rsidRPr="003E73CD">
        <w:rPr>
          <w:sz w:val="22"/>
          <w:szCs w:val="22"/>
        </w:rPr>
        <w:fldChar w:fldCharType="begin" w:fldLock="1"/>
      </w:r>
      <w:r w:rsidRPr="003E73CD">
        <w:rPr>
          <w:sz w:val="22"/>
          <w:szCs w:val="22"/>
        </w:rPr>
        <w:instrText>ADDIN CSL_CITATION { "citationItems" : [ { "id" : "ITEM-1", "itemData" : { "DOI" : "10.1002/(SICI)1097-0142(19960501)77:9&lt;1809::AID-CNCR8&gt;3.0.CO;2-6", "ISSN" : "0008-543X", "PMID" : "8646678", "abstract" : "BACKGROUND: The traditional surgical treatment for primary malignant melanoma has often been a wide excision with a margin of about 5 cm. Since the risk of local recurrences is dependent on tumor thickness, thin tumors (&lt;1 mm) have routinely been excised with a narrow margin. For thick tumors, the optimal resection margin is controversial, and can be determined only by prospective, randomized trials.\n\nMETHODS: The Swedish Melanoma Study Group performed a prospective, randomized multicenter study to evaluate an excision margin of 2 versus 5 cm for patients with cutaneous malignant melanoma with tumor thickness &gt; 0.8 and &lt; or = 2.0 mm. The trial includes 769 patients. Patients with melanomas of the skin of the head, neck, hands, feet, or vulva were not included in the trial. In the event of an excision biopsy for diagnosis, radical surgery was completed within 6 weeks. The median follow-up time was 5.8 years for estimation of survival and 4.0 years for diagnosis of recurrent disease.\n\nRESULTS: No significant differences have been observed between the treatment groups regarding local or regional recurrences or survival.\n\nCONCLUSIONS: We recommend an excision with a margin of 2 cm for cutaneous malignant melanoma with a tumor thickness &gt; 0.8 and &lt; or = 2.0 mm.", "author" : [ { "dropping-particle" : "", "family" : "Ringborg", "given" : "U", "non-dropping-particle" : "", "parse-names" : false, "suffix" : "" }, { "dropping-particle" : "", "family" : "Andersson", "given" : "R", "non-dropping-particle" : "", "parse-names" : false, "suffix" : "" }, { "dropping-particle" : "", "family" : "Eldh", "given" : "J", "non-dropping-particle" : "", "parse-names" : false, "suffix" : "" }, { "dropping-particle" : "", "family" : "Glaumann", "given" : "B", "non-dropping-particle" : "", "parse-names" : false, "suffix" : "" }, { "dropping-particle" : "", "family" : "Hafstr\u00f6m", "given" : "L", "non-dropping-particle" : "", "parse-names" : false, "suffix" : "" }, { "dropping-particle" : "", "family" : "Jacobsson", "given" : "S", "non-dropping-particle" : "", "parse-names" : false, "suffix" : "" }, { "dropping-particle" : "", "family" : "J\u00f6nsson", "given" : "P E", "non-dropping-particle" : "", "parse-names" : false, "suffix" : "" }, { "dropping-particle" : "", "family" : "Johansson", "given" : "H", "non-dropping-particle" : "", "parse-names" : false, "suffix" : "" }, { "dropping-particle" : "", "family" : "Krysander", "given" : "L", "non-dropping-particle" : "", "parse-names" : false, "suffix" : "" }, { "dropping-particle" : "", "family" : "Lagerl\u00f6f", "given" : "B", "non-dropping-particle" : "", "parse-names" : false, "suffix" : "" } ], "container-title" : "Cancer", "id" : "ITEM-1", "issue" : "9", "issued" : { "date-parts" : [ [ "1996", "5", "1" ] ] }, "page" : "1809-14", "title" : "Resection margins of 2 versus 5 cm for cutaneous malignant melanoma with a tumor thickness of 0.8 to 2.0 mm: randomized study by the Swedish Melanoma Study Group.", "type" : "article-journal", "volume" : "77" }, "uris" : [ "http://www.mendeley.com/documents/?uuid=60b976d6-4a44-46ff-8572-9cab9ac2430c" ] } ], "mendeley" : { "formattedCitation" : "&lt;sup&gt;43&lt;/sup&gt;", "plainTextFormattedCitation" : "43", "previouslyFormattedCitation" : "&lt;sup&gt;43&lt;/sup&gt;" }, "properties" : { "noteIndex" : 0 }, "schema" : "https://github.com/citation-style-language/schema/raw/master/csl-citation.json" }</w:instrText>
      </w:r>
      <w:r w:rsidRPr="003E73CD">
        <w:rPr>
          <w:sz w:val="22"/>
          <w:szCs w:val="22"/>
        </w:rPr>
        <w:fldChar w:fldCharType="separate"/>
      </w:r>
      <w:r w:rsidRPr="003E73CD">
        <w:rPr>
          <w:noProof/>
          <w:sz w:val="22"/>
          <w:szCs w:val="22"/>
          <w:vertAlign w:val="superscript"/>
        </w:rPr>
        <w:t>43</w:t>
      </w:r>
      <w:r w:rsidRPr="003E73CD">
        <w:rPr>
          <w:sz w:val="22"/>
          <w:szCs w:val="22"/>
        </w:rPr>
        <w:fldChar w:fldCharType="end"/>
      </w:r>
      <w:proofErr w:type="gramStart"/>
      <w:r w:rsidRPr="003E73CD">
        <w:rPr>
          <w:sz w:val="22"/>
          <w:szCs w:val="22"/>
        </w:rPr>
        <w:t xml:space="preserve">  There</w:t>
      </w:r>
      <w:proofErr w:type="gramEnd"/>
      <w:r w:rsidRPr="003E73CD">
        <w:rPr>
          <w:sz w:val="22"/>
          <w:szCs w:val="22"/>
        </w:rPr>
        <w:t xml:space="preserve"> was no difference in overall survival between the two groups and so it became established that margins over 2cm were not necessary for melanoma with Breslow thickness up to 2mm, and possibly up to 4mm.  The UK Melanoma Study Group trial was conducted to compare 1cm versus 3cm margins in patients with thicker melanoma (2mm or greater).</w:t>
      </w:r>
      <w:r w:rsidRPr="003E73CD">
        <w:rPr>
          <w:sz w:val="22"/>
          <w:szCs w:val="22"/>
        </w:rPr>
        <w:fldChar w:fldCharType="begin" w:fldLock="1"/>
      </w:r>
      <w:r w:rsidRPr="003E73CD">
        <w:rPr>
          <w:sz w:val="22"/>
          <w:szCs w:val="22"/>
        </w:rPr>
        <w:instrText>ADDIN CSL_CITATION { "citationItems" : [ { "id" : "ITEM-1", "itemData" : { "DOI" : "10.1056/NEJMoa030681", "ISSN" : "1533-4406", "PMID" : "14973217", "abstract" : "BACKGROUND: Controversy exists concerning the necessary margin of excision for cutaneous melanoma 2 mm or greater in thickness.\n\nMETHODS: We conducted a randomized clinical trial comparing 1-cm and 3-cm margins.\n\nRESULTS: Of the 900 patients who were enrolled, 453 were randomly assigned to undergo surgery with a 1-cm margin of excision and 447 with a 3-cm margin of excision; the median follow-up was 60 months. A 1-cm margin of excision was associated with a significantly increased risk of locoregional recurrence. There were 168 locoregional recurrences (as first events) in the group with 1-cm margins of excision, as compared with 142 in the group with 3-cm margins (hazard ratio, 1.26; 95 percent confidence interval, 1.00 to 1.59; P=0.05). There were 128 deaths attributable to melanoma in the group with 1-cm margins, as compared with 105 in the group with 3-cm margins (hazard ratio, 1.24; 95 percent confidence interval, 0.96 to 1.61; P=0.1); overall survival was similar in the two groups (hazard ratio for death, 1.07; 95 percent confidence interval, 0.85 to 1.36; P=0.6).\n\nCONCLUSIONS: A 1-cm margin of excision for melanoma with a poor prognosis (as defined by a tumor thickness of at least 2 mm) is associated with a significantly greater risk of regional recurrence than is a 3-cm margin, but with a similar overall survival rate.", "author" : [ { "dropping-particle" : "", "family" : "Thomas", "given" : "J Meirion", "non-dropping-particle" : "", "parse-names" : false, "suffix" : "" }, { "dropping-particle" : "", "family" : "Newton-Bishop", "given" : "Julia", "non-dropping-particle" : "", "parse-names" : false, "suffix" : "" }, { "dropping-particle" : "", "family" : "A'Hern", "given" : "Roger", "non-dropping-particle" : "", "parse-names" : false, "suffix" : "" }, { "dropping-particle" : "", "family" : "Coombes", "given" : "Gill", "non-dropping-particle" : "", "parse-names" : false, "suffix" : "" }, { "dropping-particle" : "", "family" : "Timmons", "given" : "Michael", "non-dropping-particle" : "", "parse-names" : false, "suffix" : "" }, { "dropping-particle" : "", "family" : "Evans", "given" : "Judy", "non-dropping-particle" : "", "parse-names" : false, "suffix" : "" }, { "dropping-particle" : "", "family" : "Cook", "given" : "Martin", "non-dropping-particle" : "", "parse-names" : false, "suffix" : "" }, { "dropping-particle" : "", "family" : "Theaker", "given" : "Jeffery", "non-dropping-particle" : "", "parse-names" : false, "suffix" : "" }, { "dropping-particle" : "", "family" : "Fallowfield", "given" : "Mary", "non-dropping-particle" : "", "parse-names" : false, "suffix" : "" }, { "dropping-particle" : "", "family" : "O'Neill", "given" : "Trevor", "non-dropping-particle" : "", "parse-names" : false, "suffix" : "" }, { "dropping-particle" : "", "family" : "Ruka", "given" : "Wlodek", "non-dropping-particle" : "", "parse-names" : false, "suffix" : "" }, { "dropping-particle" : "", "family" : "Bliss", "given" : "Judith M", "non-dropping-particle" : "", "parse-names" : false, "suffix" : "" } ], "container-title" : "The New England journal of medicine", "id" : "ITEM-1", "issue" : "8", "issued" : { "date-parts" : [ [ "2004", "2", "19" ] ] }, "page" : "757-66", "title" : "Excision margins in high-risk malignant melanoma.", "type" : "article-journal", "volume" : "350" }, "uris" : [ "http://www.mendeley.com/documents/?uuid=47009b47-ad87-467d-9f44-07254d4418d0" ] } ], "mendeley" : { "formattedCitation" : "&lt;sup&gt;45&lt;/sup&gt;", "plainTextFormattedCitation" : "45", "previouslyFormattedCitation" : "&lt;sup&gt;45&lt;/sup&gt;" }, "properties" : { "noteIndex" : 0 }, "schema" : "https://github.com/citation-style-language/schema/raw/master/csl-citation.json" }</w:instrText>
      </w:r>
      <w:r w:rsidRPr="003E73CD">
        <w:rPr>
          <w:sz w:val="22"/>
          <w:szCs w:val="22"/>
        </w:rPr>
        <w:fldChar w:fldCharType="separate"/>
      </w:r>
      <w:r w:rsidRPr="003E73CD">
        <w:rPr>
          <w:noProof/>
          <w:sz w:val="22"/>
          <w:szCs w:val="22"/>
          <w:vertAlign w:val="superscript"/>
        </w:rPr>
        <w:t>45</w:t>
      </w:r>
      <w:r w:rsidRPr="003E73CD">
        <w:rPr>
          <w:sz w:val="22"/>
          <w:szCs w:val="22"/>
        </w:rPr>
        <w:fldChar w:fldCharType="end"/>
      </w:r>
      <w:proofErr w:type="gramStart"/>
      <w:r w:rsidR="00EC1A5D">
        <w:rPr>
          <w:sz w:val="22"/>
          <w:szCs w:val="22"/>
        </w:rPr>
        <w:t xml:space="preserve">  This</w:t>
      </w:r>
      <w:proofErr w:type="gramEnd"/>
      <w:r w:rsidR="00EC1A5D">
        <w:rPr>
          <w:sz w:val="22"/>
          <w:szCs w:val="22"/>
        </w:rPr>
        <w:t xml:space="preserve"> trial</w:t>
      </w:r>
      <w:r w:rsidR="00525B3C">
        <w:rPr>
          <w:sz w:val="22"/>
          <w:szCs w:val="22"/>
        </w:rPr>
        <w:t xml:space="preserve">, along with the </w:t>
      </w:r>
      <w:r w:rsidR="00EC1A5D">
        <w:rPr>
          <w:sz w:val="22"/>
          <w:szCs w:val="22"/>
        </w:rPr>
        <w:t xml:space="preserve">aforementioned </w:t>
      </w:r>
      <w:r w:rsidR="00525B3C">
        <w:rPr>
          <w:sz w:val="22"/>
          <w:szCs w:val="22"/>
        </w:rPr>
        <w:t>Swedish Melanoma Study Group</w:t>
      </w:r>
      <w:r w:rsidR="00EC1A5D">
        <w:rPr>
          <w:sz w:val="22"/>
          <w:szCs w:val="22"/>
        </w:rPr>
        <w:t xml:space="preserve"> trial,</w:t>
      </w:r>
      <w:r w:rsidRPr="003E73CD">
        <w:rPr>
          <w:sz w:val="22"/>
          <w:szCs w:val="22"/>
        </w:rPr>
        <w:t xml:space="preserve"> </w:t>
      </w:r>
      <w:r w:rsidR="00EC1A5D">
        <w:rPr>
          <w:sz w:val="22"/>
          <w:szCs w:val="22"/>
        </w:rPr>
        <w:t>differed from</w:t>
      </w:r>
      <w:r w:rsidRPr="003E73CD">
        <w:rPr>
          <w:sz w:val="22"/>
          <w:szCs w:val="22"/>
        </w:rPr>
        <w:t xml:space="preserve"> previous trials in the m</w:t>
      </w:r>
      <w:r w:rsidR="00EC1A5D">
        <w:rPr>
          <w:sz w:val="22"/>
          <w:szCs w:val="22"/>
        </w:rPr>
        <w:t>ethod of analysing recurrence.  They</w:t>
      </w:r>
      <w:r w:rsidRPr="003E73CD">
        <w:rPr>
          <w:sz w:val="22"/>
          <w:szCs w:val="22"/>
        </w:rPr>
        <w:t xml:space="preserve"> analysed local, in</w:t>
      </w:r>
      <w:r w:rsidR="00F44DFA">
        <w:rPr>
          <w:sz w:val="22"/>
          <w:szCs w:val="22"/>
        </w:rPr>
        <w:t>-</w:t>
      </w:r>
      <w:r w:rsidRPr="003E73CD">
        <w:rPr>
          <w:sz w:val="22"/>
          <w:szCs w:val="22"/>
        </w:rPr>
        <w:t>transit and regional nodal recurrences grouped into one category (locoregional recurrence), rather than as separate categories for nodal recurrence and for local or in</w:t>
      </w:r>
      <w:r w:rsidR="00F44DFA">
        <w:rPr>
          <w:sz w:val="22"/>
          <w:szCs w:val="22"/>
        </w:rPr>
        <w:t>-</w:t>
      </w:r>
      <w:r w:rsidRPr="003E73CD">
        <w:rPr>
          <w:sz w:val="22"/>
          <w:szCs w:val="22"/>
        </w:rPr>
        <w:t>transit recurrence.  There was no difference in overall survival or in local recurrence rate when analysed on its own.  The difference in rates of locoregional recurrence within the first 3 years did however reach statistical significance (p=0.02) and led to a recommendation to perform 3cm wide excision margins for melanoma with Breslow thickness &gt;4mm and to consider 2-3cm margins for melanoma with Breslow thickness 2-4mm.  This recommendation was endorsed by the UK guidelines for the management of melanoma, but was not incorporated into other international melanoma guidelines.</w:t>
      </w:r>
      <w:r w:rsidR="0064551B">
        <w:rPr>
          <w:sz w:val="22"/>
          <w:szCs w:val="22"/>
        </w:rPr>
        <w:fldChar w:fldCharType="begin" w:fldLock="1"/>
      </w:r>
      <w:r w:rsidR="0053012A">
        <w:rPr>
          <w:sz w:val="22"/>
          <w:szCs w:val="22"/>
        </w:rPr>
        <w:instrText>ADDIN CSL_CITATION { "citationItems" : [ { "id" : "ITEM-1", "itemData" : { "DOI" : "10.1016/j.bjps.2010.07.006", "ISSN" : "1878-0539", "PMID" : "20728418", "abstract" : "These guidelines for the management of cutaneous melanoma present an evidence-based guidance for treatment, with identification of the strength of evidence available at the time of preparation of the guidelines, and a brief overview of epidemiology, diagnosis, investigation, and follow-up.", "author" : [ { "dropping-particle" : "", "family" : "Marsden", "given" : "J R", "non-dropping-particle" : "", "parse-names" : false, "suffix" : "" }, { "dropping-particle" : "", "family" : "Newton-Bishop", "given" : "J A", "non-dropping-particle" : "", "parse-names" : false, "suffix" : "" }, { "dropping-particle" : "", "family" : "Burrows", "given" : "L", "non-dropping-particle" : "", "parse-names" : false, "suffix" : "" }, { "dropping-particle" : "", "family" : "Cook", "given" : "M", "non-dropping-particle" : "", "parse-names" : false, "suffix" : "" }, { "dropping-particle" : "", "family" : "Corrie", "given" : "P G", "non-dropping-particle" : "", "parse-names" : false, "suffix" : "" }, { "dropping-particle" : "", "family" : "Cox", "given" : "N H", "non-dropping-particle" : "", "parse-names" : false, "suffix" : "" }, { "dropping-particle" : "", "family" : "Gore", "given" : "M E", "non-dropping-particle" : "", "parse-names" : false, "suffix" : "" }, { "dropping-particle" : "", "family" : "Lorigan", "given" : "P", "non-dropping-particle" : "", "parse-names" : false, "suffix" : "" }, { "dropping-particle" : "", "family" : "Mackie", "given" : "R", "non-dropping-particle" : "", "parse-names" : false, "suffix" : "" }, { "dropping-particle" : "", "family" : "Nathan", "given" : "P", "non-dropping-particle" : "", "parse-names" : false, "suffix" : "" }, { "dropping-particle" : "", "family" : "Peach", "given" : "H", "non-dropping-particle" : "", "parse-names" : false, "suffix" : "" }, { "dropping-particle" : "", "family" : "Powell", "given" : "B", "non-dropping-particle" : "", "parse-names" : false, "suffix" : "" }, { "dropping-particle" : "", "family" : "Walker", "given" : "C", "non-dropping-particle" : "", "parse-names" : false, "suffix" : "" } ], "container-title" : "Journal of plastic, reconstructive &amp; aesthetic surgery : JPRAS", "id" : "ITEM-1", "issue" : "9", "issued" : { "date-parts" : [ [ "2010", "9" ] ] }, "page" : "1401-19", "title" : "Revised UK guidelines for the management of cutaneous melanoma 2010.", "type" : "article-journal", "volume" : "63" }, "uris" : [ "http://www.mendeley.com/documents/?uuid=036583d7-b905-488e-93ab-def5d5ae595d" ] } ], "mendeley" : { "formattedCitation" : "&lt;sup&gt;15&lt;/sup&gt;", "plainTextFormattedCitation" : "15", "previouslyFormattedCitation" : "&lt;sup&gt;15&lt;/sup&gt;" }, "properties" : { "noteIndex" : 0 }, "schema" : "https://github.com/citation-style-language/schema/raw/master/csl-citation.json" }</w:instrText>
      </w:r>
      <w:r w:rsidR="0064551B">
        <w:rPr>
          <w:sz w:val="22"/>
          <w:szCs w:val="22"/>
        </w:rPr>
        <w:fldChar w:fldCharType="separate"/>
      </w:r>
      <w:r w:rsidR="0064551B" w:rsidRPr="0064551B">
        <w:rPr>
          <w:noProof/>
          <w:sz w:val="22"/>
          <w:szCs w:val="22"/>
          <w:vertAlign w:val="superscript"/>
        </w:rPr>
        <w:t>15</w:t>
      </w:r>
      <w:r w:rsidR="0064551B">
        <w:rPr>
          <w:sz w:val="22"/>
          <w:szCs w:val="22"/>
        </w:rPr>
        <w:fldChar w:fldCharType="end"/>
      </w:r>
      <w:proofErr w:type="gramStart"/>
      <w:r w:rsidRPr="003E73CD">
        <w:rPr>
          <w:sz w:val="22"/>
          <w:szCs w:val="22"/>
        </w:rPr>
        <w:t xml:space="preserve">  </w:t>
      </w:r>
      <w:r w:rsidR="00B60C63" w:rsidRPr="003E73CD">
        <w:rPr>
          <w:sz w:val="22"/>
          <w:szCs w:val="22"/>
        </w:rPr>
        <w:t>Longer</w:t>
      </w:r>
      <w:proofErr w:type="gramEnd"/>
      <w:r w:rsidR="00B60C63" w:rsidRPr="003E73CD">
        <w:rPr>
          <w:sz w:val="22"/>
          <w:szCs w:val="22"/>
        </w:rPr>
        <w:t>-term follow-up from this trial has resulted in a difference in melanoma-specific survival with reduced survival in the 1cm wide excision group.</w:t>
      </w:r>
      <w:r w:rsidR="00B60C63" w:rsidRPr="003E73CD">
        <w:rPr>
          <w:sz w:val="22"/>
          <w:szCs w:val="22"/>
        </w:rPr>
        <w:fldChar w:fldCharType="begin" w:fldLock="1"/>
      </w:r>
      <w:r w:rsidR="006E7542" w:rsidRPr="003E73CD">
        <w:rPr>
          <w:sz w:val="22"/>
          <w:szCs w:val="22"/>
        </w:rPr>
        <w:instrText>ADDIN CSL_CITATION { "citationItems" : [ { "id" : "ITEM-1", "itemData" : { "author" : [ { "dropping-particle" : "", "family" : "Hayes", "given" : "Andrew J", "non-dropping-particle" : "", "parse-names" : false, "suffix" : "" }, { "dropping-particle" : "", "family" : "Maynard", "given" : "Lauren", "non-dropping-particle" : "", "parse-names" : false, "suffix" : "" }, { "dropping-particle" : "", "family" : "A'Hern", "given" : "Roger", "non-dropping-particle" : "", "parse-names" : false, "suffix" : "" }, { "dropping-particle" : "", "family" : "Coombes", "given" : "Gillian", "non-dropping-particle" : "", "parse-names" : false, "suffix" : "" }, { "dropping-particle" : "", "family" : "Newton-Bishop", "given" : "Julia", "non-dropping-particle" : "", "parse-names" : false, "suffix" : "" }, { "dropping-particle" : "", "family" : "Timmons", "given" : "Michael", "non-dropping-particle" : "", "parse-names" : false, "suffix" : "" }, { "dropping-particle" : "", "family" : "Cook", "given" : "Martin", "non-dropping-particle" : "", "parse-names" : false, "suffix" : "" }, { "dropping-particle" : "", "family" : "Theaker", "given" : "Jeffery", "non-dropping-particle" : "", "parse-names" : false, "suffix" : "" }, { "dropping-particle" : "", "family" : "Bliss", "given" : "Judith", "non-dropping-particle" : "", "parse-names" : false, "suffix" : "" }, { "dropping-particle" : "", "family" : "Thomas", "given" : "Joseph Meirion", "non-dropping-particle" : "", "parse-names" : false, "suffix" : "" } ], "container-title" : "ASCO Meeting Abstracts", "id" : "ITEM-1", "issue" : "15_suppl", "issued" : { "date-parts" : [ [ "2015", "5", "20" ] ] }, "page" : "9001", "title" : "Long term follow up of survival in a randomised trial of wide or narrow excision margins in high risk primary melanoma.", "type" : "article-journal", "volume" : "33" }, "uris" : [ "http://www.mendeley.com/documents/?uuid=21323df8-47b7-43fa-86a0-2db6e6fb4683" ] } ], "mendeley" : { "formattedCitation" : "&lt;sup&gt;51&lt;/sup&gt;", "plainTextFormattedCitation" : "51", "previouslyFormattedCitation" : "&lt;sup&gt;51&lt;/sup&gt;" }, "properties" : { "noteIndex" : 0 }, "schema" : "https://github.com/citation-style-language/schema/raw/master/csl-citation.json" }</w:instrText>
      </w:r>
      <w:r w:rsidR="00B60C63" w:rsidRPr="003E73CD">
        <w:rPr>
          <w:sz w:val="22"/>
          <w:szCs w:val="22"/>
        </w:rPr>
        <w:fldChar w:fldCharType="separate"/>
      </w:r>
      <w:r w:rsidR="00B60C63" w:rsidRPr="003E73CD">
        <w:rPr>
          <w:noProof/>
          <w:sz w:val="22"/>
          <w:szCs w:val="22"/>
          <w:vertAlign w:val="superscript"/>
        </w:rPr>
        <w:t>51</w:t>
      </w:r>
      <w:r w:rsidR="00B60C63" w:rsidRPr="003E73CD">
        <w:rPr>
          <w:sz w:val="22"/>
          <w:szCs w:val="22"/>
        </w:rPr>
        <w:fldChar w:fldCharType="end"/>
      </w:r>
      <w:proofErr w:type="gramStart"/>
      <w:r w:rsidR="00B60C63" w:rsidRPr="003E73CD">
        <w:rPr>
          <w:sz w:val="22"/>
          <w:szCs w:val="22"/>
        </w:rPr>
        <w:t xml:space="preserve">  </w:t>
      </w:r>
      <w:r w:rsidRPr="003E73CD">
        <w:rPr>
          <w:sz w:val="22"/>
          <w:szCs w:val="22"/>
        </w:rPr>
        <w:t>The</w:t>
      </w:r>
      <w:proofErr w:type="gramEnd"/>
      <w:r w:rsidRPr="003E73CD">
        <w:rPr>
          <w:sz w:val="22"/>
          <w:szCs w:val="22"/>
        </w:rPr>
        <w:t xml:space="preserve"> most recent trial to report, conducted in Scandinavia and Estonia and published in 2011, compared 2cm versus 4cm margins for patients with primary melanoma thickness &gt;2mm.</w:t>
      </w:r>
      <w:r w:rsidRPr="003E73CD">
        <w:rPr>
          <w:sz w:val="22"/>
          <w:szCs w:val="22"/>
        </w:rPr>
        <w:fldChar w:fldCharType="begin" w:fldLock="1"/>
      </w:r>
      <w:r w:rsidRPr="003E73CD">
        <w:rPr>
          <w:sz w:val="22"/>
          <w:szCs w:val="22"/>
        </w:rPr>
        <w:instrText>ADDIN CSL_CITATION { "citationItems" : [ { "id" : "ITEM-1", "itemData" : { "DOI" : "10.1016/S0140-6736(11)61546-8", "ISSN" : "1474-547X", "PMID" : "22027547", "abstract" : "BACKGROUND: Optimum surgical resection margins for patients with clinical stage IIA-C cutaneous melanoma thicker than 2 mm are controversial. The aim of the study was to test whether survival was different for a wide local excision margin of 2 cm compared with a 4-cm excision margin. METHODS: We undertook a randomised controlled trial in nine European centres. Patients with cutaneous melanoma thicker than 2 mm, at clinical stage IIA-C, were allocated to have either a 2-cm or a 4-cm surgical resection margin. Patients were randomised in a 1:1 allocation to one of the two groups and stratified by geographic region. Randomisation was done by sealed envelope or by computer generated lists with permuted blocks. Our primary endpoint was overall survival. The trial was not masked at any stage. Analyses were by intention to treat. Adverse events were not systematically recorded. The study is registered with ClinicalTrials.gov, number NCT01183936. FINDINGS: 936 patients were enrolled from Jan 22, 1992, to May 19, 2004; 465 were randomly allocated to treatment with a 2-cm resection margin, and 471 to receive treatment with a 4-cm resection margin. One patient in each group was lost to follow-up but included in the analysis. After a median follow-up of 6\u00b77 years (IQR 4\u00b73-9\u00b75) 181 patients in the 2-cm margin group and 177 in the 4-cm group had died (hazard ratio 1\u00b705, 95% CI 0\u00b785-1\u00b729; p=0.64). 5-year overall survival was 65% (95% CI 60-70) [corrected] in the 2-cm group and 65% (40-70) in the 4-cm group (p=0\u00b769). INTERPRETATION: Our findings suggest that a 2-cm resection margin is sufficient and safe for patients with cutaneous melanoma thicker than 2 mm. FUNDING: Swedish Cancer Society and Stockholm Cancer Society.", "author" : [ { "dropping-particle" : "", "family" : "Gillgren", "given" : "Peter", "non-dropping-particle" : "", "parse-names" : false, "suffix" : "" }, { "dropping-particle" : "", "family" : "Drzewiecki", "given" : "Krzysztof T", "non-dropping-particle" : "", "parse-names" : false, "suffix" : "" }, { "dropping-particle" : "", "family" : "Niin", "given" : "Marianne", "non-dropping-particle" : "", "parse-names" : false, "suffix" : "" }, { "dropping-particle" : "", "family" : "Gullestad", "given" : "Hans P", "non-dropping-particle" : "", "parse-names" : false, "suffix" : "" }, { "dropping-particle" : "", "family" : "Hellborg", "given" : "Henrik", "non-dropping-particle" : "", "parse-names" : false, "suffix" : "" }, { "dropping-particle" : "", "family" : "M\u00e5nsson-Brahme", "given" : "Eva", "non-dropping-particle" : "", "parse-names" : false, "suffix" : "" }, { "dropping-particle" : "", "family" : "Ingvar", "given" : "Christian", "non-dropping-particle" : "", "parse-names" : false, "suffix" : "" }, { "dropping-particle" : "", "family" : "Ringborg", "given" : "Ulrik", "non-dropping-particle" : "", "parse-names" : false, "suffix" : "" } ], "container-title" : "Lancet", "id" : "ITEM-1", "issue" : "9803", "issued" : { "date-parts" : [ [ "2011", "11", "5" ] ] }, "page" : "1635-42", "title" : "2-cm versus 4-cm surgical excision margins for primary cutaneous melanoma thicker than 2 mm: a randomised, multicentre trial.", "type" : "article-journal", "volume" : "378" }, "uris" : [ "http://www.mendeley.com/documents/?uuid=dae73001-f10c-4d77-b877-63fc7392318d" ] } ], "mendeley" : { "formattedCitation" : "&lt;sup&gt;46&lt;/sup&gt;", "plainTextFormattedCitation" : "46", "previouslyFormattedCitation" : "&lt;sup&gt;46&lt;/sup&gt;" }, "properties" : { "noteIndex" : 0 }, "schema" : "https://github.com/citation-style-language/schema/raw/master/csl-citation.json" }</w:instrText>
      </w:r>
      <w:r w:rsidRPr="003E73CD">
        <w:rPr>
          <w:sz w:val="22"/>
          <w:szCs w:val="22"/>
        </w:rPr>
        <w:fldChar w:fldCharType="separate"/>
      </w:r>
      <w:r w:rsidRPr="003E73CD">
        <w:rPr>
          <w:noProof/>
          <w:sz w:val="22"/>
          <w:szCs w:val="22"/>
          <w:vertAlign w:val="superscript"/>
        </w:rPr>
        <w:t>46</w:t>
      </w:r>
      <w:r w:rsidRPr="003E73CD">
        <w:rPr>
          <w:sz w:val="22"/>
          <w:szCs w:val="22"/>
        </w:rPr>
        <w:fldChar w:fldCharType="end"/>
      </w:r>
      <w:proofErr w:type="gramStart"/>
      <w:r w:rsidRPr="003E73CD">
        <w:rPr>
          <w:sz w:val="22"/>
          <w:szCs w:val="22"/>
        </w:rPr>
        <w:t xml:space="preserve">  No</w:t>
      </w:r>
      <w:proofErr w:type="gramEnd"/>
      <w:r w:rsidRPr="003E73CD">
        <w:rPr>
          <w:sz w:val="22"/>
          <w:szCs w:val="22"/>
        </w:rPr>
        <w:t xml:space="preserve"> statistically significant differences were found in overall survival, melanoma specific survival, local recurrence or locoregional recurrence rates.  In 2009 Sladden et al. conducted a systematic review of trials comparing surgical excision margins for primary cutaneous melanoma.</w:t>
      </w:r>
      <w:r w:rsidRPr="003E73CD">
        <w:rPr>
          <w:sz w:val="22"/>
          <w:szCs w:val="22"/>
        </w:rPr>
        <w:fldChar w:fldCharType="begin" w:fldLock="1"/>
      </w:r>
      <w:r w:rsidR="006E7542" w:rsidRPr="003E73CD">
        <w:rPr>
          <w:sz w:val="22"/>
          <w:szCs w:val="22"/>
        </w:rPr>
        <w:instrText>ADDIN CSL_CITATION { "citationItems" : [ { "id" : "ITEM-1", "itemData" : { "DOI" : "10.1002/14651858.CD004835.pub2", "ISSN" : "1469-493X", "PMID" : "19821334", "abstract" : "BACKGROUND: Cutaneous melanoma accounts for 75% of skin cancer deaths. Standard treatment is surgical excision with a safety margin some distance from the borders of the primary tumour. The purpose of the safety margin is to remove both the complete primary tumour and any melanoma cells that might have spread into the surrounding skin.Excision margins are important because there could be trade-off between a better cosmetic result but poorer long-term survival if margins become too narrow. The optimal width of excision margins remains unclear. This uncertainty warrants systematic review. OBJECTIVES: To assess the effects of different excision margins for primary cutaneous melanoma. SEARCH STRATEGY: In August 2009 we searched for relevant randomised trials in the Cochrane Skin Group Specialised Register; the Cochrane Central Register of Controlled Trials (CENTRAL) in The Cochrane Library (Issue 3, 2009), MEDLINE, EMBASE, LILACS, and other databases including Ongoing Trials Registers. SELECTION CRITERIA: We considered all randomised controlled trials (RCTs) of surgical excision of melanoma comparing different width excision margins. DATA COLLECTION AND ANALYSIS: We assessed trial quality, and extracted and analysed data on survival and recurrence. We collected adverse effects information from included trials. MAIN RESULTS: We identified five trials. There were 1633 participants in the narrow excision margin group and 1664 in the wide excision margin group. Narrow margin definition ranged from 1 to 2 cm; wide margins ranged from 3 to 5 cm. Median follow-up ranged from 5 to 16 years. AUTHORS' CONCLUSIONS: This systematic review summarises the evidence regarding width of excision margins for primary cutaneous melanoma. None of the five published trials, nor our meta-analysis, showed a statistically significant difference in overall survival between narrow or wide excision.The summary estimate for overall survival favoured wide excision by a small degree [Hazard Ratio 1.04; 95% confidence interval 0.95 to 1.15; P = 0.40], but the result was not significantly different. This result is compatible with both a 5% relative reduction in overall mortality favouring narrower excision and a 15% relative reduction in overall mortality favouring wider excision. Therefore, a small (but potentially important) difference in overall survival between wide and narrow excision margins cannot be confidently ruled out.The summary estimate for recurrence free survival favoured wid\u2026", "author" : [ { "dropping-particle" : "", "family" : "Sladden", "given" : "Michael J", "non-dropping-particle" : "", "parse-names" : false, "suffix" : "" }, { "dropping-particle" : "", "family" : "Balch", "given" : "Charles", "non-dropping-particle" : "", "parse-names" : false, "suffix" : "" }, { "dropping-particle" : "", "family" : "Barzilai", "given" : "David A", "non-dropping-particle" : "", "parse-names" : false, "suffix" : "" }, { "dropping-particle" : "", "family" : "Berg", "given" : "Daniel", "non-dropping-particle" : "", "parse-names" : false, "suffix" : "" }, { "dropping-particle" : "", "family" : "Freiman", "given" : "Anatoli", "non-dropping-particle" : "", "parse-names" : false, "suffix" : "" }, { "dropping-particle" : "", "family" : "Handiside", "given" : "Teenah", "non-dropping-particle" : "", "parse-names" : false, "suffix" : "" }, { "dropping-particle" : "", "family" : "Hollis", "given" : "Sally", "non-dropping-particle" : "", "parse-names" : false, "suffix" : "" }, { "dropping-particle" : "", "family" : "Lens", "given" : "Marko B", "non-dropping-particle" : "", "parse-names" : false, "suffix" : "" }, { "dropping-particle" : "", "family" : "Thompson", "given" : "John F", "non-dropping-particle" : "", "parse-names" : false, "suffix" : "" } ], "container-title" : "The Cochrane Libary", "id" : "ITEM-1", "issue" : "4", "issued" : { "date-parts" : [ [ "2009", "1" ] ] }, "title" : "Surgical excision margins for primary cutaneous melanoma.", "type" : "article-journal" }, "uris" : [ "http://www.mendeley.com/documents/?uuid=fc771464-eff5-4f4d-a095-fdd937c2f66c" ] } ], "mendeley" : { "formattedCitation" : "&lt;sup&gt;52&lt;/sup&gt;", "plainTextFormattedCitation" : "52", "previouslyFormattedCitation" : "&lt;sup&gt;52&lt;/sup&gt;" }, "properties" : { "noteIndex" : 0 }, "schema" : "https://github.com/citation-style-language/schema/raw/master/csl-citation.json" }</w:instrText>
      </w:r>
      <w:r w:rsidRPr="003E73CD">
        <w:rPr>
          <w:sz w:val="22"/>
          <w:szCs w:val="22"/>
        </w:rPr>
        <w:fldChar w:fldCharType="separate"/>
      </w:r>
      <w:r w:rsidR="00B60C63" w:rsidRPr="003E73CD">
        <w:rPr>
          <w:noProof/>
          <w:sz w:val="22"/>
          <w:szCs w:val="22"/>
          <w:vertAlign w:val="superscript"/>
        </w:rPr>
        <w:t>52</w:t>
      </w:r>
      <w:r w:rsidRPr="003E73CD">
        <w:rPr>
          <w:sz w:val="22"/>
          <w:szCs w:val="22"/>
        </w:rPr>
        <w:fldChar w:fldCharType="end"/>
      </w:r>
      <w:proofErr w:type="gramStart"/>
      <w:r w:rsidR="0064551B">
        <w:rPr>
          <w:sz w:val="22"/>
          <w:szCs w:val="22"/>
        </w:rPr>
        <w:t xml:space="preserve">  This</w:t>
      </w:r>
      <w:proofErr w:type="gramEnd"/>
      <w:r w:rsidR="0064551B">
        <w:rPr>
          <w:sz w:val="22"/>
          <w:szCs w:val="22"/>
        </w:rPr>
        <w:t xml:space="preserve"> study</w:t>
      </w:r>
      <w:r w:rsidRPr="003E73CD">
        <w:rPr>
          <w:sz w:val="22"/>
          <w:szCs w:val="22"/>
        </w:rPr>
        <w:t xml:space="preserve"> analysed results from all the above trials except for the latest Scandinavian trial.  The summary estimate for o</w:t>
      </w:r>
      <w:r w:rsidR="0064551B">
        <w:rPr>
          <w:sz w:val="22"/>
          <w:szCs w:val="22"/>
        </w:rPr>
        <w:t>verall survival from this study</w:t>
      </w:r>
      <w:r w:rsidRPr="003E73CD">
        <w:rPr>
          <w:sz w:val="22"/>
          <w:szCs w:val="22"/>
        </w:rPr>
        <w:t xml:space="preserve"> favoured wide excision by a small degree (hazard ratio 1.04; 95% confidence interval 0.95 to 1.15; p=0.40) but was not statistically significant.  The authors concluded “a small, but potentially important, difference in overall survival between wide and narrow excision margins could not be confidently ruled out”.  Further trials will be required, and are currently underway, to fully establish the optimal margins for excision of primary cutaneous melanoma.  It should be noted, in particular, that all studies except the WHO trial and French Cooperative Group trial have excluded head and neck melanoma, and so there may be important differences with regards to this subpopulation that ought to be elucidated before trial results for excision margins are applied without question to patients with head and neck melanoma.</w:t>
      </w:r>
      <w:r w:rsidRPr="003E73CD">
        <w:rPr>
          <w:sz w:val="22"/>
          <w:szCs w:val="22"/>
        </w:rPr>
        <w:fldChar w:fldCharType="begin" w:fldLock="1"/>
      </w:r>
      <w:r w:rsidRPr="003E73CD">
        <w:rPr>
          <w:sz w:val="22"/>
          <w:szCs w:val="22"/>
        </w:rPr>
        <w:instrText>ADDIN CSL_CITATION { "citationItems" : [ { "id" : "ITEM-1", "itemData" : { "DOI" : "10.1002/cncr.11272", "ISSN" : "0008-543X", "PMID" : "12673721", "abstract" : "BACKGROUND: This study addressed the question of whether limited surgery for primary malignant melanoma with a 2-cm margin is as good as a 5-cm margin. An update of a 16-year follow-up is provided.\n\nMETHODS: Nine European Centers, over a period of 5 years, prospectively randomized 337 patients with melanoma measuring less than 2.1 mm in thickness to undergo a local excision with either a 2-cm or a 5-cm margin. Three hundred twenty-six patients were eligible for statistical analysis. Excluded from the trial were patients older than 70 years; those with melanomas from the toe, nail, or finger; and those with acral-lentiginous melanoma. A separate randomization was performed to independently test an adjuvant treatment with a nonspecific immunostimulant, isoprinosine, compared with observation. The median follow-up time was 192 months (16 years) for the estimation of survival and disease recurrences.\n\nRESULTS: There were 22 tumor recurrences in the 2-cm arm and 33 in the 5-cm arm. The median time to disease recurrence was 43 months and 37.6 months, respectively. The 10-year disease-free survival rates were 85% for the group with a 2-cm margin and 83% for the group with a 5-cm margin. There was no difference in the 10-year overall survival rates (87% vs. 86%). Isoprinosine did not demonstrate any activity in this setting.\n\nCONCLUSIONS: The authors concluded that for melanoma less than 2.1-mm thick, a margin of excision of 2 cm is sufficient. A larger margin of 5 cm does not appear to have any impact on either the rate or the time to disease recurrence or on survival.", "author" : [ { "dropping-particle" : "", "family" : "Khayat", "given" : "David", "non-dropping-particle" : "", "parse-names" : false, "suffix" : "" }, { "dropping-particle" : "", "family" : "Rixe", "given" : "Olivier", "non-dropping-particle" : "", "parse-names" : false, "suffix" : "" }, { "dropping-particle" : "", "family" : "Martin", "given" : "Ginette", "non-dropping-particle" : "", "parse-names" : false, "suffix" : "" }, { "dropping-particle" : "", "family" : "Soubrane", "given" : "Claude", "non-dropping-particle" : "", "parse-names" : false, "suffix" : "" }, { "dropping-particle" : "", "family" : "Banzet", "given" : "Martine", "non-dropping-particle" : "", "parse-names" : false, "suffix" : "" }, { "dropping-particle" : "", "family" : "Bazex", "given" : "Jacques-Andr\u00e9", "non-dropping-particle" : "", "parse-names" : false, "suffix" : "" }, { "dropping-particle" : "", "family" : "Lauret", "given" : "Philippe", "non-dropping-particle" : "", "parse-names" : false, "suffix" : "" }, { "dropping-particle" : "", "family" : "V\u00e9rola", "given" : "Olivier", "non-dropping-particle" : "", "parse-names" : false, "suffix" : "" }, { "dropping-particle" : "", "family" : "Auclerc", "given" : "G\u00e9rard", "non-dropping-particle" : "", "parse-names" : false, "suffix" : "" }, { "dropping-particle" : "", "family" : "Harper", "given" : "Peter", "non-dropping-particle" : "", "parse-names" : false, "suffix" : "" }, { "dropping-particle" : "", "family" : "Banzet", "given" : "Pierre", "non-dropping-particle" : "", "parse-names" : false, "suffix" : "" } ], "container-title" : "Cancer", "id" : "ITEM-1", "issue" : "8", "issued" : { "date-parts" : [ [ "2003", "4", "15" ] ] }, "page" : "1941-6", "title" : "Surgical margins in cutaneous melanoma (2 cm versus 5 cm for lesions measuring less than 2.1-mm thick).", "type" : "article-journal", "volume" : "97" }, "uris" : [ "http://www.mendeley.com/documents/?uuid=b263fdaf-620f-4308-bab5-9bd413c7d11e" ] }, { "id" : "ITEM-2", "itemData" : { "DOI" : "10.1056/NEJM198805053181804", "ISSN" : "0028-4793", "PMID" : "3079582", "abstract" : "Although wide surgical excision is the accepted treatment for thin malignant melanomas, there is reason to believe that narrower margins may be adequate. We conducted a randomized prospective study to assess the efficacy of narrow excision (excision with 1-cm margins) for primary melanomas no thicker than 2 mm. Narrow excision was performed in 305 patients, and wide excision (margins of 3 cm or more) was performed in 307 patients. The major prognostic criteria were well balanced in the two groups. The mean thickness of melanomas was 0.99 mm in the narrow-excision group and 1.02 mm in the wide-excision group. The subsequent development of metastatic disease involving regional nodes and distant organs was not different in the two groups (4.6 and 2.3 percent, respectively, in the narrow-excision group, as compared with 6.5 and 2.6 percent in the wide-excision group). Disease-free survival rates and overall survival rates (mean follow-up period, 55 months) were also similar in the two groups. Only three patients had a local recurrence as a first relapse. All had undergone narrow excision, and each had a primary melanoma with a thickness of 1 mm or more. The absence of local recurrence in the group of patients with a primary melanoma thinner than 1 mm and the very low rate of local recurrences indicate that narrow excision is a safe and effective procedure for such patients.", "author" : [ { "dropping-particle" : "", "family" : "Veronesi", "given" : "U", "non-dropping-particle" : "", "parse-names" : false, "suffix" : "" }, { "dropping-particle" : "", "family" : "Cascinelli", "given" : "N", "non-dropping-particle" : "", "parse-names" : false, "suffix" : "" }, { "dropping-particle" : "", "family" : "Adamus", "given" : "J", "non-dropping-particle" : "", "parse-names" : false, "suffix" : "" }, { "dropping-particle" : "", "family" : "Balch", "given" : "C", "non-dropping-particle" : "", "parse-names" : false, "suffix" : "" }, { "dropping-particle" : "", "family" : "Bandiera", "given" : "D", "non-dropping-particle" : "", "parse-names" : false, "suffix" : "" }, { "dropping-particle" : "", "family" : "Barchuk", "given" : "A", "non-dropping-particle" : "", "parse-names" : false, "suffix" : "" }, { "dropping-particle" : "", "family" : "Bufalino", "given" : "R", "non-dropping-particle" : "", "parse-names" : false, "suffix" : "" }, { "dropping-particle" : "", "family" : "Craig", "given" : "P", "non-dropping-particle" : "", "parse-names" : false, "suffix" : "" }, { "dropping-particle" : "", "family" : "Marsillac", "given" : "J", "non-dropping-particle" : "De", "parse-names" : false, "suffix" : "" }, { "dropping-particle" : "", "family" : "Durand", "given" : "J C", "non-dropping-particle" : "", "parse-names" : false, "suffix" : "" } ], "container-title" : "The New England journal of medicine", "id" : "ITEM-2", "issue" : "18", "issued" : { "date-parts" : [ [ "1988", "5", "5" ] ] }, "page" : "1159-62", "title" : "Thin stage I primary cutaneous malignant melanoma. Comparison of excision with margins of 1 or 3 cm.", "type" : "article-journal", "volume" : "318" }, "uris" : [ "http://www.mendeley.com/documents/?uuid=1578f3fc-b46e-4700-8daf-23c7d5b20e68" ] } ], "mendeley" : { "formattedCitation" : "&lt;sup&gt;41,44&lt;/sup&gt;", "plainTextFormattedCitation" : "41,44", "previouslyFormattedCitation" : "&lt;sup&gt;41,44&lt;/sup&gt;" }, "properties" : { "noteIndex" : 0 }, "schema" : "https://github.com/citation-style-language/schema/raw/master/csl-citation.json" }</w:instrText>
      </w:r>
      <w:r w:rsidRPr="003E73CD">
        <w:rPr>
          <w:sz w:val="22"/>
          <w:szCs w:val="22"/>
        </w:rPr>
        <w:fldChar w:fldCharType="separate"/>
      </w:r>
      <w:r w:rsidRPr="003E73CD">
        <w:rPr>
          <w:noProof/>
          <w:sz w:val="22"/>
          <w:szCs w:val="22"/>
          <w:vertAlign w:val="superscript"/>
        </w:rPr>
        <w:t>41,44</w:t>
      </w:r>
      <w:r w:rsidRPr="003E73CD">
        <w:rPr>
          <w:sz w:val="22"/>
          <w:szCs w:val="22"/>
        </w:rPr>
        <w:fldChar w:fldCharType="end"/>
      </w:r>
    </w:p>
    <w:p w14:paraId="7E47629F" w14:textId="09F51C8C" w:rsidR="007D7E29" w:rsidRDefault="007D7E29" w:rsidP="0061482C">
      <w:pPr>
        <w:spacing w:line="480" w:lineRule="auto"/>
        <w:ind w:firstLine="720"/>
        <w:rPr>
          <w:sz w:val="22"/>
          <w:szCs w:val="22"/>
        </w:rPr>
      </w:pPr>
      <w:r>
        <w:rPr>
          <w:sz w:val="22"/>
          <w:szCs w:val="22"/>
        </w:rPr>
        <w:t>The current recommendations for wide excision margins for melanoma in the UK can be compared with current recommendations in Europe, the United States and Australasia (Table 1.1.3).</w:t>
      </w:r>
    </w:p>
    <w:p w14:paraId="7E1ED4A4" w14:textId="77777777" w:rsidR="009E2C27" w:rsidRDefault="009E2C27" w:rsidP="0061482C">
      <w:pPr>
        <w:spacing w:line="480" w:lineRule="auto"/>
        <w:ind w:firstLine="720"/>
        <w:rPr>
          <w:sz w:val="22"/>
          <w:szCs w:val="22"/>
        </w:rPr>
      </w:pPr>
    </w:p>
    <w:tbl>
      <w:tblPr>
        <w:tblStyle w:val="TableGrid"/>
        <w:tblpPr w:leftFromText="180" w:rightFromText="180" w:vertAnchor="page" w:horzAnchor="page" w:tblpX="2377" w:tblpY="10441"/>
        <w:tblW w:w="5000" w:type="pct"/>
        <w:tblLook w:val="04A0" w:firstRow="1" w:lastRow="0" w:firstColumn="1" w:lastColumn="0" w:noHBand="0" w:noVBand="1"/>
      </w:tblPr>
      <w:tblGrid>
        <w:gridCol w:w="1453"/>
        <w:gridCol w:w="1204"/>
        <w:gridCol w:w="1140"/>
        <w:gridCol w:w="1140"/>
        <w:gridCol w:w="1405"/>
        <w:gridCol w:w="1232"/>
        <w:gridCol w:w="1140"/>
      </w:tblGrid>
      <w:tr w:rsidR="009E2C27" w:rsidRPr="00AE5779" w14:paraId="7C950C02" w14:textId="77777777" w:rsidTr="009E2C27">
        <w:tc>
          <w:tcPr>
            <w:tcW w:w="834" w:type="pct"/>
          </w:tcPr>
          <w:p w14:paraId="33B04ED9" w14:textId="77777777" w:rsidR="009E2C27" w:rsidRPr="00AE5779" w:rsidRDefault="009E2C27" w:rsidP="009E2C27">
            <w:r w:rsidRPr="00AE5779">
              <w:t>Breslow thickness (mm)</w:t>
            </w:r>
          </w:p>
        </w:tc>
        <w:tc>
          <w:tcPr>
            <w:tcW w:w="691" w:type="pct"/>
          </w:tcPr>
          <w:p w14:paraId="0DCDA264" w14:textId="77777777" w:rsidR="009E2C27" w:rsidRDefault="009E2C27" w:rsidP="009E2C27">
            <w:r>
              <w:t>UK</w:t>
            </w:r>
          </w:p>
          <w:p w14:paraId="24DB9BB7" w14:textId="77777777" w:rsidR="009E2C27" w:rsidRPr="00AE5779" w:rsidRDefault="009E2C27" w:rsidP="009E2C27">
            <w:r>
              <w:t>(2010)</w:t>
            </w:r>
          </w:p>
        </w:tc>
        <w:tc>
          <w:tcPr>
            <w:tcW w:w="654" w:type="pct"/>
          </w:tcPr>
          <w:p w14:paraId="17F1769A" w14:textId="77777777" w:rsidR="009E2C27" w:rsidRDefault="009E2C27" w:rsidP="009E2C27">
            <w:r>
              <w:t>UK</w:t>
            </w:r>
          </w:p>
          <w:p w14:paraId="255FB17D" w14:textId="77777777" w:rsidR="009E2C27" w:rsidRDefault="009E2C27" w:rsidP="009E2C27">
            <w:r>
              <w:t>(NICE)</w:t>
            </w:r>
          </w:p>
          <w:p w14:paraId="6328BD15" w14:textId="77777777" w:rsidR="009E2C27" w:rsidRDefault="009E2C27" w:rsidP="009E2C27">
            <w:r>
              <w:t>(2015)</w:t>
            </w:r>
          </w:p>
        </w:tc>
        <w:tc>
          <w:tcPr>
            <w:tcW w:w="654" w:type="pct"/>
          </w:tcPr>
          <w:p w14:paraId="2CEAC312" w14:textId="77777777" w:rsidR="009E2C27" w:rsidRDefault="009E2C27" w:rsidP="009E2C27">
            <w:r>
              <w:t>US</w:t>
            </w:r>
          </w:p>
          <w:p w14:paraId="454A475B" w14:textId="77777777" w:rsidR="009E2C27" w:rsidRPr="00AE5779" w:rsidRDefault="009E2C27" w:rsidP="009E2C27">
            <w:r>
              <w:t>(2014)</w:t>
            </w:r>
          </w:p>
        </w:tc>
        <w:tc>
          <w:tcPr>
            <w:tcW w:w="806" w:type="pct"/>
          </w:tcPr>
          <w:p w14:paraId="4DA04247" w14:textId="77777777" w:rsidR="009E2C27" w:rsidRDefault="009E2C27" w:rsidP="009E2C27">
            <w:r>
              <w:t>Australia and New Zealand</w:t>
            </w:r>
          </w:p>
          <w:p w14:paraId="181B7DEE" w14:textId="77777777" w:rsidR="009E2C27" w:rsidRPr="00AE5779" w:rsidRDefault="009E2C27" w:rsidP="009E2C27">
            <w:r>
              <w:t>(2008)</w:t>
            </w:r>
          </w:p>
        </w:tc>
        <w:tc>
          <w:tcPr>
            <w:tcW w:w="707" w:type="pct"/>
          </w:tcPr>
          <w:p w14:paraId="71BAC8A8" w14:textId="77777777" w:rsidR="009E2C27" w:rsidRDefault="009E2C27" w:rsidP="009E2C27">
            <w:r>
              <w:t>Dutch</w:t>
            </w:r>
          </w:p>
          <w:p w14:paraId="25B0D3E3" w14:textId="77777777" w:rsidR="009E2C27" w:rsidRPr="00AE5779" w:rsidRDefault="009E2C27" w:rsidP="009E2C27">
            <w:r>
              <w:t>(2012)</w:t>
            </w:r>
          </w:p>
        </w:tc>
        <w:tc>
          <w:tcPr>
            <w:tcW w:w="654" w:type="pct"/>
          </w:tcPr>
          <w:p w14:paraId="0BBD72E0" w14:textId="77777777" w:rsidR="009E2C27" w:rsidRDefault="009E2C27" w:rsidP="009E2C27">
            <w:r>
              <w:t>ESMO*</w:t>
            </w:r>
          </w:p>
          <w:p w14:paraId="7DECB2D2" w14:textId="77777777" w:rsidR="009E2C27" w:rsidRPr="00AE5779" w:rsidRDefault="009E2C27" w:rsidP="009E2C27">
            <w:r>
              <w:t>(2015)</w:t>
            </w:r>
          </w:p>
        </w:tc>
      </w:tr>
      <w:tr w:rsidR="009E2C27" w:rsidRPr="00AE5779" w14:paraId="5E6B2A60" w14:textId="77777777" w:rsidTr="009E2C27">
        <w:tc>
          <w:tcPr>
            <w:tcW w:w="834" w:type="pct"/>
          </w:tcPr>
          <w:p w14:paraId="7CFAB451" w14:textId="77777777" w:rsidR="009E2C27" w:rsidRPr="00AE5779" w:rsidRDefault="009E2C27" w:rsidP="009E2C27">
            <w:r w:rsidRPr="00AE5779">
              <w:t>In situ</w:t>
            </w:r>
          </w:p>
        </w:tc>
        <w:tc>
          <w:tcPr>
            <w:tcW w:w="691" w:type="pct"/>
          </w:tcPr>
          <w:p w14:paraId="38E4708D" w14:textId="77777777" w:rsidR="009E2C27" w:rsidRPr="00AE5779" w:rsidRDefault="009E2C27" w:rsidP="009E2C27">
            <w:r>
              <w:t>0.5cm</w:t>
            </w:r>
          </w:p>
        </w:tc>
        <w:tc>
          <w:tcPr>
            <w:tcW w:w="654" w:type="pct"/>
          </w:tcPr>
          <w:p w14:paraId="2EBEA512" w14:textId="77777777" w:rsidR="009E2C27" w:rsidRPr="00AE5779" w:rsidRDefault="009E2C27" w:rsidP="009E2C27">
            <w:r>
              <w:t>0.5cm</w:t>
            </w:r>
          </w:p>
        </w:tc>
        <w:tc>
          <w:tcPr>
            <w:tcW w:w="654" w:type="pct"/>
          </w:tcPr>
          <w:p w14:paraId="62CF60D4" w14:textId="77777777" w:rsidR="009E2C27" w:rsidRPr="00AE5779" w:rsidRDefault="009E2C27" w:rsidP="009E2C27">
            <w:r>
              <w:t>0.5-1cm</w:t>
            </w:r>
          </w:p>
        </w:tc>
        <w:tc>
          <w:tcPr>
            <w:tcW w:w="806" w:type="pct"/>
          </w:tcPr>
          <w:p w14:paraId="48C2952F" w14:textId="77777777" w:rsidR="009E2C27" w:rsidRPr="00AE5779" w:rsidRDefault="009E2C27" w:rsidP="009E2C27">
            <w:r>
              <w:t>0.5cm</w:t>
            </w:r>
          </w:p>
        </w:tc>
        <w:tc>
          <w:tcPr>
            <w:tcW w:w="707" w:type="pct"/>
          </w:tcPr>
          <w:p w14:paraId="6BE202B0" w14:textId="77777777" w:rsidR="009E2C27" w:rsidRPr="00AE5779" w:rsidRDefault="009E2C27" w:rsidP="009E2C27">
            <w:r>
              <w:t>0.5cm</w:t>
            </w:r>
          </w:p>
        </w:tc>
        <w:tc>
          <w:tcPr>
            <w:tcW w:w="654" w:type="pct"/>
          </w:tcPr>
          <w:p w14:paraId="588E193D" w14:textId="77777777" w:rsidR="009E2C27" w:rsidRPr="00AE5779" w:rsidRDefault="009E2C27" w:rsidP="009E2C27">
            <w:r>
              <w:t>0.5cm</w:t>
            </w:r>
          </w:p>
        </w:tc>
      </w:tr>
      <w:tr w:rsidR="009E2C27" w:rsidRPr="00AE5779" w14:paraId="3212C4C8" w14:textId="77777777" w:rsidTr="009E2C27">
        <w:tc>
          <w:tcPr>
            <w:tcW w:w="834" w:type="pct"/>
          </w:tcPr>
          <w:p w14:paraId="50459052" w14:textId="77777777" w:rsidR="009E2C27" w:rsidRPr="00AE5779" w:rsidRDefault="009E2C27" w:rsidP="009E2C27">
            <w:r w:rsidRPr="00AE5779">
              <w:rPr>
                <w:rFonts w:eastAsia="ＭＳ ゴシック"/>
                <w:color w:val="000000"/>
              </w:rPr>
              <w:t>≤ 1.0mm</w:t>
            </w:r>
          </w:p>
        </w:tc>
        <w:tc>
          <w:tcPr>
            <w:tcW w:w="691" w:type="pct"/>
          </w:tcPr>
          <w:p w14:paraId="17BE85C3" w14:textId="77777777" w:rsidR="009E2C27" w:rsidRPr="00AE5779" w:rsidRDefault="009E2C27" w:rsidP="009E2C27">
            <w:r>
              <w:t>1cm</w:t>
            </w:r>
          </w:p>
        </w:tc>
        <w:tc>
          <w:tcPr>
            <w:tcW w:w="654" w:type="pct"/>
          </w:tcPr>
          <w:p w14:paraId="031E59DE" w14:textId="77777777" w:rsidR="009E2C27" w:rsidRPr="00AE5779" w:rsidRDefault="009E2C27" w:rsidP="009E2C27">
            <w:r>
              <w:t>At least 1cm</w:t>
            </w:r>
          </w:p>
        </w:tc>
        <w:tc>
          <w:tcPr>
            <w:tcW w:w="654" w:type="pct"/>
          </w:tcPr>
          <w:p w14:paraId="3E6A4CD3" w14:textId="77777777" w:rsidR="009E2C27" w:rsidRPr="00AE5779" w:rsidRDefault="009E2C27" w:rsidP="009E2C27">
            <w:r>
              <w:t>1cm</w:t>
            </w:r>
          </w:p>
        </w:tc>
        <w:tc>
          <w:tcPr>
            <w:tcW w:w="806" w:type="pct"/>
          </w:tcPr>
          <w:p w14:paraId="0F1216D2" w14:textId="77777777" w:rsidR="009E2C27" w:rsidRPr="00AE5779" w:rsidRDefault="009E2C27" w:rsidP="009E2C27">
            <w:r>
              <w:t>1cm</w:t>
            </w:r>
          </w:p>
        </w:tc>
        <w:tc>
          <w:tcPr>
            <w:tcW w:w="707" w:type="pct"/>
          </w:tcPr>
          <w:p w14:paraId="44022A70" w14:textId="77777777" w:rsidR="009E2C27" w:rsidRPr="00AE5779" w:rsidRDefault="009E2C27" w:rsidP="009E2C27">
            <w:r>
              <w:t>1cm</w:t>
            </w:r>
          </w:p>
        </w:tc>
        <w:tc>
          <w:tcPr>
            <w:tcW w:w="654" w:type="pct"/>
          </w:tcPr>
          <w:p w14:paraId="2222F4B7" w14:textId="77777777" w:rsidR="009E2C27" w:rsidRPr="00AE5779" w:rsidRDefault="009E2C27" w:rsidP="009E2C27">
            <w:r>
              <w:t>1cm</w:t>
            </w:r>
          </w:p>
        </w:tc>
      </w:tr>
      <w:tr w:rsidR="009E2C27" w:rsidRPr="00AE5779" w14:paraId="1859B04A" w14:textId="77777777" w:rsidTr="009E2C27">
        <w:tc>
          <w:tcPr>
            <w:tcW w:w="834" w:type="pct"/>
          </w:tcPr>
          <w:p w14:paraId="1513FE42" w14:textId="77777777" w:rsidR="009E2C27" w:rsidRPr="00AE5779" w:rsidRDefault="009E2C27" w:rsidP="009E2C27">
            <w:r>
              <w:t>1.01 to 2.00 mm</w:t>
            </w:r>
          </w:p>
        </w:tc>
        <w:tc>
          <w:tcPr>
            <w:tcW w:w="691" w:type="pct"/>
          </w:tcPr>
          <w:p w14:paraId="3B0DD609" w14:textId="77777777" w:rsidR="009E2C27" w:rsidRPr="00AE5779" w:rsidRDefault="009E2C27" w:rsidP="009E2C27">
            <w:r>
              <w:t>1-2cm</w:t>
            </w:r>
          </w:p>
        </w:tc>
        <w:tc>
          <w:tcPr>
            <w:tcW w:w="654" w:type="pct"/>
          </w:tcPr>
          <w:p w14:paraId="1CD8E99E" w14:textId="77777777" w:rsidR="009E2C27" w:rsidRPr="00AE5779" w:rsidRDefault="009E2C27" w:rsidP="009E2C27">
            <w:r>
              <w:t>At least 1cm</w:t>
            </w:r>
          </w:p>
        </w:tc>
        <w:tc>
          <w:tcPr>
            <w:tcW w:w="654" w:type="pct"/>
          </w:tcPr>
          <w:p w14:paraId="48871DC7" w14:textId="77777777" w:rsidR="009E2C27" w:rsidRPr="00AE5779" w:rsidRDefault="009E2C27" w:rsidP="009E2C27">
            <w:r>
              <w:t>1-2cm</w:t>
            </w:r>
          </w:p>
        </w:tc>
        <w:tc>
          <w:tcPr>
            <w:tcW w:w="806" w:type="pct"/>
          </w:tcPr>
          <w:p w14:paraId="028E2ACC" w14:textId="77777777" w:rsidR="009E2C27" w:rsidRPr="00AE5779" w:rsidRDefault="009E2C27" w:rsidP="009E2C27">
            <w:r>
              <w:t>1-2cm</w:t>
            </w:r>
          </w:p>
        </w:tc>
        <w:tc>
          <w:tcPr>
            <w:tcW w:w="707" w:type="pct"/>
          </w:tcPr>
          <w:p w14:paraId="230C7CDF" w14:textId="77777777" w:rsidR="009E2C27" w:rsidRPr="00AE5779" w:rsidRDefault="009E2C27" w:rsidP="009E2C27">
            <w:r>
              <w:t>1cm</w:t>
            </w:r>
          </w:p>
        </w:tc>
        <w:tc>
          <w:tcPr>
            <w:tcW w:w="654" w:type="pct"/>
          </w:tcPr>
          <w:p w14:paraId="311F49A9" w14:textId="77777777" w:rsidR="009E2C27" w:rsidRPr="00AE5779" w:rsidRDefault="009E2C27" w:rsidP="009E2C27">
            <w:r>
              <w:t>1cm</w:t>
            </w:r>
          </w:p>
        </w:tc>
      </w:tr>
      <w:tr w:rsidR="009E2C27" w:rsidRPr="00AE5779" w14:paraId="2E43256B" w14:textId="77777777" w:rsidTr="009E2C27">
        <w:tc>
          <w:tcPr>
            <w:tcW w:w="834" w:type="pct"/>
          </w:tcPr>
          <w:p w14:paraId="43CCBCD5" w14:textId="77777777" w:rsidR="009E2C27" w:rsidRPr="00AE5779" w:rsidRDefault="009E2C27" w:rsidP="009E2C27">
            <w:r>
              <w:t>2.01 to 4.00 mm</w:t>
            </w:r>
          </w:p>
        </w:tc>
        <w:tc>
          <w:tcPr>
            <w:tcW w:w="691" w:type="pct"/>
          </w:tcPr>
          <w:p w14:paraId="207508D4" w14:textId="77777777" w:rsidR="009E2C27" w:rsidRPr="00AE5779" w:rsidRDefault="009E2C27" w:rsidP="009E2C27">
            <w:r>
              <w:t>2-3cm</w:t>
            </w:r>
          </w:p>
        </w:tc>
        <w:tc>
          <w:tcPr>
            <w:tcW w:w="654" w:type="pct"/>
          </w:tcPr>
          <w:p w14:paraId="44E07180" w14:textId="77777777" w:rsidR="009E2C27" w:rsidRPr="00AE5779" w:rsidRDefault="009E2C27" w:rsidP="009E2C27">
            <w:r>
              <w:t>At least 2cm</w:t>
            </w:r>
          </w:p>
        </w:tc>
        <w:tc>
          <w:tcPr>
            <w:tcW w:w="654" w:type="pct"/>
          </w:tcPr>
          <w:p w14:paraId="716F1616" w14:textId="77777777" w:rsidR="009E2C27" w:rsidRPr="00AE5779" w:rsidRDefault="009E2C27" w:rsidP="009E2C27">
            <w:r>
              <w:t>2cm</w:t>
            </w:r>
          </w:p>
        </w:tc>
        <w:tc>
          <w:tcPr>
            <w:tcW w:w="806" w:type="pct"/>
          </w:tcPr>
          <w:p w14:paraId="4DAF3AFC" w14:textId="77777777" w:rsidR="009E2C27" w:rsidRPr="00AE5779" w:rsidRDefault="009E2C27" w:rsidP="009E2C27">
            <w:r>
              <w:t>1-2cm</w:t>
            </w:r>
          </w:p>
        </w:tc>
        <w:tc>
          <w:tcPr>
            <w:tcW w:w="707" w:type="pct"/>
          </w:tcPr>
          <w:p w14:paraId="5676AC17" w14:textId="77777777" w:rsidR="009E2C27" w:rsidRPr="00AE5779" w:rsidRDefault="009E2C27" w:rsidP="009E2C27">
            <w:r>
              <w:t>2cm</w:t>
            </w:r>
          </w:p>
        </w:tc>
        <w:tc>
          <w:tcPr>
            <w:tcW w:w="654" w:type="pct"/>
          </w:tcPr>
          <w:p w14:paraId="21B4C054" w14:textId="77777777" w:rsidR="009E2C27" w:rsidRPr="00AE5779" w:rsidRDefault="009E2C27" w:rsidP="009E2C27">
            <w:r>
              <w:t>2cm</w:t>
            </w:r>
          </w:p>
        </w:tc>
      </w:tr>
      <w:tr w:rsidR="009E2C27" w:rsidRPr="00AE5779" w14:paraId="2A0D3760" w14:textId="77777777" w:rsidTr="009E2C27">
        <w:tc>
          <w:tcPr>
            <w:tcW w:w="834" w:type="pct"/>
          </w:tcPr>
          <w:p w14:paraId="60FF379C" w14:textId="77777777" w:rsidR="009E2C27" w:rsidRPr="00AE5779" w:rsidRDefault="009E2C27" w:rsidP="009E2C27">
            <w:r>
              <w:t>&gt; 4.0 mm</w:t>
            </w:r>
          </w:p>
        </w:tc>
        <w:tc>
          <w:tcPr>
            <w:tcW w:w="691" w:type="pct"/>
          </w:tcPr>
          <w:p w14:paraId="3A054F49" w14:textId="77777777" w:rsidR="009E2C27" w:rsidRPr="00AE5779" w:rsidRDefault="009E2C27" w:rsidP="009E2C27">
            <w:r>
              <w:t>3cm</w:t>
            </w:r>
          </w:p>
        </w:tc>
        <w:tc>
          <w:tcPr>
            <w:tcW w:w="654" w:type="pct"/>
          </w:tcPr>
          <w:p w14:paraId="78BF87C5" w14:textId="77777777" w:rsidR="009E2C27" w:rsidRPr="00AE5779" w:rsidRDefault="009E2C27" w:rsidP="009E2C27">
            <w:r>
              <w:t>At least 2cm</w:t>
            </w:r>
          </w:p>
        </w:tc>
        <w:tc>
          <w:tcPr>
            <w:tcW w:w="654" w:type="pct"/>
          </w:tcPr>
          <w:p w14:paraId="66C8921E" w14:textId="77777777" w:rsidR="009E2C27" w:rsidRPr="00AE5779" w:rsidRDefault="009E2C27" w:rsidP="009E2C27">
            <w:r>
              <w:t>2cm</w:t>
            </w:r>
          </w:p>
        </w:tc>
        <w:tc>
          <w:tcPr>
            <w:tcW w:w="806" w:type="pct"/>
          </w:tcPr>
          <w:p w14:paraId="379A64FC" w14:textId="77777777" w:rsidR="009E2C27" w:rsidRPr="00AE5779" w:rsidRDefault="009E2C27" w:rsidP="009E2C27">
            <w:r>
              <w:t>2cm</w:t>
            </w:r>
          </w:p>
        </w:tc>
        <w:tc>
          <w:tcPr>
            <w:tcW w:w="707" w:type="pct"/>
          </w:tcPr>
          <w:p w14:paraId="3920FA74" w14:textId="77777777" w:rsidR="009E2C27" w:rsidRPr="00AE5779" w:rsidRDefault="009E2C27" w:rsidP="009E2C27">
            <w:r>
              <w:t>2cm</w:t>
            </w:r>
          </w:p>
        </w:tc>
        <w:tc>
          <w:tcPr>
            <w:tcW w:w="654" w:type="pct"/>
          </w:tcPr>
          <w:p w14:paraId="413504FD" w14:textId="77777777" w:rsidR="009E2C27" w:rsidRPr="00AE5779" w:rsidRDefault="009E2C27" w:rsidP="009E2C27">
            <w:r>
              <w:t>2cm</w:t>
            </w:r>
          </w:p>
        </w:tc>
      </w:tr>
    </w:tbl>
    <w:p w14:paraId="4D3E012C" w14:textId="3686FD47" w:rsidR="009E2C27" w:rsidRPr="009E2C27" w:rsidRDefault="009E2C27" w:rsidP="009E2C27">
      <w:pPr>
        <w:rPr>
          <w:sz w:val="22"/>
          <w:szCs w:val="22"/>
        </w:rPr>
      </w:pPr>
      <w:r w:rsidRPr="009E2C27">
        <w:rPr>
          <w:sz w:val="22"/>
          <w:szCs w:val="22"/>
        </w:rPr>
        <w:t xml:space="preserve">Table 1.1.3.  </w:t>
      </w:r>
      <w:proofErr w:type="gramStart"/>
      <w:r w:rsidRPr="009E2C27">
        <w:rPr>
          <w:sz w:val="22"/>
          <w:szCs w:val="22"/>
        </w:rPr>
        <w:t>Current recommendations for wide excision for melanoma in the UK, Europe, United States and Australasia.</w:t>
      </w:r>
      <w:proofErr w:type="gramEnd"/>
    </w:p>
    <w:p w14:paraId="5EBFC156" w14:textId="77777777" w:rsidR="009E2C27" w:rsidRPr="009E2C27" w:rsidRDefault="009E2C27" w:rsidP="009E2C27">
      <w:pPr>
        <w:rPr>
          <w:sz w:val="22"/>
          <w:szCs w:val="22"/>
        </w:rPr>
      </w:pPr>
      <w:r w:rsidRPr="009E2C27">
        <w:rPr>
          <w:sz w:val="22"/>
          <w:szCs w:val="22"/>
        </w:rPr>
        <w:t>* European Society for Medical Oncology</w:t>
      </w:r>
    </w:p>
    <w:p w14:paraId="7FD08E30" w14:textId="77777777" w:rsidR="009E2C27" w:rsidRDefault="009E2C27" w:rsidP="0061482C">
      <w:pPr>
        <w:spacing w:line="480" w:lineRule="auto"/>
        <w:ind w:firstLine="720"/>
        <w:rPr>
          <w:sz w:val="22"/>
          <w:szCs w:val="22"/>
        </w:rPr>
      </w:pPr>
    </w:p>
    <w:p w14:paraId="7EEBB5F4" w14:textId="77777777" w:rsidR="009E2C27" w:rsidRPr="003E73CD" w:rsidRDefault="009E2C27" w:rsidP="0061482C">
      <w:pPr>
        <w:spacing w:line="480" w:lineRule="auto"/>
        <w:ind w:firstLine="720"/>
        <w:rPr>
          <w:sz w:val="22"/>
          <w:szCs w:val="22"/>
        </w:rPr>
      </w:pPr>
    </w:p>
    <w:p w14:paraId="7C723E10" w14:textId="77777777" w:rsidR="0061482C" w:rsidRDefault="0061482C" w:rsidP="0061482C">
      <w:pPr>
        <w:spacing w:line="480" w:lineRule="auto"/>
        <w:rPr>
          <w:sz w:val="22"/>
          <w:szCs w:val="22"/>
        </w:rPr>
      </w:pPr>
    </w:p>
    <w:p w14:paraId="7D68DD99" w14:textId="77777777" w:rsidR="009E2C27" w:rsidRDefault="009E2C27" w:rsidP="0061482C">
      <w:pPr>
        <w:spacing w:line="480" w:lineRule="auto"/>
        <w:rPr>
          <w:sz w:val="22"/>
          <w:szCs w:val="22"/>
        </w:rPr>
      </w:pPr>
    </w:p>
    <w:p w14:paraId="45C3E56C" w14:textId="6F11AA75" w:rsidR="0061482C" w:rsidRPr="003E73CD" w:rsidRDefault="0061482C" w:rsidP="0061482C">
      <w:pPr>
        <w:spacing w:line="480" w:lineRule="auto"/>
        <w:rPr>
          <w:b/>
          <w:sz w:val="22"/>
          <w:szCs w:val="22"/>
        </w:rPr>
      </w:pPr>
      <w:r w:rsidRPr="003E73CD">
        <w:rPr>
          <w:b/>
          <w:sz w:val="22"/>
          <w:szCs w:val="22"/>
        </w:rPr>
        <w:t>ii) Manage</w:t>
      </w:r>
      <w:r w:rsidR="00F44DFA">
        <w:rPr>
          <w:b/>
          <w:sz w:val="22"/>
          <w:szCs w:val="22"/>
        </w:rPr>
        <w:t>ment of local recurrence and in-</w:t>
      </w:r>
      <w:r w:rsidRPr="003E73CD">
        <w:rPr>
          <w:b/>
          <w:sz w:val="22"/>
          <w:szCs w:val="22"/>
        </w:rPr>
        <w:t>transit metastases.</w:t>
      </w:r>
    </w:p>
    <w:p w14:paraId="07453296" w14:textId="22D50FF8" w:rsidR="0061482C" w:rsidRPr="003E73CD" w:rsidRDefault="0061482C" w:rsidP="0061482C">
      <w:pPr>
        <w:spacing w:line="480" w:lineRule="auto"/>
        <w:ind w:firstLine="720"/>
        <w:rPr>
          <w:sz w:val="22"/>
          <w:szCs w:val="22"/>
        </w:rPr>
      </w:pPr>
      <w:r w:rsidRPr="003E73CD">
        <w:rPr>
          <w:sz w:val="22"/>
          <w:szCs w:val="22"/>
        </w:rPr>
        <w:t>The clinical appear</w:t>
      </w:r>
      <w:r w:rsidR="00F44DFA">
        <w:rPr>
          <w:sz w:val="22"/>
          <w:szCs w:val="22"/>
        </w:rPr>
        <w:t>ance of local recurrence and in-</w:t>
      </w:r>
      <w:r w:rsidRPr="003E73CD">
        <w:rPr>
          <w:sz w:val="22"/>
          <w:szCs w:val="22"/>
        </w:rPr>
        <w:t>transit metastases can be very different from that of the primary melanoma and can present as an isolated lesion or as a group of lesions.  The size of the metastases varies from small dermal deposits to large subcutaneous metastases and these may be darkly pigmented</w:t>
      </w:r>
      <w:r w:rsidR="00F44DFA">
        <w:rPr>
          <w:sz w:val="22"/>
          <w:szCs w:val="22"/>
        </w:rPr>
        <w:t xml:space="preserve"> or amelanotic.  Examples of in-</w:t>
      </w:r>
      <w:r w:rsidRPr="003E73CD">
        <w:rPr>
          <w:sz w:val="22"/>
          <w:szCs w:val="22"/>
        </w:rPr>
        <w:t xml:space="preserve">transit metastases are shown in Figure </w:t>
      </w:r>
      <w:r w:rsidR="006417CB" w:rsidRPr="003E73CD">
        <w:rPr>
          <w:sz w:val="22"/>
          <w:szCs w:val="22"/>
        </w:rPr>
        <w:t>1.1.</w:t>
      </w:r>
      <w:r w:rsidR="0085238A">
        <w:rPr>
          <w:sz w:val="22"/>
          <w:szCs w:val="22"/>
        </w:rPr>
        <w:t>3</w:t>
      </w:r>
      <w:r w:rsidRPr="003E73CD">
        <w:rPr>
          <w:sz w:val="22"/>
          <w:szCs w:val="22"/>
        </w:rPr>
        <w:t>.</w:t>
      </w:r>
    </w:p>
    <w:p w14:paraId="04B24983" w14:textId="77777777" w:rsidR="0061482C" w:rsidRPr="003E73CD" w:rsidRDefault="0061482C" w:rsidP="0061482C">
      <w:pPr>
        <w:spacing w:line="480" w:lineRule="auto"/>
        <w:rPr>
          <w:sz w:val="22"/>
          <w:szCs w:val="22"/>
        </w:rPr>
      </w:pPr>
    </w:p>
    <w:p w14:paraId="46BACFBA" w14:textId="77777777" w:rsidR="0061482C" w:rsidRPr="003E73CD" w:rsidRDefault="0061482C" w:rsidP="0061482C">
      <w:pPr>
        <w:spacing w:line="480" w:lineRule="auto"/>
        <w:rPr>
          <w:sz w:val="22"/>
          <w:szCs w:val="22"/>
        </w:rPr>
      </w:pPr>
    </w:p>
    <w:p w14:paraId="07BFE1B3" w14:textId="77777777" w:rsidR="0061482C" w:rsidRPr="003E73CD" w:rsidRDefault="0061482C" w:rsidP="0061482C">
      <w:pPr>
        <w:spacing w:line="480" w:lineRule="auto"/>
        <w:rPr>
          <w:sz w:val="22"/>
          <w:szCs w:val="22"/>
        </w:rPr>
      </w:pPr>
    </w:p>
    <w:p w14:paraId="67423C4F" w14:textId="77777777" w:rsidR="0061482C" w:rsidRPr="003E73CD" w:rsidRDefault="0061482C" w:rsidP="0061482C">
      <w:pPr>
        <w:spacing w:line="480" w:lineRule="auto"/>
        <w:rPr>
          <w:sz w:val="22"/>
          <w:szCs w:val="22"/>
        </w:rPr>
      </w:pPr>
    </w:p>
    <w:p w14:paraId="731089F3" w14:textId="77777777" w:rsidR="0061482C" w:rsidRPr="003E73CD" w:rsidRDefault="0061482C" w:rsidP="0061482C">
      <w:pPr>
        <w:spacing w:line="480" w:lineRule="auto"/>
        <w:rPr>
          <w:sz w:val="22"/>
          <w:szCs w:val="22"/>
        </w:rPr>
      </w:pPr>
    </w:p>
    <w:p w14:paraId="5C8914A7" w14:textId="77777777" w:rsidR="0061482C" w:rsidRPr="003E73CD" w:rsidRDefault="0061482C" w:rsidP="0061482C">
      <w:pPr>
        <w:spacing w:line="480" w:lineRule="auto"/>
        <w:rPr>
          <w:sz w:val="22"/>
          <w:szCs w:val="22"/>
        </w:rPr>
      </w:pPr>
    </w:p>
    <w:p w14:paraId="59766847" w14:textId="77777777" w:rsidR="005C6DB7" w:rsidRPr="003E73CD" w:rsidRDefault="005C6DB7">
      <w:pPr>
        <w:rPr>
          <w:sz w:val="22"/>
          <w:szCs w:val="22"/>
        </w:rPr>
      </w:pPr>
      <w:r w:rsidRPr="003E73CD">
        <w:rPr>
          <w:sz w:val="22"/>
          <w:szCs w:val="22"/>
        </w:rPr>
        <w:br w:type="page"/>
      </w:r>
    </w:p>
    <w:p w14:paraId="11EA41BB" w14:textId="3AF950BC" w:rsidR="0061482C" w:rsidRPr="003E73CD" w:rsidRDefault="0061482C" w:rsidP="0061482C">
      <w:pPr>
        <w:spacing w:line="480" w:lineRule="auto"/>
        <w:rPr>
          <w:sz w:val="22"/>
          <w:szCs w:val="22"/>
        </w:rPr>
      </w:pPr>
      <w:r w:rsidRPr="003E73CD">
        <w:rPr>
          <w:sz w:val="22"/>
          <w:szCs w:val="22"/>
        </w:rPr>
        <w:t xml:space="preserve">Figure </w:t>
      </w:r>
      <w:r w:rsidR="006417CB" w:rsidRPr="003E73CD">
        <w:rPr>
          <w:sz w:val="22"/>
          <w:szCs w:val="22"/>
        </w:rPr>
        <w:t>1.1.</w:t>
      </w:r>
      <w:r w:rsidR="0085238A">
        <w:rPr>
          <w:sz w:val="22"/>
          <w:szCs w:val="22"/>
        </w:rPr>
        <w:t>3</w:t>
      </w:r>
      <w:r w:rsidR="00F44DFA">
        <w:rPr>
          <w:sz w:val="22"/>
          <w:szCs w:val="22"/>
        </w:rPr>
        <w:t>.  Examples of in-</w:t>
      </w:r>
      <w:r w:rsidRPr="003E73CD">
        <w:rPr>
          <w:sz w:val="22"/>
          <w:szCs w:val="22"/>
        </w:rPr>
        <w:t>transit metastases</w:t>
      </w:r>
    </w:p>
    <w:p w14:paraId="62E86E76" w14:textId="77777777" w:rsidR="0061482C" w:rsidRPr="003E73CD" w:rsidRDefault="0061482C" w:rsidP="0061482C">
      <w:pPr>
        <w:spacing w:line="480" w:lineRule="auto"/>
        <w:rPr>
          <w:sz w:val="22"/>
          <w:szCs w:val="22"/>
        </w:rPr>
      </w:pPr>
      <w:r w:rsidRPr="003E73CD">
        <w:rPr>
          <w:noProof/>
          <w:sz w:val="22"/>
          <w:szCs w:val="22"/>
        </w:rPr>
        <w:drawing>
          <wp:inline distT="0" distB="0" distL="0" distR="0" wp14:anchorId="7F0FCD41" wp14:editId="1C4230AD">
            <wp:extent cx="5252720" cy="3942080"/>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52720" cy="3942080"/>
                    </a:xfrm>
                    <a:prstGeom prst="rect">
                      <a:avLst/>
                    </a:prstGeom>
                    <a:noFill/>
                    <a:ln>
                      <a:noFill/>
                    </a:ln>
                  </pic:spPr>
                </pic:pic>
              </a:graphicData>
            </a:graphic>
          </wp:inline>
        </w:drawing>
      </w:r>
    </w:p>
    <w:p w14:paraId="09E2824E" w14:textId="77777777" w:rsidR="0061482C" w:rsidRPr="003E73CD" w:rsidRDefault="0061482C" w:rsidP="0061482C">
      <w:pPr>
        <w:spacing w:line="480" w:lineRule="auto"/>
        <w:rPr>
          <w:sz w:val="22"/>
          <w:szCs w:val="22"/>
        </w:rPr>
      </w:pPr>
      <w:r w:rsidRPr="003E73CD">
        <w:rPr>
          <w:noProof/>
          <w:sz w:val="22"/>
          <w:szCs w:val="22"/>
        </w:rPr>
        <w:drawing>
          <wp:inline distT="0" distB="0" distL="0" distR="0" wp14:anchorId="32520C47" wp14:editId="10ADD8D0">
            <wp:extent cx="5252720" cy="3942080"/>
            <wp:effectExtent l="0" t="0" r="508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52720" cy="3942080"/>
                    </a:xfrm>
                    <a:prstGeom prst="rect">
                      <a:avLst/>
                    </a:prstGeom>
                    <a:noFill/>
                    <a:ln>
                      <a:noFill/>
                    </a:ln>
                  </pic:spPr>
                </pic:pic>
              </a:graphicData>
            </a:graphic>
          </wp:inline>
        </w:drawing>
      </w:r>
    </w:p>
    <w:p w14:paraId="51ADB138" w14:textId="77777777" w:rsidR="0061482C" w:rsidRPr="003E73CD" w:rsidRDefault="0061482C" w:rsidP="0061482C">
      <w:pPr>
        <w:spacing w:line="480" w:lineRule="auto"/>
        <w:rPr>
          <w:sz w:val="22"/>
          <w:szCs w:val="22"/>
        </w:rPr>
      </w:pPr>
      <w:r w:rsidRPr="003E73CD">
        <w:rPr>
          <w:noProof/>
          <w:sz w:val="22"/>
          <w:szCs w:val="22"/>
        </w:rPr>
        <w:drawing>
          <wp:inline distT="0" distB="0" distL="0" distR="0" wp14:anchorId="78634EF1" wp14:editId="14D87A46">
            <wp:extent cx="5252720" cy="2794000"/>
            <wp:effectExtent l="0" t="0" r="508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52720" cy="2794000"/>
                    </a:xfrm>
                    <a:prstGeom prst="rect">
                      <a:avLst/>
                    </a:prstGeom>
                    <a:noFill/>
                    <a:ln>
                      <a:noFill/>
                    </a:ln>
                  </pic:spPr>
                </pic:pic>
              </a:graphicData>
            </a:graphic>
          </wp:inline>
        </w:drawing>
      </w:r>
    </w:p>
    <w:p w14:paraId="0F7484BE" w14:textId="77777777" w:rsidR="0061482C" w:rsidRPr="003E73CD" w:rsidRDefault="0061482C" w:rsidP="0061482C">
      <w:pPr>
        <w:spacing w:line="480" w:lineRule="auto"/>
        <w:rPr>
          <w:sz w:val="22"/>
          <w:szCs w:val="22"/>
        </w:rPr>
      </w:pPr>
      <w:r w:rsidRPr="003E73CD">
        <w:rPr>
          <w:noProof/>
          <w:sz w:val="22"/>
          <w:szCs w:val="22"/>
        </w:rPr>
        <w:drawing>
          <wp:inline distT="0" distB="0" distL="0" distR="0" wp14:anchorId="4FD799AF" wp14:editId="1D2FA8A4">
            <wp:extent cx="5262880" cy="2407920"/>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62880" cy="2407920"/>
                    </a:xfrm>
                    <a:prstGeom prst="rect">
                      <a:avLst/>
                    </a:prstGeom>
                    <a:noFill/>
                    <a:ln>
                      <a:noFill/>
                    </a:ln>
                  </pic:spPr>
                </pic:pic>
              </a:graphicData>
            </a:graphic>
          </wp:inline>
        </w:drawing>
      </w:r>
    </w:p>
    <w:p w14:paraId="041526DF" w14:textId="77777777" w:rsidR="0061482C" w:rsidRPr="003E73CD" w:rsidRDefault="0061482C" w:rsidP="0061482C">
      <w:pPr>
        <w:spacing w:line="480" w:lineRule="auto"/>
        <w:rPr>
          <w:sz w:val="22"/>
          <w:szCs w:val="22"/>
        </w:rPr>
      </w:pPr>
    </w:p>
    <w:p w14:paraId="3A80F52E" w14:textId="77777777" w:rsidR="0061482C" w:rsidRPr="003E73CD" w:rsidRDefault="0061482C" w:rsidP="0061482C">
      <w:pPr>
        <w:spacing w:line="480" w:lineRule="auto"/>
        <w:rPr>
          <w:sz w:val="22"/>
          <w:szCs w:val="22"/>
        </w:rPr>
      </w:pPr>
    </w:p>
    <w:p w14:paraId="004ABA16" w14:textId="77777777" w:rsidR="0061482C" w:rsidRPr="003E73CD" w:rsidRDefault="0061482C" w:rsidP="0061482C">
      <w:pPr>
        <w:spacing w:line="480" w:lineRule="auto"/>
        <w:rPr>
          <w:sz w:val="22"/>
          <w:szCs w:val="22"/>
        </w:rPr>
      </w:pPr>
    </w:p>
    <w:p w14:paraId="4DD17F56" w14:textId="31457738" w:rsidR="0061482C" w:rsidRPr="003E73CD" w:rsidRDefault="0061482C" w:rsidP="0061482C">
      <w:pPr>
        <w:spacing w:line="480" w:lineRule="auto"/>
        <w:ind w:firstLine="720"/>
        <w:rPr>
          <w:sz w:val="22"/>
          <w:szCs w:val="22"/>
        </w:rPr>
      </w:pPr>
      <w:r w:rsidRPr="003E73CD">
        <w:rPr>
          <w:sz w:val="22"/>
          <w:szCs w:val="22"/>
        </w:rPr>
        <w:t>Local recurrence of melanoma is defined as recurrence of melanoma within 2cm of the primary melanoma surgical scar.  It can be subdivided into two categories.  The first is true local recurrence, which is growth of primary tumour that was inadequately excised.  The second is metastatic melanoma located within 2cm of the primary tumour site.  These can be called satellite lesions and their prognosis tends to be worse, reflecting the fact that they are a form of metastatic disease.</w:t>
      </w:r>
      <w:r w:rsidRPr="003E73CD">
        <w:rPr>
          <w:sz w:val="22"/>
          <w:szCs w:val="22"/>
        </w:rPr>
        <w:fldChar w:fldCharType="begin" w:fldLock="1"/>
      </w:r>
      <w:r w:rsidR="006E7542" w:rsidRPr="003E73CD">
        <w:rPr>
          <w:sz w:val="22"/>
          <w:szCs w:val="22"/>
        </w:rPr>
        <w:instrText>ADDIN CSL_CITATION { "citationItems" : [ { "id" : "ITEM-1", "itemData" : { "DOI" : "10.1080/00313020412331282690", "ISSN" : "0031-3025", "PMID" : "15370121", "abstract" : "Local recurrence (LR) of cutaneous malignant melanoma (CMM) is a controversial issue, especially in regard to recommendations for margins of excision of primary CMM. Factual evidence in support of the belief that wider margins of excision decrease the risk of local recurrence is meagre, but recommendations for adjusting margins of excision according to tumour thickness are still presented. The histological features of LR indicate that two mechanisms are involved: (1) persistent growth of incompletely excised primary melanoma, and (2) local metastasis. The second group comprises the most common form of LR and is associated with a poor prognosis, indicating that it is a manifestation of systemic disease. The morphological features and the prognostic implications of LR indicate that many are due to haematogenous rather than lymphatic metastasis alone and, therefore, are not preventable by wider excisions beyond complete excision of the primary tumour itself. The concept that most LRs are metastases is consistent with the failure of wide margins of excision to prevent LR. The higher risk of LR associated with greater tumour thickness is associated with the increased risk of metastasis from the thicker tumours, not with the extent of excision. The resolution of the controversy regarding the primary surgical treatment of CMM depends on the recognition by pathologists and clinicians alike that the two types of LR have diagnostic microscopic features and that they have entirely different implications for prognosis.", "author" : [ { "dropping-particle" : "", "family" : "Heenan", "given" : "P J", "non-dropping-particle" : "", "parse-names" : false, "suffix" : "" } ], "container-title" : "Pathology", "id" : "ITEM-1", "issue" : "5", "issued" : { "date-parts" : [ [ "2004", "10" ] ] }, "page" : "491-5", "title" : "Local recurrence of melanoma.", "type" : "article-journal", "volume" : "36" }, "uris" : [ "http://www.mendeley.com/documents/?uuid=916e46ef-dc92-45d2-9de1-1a8316ba70a1" ] } ], "mendeley" : { "formattedCitation" : "&lt;sup&gt;53&lt;/sup&gt;", "plainTextFormattedCitation" : "53", "previouslyFormattedCitation" : "&lt;sup&gt;53&lt;/sup&gt;" }, "properties" : { "noteIndex" : 0 }, "schema" : "https://github.com/citation-style-language/schema/raw/master/csl-citation.json" }</w:instrText>
      </w:r>
      <w:r w:rsidRPr="003E73CD">
        <w:rPr>
          <w:sz w:val="22"/>
          <w:szCs w:val="22"/>
        </w:rPr>
        <w:fldChar w:fldCharType="separate"/>
      </w:r>
      <w:r w:rsidR="00B60C63" w:rsidRPr="003E73CD">
        <w:rPr>
          <w:noProof/>
          <w:sz w:val="22"/>
          <w:szCs w:val="22"/>
          <w:vertAlign w:val="superscript"/>
        </w:rPr>
        <w:t>53</w:t>
      </w:r>
      <w:r w:rsidRPr="003E73CD">
        <w:rPr>
          <w:sz w:val="22"/>
          <w:szCs w:val="22"/>
        </w:rPr>
        <w:fldChar w:fldCharType="end"/>
      </w:r>
      <w:proofErr w:type="gramStart"/>
      <w:r w:rsidR="009B1E00">
        <w:rPr>
          <w:sz w:val="22"/>
          <w:szCs w:val="22"/>
        </w:rPr>
        <w:t xml:space="preserve">  In</w:t>
      </w:r>
      <w:proofErr w:type="gramEnd"/>
      <w:r w:rsidR="009B1E00">
        <w:rPr>
          <w:sz w:val="22"/>
          <w:szCs w:val="22"/>
        </w:rPr>
        <w:t>-</w:t>
      </w:r>
      <w:r w:rsidRPr="003E73CD">
        <w:rPr>
          <w:sz w:val="22"/>
          <w:szCs w:val="22"/>
        </w:rPr>
        <w:t>transit metastases are defined as any skin or subcutaneous metastases that are more than 2cm away from the primary melanoma but are not arising beyond the nodal basin(s) that drains the primary melanoma site.</w:t>
      </w:r>
      <w:r w:rsidRPr="003E73CD">
        <w:rPr>
          <w:sz w:val="22"/>
          <w:szCs w:val="22"/>
        </w:rPr>
        <w:fldChar w:fldCharType="begin" w:fldLock="1"/>
      </w:r>
      <w:r w:rsidRPr="003E73CD">
        <w:rPr>
          <w:sz w:val="22"/>
          <w:szCs w:val="22"/>
        </w:rPr>
        <w:instrText>ADDIN CSL_CITATION { "citationItems" : [ { "id" : "ITEM-1", "itemData" : { "DOI" : "10.1200/JCO.2009.23.4799", "ISBN" : "1527-7755 (Electronic)\\r0732-183X (Linking)", "ISSN" : "0732183X", "PMID" : "19917835", "abstract" : "To revise the staging system for cutaneous melanoma on the basis of data from an expanded American Joint Committee on Cancer (AJCC) Melanoma Staging Database.", "author" : [ { "dropping-particle" : "", "family" : "Balch", "given" : "Charles M.", "non-dropping-particle" : "", "parse-names" : false, "suffix" : "" }, { "dropping-particle" : "", "family" : "Gershenwald", "given" : "Jeffrey E.", "non-dropping-particle" : "", "parse-names" : false, "suffix" : "" }, { "dropping-particle" : "", "family" : "Soong", "given" : "Seng Jaw", "non-dropping-particle" : "", "parse-names" : false, "suffix" : "" }, { "dropping-particle" : "", "family" : "Thompson", "given" : "John F.", "non-dropping-particle" : "", "parse-names" : false, "suffix" : "" }, { "dropping-particle" : "", "family" : "Atkins", "given" : "Michael B.", "non-dropping-particle" : "", "parse-names" : false, "suffix" : "" }, { "dropping-particle" : "", "family" : "Byrd", "given" : "David R.", "non-dropping-particle" : "", "parse-names" : false, "suffix" : "" }, { "dropping-particle" : "", "family" : "Buzaid", "given" : "Antonio C.", "non-dropping-particle" : "", "parse-names" : false, "suffix" : "" }, { "dropping-particle" : "", "family" : "Cochran", "given" : "Alistair J.", "non-dropping-particle" : "", "parse-names" : false, "suffix" : "" }, { "dropping-particle" : "", "family" : "Coit", "given" : "Daniel G.", "non-dropping-particle" : "", "parse-names" : false, "suffix" : "" }, { "dropping-particle" : "", "family" : "Ding", "given" : "Shouluan", "non-dropping-particle" : "", "parse-names" : false, "suffix" : "" }, { "dropping-particle" : "", "family" : "Eggermont", "given" : "Alexander M.", "non-dropping-particle" : "", "parse-names" : false, "suffix" : "" }, { "dropping-particle" : "", "family" : "Flaherty", "given" : "Keith T.", "non-dropping-particle" : "", "parse-names" : false, "suffix" : "" }, { "dropping-particle" : "", "family" : "Gimotty", "given" : "Phyllis A.", "non-dropping-particle" : "", "parse-names" : false, "suffix" : "" }, { "dropping-particle" : "", "family" : "Kirkwood", "given" : "John M.", "non-dropping-particle" : "", "parse-names" : false, "suffix" : "" }, { "dropping-particle" : "", "family" : "McMasters", "given" : "Kelly M.", "non-dropping-particle" : "", "parse-names" : false, "suffix" : "" }, { "dropping-particle" : "", "family" : "Mihm", "given" : "Martin C.", "non-dropping-particle" : "", "parse-names" : false, "suffix" : "" }, { "dropping-particle" : "", "family" : "Morton", "given" : "Donald L.", "non-dropping-particle" : "", "parse-names" : false, "suffix" : "" }, { "dropping-particle" : "", "family" : "Ross", "given" : "Merrick I.", "non-dropping-particle" : "", "parse-names" : false, "suffix" : "" }, { "dropping-particle" : "", "family" : "Sober", "given" : "Arthur J.", "non-dropping-particle" : "", "parse-names" : false, "suffix" : "" }, { "dropping-particle" : "", "family" : "Sondak", "given" : "Vernon K.", "non-dropping-particle" : "", "parse-names" : false, "suffix" : "" } ], "container-title" : "Journal of Clinical Oncology", "id" : "ITEM-1", "issue" : "36", "issued" : { "date-parts" : [ [ "2009" ] ] }, "page" : "6199-6206", "title" : "Final version of 2009 AJCC melanoma staging and classification", "type" : "article-journal", "volume" : "27" }, "uris" : [ "http://www.mendeley.com/documents/?uuid=aae1e76a-7c0d-44d0-9aaf-7876463f3bee" ] } ], "mendeley" : { "formattedCitation" : "&lt;sup&gt;23&lt;/sup&gt;", "plainTextFormattedCitation" : "23", "previouslyFormattedCitation" : "&lt;sup&gt;23&lt;/sup&gt;" }, "properties" : { "noteIndex" : 0 }, "schema" : "https://github.com/citation-style-language/schema/raw/master/csl-citation.json" }</w:instrText>
      </w:r>
      <w:r w:rsidRPr="003E73CD">
        <w:rPr>
          <w:sz w:val="22"/>
          <w:szCs w:val="22"/>
        </w:rPr>
        <w:fldChar w:fldCharType="separate"/>
      </w:r>
      <w:r w:rsidRPr="003E73CD">
        <w:rPr>
          <w:noProof/>
          <w:sz w:val="22"/>
          <w:szCs w:val="22"/>
          <w:vertAlign w:val="superscript"/>
        </w:rPr>
        <w:t>23</w:t>
      </w:r>
      <w:r w:rsidRPr="003E73CD">
        <w:rPr>
          <w:sz w:val="22"/>
          <w:szCs w:val="22"/>
        </w:rPr>
        <w:fldChar w:fldCharType="end"/>
      </w:r>
      <w:proofErr w:type="gramStart"/>
      <w:r w:rsidRPr="003E73CD">
        <w:rPr>
          <w:sz w:val="22"/>
          <w:szCs w:val="22"/>
        </w:rPr>
        <w:t xml:space="preserve">  These</w:t>
      </w:r>
      <w:proofErr w:type="gramEnd"/>
      <w:r w:rsidRPr="003E73CD">
        <w:rPr>
          <w:sz w:val="22"/>
          <w:szCs w:val="22"/>
        </w:rPr>
        <w:t xml:space="preserve"> definitions are not particularly satisfactory as local recurrence encompasses two distinct subsets with differing pathogenesis and prognostic implications, whereas the only distinction between local recurrence du</w:t>
      </w:r>
      <w:r w:rsidR="009B1E00">
        <w:rPr>
          <w:sz w:val="22"/>
          <w:szCs w:val="22"/>
        </w:rPr>
        <w:t>e to metastatic deposits and in-</w:t>
      </w:r>
      <w:r w:rsidRPr="003E73CD">
        <w:rPr>
          <w:sz w:val="22"/>
          <w:szCs w:val="22"/>
        </w:rPr>
        <w:t>transit metastases is the completely arbitrary figure of a 2cm distance from the primary melanoma excision scar.  Both represent the same biological process and confer a similar prognosis.  Ideally it would be possible to distinguish true local recurrence from metastatic local recurrence so that metastatic local recu</w:t>
      </w:r>
      <w:r w:rsidR="009B1E00">
        <w:rPr>
          <w:sz w:val="22"/>
          <w:szCs w:val="22"/>
        </w:rPr>
        <w:t>rrence could be grouped with in-</w:t>
      </w:r>
      <w:r w:rsidRPr="003E73CD">
        <w:rPr>
          <w:sz w:val="22"/>
          <w:szCs w:val="22"/>
        </w:rPr>
        <w:t>transit metast</w:t>
      </w:r>
      <w:r w:rsidR="009B1E00">
        <w:rPr>
          <w:sz w:val="22"/>
          <w:szCs w:val="22"/>
        </w:rPr>
        <w:t>ases.  The incidence of in-</w:t>
      </w:r>
      <w:r w:rsidRPr="003E73CD">
        <w:rPr>
          <w:sz w:val="22"/>
          <w:szCs w:val="22"/>
        </w:rPr>
        <w:t>transit metastases following wide excision and sentinel node biopsy for melanoma has been recorded at 6.6% in a group of 1395 patients with a median follow up of 3.9 years.</w:t>
      </w:r>
      <w:r w:rsidRPr="003E73CD">
        <w:rPr>
          <w:sz w:val="22"/>
          <w:szCs w:val="22"/>
        </w:rPr>
        <w:fldChar w:fldCharType="begin" w:fldLock="1"/>
      </w:r>
      <w:r w:rsidR="006E7542" w:rsidRPr="003E73CD">
        <w:rPr>
          <w:sz w:val="22"/>
          <w:szCs w:val="22"/>
        </w:rPr>
        <w:instrText>ADDIN CSL_CITATION { "citationItems" : [ { "id" : "ITEM-1", "itemData" : { "DOI" : "10.1245/ASO.2005.05.025", "ISSN" : "1068-9265", "PMID" : "16021533", "abstract" : "BACKGROUND: In-transit recurrence is a unique and uncommon pattern of treatment failure in patients with melanoma. Little information exists concerning the incidence, predictors, and natural history of in-transit disease since the introduction of sentinel lymph node biopsy (SLNB).\n\nMETHODS: Between 1991 and 2001, 1395 patients with primary melanoma underwent SLNB. Univariate and multivariate logistic regression analyses were performed to examine the association among known clinicopathologic factors, in-transit recurrence, and distant metastatic failure after the development of in-transit disease.\n\nRESULTS: With a median follow-up of 3.9 years, 241 patients (17.3%) experienced disease recurrence, including 91 (6.6%) who developed in-transit recurrence. Independent predictors of in-transit recurrence included age &gt;50 years, a lower extremity location of the primary tumor, Breslow depth, ulceration, and sentinel lymph node (SLN) status. Of the 69 patients who presented with in-transit disease as the sole site of first recurrence, 39 developed distant disease. By univariate analysis, predictors of distant failure among patients with in-transit disease included SLN status, largest metastatic focus in the SLN &gt;2.5 mm2, subcutaneous location of in-transit disease, in-transit tumor size &gt; or = 2 cm, and a disease-free interval before in-transit recurrence of &lt;12 months. In-transit tumor size remained a significant predictor of distant metastasis by multivariate analysis (odds ratio, 9.69).\n\nCONCLUSIONS: The overall incidence of in-transit metastases in patients undergoing SLNB is low and does not seem to have increased since the introduction of the SLNB technique. In-transit recurrence, as well as subsequent distant metastatic failure, can be predicted on the basis of adverse tumor factors and SLN status.", "author" : [ { "dropping-particle" : "", "family" : "Pawlik", "given" : "Timothy M", "non-dropping-particle" : "", "parse-names" : false, "suffix" : "" }, { "dropping-particle" : "", "family" : "Ross", "given" : "Merrick I", "non-dropping-particle" : "", "parse-names" : false, "suffix" : "" }, { "dropping-particle" : "", "family" : "Johnson", "given" : "Marcella M", "non-dropping-particle" : "", "parse-names" : false, "suffix" : "" }, { "dropping-particle" : "", "family" : "Schacherer", "given" : "Christopher W", "non-dropping-particle" : "", "parse-names" : false, "suffix" : "" }, { "dropping-particle" : "", "family" : "McClain", "given" : "Dana M", "non-dropping-particle" : "", "parse-names" : false, "suffix" : "" }, { "dropping-particle" : "", "family" : "Mansfield", "given" : "Paul F", "non-dropping-particle" : "", "parse-names" : false, "suffix" : "" }, { "dropping-particle" : "", "family" : "Lee", "given" : "Jeffrey E", "non-dropping-particle" : "", "parse-names" : false, "suffix" : "" }, { "dropping-particle" : "", "family" : "Cormier", "given" : "Janice N", "non-dropping-particle" : "", "parse-names" : false, "suffix" : "" }, { "dropping-particle" : "", "family" : "Gershenwald", "given" : "Jeffrey E", "non-dropping-particle" : "", "parse-names" : false, "suffix" : "" } ], "container-title" : "Annals of surgical oncology", "id" : "ITEM-1", "issue" : "8", "issued" : { "date-parts" : [ [ "2005", "8" ] ] }, "page" : "587-96", "title" : "Predictors and natural history of in-transit melanoma after sentinel lymphadenectomy.", "type" : "article-journal", "volume" : "12" }, "uris" : [ "http://www.mendeley.com/documents/?uuid=7f0faa45-c48b-4164-adb1-2a3a4cc6b2e2" ] } ], "mendeley" : { "formattedCitation" : "&lt;sup&gt;54&lt;/sup&gt;", "plainTextFormattedCitation" : "54", "previouslyFormattedCitation" : "&lt;sup&gt;54&lt;/sup&gt;" }, "properties" : { "noteIndex" : 0 }, "schema" : "https://github.com/citation-style-language/schema/raw/master/csl-citation.json" }</w:instrText>
      </w:r>
      <w:r w:rsidRPr="003E73CD">
        <w:rPr>
          <w:sz w:val="22"/>
          <w:szCs w:val="22"/>
        </w:rPr>
        <w:fldChar w:fldCharType="separate"/>
      </w:r>
      <w:r w:rsidR="00B60C63" w:rsidRPr="003E73CD">
        <w:rPr>
          <w:noProof/>
          <w:sz w:val="22"/>
          <w:szCs w:val="22"/>
          <w:vertAlign w:val="superscript"/>
        </w:rPr>
        <w:t>54</w:t>
      </w:r>
      <w:r w:rsidRPr="003E73CD">
        <w:rPr>
          <w:sz w:val="22"/>
          <w:szCs w:val="22"/>
        </w:rPr>
        <w:fldChar w:fldCharType="end"/>
      </w:r>
      <w:proofErr w:type="gramStart"/>
      <w:r w:rsidRPr="003E73CD">
        <w:rPr>
          <w:sz w:val="22"/>
          <w:szCs w:val="22"/>
        </w:rPr>
        <w:t xml:space="preserve">  T</w:t>
      </w:r>
      <w:r w:rsidR="009B1E00">
        <w:rPr>
          <w:sz w:val="22"/>
          <w:szCs w:val="22"/>
        </w:rPr>
        <w:t>he</w:t>
      </w:r>
      <w:proofErr w:type="gramEnd"/>
      <w:r w:rsidR="009B1E00">
        <w:rPr>
          <w:sz w:val="22"/>
          <w:szCs w:val="22"/>
        </w:rPr>
        <w:t xml:space="preserve"> local recurrence rate and in-</w:t>
      </w:r>
      <w:r w:rsidRPr="003E73CD">
        <w:rPr>
          <w:sz w:val="22"/>
          <w:szCs w:val="22"/>
        </w:rPr>
        <w:t>transit metastasis rate as first site of recurrence in 4704 patients with Stage I or II melanoma treated between 1960 and 2002 were 2.0 % and 1.8% respectively.</w:t>
      </w:r>
      <w:r w:rsidRPr="003E73CD">
        <w:rPr>
          <w:sz w:val="22"/>
          <w:szCs w:val="22"/>
        </w:rPr>
        <w:fldChar w:fldCharType="begin" w:fldLock="1"/>
      </w:r>
      <w:r w:rsidR="006E7542" w:rsidRPr="003E73CD">
        <w:rPr>
          <w:sz w:val="22"/>
          <w:szCs w:val="22"/>
        </w:rPr>
        <w:instrText>ADDIN CSL_CITATION { "citationItems" : [ { "id" : "ITEM-1", "itemData" : { "DOI" : "10.1245/s10434-007-9717-9", "ISSN" : "1534-4681", "PMID" : "18196345", "abstract" : "OBJECTIVE: Information on prognosis for patients with cutaneous melanoma after locoregional or distant recurrence is sparse and controversial. The aim of this study was to analyze factors influencing outcome after the development of a first relapse.\n\nMETHODS: Information was extracted from the Sydney Melanoma Unit database for 873 melanoma patients with American Joint Committee on Cancer (AJCC) Stage I and II disease treated between 1960 and 2002 who relapsed following treatment of their primary melanoma. Clinical and pathologic factors predicting survival were analyzed using the Cox proportional hazards regression model.\n\nRESULTS: Initial presentation of recurrence was local: 95 patients (10.9%), in transit: 86 patients (9.9%), regional lymph node: 300 patients (34.4%), and distant: 392 patients (44.9%). Independent prognostic factors for survival of the 481 patients with only locoregional recurrence were type of recurrence, primary tumor ulceration, and patient age. Predictors for longer survival in the 392 patients with distant metastasis at the time of first presentation with recurrence were lung vs other sites and diagnosis of relapse after 1990 compared with diagnosis before 1980.\n\nCONCLUSIONS: The type of recurrence is the most important prognostic factor in melanoma patients who relapse. Primary tumor ulceration is the most important pathologic predictor. The results of this study suggest that management of distant metastases may have improved over the last 25 years, but many confounders and improved staging techniques make assessment of this unreliable.", "author" : [ { "dropping-particle" : "", "family" : "Francken", "given" : "Anne Brecht", "non-dropping-particle" : "", "parse-names" : false, "suffix" : "" }, { "dropping-particle" : "", "family" : "Accortt", "given" : "Neil A", "non-dropping-particle" : "", "parse-names" : false, "suffix" : "" }, { "dropping-particle" : "", "family" : "Shaw", "given" : "Helen M", "non-dropping-particle" : "", "parse-names" : false, "suffix" : "" }, { "dropping-particle" : "", "family" : "Wiener", "given" : "Martin", "non-dropping-particle" : "", "parse-names" : false, "suffix" : "" }, { "dropping-particle" : "", "family" : "Soong", "given" : "Seng-jaw", "non-dropping-particle" : "", "parse-names" : false, "suffix" : "" }, { "dropping-particle" : "", "family" : "Hoekstra", "given" : "Harald J", "non-dropping-particle" : "", "parse-names" : false, "suffix" : "" }, { "dropping-particle" : "", "family" : "Thompson", "given" : "John F", "non-dropping-particle" : "", "parse-names" : false, "suffix" : "" } ], "container-title" : "Annals of surgical oncology", "id" : "ITEM-1", "issue" : "5", "issued" : { "date-parts" : [ [ "2008", "5" ] ] }, "page" : "1476-84", "title" : "Prognosis and determinants of outcome following locoregional or distant recurrence in patients with cutaneous melanoma.", "type" : "article-journal", "volume" : "15" }, "uris" : [ "http://www.mendeley.com/documents/?uuid=319a9a1d-fcf4-4d6a-a387-8ec6c9c59e6f" ] } ], "mendeley" : { "formattedCitation" : "&lt;sup&gt;55&lt;/sup&gt;", "plainTextFormattedCitation" : "55", "previouslyFormattedCitation" : "&lt;sup&gt;55&lt;/sup&gt;" }, "properties" : { "noteIndex" : 0 }, "schema" : "https://github.com/citation-style-language/schema/raw/master/csl-citation.json" }</w:instrText>
      </w:r>
      <w:r w:rsidRPr="003E73CD">
        <w:rPr>
          <w:sz w:val="22"/>
          <w:szCs w:val="22"/>
        </w:rPr>
        <w:fldChar w:fldCharType="separate"/>
      </w:r>
      <w:r w:rsidR="00B60C63" w:rsidRPr="003E73CD">
        <w:rPr>
          <w:noProof/>
          <w:sz w:val="22"/>
          <w:szCs w:val="22"/>
          <w:vertAlign w:val="superscript"/>
        </w:rPr>
        <w:t>55</w:t>
      </w:r>
      <w:r w:rsidRPr="003E73CD">
        <w:rPr>
          <w:sz w:val="22"/>
          <w:szCs w:val="22"/>
        </w:rPr>
        <w:fldChar w:fldCharType="end"/>
      </w:r>
      <w:proofErr w:type="gramStart"/>
      <w:r w:rsidRPr="003E73CD">
        <w:rPr>
          <w:sz w:val="22"/>
          <w:szCs w:val="22"/>
        </w:rPr>
        <w:t xml:space="preserve">  The</w:t>
      </w:r>
      <w:proofErr w:type="gramEnd"/>
      <w:r w:rsidRPr="003E73CD">
        <w:rPr>
          <w:sz w:val="22"/>
          <w:szCs w:val="22"/>
        </w:rPr>
        <w:t xml:space="preserve"> current AJCC staging classifi</w:t>
      </w:r>
      <w:r w:rsidR="009B1E00">
        <w:rPr>
          <w:sz w:val="22"/>
          <w:szCs w:val="22"/>
        </w:rPr>
        <w:t>cation assigns patients with in-</w:t>
      </w:r>
      <w:r w:rsidRPr="003E73CD">
        <w:rPr>
          <w:sz w:val="22"/>
          <w:szCs w:val="22"/>
        </w:rPr>
        <w:t xml:space="preserve">transit or satellite metastases, and no other distant metastases, to the N category (N2c or N3 depending on whether nodal metastases are also present), to reflect the fact that they are usually intralymphatic metastases  (see Figure </w:t>
      </w:r>
      <w:r w:rsidR="0085238A">
        <w:rPr>
          <w:sz w:val="22"/>
          <w:szCs w:val="22"/>
        </w:rPr>
        <w:t>1.1.2</w:t>
      </w:r>
      <w:r w:rsidRPr="003E73CD">
        <w:rPr>
          <w:sz w:val="22"/>
          <w:szCs w:val="22"/>
        </w:rPr>
        <w:t>).  At present, treatment strategies are similar f</w:t>
      </w:r>
      <w:r w:rsidR="009B1E00">
        <w:rPr>
          <w:sz w:val="22"/>
          <w:szCs w:val="22"/>
        </w:rPr>
        <w:t>or both local recurrence and in-</w:t>
      </w:r>
      <w:r w:rsidRPr="003E73CD">
        <w:rPr>
          <w:sz w:val="22"/>
          <w:szCs w:val="22"/>
        </w:rPr>
        <w:t>transit metastases and the following modalities are currently in use: simple excision, fulguration, carbon dioxide laser ablation, electrochemotherapy using either intralesional or systemic bleomycin, isolated limb infusion using melphalan and actinomycin D and isolated limb perfusion using melphalan and tumour necrosis factor, or systemic therapies.  The prognost</w:t>
      </w:r>
      <w:r w:rsidR="009B1E00">
        <w:rPr>
          <w:sz w:val="22"/>
          <w:szCs w:val="22"/>
        </w:rPr>
        <w:t>ic implications of local and in-</w:t>
      </w:r>
      <w:r w:rsidRPr="003E73CD">
        <w:rPr>
          <w:sz w:val="22"/>
          <w:szCs w:val="22"/>
        </w:rPr>
        <w:t>transit recurrence have been documented in a number of studies.</w:t>
      </w:r>
      <w:r w:rsidRPr="003E73CD">
        <w:rPr>
          <w:sz w:val="22"/>
          <w:szCs w:val="22"/>
        </w:rPr>
        <w:fldChar w:fldCharType="begin" w:fldLock="1"/>
      </w:r>
      <w:r w:rsidR="006E7542" w:rsidRPr="003E73CD">
        <w:rPr>
          <w:sz w:val="22"/>
          <w:szCs w:val="22"/>
        </w:rPr>
        <w:instrText>ADDIN CSL_CITATION { "citationItems" : [ { "id" : "ITEM-1", "itemData" : { "ISSN" : "0008-543X", "PMID" : "10699896", "abstract" : "BACKGROUND: Local recurrence of melanoma is associated with a grave prognosis. However, the characteristics and the mode of disease progression for patients with local recurrence have not been adequately addressed in the literature.\n\nMETHODS: A retrospective analysis of patients treated at a single institution revealed a subset of patients (n = 648) with local recurrence of melanoma as a first event. Patient characteristics, histologic determinants, and disease free interval were variables used to identify prognostic factors.\n\nRESULTS: In this group of patients, male gender (P = 0. 0163), increasing age (P = 0.0001), head and neck primaries (P = 0. 0001), thicker Breslow depths (P = 0.0022), deeper Clark levels (P = 0.0010), and ulceration of the primary tumor (P = 0.0348) suggested a shorter time until local recurrence. Breslow depth (P = 0.0004), Clark level (P = 0.0043), and ulceration (P = 0.0001) still factored into the survival prognosis after recurrence. Truncal primaries (P = 0.0005) and shorter disease free intervals (P = 0.0098) were also associated with poorer outcomes after recurrence. Of the 648 patients, 124 showed no progression, 196 developed another local recurrence, 178 developed in-transit/lymph node metastases, and 150 had systemic recurrences. Survival was only 33.6% for patients with further metastases, compared with 77.4% for patients with no progression of disease after a median follow-up of 38.9 months.\n\nCONCLUSIONS: There was a 48.5% mortality rate at 5 years of follow-up after local recurrence. Long term survival (&gt; 10 years) was estimated to be 34.9%. The patterns of failure after local recurrence suggest that patients may benefit from aggressive locoregional therapy.", "author" : [ { "dropping-particle" : "", "family" : "Dong", "given" : "X D", "non-dropping-particle" : "", "parse-names" : false, "suffix" : "" }, { "dropping-particle" : "", "family" : "Tyler", "given" : "D", "non-dropping-particle" : "", "parse-names" : false, "suffix" : "" }, { "dropping-particle" : "", "family" : "Johnson", "given" : "J L", "non-dropping-particle" : "", "parse-names" : false, "suffix" : "" }, { "dropping-particle" : "", "family" : "DeMatos", "given" : "P", "non-dropping-particle" : "", "parse-names" : false, "suffix" : "" }, { "dropping-particle" : "", "family" : "Seigler", "given" : "H F", "non-dropping-particle" : "", "parse-names" : false, "suffix" : "" } ], "container-title" : "Cancer", "id" : "ITEM-1", "issue" : "5", "issued" : { "date-parts" : [ [ "2000", "3", "1" ] ] }, "page" : "1063-71", "title" : "Analysis of prognosis and disease progression after local recurrence of melanoma.", "type" : "article-journal", "volume" : "88" }, "uris" : [ "http://www.mendeley.com/documents/?uuid=1b5ac939-ddf8-4e65-b9a6-537fcf11d6b4" ] }, { "id" : "ITEM-2", "itemData" : { "DOI" : "10.1245/ASO.2005.05.025", "ISSN" : "1068-9265", "PMID" : "16021533", "abstract" : "BACKGROUND: In-transit recurrence is a unique and uncommon pattern of treatment failure in patients with melanoma. Little information exists concerning the incidence, predictors, and natural history of in-transit disease since the introduction of sentinel lymph node biopsy (SLNB).\n\nMETHODS: Between 1991 and 2001, 1395 patients with primary melanoma underwent SLNB. Univariate and multivariate logistic regression analyses were performed to examine the association among known clinicopathologic factors, in-transit recurrence, and distant metastatic failure after the development of in-transit disease.\n\nRESULTS: With a median follow-up of 3.9 years, 241 patients (17.3%) experienced disease recurrence, including 91 (6.6%) who developed in-transit recurrence. Independent predictors of in-transit recurrence included age &gt;50 years, a lower extremity location of the primary tumor, Breslow depth, ulceration, and sentinel lymph node (SLN) status. Of the 69 patients who presented with in-transit disease as the sole site of first recurrence, 39 developed distant disease. By univariate analysis, predictors of distant failure among patients with in-transit disease included SLN status, largest metastatic focus in the SLN &gt;2.5 mm2, subcutaneous location of in-transit disease, in-transit tumor size &gt; or = 2 cm, and a disease-free interval before in-transit recurrence of &lt;12 months. In-transit tumor size remained a significant predictor of distant metastasis by multivariate analysis (odds ratio, 9.69).\n\nCONCLUSIONS: The overall incidence of in-transit metastases in patients undergoing SLNB is low and does not seem to have increased since the introduction of the SLNB technique. In-transit recurrence, as well as subsequent distant metastatic failure, can be predicted on the basis of adverse tumor factors and SLN status.", "author" : [ { "dropping-particle" : "", "family" : "Pawlik", "given" : "Timothy M", "non-dropping-particle" : "", "parse-names" : false, "suffix" : "" }, { "dropping-particle" : "", "family" : "Ross", "given" : "Merrick I", "non-dropping-particle" : "", "parse-names" : false, "suffix" : "" }, { "dropping-particle" : "", "family" : "Johnson", "given" : "Marcella M", "non-dropping-particle" : "", "parse-names" : false, "suffix" : "" }, { "dropping-particle" : "", "family" : "Schacherer", "given" : "Christopher W", "non-dropping-particle" : "", "parse-names" : false, "suffix" : "" }, { "dropping-particle" : "", "family" : "McClain", "given" : "Dana M", "non-dropping-particle" : "", "parse-names" : false, "suffix" : "" }, { "dropping-particle" : "", "family" : "Mansfield", "given" : "Paul F", "non-dropping-particle" : "", "parse-names" : false, "suffix" : "" }, { "dropping-particle" : "", "family" : "Lee", "given" : "Jeffrey E", "non-dropping-particle" : "", "parse-names" : false, "suffix" : "" }, { "dropping-particle" : "", "family" : "Cormier", "given" : "Janice N", "non-dropping-particle" : "", "parse-names" : false, "suffix" : "" }, { "dropping-particle" : "", "family" : "Gershenwald", "given" : "Jeffrey E", "non-dropping-particle" : "", "parse-names" : false, "suffix" : "" } ], "container-title" : "Annals of surgical oncology", "id" : "ITEM-2", "issue" : "8", "issued" : { "date-parts" : [ [ "2005", "8" ] ] }, "page" : "587-96", "title" : "Predictors and natural history of in-transit melanoma after sentinel lymphadenectomy.", "type" : "article-journal", "volume" : "12" }, "uris" : [ "http://www.mendeley.com/documents/?uuid=7f0faa45-c48b-4164-adb1-2a3a4cc6b2e2" ] }, { "id" : "ITEM-3", "itemData" : { "DOI" : "10.1245/s10434-007-9717-9", "ISSN" : "1534-4681", "PMID" : "18196345", "abstract" : "OBJECTIVE: Information on prognosis for patients with cutaneous melanoma after locoregional or distant recurrence is sparse and controversial. The aim of this study was to analyze factors influencing outcome after the development of a first relapse.\n\nMETHODS: Information was extracted from the Sydney Melanoma Unit database for 873 melanoma patients with American Joint Committee on Cancer (AJCC) Stage I and II disease treated between 1960 and 2002 who relapsed following treatment of their primary melanoma. Clinical and pathologic factors predicting survival were analyzed using the Cox proportional hazards regression model.\n\nRESULTS: Initial presentation of recurrence was local: 95 patients (10.9%), in transit: 86 patients (9.9%), regional lymph node: 300 patients (34.4%), and distant: 392 patients (44.9%). Independent prognostic factors for survival of the 481 patients with only locoregional recurrence were type of recurrence, primary tumor ulceration, and patient age. Predictors for longer survival in the 392 patients with distant metastasis at the time of first presentation with recurrence were lung vs other sites and diagnosis of relapse after 1990 compared with diagnosis before 1980.\n\nCONCLUSIONS: The type of recurrence is the most important prognostic factor in melanoma patients who relapse. Primary tumor ulceration is the most important pathologic predictor. The results of this study suggest that management of distant metastases may have improved over the last 25 years, but many confounders and improved staging techniques make assessment of this unreliable.", "author" : [ { "dropping-particle" : "", "family" : "Francken", "given" : "Anne Brecht", "non-dropping-particle" : "", "parse-names" : false, "suffix" : "" }, { "dropping-particle" : "", "family" : "Accortt", "given" : "Neil A", "non-dropping-particle" : "", "parse-names" : false, "suffix" : "" }, { "dropping-particle" : "", "family" : "Shaw", "given" : "Helen M", "non-dropping-particle" : "", "parse-names" : false, "suffix" : "" }, { "dropping-particle" : "", "family" : "Wiener", "given" : "Martin", "non-dropping-particle" : "", "parse-names" : false, "suffix" : "" }, { "dropping-particle" : "", "family" : "Soong", "given" : "Seng-jaw", "non-dropping-particle" : "", "parse-names" : false, "suffix" : "" }, { "dropping-particle" : "", "family" : "Hoekstra", "given" : "Harald J", "non-dropping-particle" : "", "parse-names" : false, "suffix" : "" }, { "dropping-particle" : "", "family" : "Thompson", "given" : "John F", "non-dropping-particle" : "", "parse-names" : false, "suffix" : "" } ], "container-title" : "Annals of surgical oncology", "id" : "ITEM-3", "issue" : "5", "issued" : { "date-parts" : [ [ "2008", "5" ] ] }, "page" : "1476-84", "title" : "Prognosis and determinants of outcome following locoregional or distant recurrence in patients with cutaneous melanoma.", "type" : "article-journal", "volume" : "15" }, "uris" : [ "http://www.mendeley.com/documents/?uuid=319a9a1d-fcf4-4d6a-a387-8ec6c9c59e6f" ] } ], "mendeley" : { "formattedCitation" : "&lt;sup&gt;54\u201356&lt;/sup&gt;", "plainTextFormattedCitation" : "54\u201356", "previouslyFormattedCitation" : "&lt;sup&gt;54\u201356&lt;/sup&gt;" }, "properties" : { "noteIndex" : 0 }, "schema" : "https://github.com/citation-style-language/schema/raw/master/csl-citation.json" }</w:instrText>
      </w:r>
      <w:r w:rsidRPr="003E73CD">
        <w:rPr>
          <w:sz w:val="22"/>
          <w:szCs w:val="22"/>
        </w:rPr>
        <w:fldChar w:fldCharType="separate"/>
      </w:r>
      <w:r w:rsidR="00B60C63" w:rsidRPr="003E73CD">
        <w:rPr>
          <w:noProof/>
          <w:sz w:val="22"/>
          <w:szCs w:val="22"/>
          <w:vertAlign w:val="superscript"/>
        </w:rPr>
        <w:t>54–56</w:t>
      </w:r>
      <w:r w:rsidRPr="003E73CD">
        <w:rPr>
          <w:sz w:val="22"/>
          <w:szCs w:val="22"/>
        </w:rPr>
        <w:fldChar w:fldCharType="end"/>
      </w:r>
      <w:proofErr w:type="gramStart"/>
      <w:r w:rsidRPr="003E73CD">
        <w:rPr>
          <w:sz w:val="22"/>
          <w:szCs w:val="22"/>
        </w:rPr>
        <w:t xml:space="preserve">  Dong</w:t>
      </w:r>
      <w:proofErr w:type="gramEnd"/>
      <w:r w:rsidRPr="003E73CD">
        <w:rPr>
          <w:sz w:val="22"/>
          <w:szCs w:val="22"/>
        </w:rPr>
        <w:t xml:space="preserve"> et al. retrospectively analysed the outcomes for 648 patients who developed local recurrence as a first event.</w:t>
      </w:r>
      <w:r w:rsidRPr="003E73CD">
        <w:rPr>
          <w:sz w:val="22"/>
          <w:szCs w:val="22"/>
        </w:rPr>
        <w:fldChar w:fldCharType="begin" w:fldLock="1"/>
      </w:r>
      <w:r w:rsidR="006E7542" w:rsidRPr="003E73CD">
        <w:rPr>
          <w:sz w:val="22"/>
          <w:szCs w:val="22"/>
        </w:rPr>
        <w:instrText>ADDIN CSL_CITATION { "citationItems" : [ { "id" : "ITEM-1", "itemData" : { "ISSN" : "0008-543X", "PMID" : "10699896", "abstract" : "BACKGROUND: Local recurrence of melanoma is associated with a grave prognosis. However, the characteristics and the mode of disease progression for patients with local recurrence have not been adequately addressed in the literature.\n\nMETHODS: A retrospective analysis of patients treated at a single institution revealed a subset of patients (n = 648) with local recurrence of melanoma as a first event. Patient characteristics, histologic determinants, and disease free interval were variables used to identify prognostic factors.\n\nRESULTS: In this group of patients, male gender (P = 0. 0163), increasing age (P = 0.0001), head and neck primaries (P = 0. 0001), thicker Breslow depths (P = 0.0022), deeper Clark levels (P = 0.0010), and ulceration of the primary tumor (P = 0.0348) suggested a shorter time until local recurrence. Breslow depth (P = 0.0004), Clark level (P = 0.0043), and ulceration (P = 0.0001) still factored into the survival prognosis after recurrence. Truncal primaries (P = 0.0005) and shorter disease free intervals (P = 0.0098) were also associated with poorer outcomes after recurrence. Of the 648 patients, 124 showed no progression, 196 developed another local recurrence, 178 developed in-transit/lymph node metastases, and 150 had systemic recurrences. Survival was only 33.6% for patients with further metastases, compared with 77.4% for patients with no progression of disease after a median follow-up of 38.9 months.\n\nCONCLUSIONS: There was a 48.5% mortality rate at 5 years of follow-up after local recurrence. Long term survival (&gt; 10 years) was estimated to be 34.9%. The patterns of failure after local recurrence suggest that patients may benefit from aggressive locoregional therapy.", "author" : [ { "dropping-particle" : "", "family" : "Dong", "given" : "X D", "non-dropping-particle" : "", "parse-names" : false, "suffix" : "" }, { "dropping-particle" : "", "family" : "Tyler", "given" : "D", "non-dropping-particle" : "", "parse-names" : false, "suffix" : "" }, { "dropping-particle" : "", "family" : "Johnson", "given" : "J L", "non-dropping-particle" : "", "parse-names" : false, "suffix" : "" }, { "dropping-particle" : "", "family" : "DeMatos", "given" : "P", "non-dropping-particle" : "", "parse-names" : false, "suffix" : "" }, { "dropping-particle" : "", "family" : "Seigler", "given" : "H F", "non-dropping-particle" : "", "parse-names" : false, "suffix" : "" } ], "container-title" : "Cancer", "id" : "ITEM-1", "issue" : "5", "issued" : { "date-parts" : [ [ "2000", "3", "1" ] ] }, "page" : "1063-71", "title" : "Analysis of prognosis and disease progression after local recurrence of melanoma.", "type" : "article-journal", "volume" : "88" }, "uris" : [ "http://www.mendeley.com/documents/?uuid=1b5ac939-ddf8-4e65-b9a6-537fcf11d6b4" ] } ], "mendeley" : { "formattedCitation" : "&lt;sup&gt;56&lt;/sup&gt;", "plainTextFormattedCitation" : "56", "previouslyFormattedCitation" : "&lt;sup&gt;56&lt;/sup&gt;" }, "properties" : { "noteIndex" : 0 }, "schema" : "https://github.com/citation-style-language/schema/raw/master/csl-citation.json" }</w:instrText>
      </w:r>
      <w:r w:rsidRPr="003E73CD">
        <w:rPr>
          <w:sz w:val="22"/>
          <w:szCs w:val="22"/>
        </w:rPr>
        <w:fldChar w:fldCharType="separate"/>
      </w:r>
      <w:r w:rsidR="00B60C63" w:rsidRPr="003E73CD">
        <w:rPr>
          <w:noProof/>
          <w:sz w:val="22"/>
          <w:szCs w:val="22"/>
          <w:vertAlign w:val="superscript"/>
        </w:rPr>
        <w:t>56</w:t>
      </w:r>
      <w:r w:rsidRPr="003E73CD">
        <w:rPr>
          <w:sz w:val="22"/>
          <w:szCs w:val="22"/>
        </w:rPr>
        <w:fldChar w:fldCharType="end"/>
      </w:r>
      <w:proofErr w:type="gramStart"/>
      <w:r w:rsidRPr="003E73CD">
        <w:rPr>
          <w:sz w:val="22"/>
          <w:szCs w:val="22"/>
        </w:rPr>
        <w:t xml:space="preserve">  The</w:t>
      </w:r>
      <w:proofErr w:type="gramEnd"/>
      <w:r w:rsidRPr="003E73CD">
        <w:rPr>
          <w:sz w:val="22"/>
          <w:szCs w:val="22"/>
        </w:rPr>
        <w:t xml:space="preserve"> 5-year survival rate for this group was 51.5%.  In the Sydney Melanoma Unit study the 5-year survival rates for</w:t>
      </w:r>
      <w:r w:rsidR="009B1E00">
        <w:rPr>
          <w:sz w:val="22"/>
          <w:szCs w:val="22"/>
        </w:rPr>
        <w:t xml:space="preserve"> patients following local or in-</w:t>
      </w:r>
      <w:r w:rsidRPr="003E73CD">
        <w:rPr>
          <w:sz w:val="22"/>
          <w:szCs w:val="22"/>
        </w:rPr>
        <w:t>transit recurrence were 74% and 44% respectively.</w:t>
      </w:r>
      <w:r w:rsidRPr="003E73CD">
        <w:rPr>
          <w:sz w:val="22"/>
          <w:szCs w:val="22"/>
        </w:rPr>
        <w:fldChar w:fldCharType="begin" w:fldLock="1"/>
      </w:r>
      <w:r w:rsidR="006E7542" w:rsidRPr="003E73CD">
        <w:rPr>
          <w:sz w:val="22"/>
          <w:szCs w:val="22"/>
        </w:rPr>
        <w:instrText>ADDIN CSL_CITATION { "citationItems" : [ { "id" : "ITEM-1", "itemData" : { "DOI" : "10.1245/s10434-007-9717-9", "ISSN" : "1534-4681", "PMID" : "18196345", "abstract" : "OBJECTIVE: Information on prognosis for patients with cutaneous melanoma after locoregional or distant recurrence is sparse and controversial. The aim of this study was to analyze factors influencing outcome after the development of a first relapse.\n\nMETHODS: Information was extracted from the Sydney Melanoma Unit database for 873 melanoma patients with American Joint Committee on Cancer (AJCC) Stage I and II disease treated between 1960 and 2002 who relapsed following treatment of their primary melanoma. Clinical and pathologic factors predicting survival were analyzed using the Cox proportional hazards regression model.\n\nRESULTS: Initial presentation of recurrence was local: 95 patients (10.9%), in transit: 86 patients (9.9%), regional lymph node: 300 patients (34.4%), and distant: 392 patients (44.9%). Independent prognostic factors for survival of the 481 patients with only locoregional recurrence were type of recurrence, primary tumor ulceration, and patient age. Predictors for longer survival in the 392 patients with distant metastasis at the time of first presentation with recurrence were lung vs other sites and diagnosis of relapse after 1990 compared with diagnosis before 1980.\n\nCONCLUSIONS: The type of recurrence is the most important prognostic factor in melanoma patients who relapse. Primary tumor ulceration is the most important pathologic predictor. The results of this study suggest that management of distant metastases may have improved over the last 25 years, but many confounders and improved staging techniques make assessment of this unreliable.", "author" : [ { "dropping-particle" : "", "family" : "Francken", "given" : "Anne Brecht", "non-dropping-particle" : "", "parse-names" : false, "suffix" : "" }, { "dropping-particle" : "", "family" : "Accortt", "given" : "Neil A", "non-dropping-particle" : "", "parse-names" : false, "suffix" : "" }, { "dropping-particle" : "", "family" : "Shaw", "given" : "Helen M", "non-dropping-particle" : "", "parse-names" : false, "suffix" : "" }, { "dropping-particle" : "", "family" : "Wiener", "given" : "Martin", "non-dropping-particle" : "", "parse-names" : false, "suffix" : "" }, { "dropping-particle" : "", "family" : "Soong", "given" : "Seng-jaw", "non-dropping-particle" : "", "parse-names" : false, "suffix" : "" }, { "dropping-particle" : "", "family" : "Hoekstra", "given" : "Harald J", "non-dropping-particle" : "", "parse-names" : false, "suffix" : "" }, { "dropping-particle" : "", "family" : "Thompson", "given" : "John F", "non-dropping-particle" : "", "parse-names" : false, "suffix" : "" } ], "container-title" : "Annals of surgical oncology", "id" : "ITEM-1", "issue" : "5", "issued" : { "date-parts" : [ [ "2008", "5" ] ] }, "page" : "1476-84", "title" : "Prognosis and determinants of outcome following locoregional or distant recurrence in patients with cutaneous melanoma.", "type" : "article-journal", "volume" : "15" }, "uris" : [ "http://www.mendeley.com/documents/?uuid=319a9a1d-fcf4-4d6a-a387-8ec6c9c59e6f" ] } ], "mendeley" : { "formattedCitation" : "&lt;sup&gt;55&lt;/sup&gt;", "plainTextFormattedCitation" : "55", "previouslyFormattedCitation" : "&lt;sup&gt;55&lt;/sup&gt;" }, "properties" : { "noteIndex" : 0 }, "schema" : "https://github.com/citation-style-language/schema/raw/master/csl-citation.json" }</w:instrText>
      </w:r>
      <w:r w:rsidRPr="003E73CD">
        <w:rPr>
          <w:sz w:val="22"/>
          <w:szCs w:val="22"/>
        </w:rPr>
        <w:fldChar w:fldCharType="separate"/>
      </w:r>
      <w:r w:rsidR="00B60C63" w:rsidRPr="003E73CD">
        <w:rPr>
          <w:noProof/>
          <w:sz w:val="22"/>
          <w:szCs w:val="22"/>
          <w:vertAlign w:val="superscript"/>
        </w:rPr>
        <w:t>55</w:t>
      </w:r>
      <w:r w:rsidRPr="003E73CD">
        <w:rPr>
          <w:sz w:val="22"/>
          <w:szCs w:val="22"/>
        </w:rPr>
        <w:fldChar w:fldCharType="end"/>
      </w:r>
      <w:proofErr w:type="gramStart"/>
      <w:r w:rsidRPr="003E73CD">
        <w:rPr>
          <w:sz w:val="22"/>
          <w:szCs w:val="22"/>
        </w:rPr>
        <w:t xml:space="preserve">  Patients</w:t>
      </w:r>
      <w:proofErr w:type="gramEnd"/>
      <w:r w:rsidRPr="003E73CD">
        <w:rPr>
          <w:sz w:val="22"/>
          <w:szCs w:val="22"/>
        </w:rPr>
        <w:t xml:space="preserve"> who develop </w:t>
      </w:r>
      <w:r w:rsidR="009B1E00">
        <w:rPr>
          <w:sz w:val="22"/>
          <w:szCs w:val="22"/>
        </w:rPr>
        <w:t>local recurrence or in-</w:t>
      </w:r>
      <w:r w:rsidRPr="003E73CD">
        <w:rPr>
          <w:sz w:val="22"/>
          <w:szCs w:val="22"/>
        </w:rPr>
        <w:t>transit metastases within a shorter period of their treatment for the primary melanoma tend to have a worse prognosis.</w:t>
      </w:r>
      <w:r w:rsidRPr="003E73CD">
        <w:rPr>
          <w:sz w:val="22"/>
          <w:szCs w:val="22"/>
        </w:rPr>
        <w:fldChar w:fldCharType="begin" w:fldLock="1"/>
      </w:r>
      <w:r w:rsidR="006E7542" w:rsidRPr="003E73CD">
        <w:rPr>
          <w:sz w:val="22"/>
          <w:szCs w:val="22"/>
        </w:rPr>
        <w:instrText>ADDIN CSL_CITATION { "citationItems" : [ { "id" : "ITEM-1", "itemData" : { "ISSN" : "0008-543X", "PMID" : "10699896", "abstract" : "BACKGROUND: Local recurrence of melanoma is associated with a grave prognosis. However, the characteristics and the mode of disease progression for patients with local recurrence have not been adequately addressed in the literature.\n\nMETHODS: A retrospective analysis of patients treated at a single institution revealed a subset of patients (n = 648) with local recurrence of melanoma as a first event. Patient characteristics, histologic determinants, and disease free interval were variables used to identify prognostic factors.\n\nRESULTS: In this group of patients, male gender (P = 0. 0163), increasing age (P = 0.0001), head and neck primaries (P = 0. 0001), thicker Breslow depths (P = 0.0022), deeper Clark levels (P = 0.0010), and ulceration of the primary tumor (P = 0.0348) suggested a shorter time until local recurrence. Breslow depth (P = 0.0004), Clark level (P = 0.0043), and ulceration (P = 0.0001) still factored into the survival prognosis after recurrence. Truncal primaries (P = 0.0005) and shorter disease free intervals (P = 0.0098) were also associated with poorer outcomes after recurrence. Of the 648 patients, 124 showed no progression, 196 developed another local recurrence, 178 developed in-transit/lymph node metastases, and 150 had systemic recurrences. Survival was only 33.6% for patients with further metastases, compared with 77.4% for patients with no progression of disease after a median follow-up of 38.9 months.\n\nCONCLUSIONS: There was a 48.5% mortality rate at 5 years of follow-up after local recurrence. Long term survival (&gt; 10 years) was estimated to be 34.9%. The patterns of failure after local recurrence suggest that patients may benefit from aggressive locoregional therapy.", "author" : [ { "dropping-particle" : "", "family" : "Dong", "given" : "X D", "non-dropping-particle" : "", "parse-names" : false, "suffix" : "" }, { "dropping-particle" : "", "family" : "Tyler", "given" : "D", "non-dropping-particle" : "", "parse-names" : false, "suffix" : "" }, { "dropping-particle" : "", "family" : "Johnson", "given" : "J L", "non-dropping-particle" : "", "parse-names" : false, "suffix" : "" }, { "dropping-particle" : "", "family" : "DeMatos", "given" : "P", "non-dropping-particle" : "", "parse-names" : false, "suffix" : "" }, { "dropping-particle" : "", "family" : "Seigler", "given" : "H F", "non-dropping-particle" : "", "parse-names" : false, "suffix" : "" } ], "container-title" : "Cancer", "id" : "ITEM-1", "issue" : "5", "issued" : { "date-parts" : [ [ "2000", "3", "1" ] ] }, "page" : "1063-71", "title" : "Analysis of prognosis and disease progression after local recurrence of melanoma.", "type" : "article-journal", "volume" : "88" }, "uris" : [ "http://www.mendeley.com/documents/?uuid=1b5ac939-ddf8-4e65-b9a6-537fcf11d6b4" ] }, { "id" : "ITEM-2", "itemData" : { "DOI" : "10.1245/ASO.2005.05.025", "ISSN" : "1068-9265", "PMID" : "16021533", "abstract" : "BACKGROUND: In-transit recurrence is a unique and uncommon pattern of treatment failure in patients with melanoma. Little information exists concerning the incidence, predictors, and natural history of in-transit disease since the introduction of sentinel lymph node biopsy (SLNB).\n\nMETHODS: Between 1991 and 2001, 1395 patients with primary melanoma underwent SLNB. Univariate and multivariate logistic regression analyses were performed to examine the association among known clinicopathologic factors, in-transit recurrence, and distant metastatic failure after the development of in-transit disease.\n\nRESULTS: With a median follow-up of 3.9 years, 241 patients (17.3%) experienced disease recurrence, including 91 (6.6%) who developed in-transit recurrence. Independent predictors of in-transit recurrence included age &gt;50 years, a lower extremity location of the primary tumor, Breslow depth, ulceration, and sentinel lymph node (SLN) status. Of the 69 patients who presented with in-transit disease as the sole site of first recurrence, 39 developed distant disease. By univariate analysis, predictors of distant failure among patients with in-transit disease included SLN status, largest metastatic focus in the SLN &gt;2.5 mm2, subcutaneous location of in-transit disease, in-transit tumor size &gt; or = 2 cm, and a disease-free interval before in-transit recurrence of &lt;12 months. In-transit tumor size remained a significant predictor of distant metastasis by multivariate analysis (odds ratio, 9.69).\n\nCONCLUSIONS: The overall incidence of in-transit metastases in patients undergoing SLNB is low and does not seem to have increased since the introduction of the SLNB technique. In-transit recurrence, as well as subsequent distant metastatic failure, can be predicted on the basis of adverse tumor factors and SLN status.", "author" : [ { "dropping-particle" : "", "family" : "Pawlik", "given" : "Timothy M", "non-dropping-particle" : "", "parse-names" : false, "suffix" : "" }, { "dropping-particle" : "", "family" : "Ross", "given" : "Merrick I", "non-dropping-particle" : "", "parse-names" : false, "suffix" : "" }, { "dropping-particle" : "", "family" : "Johnson", "given" : "Marcella M", "non-dropping-particle" : "", "parse-names" : false, "suffix" : "" }, { "dropping-particle" : "", "family" : "Schacherer", "given" : "Christopher W", "non-dropping-particle" : "", "parse-names" : false, "suffix" : "" }, { "dropping-particle" : "", "family" : "McClain", "given" : "Dana M", "non-dropping-particle" : "", "parse-names" : false, "suffix" : "" }, { "dropping-particle" : "", "family" : "Mansfield", "given" : "Paul F", "non-dropping-particle" : "", "parse-names" : false, "suffix" : "" }, { "dropping-particle" : "", "family" : "Lee", "given" : "Jeffrey E", "non-dropping-particle" : "", "parse-names" : false, "suffix" : "" }, { "dropping-particle" : "", "family" : "Cormier", "given" : "Janice N", "non-dropping-particle" : "", "parse-names" : false, "suffix" : "" }, { "dropping-particle" : "", "family" : "Gershenwald", "given" : "Jeffrey E", "non-dropping-particle" : "", "parse-names" : false, "suffix" : "" } ], "container-title" : "Annals of surgical oncology", "id" : "ITEM-2", "issue" : "8", "issued" : { "date-parts" : [ [ "2005", "8" ] ] }, "page" : "587-96", "title" : "Predictors and natural history of in-transit melanoma after sentinel lymphadenectomy.", "type" : "article-journal", "volume" : "12" }, "uris" : [ "http://www.mendeley.com/documents/?uuid=7f0faa45-c48b-4164-adb1-2a3a4cc6b2e2" ] } ], "mendeley" : { "formattedCitation" : "&lt;sup&gt;54,56&lt;/sup&gt;", "plainTextFormattedCitation" : "54,56", "previouslyFormattedCitation" : "&lt;sup&gt;54,56&lt;/sup&gt;" }, "properties" : { "noteIndex" : 0 }, "schema" : "https://github.com/citation-style-language/schema/raw/master/csl-citation.json" }</w:instrText>
      </w:r>
      <w:r w:rsidRPr="003E73CD">
        <w:rPr>
          <w:sz w:val="22"/>
          <w:szCs w:val="22"/>
        </w:rPr>
        <w:fldChar w:fldCharType="separate"/>
      </w:r>
      <w:r w:rsidR="00B60C63" w:rsidRPr="003E73CD">
        <w:rPr>
          <w:noProof/>
          <w:sz w:val="22"/>
          <w:szCs w:val="22"/>
          <w:vertAlign w:val="superscript"/>
        </w:rPr>
        <w:t>54,56</w:t>
      </w:r>
      <w:r w:rsidRPr="003E73CD">
        <w:rPr>
          <w:sz w:val="22"/>
          <w:szCs w:val="22"/>
        </w:rPr>
        <w:fldChar w:fldCharType="end"/>
      </w:r>
      <w:r w:rsidRPr="003E73CD">
        <w:rPr>
          <w:sz w:val="22"/>
          <w:szCs w:val="22"/>
        </w:rPr>
        <w:t xml:space="preserve"> </w:t>
      </w:r>
    </w:p>
    <w:p w14:paraId="790ED990" w14:textId="77777777" w:rsidR="0061482C" w:rsidRPr="003E73CD" w:rsidRDefault="0061482C" w:rsidP="0061482C">
      <w:pPr>
        <w:spacing w:line="480" w:lineRule="auto"/>
        <w:rPr>
          <w:sz w:val="22"/>
          <w:szCs w:val="22"/>
        </w:rPr>
      </w:pPr>
    </w:p>
    <w:p w14:paraId="49BD50F0" w14:textId="77777777" w:rsidR="0061482C" w:rsidRPr="003E73CD" w:rsidRDefault="0061482C" w:rsidP="0061482C">
      <w:pPr>
        <w:spacing w:line="480" w:lineRule="auto"/>
        <w:rPr>
          <w:b/>
          <w:sz w:val="22"/>
          <w:szCs w:val="22"/>
        </w:rPr>
      </w:pPr>
      <w:r w:rsidRPr="003E73CD">
        <w:rPr>
          <w:b/>
          <w:sz w:val="22"/>
          <w:szCs w:val="22"/>
        </w:rPr>
        <w:t>iii) Management of regional lymph nodes</w:t>
      </w:r>
    </w:p>
    <w:p w14:paraId="7ED6E91E" w14:textId="496039D4" w:rsidR="0061482C" w:rsidRPr="003E73CD" w:rsidRDefault="0061482C" w:rsidP="0061482C">
      <w:pPr>
        <w:spacing w:line="480" w:lineRule="auto"/>
        <w:ind w:firstLine="720"/>
        <w:rPr>
          <w:sz w:val="22"/>
          <w:szCs w:val="22"/>
        </w:rPr>
      </w:pPr>
      <w:r w:rsidRPr="003E73CD">
        <w:rPr>
          <w:sz w:val="22"/>
          <w:szCs w:val="22"/>
        </w:rPr>
        <w:t>As with other cancers, such as breast and head and neck, the trend for management of regional nodal metastases has evolved from a radical destructive approach to more conservative surgery, aiming to preserve function without compromising oncological clearance.   Melanoma frequently metastasises via the lymphatic system to regional lymph nodes and patients with melanoma can present with clinical evidence of regional lymph node involvement at the time of diagnosis.  If such patients have no evidence of distant metastases it is generally accepted that therapeutic lymphadenectomy should be offered in order to obtain local control of the disease.  For patients with distant metasta</w:t>
      </w:r>
      <w:r w:rsidR="006C004B">
        <w:rPr>
          <w:sz w:val="22"/>
          <w:szCs w:val="22"/>
        </w:rPr>
        <w:t>ses the multi-disciplinary recommendat</w:t>
      </w:r>
      <w:r w:rsidRPr="003E73CD">
        <w:rPr>
          <w:sz w:val="22"/>
          <w:szCs w:val="22"/>
        </w:rPr>
        <w:t>ion whether or not to offer therapeutic lymphadenectomy will be based on the extent and location of metastases, along with co-morbidities.</w:t>
      </w:r>
    </w:p>
    <w:p w14:paraId="15BA0D40" w14:textId="5DAC0DF8" w:rsidR="0061482C" w:rsidRPr="003E73CD" w:rsidRDefault="0061482C" w:rsidP="0061482C">
      <w:pPr>
        <w:spacing w:line="480" w:lineRule="auto"/>
        <w:ind w:firstLine="720"/>
        <w:rPr>
          <w:sz w:val="22"/>
          <w:szCs w:val="22"/>
        </w:rPr>
      </w:pPr>
      <w:r w:rsidRPr="003E73CD">
        <w:rPr>
          <w:sz w:val="22"/>
          <w:szCs w:val="22"/>
        </w:rPr>
        <w:t>For the majority of patients diagnosed with a primary melanoma, there is no clinical evidence of regional lymph node metastasis.  The optimal management strategy for this group has been the focus of many trials and debate over several decades, and remains controversial today.   In 1892 Snow recommended elective lymph node dissection for melanoma.</w:t>
      </w:r>
      <w:r w:rsidRPr="003E73CD">
        <w:rPr>
          <w:sz w:val="22"/>
          <w:szCs w:val="22"/>
        </w:rPr>
        <w:fldChar w:fldCharType="begin" w:fldLock="1"/>
      </w:r>
      <w:r w:rsidR="006E7542" w:rsidRPr="003E73CD">
        <w:rPr>
          <w:sz w:val="22"/>
          <w:szCs w:val="22"/>
        </w:rPr>
        <w:instrText>ADDIN CSL_CITATION { "citationItems" : [ { "id" : "ITEM-1", "itemData" : { "author" : [ { "dropping-particle" : "", "family" : "Snow", "given" : "Herbert", "non-dropping-particle" : "", "parse-names" : false, "suffix" : "" } ], "container-title" : "Lancet", "id" : "ITEM-1", "issued" : { "date-parts" : [ [ "1892" ] ] }, "page" : "872-874", "title" : "Melanotic cancerous disease", "type" : "article-journal", "volume" : "2" }, "uris" : [ "http://www.mendeley.com/documents/?uuid=339dc1e9-2e18-4c85-8b03-d87297c9e9c7" ] } ], "mendeley" : { "formattedCitation" : "&lt;sup&gt;57&lt;/sup&gt;", "plainTextFormattedCitation" : "57", "previouslyFormattedCitation" : "&lt;sup&gt;57&lt;/sup&gt;" }, "properties" : { "noteIndex" : 0 }, "schema" : "https://github.com/citation-style-language/schema/raw/master/csl-citation.json" }</w:instrText>
      </w:r>
      <w:r w:rsidRPr="003E73CD">
        <w:rPr>
          <w:sz w:val="22"/>
          <w:szCs w:val="22"/>
        </w:rPr>
        <w:fldChar w:fldCharType="separate"/>
      </w:r>
      <w:r w:rsidR="00B60C63" w:rsidRPr="003E73CD">
        <w:rPr>
          <w:noProof/>
          <w:sz w:val="22"/>
          <w:szCs w:val="22"/>
          <w:vertAlign w:val="superscript"/>
        </w:rPr>
        <w:t>57</w:t>
      </w:r>
      <w:r w:rsidRPr="003E73CD">
        <w:rPr>
          <w:sz w:val="22"/>
          <w:szCs w:val="22"/>
        </w:rPr>
        <w:fldChar w:fldCharType="end"/>
      </w:r>
      <w:proofErr w:type="gramStart"/>
      <w:r w:rsidRPr="003E73CD">
        <w:rPr>
          <w:sz w:val="22"/>
          <w:szCs w:val="22"/>
        </w:rPr>
        <w:t xml:space="preserve">  Two</w:t>
      </w:r>
      <w:proofErr w:type="gramEnd"/>
      <w:r w:rsidRPr="003E73CD">
        <w:rPr>
          <w:sz w:val="22"/>
          <w:szCs w:val="22"/>
        </w:rPr>
        <w:t xml:space="preserve"> approaches became common practice.  Some surgeons elected to perform wide excision of the primary melanoma site only and observe for clinical evidence of regional node metastases before offering to perform a therapeutic lymphadenectomy.  Others followed Snow’s recommendation and took the view that given the high risk of regional node metastasis developing in patients with a primary melanoma, the chance of cure may be greater if the lymph nodes were removed before the volume of tumour within them became clinically detectable.  They therefore performed elective lymphadenectomy at the time of wide excision of the primary melanoma site.  A number of retrospective studies reported a survival advantage from this approach and randomised trials were conducted in order to confirm this.</w:t>
      </w:r>
      <w:r w:rsidRPr="003E73CD">
        <w:rPr>
          <w:sz w:val="22"/>
          <w:szCs w:val="22"/>
        </w:rPr>
        <w:fldChar w:fldCharType="begin" w:fldLock="1"/>
      </w:r>
      <w:r w:rsidR="006E7542" w:rsidRPr="003E73CD">
        <w:rPr>
          <w:sz w:val="22"/>
          <w:szCs w:val="22"/>
        </w:rPr>
        <w:instrText>ADDIN CSL_CITATION { "citationItems" : [ { "id" : "ITEM-1", "itemData" : { "DOI" : "10.1056/NEJM197709222971202", "ISSN" : "0028-4793", "PMID" : "895764", "abstract" : "From September, 1967, to January, 1974, a clinical trial was carried out by the WHO Melanoma Group to evaluate the efficacy of elective lymph-node dissection in the treatment of malignant melanoma of the extremities with clinically uninvolved regional lymph nodes. Treatment was prospectively randomized: 267 patients to excision of primary melanoma and immediate regional-lymph-node dissection and 286 to excision of primary melanoma and regional-lymph-node dissection at the time of appearance of metastases. The statistical analysis showed no difference in survival between the two groups of patients, regardless of how the data were analyzed (according to sex, site of origin, maximum diameter of primary tumor or Clark's level or Breslow's thickness). Elective lymph-node dissection in malignant malanoma of the limbs does not improve the prognosis and is not recommended when patients can be followed at intervals of three months.", "author" : [ { "dropping-particle" : "", "family" : "Veronesi", "given" : "U", "non-dropping-particle" : "", "parse-names" : false, "suffix" : "" }, { "dropping-particle" : "", "family" : "Adamus", "given" : "J", "non-dropping-particle" : "", "parse-names" : false, "suffix" : "" }, { "dropping-particle" : "", "family" : "Bandiera", "given" : "D C", "non-dropping-particle" : "", "parse-names" : false, "suffix" : "" }, { "dropping-particle" : "", "family" : "Brennhovd", "given" : "I O", "non-dropping-particle" : "", "parse-names" : false, "suffix" : "" }, { "dropping-particle" : "", "family" : "Caceres", "given" : "E", "non-dropping-particle" : "", "parse-names" : false, "suffix" : "" }, { "dropping-particle" : "", "family" : "Cascinelli", "given" : "N", "non-dropping-particle" : "", "parse-names" : false, "suffix" : "" }, { "dropping-particle" : "", "family" : "Claudio", "given" : "F", "non-dropping-particle" : "", "parse-names" : false, "suffix" : "" }, { "dropping-particle" : "", "family" : "Ikonopisov", "given" : "R L", "non-dropping-particle" : "", "parse-names" : false, "suffix" : "" }, { "dropping-particle" : "V", "family" : "Javorskj", "given" : "V", "non-dropping-particle" : "", "parse-names" : false, "suffix" : "" }, { "dropping-particle" : "", "family" : "Kirov", "given" : "S", "non-dropping-particle" : "", "parse-names" : false, "suffix" : "" }, { "dropping-particle" : "", "family" : "Kulakowski", "given" : "A", "non-dropping-particle" : "", "parse-names" : false, "suffix" : "" }, { "dropping-particle" : "", "family" : "Lacoub", "given" : "J", "non-dropping-particle" : "", "parse-names" : false, "suffix" : "" }, { "dropping-particle" : "", "family" : "Lejeune", "given" : "F", "non-dropping-particle" : "", "parse-names" : false, "suffix" : "" }, { "dropping-particle" : "", "family" : "Mechl", "given" : "Z", "non-dropping-particle" : "", "parse-names" : false, "suffix" : "" }, { "dropping-particle" : "", "family" : "Morabito", "given" : "A", "non-dropping-particle" : "", "parse-names" : false, "suffix" : "" }, { "dropping-particle" : "", "family" : "Rod\u00e9", "given" : "I", "non-dropping-particle" : "", "parse-names" : false, "suffix" : "" }, { "dropping-particle" : "", "family" : "Sergeev", "given" : "S", "non-dropping-particle" : "", "parse-names" : false, "suffix" : "" }, { "dropping-particle" : "", "family" : "Slooten", "given" : "E", "non-dropping-particle" : "van", "parse-names" : false, "suffix" : "" }, { "dropping-particle" : "", "family" : "Szcygiel", "given" : "K", "non-dropping-particle" : "", "parse-names" : false, "suffix" : "" }, { "dropping-particle" : "", "family" : "Trapeznikov", "given" : "N N", "non-dropping-particle" : "", "parse-names" : false, "suffix" : "" } ], "container-title" : "The New England journal of medicine", "id" : "ITEM-1", "issue" : "12", "issued" : { "date-parts" : [ [ "1977", "9", "22" ] ] }, "page" : "627-30", "title" : "Inefficacy of immediate node dissection in stage 1 melanoma of the limbs.", "type" : "article-journal", "volume" : "297" }, "uris" : [ "http://www.mendeley.com/documents/?uuid=c5cacd34-642d-4375-b632-78f4cfb028f5" ] }, { "id" : "ITEM-2", "itemData" : { "ISSN" : "0008-543X", "PMID" : "638981", "abstract" : "To determine whether immediate or delayed lymphadenectomy is more beneficial than none in cases of localized (stage I) melanoma, we undertook in 1972 a prospective randomized study. Patients with midline trunk lesions were excluded as well as patients with lesions situated directly over the node-bearing area. In addition, because of the low risk of metastasis, the protocol was changed to exclude level 2 lesions. Of the 173 patients studied, 63 were randomized to no lymphadenectomy, 56 to delayed (3 months) lymphadenectomy, and 54 to immediate lymphadenectomy. None of these regimens differed significantly from the others in its effect on length of survival or interval to metastasis. And of the 110 patients who underwent elective lymphadenectomy, 103 were without nodal involvement. Our preliminary conclusion is that elective node dissection is not beneficial in management of melanoma. However, disease progression was advanced significantly by age of the patient (greater than 60 years) and by invasiveness (level 4 or 5) and thickness (greater than 1.5 mm) of the melanoma.", "author" : [ { "dropping-particle" : "", "family" : "Sim", "given" : "F H", "non-dropping-particle" : "", "parse-names" : false, "suffix" : "" }, { "dropping-particle" : "", "family" : "Taylor", "given" : "W F", "non-dropping-particle" : "", "parse-names" : false, "suffix" : "" }, { "dropping-particle" : "", "family" : "Ivins", "given" : "J C", "non-dropping-particle" : "", "parse-names" : false, "suffix" : "" }, { "dropping-particle" : "", "family" : "Pritchard", "given" : "D J", "non-dropping-particle" : "", "parse-names" : false, "suffix" : "" }, { "dropping-particle" : "", "family" : "Soule", "given" : "E H", "non-dropping-particle" : "", "parse-names" : false, "suffix" : "" } ], "container-title" : "Cancer", "id" : "ITEM-2", "issue" : "3", "issued" : { "date-parts" : [ [ "1978", "3" ] ] }, "page" : "948-56", "title" : "A prospective randomized study of the efficacy of routine elective lymphadenectomy in management of malignant melanoma. Preliminary results.", "type" : "article-journal", "volume" : "41" }, "uris" : [ "http://www.mendeley.com/documents/?uuid=00407ec3-6a40-4aa5-8e08-76150f59f2e5" ] }, { "id" : "ITEM-3", "itemData" : { "ISSN" : "0003-4932", "PMID" : "8813254", "abstract" : "OBJECTIVE: A prospective multi-institutional randomized surgical trial involving 740 stage I and II melanoma patients was conducted by the Intergroup Melanoma Surgical Program to determine whether elective (immediate) lymph node dissection (ELND) for intermediate-thickness melanoma (1-4 mm) improves survival rates compared with clinical observation of the lymph nodes. A second objective was to define subgroups of melanoma patients who would have a higher survival with ELND.\n\nMETHODS: The eligible patients were stratified according to tumor thickness, anatomic site, and ulceration, and then were prerandomized to either ELND or nodal observation. Femoral, axillary, or modified neck dissections were performed using standardized surgical guidelines.\n\nRESULTS: The median follow-up was 7.4 years. A multifactorial (Cox regression) analysis showed that the following factors independently influenced survival: tumor ulceration, trunk site, tumor thickness, and patient age. Surgical treatment results were first compared based on randomized intent. Overall 5-year survival was not significantly different for patients who received ELND or nodal observation. However, the 552 patients 60 years of age or younger (75% of total group) with ELND has a significantly better 5-year survival. Among these patients, 5-year survival was better with ELND versus nodal observation for the 335 patients with tumors 1 to 2 mm thick, the 403 patients without tumor ulceration, and the 284 patients with tumors 1 to 2 mm thick and no ulceration. In contrast, patients older than 60 years of age who had ELND actually had a lower survival trend than those who had nodal observation. When survival rates were compared based on treatment actually received (i.e., including crossover patients), the patients with significantly improved 5-year survival rates after ELND included those with tumors 1 to 2 mm thick, those without tumor ulceration, and those 60 years of age or younger with tumors 1 to 2 mm thick or without ulceration.\n\nCONCLUSION: This is the first randomized study to prove the value of surgical treatment for clinically occult regional metastases. Patients 60 years or age or younger with intermediate-thickness melanomas, especially with nonulcerative melanoma and those with tumors 1 to 2 mm thick, may benefit from ELND. However, because some patients still are developing distant disease, these results should be considered an interim analysis.", "author" : [ { "dropping-particle" : "", "family" : "Balch", "given" : "C M", "non-dropping-particle" : "", "parse-names" : false, "suffix" : "" }, { "dropping-particle" : "", "family" : "Soong", "given" : "S J", "non-dropping-particle" : "", "parse-names" : false, "suffix" : "" }, { "dropping-particle" : "", "family" : "Bartolucci", "given" : "A A", "non-dropping-particle" : "", "parse-names" : false, "suffix" : "" }, { "dropping-particle" : "", "family" : "Urist", "given" : "M M", "non-dropping-particle" : "", "parse-names" : false, "suffix" : "" }, { "dropping-particle" : "", "family" : "Karakousis", "given" : "C P", "non-dropping-particle" : "", "parse-names" : false, "suffix" : "" }, { "dropping-particle" : "", "family" : "Smith", "given" : "T J", "non-dropping-particle" : "", "parse-names" : false, "suffix" : "" }, { "dropping-particle" : "", "family" : "Temple", "given" : "W J", "non-dropping-particle" : "", "parse-names" : false, "suffix" : "" }, { "dropping-particle" : "", "family" : "Ross", "given" : "M I", "non-dropping-particle" : "", "parse-names" : false, "suffix" : "" }, { "dropping-particle" : "", "family" : "Jewell", "given" : "W R", "non-dropping-particle" : "", "parse-names" : false, "suffix" : "" }, { "dropping-particle" : "", "family" : "Mihm", "given" : "M C", "non-dropping-particle" : "", "parse-names" : false, "suffix" : "" }, { "dropping-particle" : "", "family" : "Barnhill", "given" : "R L", "non-dropping-particle" : "", "parse-names" : false, "suffix" : "" }, { "dropping-particle" : "", "family" : "Wanebo", "given" : "H J", "non-dropping-particle" : "", "parse-names" : false, "suffix" : "" } ], "container-title" : "Annals of surgery", "id" : "ITEM-3", "issue" : "3", "issued" : { "date-parts" : [ [ "1996", "9" ] ] }, "page" : "255-63; discussion 263-6", "title" : "Efficacy of an elective regional lymph node dissection of 1 to 4 mm thick melanomas for patients 60 years of age and younger.", "type" : "article-journal", "volume" : "224" }, "uris" : [ "http://www.mendeley.com/documents/?uuid=07beeae1-6dfb-411a-8faf-0bb3d50bd8d0" ] } ], "mendeley" : { "formattedCitation" : "&lt;sup&gt;58\u201360&lt;/sup&gt;", "plainTextFormattedCitation" : "58\u201360", "previouslyFormattedCitation" : "&lt;sup&gt;58\u201360&lt;/sup&gt;" }, "properties" : { "noteIndex" : 0 }, "schema" : "https://github.com/citation-style-language/schema/raw/master/csl-citation.json" }</w:instrText>
      </w:r>
      <w:r w:rsidRPr="003E73CD">
        <w:rPr>
          <w:sz w:val="22"/>
          <w:szCs w:val="22"/>
        </w:rPr>
        <w:fldChar w:fldCharType="separate"/>
      </w:r>
      <w:r w:rsidR="00B60C63" w:rsidRPr="003E73CD">
        <w:rPr>
          <w:noProof/>
          <w:sz w:val="22"/>
          <w:szCs w:val="22"/>
          <w:vertAlign w:val="superscript"/>
        </w:rPr>
        <w:t>58–60</w:t>
      </w:r>
      <w:r w:rsidRPr="003E73CD">
        <w:rPr>
          <w:sz w:val="22"/>
          <w:szCs w:val="22"/>
        </w:rPr>
        <w:fldChar w:fldCharType="end"/>
      </w:r>
      <w:proofErr w:type="gramStart"/>
      <w:r w:rsidRPr="003E73CD">
        <w:rPr>
          <w:sz w:val="22"/>
          <w:szCs w:val="22"/>
        </w:rPr>
        <w:t xml:space="preserve">  The</w:t>
      </w:r>
      <w:proofErr w:type="gramEnd"/>
      <w:r w:rsidRPr="003E73CD">
        <w:rPr>
          <w:sz w:val="22"/>
          <w:szCs w:val="22"/>
        </w:rPr>
        <w:t xml:space="preserve"> first trial, conducted by the World Health Organization Melanoma Program did not show any survival advantage from elective lymphadenectomy.</w:t>
      </w:r>
      <w:r w:rsidRPr="003E73CD">
        <w:rPr>
          <w:sz w:val="22"/>
          <w:szCs w:val="22"/>
        </w:rPr>
        <w:fldChar w:fldCharType="begin" w:fldLock="1"/>
      </w:r>
      <w:r w:rsidR="006E7542" w:rsidRPr="003E73CD">
        <w:rPr>
          <w:sz w:val="22"/>
          <w:szCs w:val="22"/>
        </w:rPr>
        <w:instrText>ADDIN CSL_CITATION { "citationItems" : [ { "id" : "ITEM-1", "itemData" : { "DOI" : "10.1056/NEJM197709222971202", "ISSN" : "0028-4793", "PMID" : "895764", "abstract" : "From September, 1967, to January, 1974, a clinical trial was carried out by the WHO Melanoma Group to evaluate the efficacy of elective lymph-node dissection in the treatment of malignant melanoma of the extremities with clinically uninvolved regional lymph nodes. Treatment was prospectively randomized: 267 patients to excision of primary melanoma and immediate regional-lymph-node dissection and 286 to excision of primary melanoma and regional-lymph-node dissection at the time of appearance of metastases. The statistical analysis showed no difference in survival between the two groups of patients, regardless of how the data were analyzed (according to sex, site of origin, maximum diameter of primary tumor or Clark's level or Breslow's thickness). Elective lymph-node dissection in malignant malanoma of the limbs does not improve the prognosis and is not recommended when patients can be followed at intervals of three months.", "author" : [ { "dropping-particle" : "", "family" : "Veronesi", "given" : "U", "non-dropping-particle" : "", "parse-names" : false, "suffix" : "" }, { "dropping-particle" : "", "family" : "Adamus", "given" : "J", "non-dropping-particle" : "", "parse-names" : false, "suffix" : "" }, { "dropping-particle" : "", "family" : "Bandiera", "given" : "D C", "non-dropping-particle" : "", "parse-names" : false, "suffix" : "" }, { "dropping-particle" : "", "family" : "Brennhovd", "given" : "I O", "non-dropping-particle" : "", "parse-names" : false, "suffix" : "" }, { "dropping-particle" : "", "family" : "Caceres", "given" : "E", "non-dropping-particle" : "", "parse-names" : false, "suffix" : "" }, { "dropping-particle" : "", "family" : "Cascinelli", "given" : "N", "non-dropping-particle" : "", "parse-names" : false, "suffix" : "" }, { "dropping-particle" : "", "family" : "Claudio", "given" : "F", "non-dropping-particle" : "", "parse-names" : false, "suffix" : "" }, { "dropping-particle" : "", "family" : "Ikonopisov", "given" : "R L", "non-dropping-particle" : "", "parse-names" : false, "suffix" : "" }, { "dropping-particle" : "V", "family" : "Javorskj", "given" : "V", "non-dropping-particle" : "", "parse-names" : false, "suffix" : "" }, { "dropping-particle" : "", "family" : "Kirov", "given" : "S", "non-dropping-particle" : "", "parse-names" : false, "suffix" : "" }, { "dropping-particle" : "", "family" : "Kulakowski", "given" : "A", "non-dropping-particle" : "", "parse-names" : false, "suffix" : "" }, { "dropping-particle" : "", "family" : "Lacoub", "given" : "J", "non-dropping-particle" : "", "parse-names" : false, "suffix" : "" }, { "dropping-particle" : "", "family" : "Lejeune", "given" : "F", "non-dropping-particle" : "", "parse-names" : false, "suffix" : "" }, { "dropping-particle" : "", "family" : "Mechl", "given" : "Z", "non-dropping-particle" : "", "parse-names" : false, "suffix" : "" }, { "dropping-particle" : "", "family" : "Morabito", "given" : "A", "non-dropping-particle" : "", "parse-names" : false, "suffix" : "" }, { "dropping-particle" : "", "family" : "Rod\u00e9", "given" : "I", "non-dropping-particle" : "", "parse-names" : false, "suffix" : "" }, { "dropping-particle" : "", "family" : "Sergeev", "given" : "S", "non-dropping-particle" : "", "parse-names" : false, "suffix" : "" }, { "dropping-particle" : "", "family" : "Slooten", "given" : "E", "non-dropping-particle" : "van", "parse-names" : false, "suffix" : "" }, { "dropping-particle" : "", "family" : "Szcygiel", "given" : "K", "non-dropping-particle" : "", "parse-names" : false, "suffix" : "" }, { "dropping-particle" : "", "family" : "Trapeznikov", "given" : "N N", "non-dropping-particle" : "", "parse-names" : false, "suffix" : "" } ], "container-title" : "The New England journal of medicine", "id" : "ITEM-1", "issue" : "12", "issued" : { "date-parts" : [ [ "1977", "9", "22" ] ] }, "page" : "627-30", "title" : "Inefficacy of immediate node dissection in stage 1 melanoma of the limbs.", "type" : "article-journal", "volume" : "297" }, "uris" : [ "http://www.mendeley.com/documents/?uuid=c5cacd34-642d-4375-b632-78f4cfb028f5" ] }, { "id" : "ITEM-2", "itemData" : { "ISSN" : "0008-543X", "PMID" : "7074555", "abstract" : "Results of a prospective randomized clinical trial conducted by the WHO Collaborating Centers for the Evaluation of Methods of Diagnosis and Treatment of Melanoma are reported. Five-hundred-fifty-three Stage I patients whose limbs were affected entered the study; 267 were submitted to wide excision and immediate node dissection and 286 had wide excision and node dissection at the time clinically positive nodes were detected. Survival curves of the two treatment groups could be superimposed. No subsets of patients benefitted from immediate node dissection. The authors conclude that delayed node dissection is as effective as the immediate dissection in Stage I melanoma of the extremities if the patient can be checked every three months. If the quarterly follow-up is not guaranteed, immediate node dissection is advisable, at least for melanomas thicker than 2 mm.", "author" : [ { "dropping-particle" : "", "family" : "Veronesi", "given" : "U", "non-dropping-particle" : "", "parse-names" : false, "suffix" : "" }, { "dropping-particle" : "", "family" : "Adamus", "given" : "J", "non-dropping-particle" : "", "parse-names" : false, "suffix" : "" }, { "dropping-particle" : "", "family" : "Bandiera", "given" : "D C", "non-dropping-particle" : "", "parse-names" : false, "suffix" : "" }, { "dropping-particle" : "", "family" : "Brennhovd", "given" : "O", "non-dropping-particle" : "", "parse-names" : false, "suffix" : "" }, { "dropping-particle" : "", "family" : "Caceres", "given" : "E", "non-dropping-particle" : "", "parse-names" : false, "suffix" : "" }, { "dropping-particle" : "", "family" : "Cascinelli", "given" : "N", "non-dropping-particle" : "", "parse-names" : false, "suffix" : "" }, { "dropping-particle" : "", "family" : "Claudio", "given" : "F", "non-dropping-particle" : "", "parse-names" : false, "suffix" : "" }, { "dropping-particle" : "", "family" : "Ikonopisov", "given" : "R L", "non-dropping-particle" : "", "parse-names" : false, "suffix" : "" }, { "dropping-particle" : "V", "family" : "Javorski", "given" : "V", "non-dropping-particle" : "", "parse-names" : false, "suffix" : "" }, { "dropping-particle" : "", "family" : "Kirov", "given" : "S", "non-dropping-particle" : "", "parse-names" : false, "suffix" : "" }, { "dropping-particle" : "", "family" : "Kulakowski", "given" : "A", "non-dropping-particle" : "", "parse-names" : false, "suffix" : "" }, { "dropping-particle" : "", "family" : "Lacour", "given" : "J", "non-dropping-particle" : "", "parse-names" : false, "suffix" : "" }, { "dropping-particle" : "", "family" : "Lejeune", "given" : "F", "non-dropping-particle" : "", "parse-names" : false, "suffix" : "" }, { "dropping-particle" : "", "family" : "Mechl", "given" : "Z", "non-dropping-particle" : "", "parse-names" : false, "suffix" : "" }, { "dropping-particle" : "", "family" : "Morabito", "given" : "A", "non-dropping-particle" : "", "parse-names" : false, "suffix" : "" }, { "dropping-particle" : "", "family" : "Rod\u00e9", "given" : "I", "non-dropping-particle" : "", "parse-names" : false, "suffix" : "" }, { "dropping-particle" : "", "family" : "Sergeev", "given" : "S", "non-dropping-particle" : "", "parse-names" : false, "suffix" : "" }, { "dropping-particle" : "", "family" : "Slooten", "given" : "E", "non-dropping-particle" : "van", "parse-names" : false, "suffix" : "" }, { "dropping-particle" : "", "family" : "Szczygiel", "given" : "K", "non-dropping-particle" : "", "parse-names" : false, "suffix" : "" }, { "dropping-particle" : "", "family" : "Trapeznikov", "given" : "N N", "non-dropping-particle" : "", "parse-names" : false, "suffix" : "" }, { "dropping-particle" : "", "family" : "Wagner", "given" : "R I", "non-dropping-particle" : "", "parse-names" : false, "suffix" : "" } ], "container-title" : "Cancer", "id" : "ITEM-2", "issue" : "11", "issued" : { "date-parts" : [ [ "1982", "6", "1" ] ] }, "page" : "2420-30", "title" : "Delayed regional lymph node dissection in stage I melanoma of the skin of the lower extremities.", "type" : "article-journal", "volume" : "49" }, "uris" : [ "http://www.mendeley.com/documents/?uuid=970d56f1-81ff-40ad-9837-6217654b5897" ] } ], "mendeley" : { "formattedCitation" : "&lt;sup&gt;58,61&lt;/sup&gt;", "plainTextFormattedCitation" : "58,61", "previouslyFormattedCitation" : "&lt;sup&gt;58,61&lt;/sup&gt;" }, "properties" : { "noteIndex" : 0 }, "schema" : "https://github.com/citation-style-language/schema/raw/master/csl-citation.json" }</w:instrText>
      </w:r>
      <w:r w:rsidRPr="003E73CD">
        <w:rPr>
          <w:sz w:val="22"/>
          <w:szCs w:val="22"/>
        </w:rPr>
        <w:fldChar w:fldCharType="separate"/>
      </w:r>
      <w:r w:rsidR="00B60C63" w:rsidRPr="003E73CD">
        <w:rPr>
          <w:noProof/>
          <w:sz w:val="22"/>
          <w:szCs w:val="22"/>
          <w:vertAlign w:val="superscript"/>
        </w:rPr>
        <w:t>58,61</w:t>
      </w:r>
      <w:r w:rsidRPr="003E73CD">
        <w:rPr>
          <w:sz w:val="22"/>
          <w:szCs w:val="22"/>
        </w:rPr>
        <w:fldChar w:fldCharType="end"/>
      </w:r>
      <w:proofErr w:type="gramStart"/>
      <w:r w:rsidR="001E240C" w:rsidRPr="003E73CD">
        <w:rPr>
          <w:sz w:val="22"/>
          <w:szCs w:val="22"/>
        </w:rPr>
        <w:t xml:space="preserve">  A</w:t>
      </w:r>
      <w:proofErr w:type="gramEnd"/>
      <w:r w:rsidR="001E240C" w:rsidRPr="003E73CD">
        <w:rPr>
          <w:sz w:val="22"/>
          <w:szCs w:val="22"/>
        </w:rPr>
        <w:t xml:space="preserve"> randomis</w:t>
      </w:r>
      <w:r w:rsidRPr="003E73CD">
        <w:rPr>
          <w:sz w:val="22"/>
          <w:szCs w:val="22"/>
        </w:rPr>
        <w:t>ed trial was performed at the Mayo Clinic and the finding similarly was of no survival advantage from elective lymphadenectomy.</w:t>
      </w:r>
      <w:r w:rsidRPr="003E73CD">
        <w:rPr>
          <w:sz w:val="22"/>
          <w:szCs w:val="22"/>
        </w:rPr>
        <w:fldChar w:fldCharType="begin" w:fldLock="1"/>
      </w:r>
      <w:r w:rsidR="006E7542" w:rsidRPr="003E73CD">
        <w:rPr>
          <w:sz w:val="22"/>
          <w:szCs w:val="22"/>
        </w:rPr>
        <w:instrText>ADDIN CSL_CITATION { "citationItems" : [ { "id" : "ITEM-1", "itemData" : { "ISSN" : "0008-543X", "PMID" : "638981", "abstract" : "To determine whether immediate or delayed lymphadenectomy is more beneficial than none in cases of localized (stage I) melanoma, we undertook in 1972 a prospective randomized study. Patients with midline trunk lesions were excluded as well as patients with lesions situated directly over the node-bearing area. In addition, because of the low risk of metastasis, the protocol was changed to exclude level 2 lesions. Of the 173 patients studied, 63 were randomized to no lymphadenectomy, 56 to delayed (3 months) lymphadenectomy, and 54 to immediate lymphadenectomy. None of these regimens differed significantly from the others in its effect on length of survival or interval to metastasis. And of the 110 patients who underwent elective lymphadenectomy, 103 were without nodal involvement. Our preliminary conclusion is that elective node dissection is not beneficial in management of melanoma. However, disease progression was advanced significantly by age of the patient (greater than 60 years) and by invasiveness (level 4 or 5) and thickness (greater than 1.5 mm) of the melanoma.", "author" : [ { "dropping-particle" : "", "family" : "Sim", "given" : "F H", "non-dropping-particle" : "", "parse-names" : false, "suffix" : "" }, { "dropping-particle" : "", "family" : "Taylor", "given" : "W F", "non-dropping-particle" : "", "parse-names" : false, "suffix" : "" }, { "dropping-particle" : "", "family" : "Ivins", "given" : "J C", "non-dropping-particle" : "", "parse-names" : false, "suffix" : "" }, { "dropping-particle" : "", "family" : "Pritchard", "given" : "D J", "non-dropping-particle" : "", "parse-names" : false, "suffix" : "" }, { "dropping-particle" : "", "family" : "Soule", "given" : "E H", "non-dropping-particle" : "", "parse-names" : false, "suffix" : "" } ], "container-title" : "Cancer", "id" : "ITEM-1", "issue" : "3", "issued" : { "date-parts" : [ [ "1978", "3" ] ] }, "page" : "948-56", "title" : "A prospective randomized study of the efficacy of routine elective lymphadenectomy in management of malignant melanoma. Preliminary results.", "type" : "article-journal", "volume" : "41" }, "uris" : [ "http://www.mendeley.com/documents/?uuid=00407ec3-6a40-4aa5-8e08-76150f59f2e5" ] } ], "mendeley" : { "formattedCitation" : "&lt;sup&gt;59&lt;/sup&gt;", "plainTextFormattedCitation" : "59", "previouslyFormattedCitation" : "&lt;sup&gt;59&lt;/sup&gt;" }, "properties" : { "noteIndex" : 0 }, "schema" : "https://github.com/citation-style-language/schema/raw/master/csl-citation.json" }</w:instrText>
      </w:r>
      <w:r w:rsidRPr="003E73CD">
        <w:rPr>
          <w:sz w:val="22"/>
          <w:szCs w:val="22"/>
        </w:rPr>
        <w:fldChar w:fldCharType="separate"/>
      </w:r>
      <w:r w:rsidR="00B60C63" w:rsidRPr="003E73CD">
        <w:rPr>
          <w:noProof/>
          <w:sz w:val="22"/>
          <w:szCs w:val="22"/>
          <w:vertAlign w:val="superscript"/>
        </w:rPr>
        <w:t>59</w:t>
      </w:r>
      <w:r w:rsidRPr="003E73CD">
        <w:rPr>
          <w:sz w:val="22"/>
          <w:szCs w:val="22"/>
        </w:rPr>
        <w:fldChar w:fldCharType="end"/>
      </w:r>
      <w:proofErr w:type="gramStart"/>
      <w:r w:rsidRPr="003E73CD">
        <w:rPr>
          <w:sz w:val="22"/>
          <w:szCs w:val="22"/>
        </w:rPr>
        <w:t xml:space="preserve">  These</w:t>
      </w:r>
      <w:proofErr w:type="gramEnd"/>
      <w:r w:rsidRPr="003E73CD">
        <w:rPr>
          <w:sz w:val="22"/>
          <w:szCs w:val="22"/>
        </w:rPr>
        <w:t xml:space="preserve"> trials did not examine separate subgroups of patients with different prognoses based on their primary tumour or other patient fac</w:t>
      </w:r>
      <w:r w:rsidR="001E240C" w:rsidRPr="003E73CD">
        <w:rPr>
          <w:sz w:val="22"/>
          <w:szCs w:val="22"/>
        </w:rPr>
        <w:t>tors.  However some non-randomis</w:t>
      </w:r>
      <w:r w:rsidRPr="003E73CD">
        <w:rPr>
          <w:sz w:val="22"/>
          <w:szCs w:val="22"/>
        </w:rPr>
        <w:t>ed studies had suggested that survival was improved for patients with intermediate thickness melanoma (Breslow thickness 1-4mm) and so the Intergroup Melanoma Surgical Trial was initiated with one of its aims to determine whether survival differences due to elective lymphadenectomy could be detected in patients with intermediate thickness melanoma (Breslow thickness 1-4mm) grouped according to prognostic factors.</w:t>
      </w:r>
      <w:r w:rsidRPr="003E73CD">
        <w:rPr>
          <w:sz w:val="22"/>
          <w:szCs w:val="22"/>
        </w:rPr>
        <w:fldChar w:fldCharType="begin" w:fldLock="1"/>
      </w:r>
      <w:r w:rsidR="006E7542" w:rsidRPr="003E73CD">
        <w:rPr>
          <w:sz w:val="22"/>
          <w:szCs w:val="22"/>
        </w:rPr>
        <w:instrText>ADDIN CSL_CITATION { "citationItems" : [ { "id" : "ITEM-1", "itemData" : { "ISSN" : "0007-1323", "PMID" : "7059764", "abstract" : "A retrospective study was made of 1319 patients with cutaneous primary malignant melanoma and regional lymph nodes clinically free of disease, whose first definitive surgical treatment was either (a) wide excision of the primary lesion (WE) or (b) wide excision of the primary lesion plus a prophylactic lymph node dissection (PLND). Patients were stratified according to three dominant prognostic factors, as revealed by multifactorial analyses: sex of patient, the anatomical site and thickness of the primary lesion. Of 380 patients who underwent PLND for lymph nodes clinically free of disease, there was microscopic evidence of nodal metastases in 5 per cent. Despite this, prognosis in these patients was nearly twice as good as in those patients undergoing lymph node dissection for clinically involved nodes. Five-year survival rates for all those clinical stage I patients with lesions less than 0.8 mm thick were high irrespective of initial surgical treatment. In men with lesions of intermediate thickness (particularly 1.6-3.0 mm), survival rates for those undergoing PLND were considerably higher than for those undergoing WE. There were no survival benefits of PLND in men with lesions thicker than 3.0 mm. This was in contrast to the situation in women, where PLND was indicated for patients with the thickest lesions. This study has defined three parameters which can serve as useful practical guides for selecting alternative surgical procedures in the management of clinical stage I cutaneous malignant melanoma.", "author" : [ { "dropping-particle" : "", "family" : "Milton", "given" : "G W", "non-dropping-particle" : "", "parse-names" : false, "suffix" : "" }, { "dropping-particle" : "", "family" : "Shaw", "given" : "H M", "non-dropping-particle" : "", "parse-names" : false, "suffix" : "" }, { "dropping-particle" : "", "family" : "McCarthy", "given" : "W H", "non-dropping-particle" : "", "parse-names" : false, "suffix" : "" }, { "dropping-particle" : "", "family" : "Pearson", "given" : "L", "non-dropping-particle" : "", "parse-names" : false, "suffix" : "" }, { "dropping-particle" : "", "family" : "Balch", "given" : "C M", "non-dropping-particle" : "", "parse-names" : false, "suffix" : "" }, { "dropping-particle" : "", "family" : "Soong", "given" : "S J", "non-dropping-particle" : "", "parse-names" : false, "suffix" : "" } ], "container-title" : "The British journal of surgery", "id" : "ITEM-1", "issue" : "2", "issued" : { "date-parts" : [ [ "1982", "3" ] ] }, "page" : "108-11", "title" : "Prophylactic lymph node dissection in clinical stage I cutaneous malignant melanoma: results of surgical treatment in 1319 patients.", "type" : "article-journal", "volume" : "69" }, "uris" : [ "http://www.mendeley.com/documents/?uuid=6338a2e1-b803-4beb-b116-cedf4b0c47df" ] }, { "id" : "ITEM-2", "itemData" : { "ISSN" : "0003-4932", "PMID" : "7149819", "abstract" : "Twelve clinical and pathologic parameters were compared in two series of Stage I melanoma patients treated at the University of Alabama in Birmingham, USA (676 patients) and at the University of Sydney in New South Wales, Australia (1,110 patients). Actuarial survival rates were virtually the same at the two institutions over a 25-year follow-up period. The incidence of thin melanomas (less than 0.76 mm) was also similar at both geographic locations (25% vs. 26%). Other similarities of these two patient populations included the following: 1) tumor thickness (Breslow Microstaging). 2) level of invasion (Clark Microstaging), 3) surgical results, 4) sex distribution, and 5) age distribution. The greatest differences between the two patient populations were their 1) anatomic distribution, 2) growth pattern, and 3) incidence of ulceration. The trunk was the most common site of melanoma, and occurred more frequently among Australian patients (37% vs. 28%). A multifactorial analysis (Cox's regression model) was then performed that included a comparison of the two institutions as a variable (Alabama vs. Australia). The dominant prognostic factors (p less than 0.0001) were 1) ulceration, 2) tumor thickness, 3) initial surgical management (wide excision +/- node dissection), 4) anatomic location, 5) pathologic stage (I vs. II), and 6) level of invasion. The benefit of elective lymph node dissection was demonstrated in both series for patients with intermediate thickness melanoma (0.76 to 3.99 mm.) For melanomas ranging from 0.76 to 1.5 mm in thickness, the benefit of node dissection was primarily in male patients. Survival rates for melanoma at the two institutions were not significantly different in the multifactorial analysis, even after adjusting for all other variable. Thus, the biologic behavior of melanoma in these two different parts of the world was virtually the same, with only minor differences that did not significantly influence survival rates. Long-term follow-up exceeding eight to ten years after surgery is critical in the interpretation of these prognostic factors and the surgical results.", "author" : [ { "dropping-particle" : "", "family" : "Balch", "given" : "C M", "non-dropping-particle" : "", "parse-names" : false, "suffix" : "" }, { "dropping-particle" : "", "family" : "Soong", "given" : "S J", "non-dropping-particle" : "", "parse-names" : false, "suffix" : "" }, { "dropping-particle" : "", "family" : "Milton", "given" : "G W", "non-dropping-particle" : "", "parse-names" : false, "suffix" : "" }, { "dropping-particle" : "", "family" : "Shaw", "given" : "H M", "non-dropping-particle" : "", "parse-names" : false, "suffix" : "" }, { "dropping-particle" : "", "family" : "McGovern", "given" : "V J", "non-dropping-particle" : "", "parse-names" : false, "suffix" : "" }, { "dropping-particle" : "", "family" : "Murad", "given" : "T M", "non-dropping-particle" : "", "parse-names" : false, "suffix" : "" }, { "dropping-particle" : "", "family" : "McCarthy", "given" : "W H", "non-dropping-particle" : "", "parse-names" : false, "suffix" : "" }, { "dropping-particle" : "", "family" : "Maddox", "given" : "W A", "non-dropping-particle" : "", "parse-names" : false, "suffix" : "" } ], "container-title" : "Annals of surgery", "id" : "ITEM-2", "issue" : "6", "issued" : { "date-parts" : [ [ "1982", "12" ] ] }, "page" : "677-84", "title" : "A comparison of prognostic factors and surgical results in 1,786 patients with localized (stage I) melanoma treated in Alabama, USA, and New South Wales, Australia.", "type" : "article-journal", "volume" : "196" }, "uris" : [ "http://www.mendeley.com/documents/?uuid=2cb727d3-0e22-41d7-9805-d2d300c73405" ] }, { "id" : "ITEM-3", "itemData" : { "ISSN" : "0003-4932", "PMID" : "8813254", "abstract" : "OBJECTIVE: A prospective multi-institutional randomized surgical trial involving 740 stage I and II melanoma patients was conducted by the Intergroup Melanoma Surgical Program to determine whether elective (immediate) lymph node dissection (ELND) for intermediate-thickness melanoma (1-4 mm) improves survival rates compared with clinical observation of the lymph nodes. A second objective was to define subgroups of melanoma patients who would have a higher survival with ELND.\n\nMETHODS: The eligible patients were stratified according to tumor thickness, anatomic site, and ulceration, and then were prerandomized to either ELND or nodal observation. Femoral, axillary, or modified neck dissections were performed using standardized surgical guidelines.\n\nRESULTS: The median follow-up was 7.4 years. A multifactorial (Cox regression) analysis showed that the following factors independently influenced survival: tumor ulceration, trunk site, tumor thickness, and patient age. Surgical treatment results were first compared based on randomized intent. Overall 5-year survival was not significantly different for patients who received ELND or nodal observation. However, the 552 patients 60 years of age or younger (75% of total group) with ELND has a significantly better 5-year survival. Among these patients, 5-year survival was better with ELND versus nodal observation for the 335 patients with tumors 1 to 2 mm thick, the 403 patients without tumor ulceration, and the 284 patients with tumors 1 to 2 mm thick and no ulceration. In contrast, patients older than 60 years of age who had ELND actually had a lower survival trend than those who had nodal observation. When survival rates were compared based on treatment actually received (i.e., including crossover patients), the patients with significantly improved 5-year survival rates after ELND included those with tumors 1 to 2 mm thick, those without tumor ulceration, and those 60 years of age or younger with tumors 1 to 2 mm thick or without ulceration.\n\nCONCLUSION: This is the first randomized study to prove the value of surgical treatment for clinically occult regional metastases. Patients 60 years or age or younger with intermediate-thickness melanomas, especially with nonulcerative melanoma and those with tumors 1 to 2 mm thick, may benefit from ELND. However, because some patients still are developing distant disease, these results should be considered an interim analysis.", "author" : [ { "dropping-particle" : "", "family" : "Balch", "given" : "C M", "non-dropping-particle" : "", "parse-names" : false, "suffix" : "" }, { "dropping-particle" : "", "family" : "Soong", "given" : "S J", "non-dropping-particle" : "", "parse-names" : false, "suffix" : "" }, { "dropping-particle" : "", "family" : "Bartolucci", "given" : "A A", "non-dropping-particle" : "", "parse-names" : false, "suffix" : "" }, { "dropping-particle" : "", "family" : "Urist", "given" : "M M", "non-dropping-particle" : "", "parse-names" : false, "suffix" : "" }, { "dropping-particle" : "", "family" : "Karakousis", "given" : "C P", "non-dropping-particle" : "", "parse-names" : false, "suffix" : "" }, { "dropping-particle" : "", "family" : "Smith", "given" : "T J", "non-dropping-particle" : "", "parse-names" : false, "suffix" : "" }, { "dropping-particle" : "", "family" : "Temple", "given" : "W J", "non-dropping-particle" : "", "parse-names" : false, "suffix" : "" }, { "dropping-particle" : "", "family" : "Ross", "given" : "M I", "non-dropping-particle" : "", "parse-names" : false, "suffix" : "" }, { "dropping-particle" : "", "family" : "Jewell", "given" : "W R", "non-dropping-particle" : "", "parse-names" : false, "suffix" : "" }, { "dropping-particle" : "", "family" : "Mihm", "given" : "M C", "non-dropping-particle" : "", "parse-names" : false, "suffix" : "" }, { "dropping-particle" : "", "family" : "Barnhill", "given" : "R L", "non-dropping-particle" : "", "parse-names" : false, "suffix" : "" }, { "dropping-particle" : "", "family" : "Wanebo", "given" : "H J", "non-dropping-particle" : "", "parse-names" : false, "suffix" : "" } ], "container-title" : "Annals of surgery", "id" : "ITEM-3", "issue" : "3", "issued" : { "date-parts" : [ [ "1996", "9" ] ] }, "page" : "255-63; discussion 263-6", "title" : "Efficacy of an elective regional lymph node dissection of 1 to 4 mm thick melanomas for patients 60 years of age and younger.", "type" : "article-journal", "volume" : "224" }, "uris" : [ "http://www.mendeley.com/documents/?uuid=07beeae1-6dfb-411a-8faf-0bb3d50bd8d0" ] } ], "mendeley" : { "formattedCitation" : "&lt;sup&gt;60,62,63&lt;/sup&gt;", "plainTextFormattedCitation" : "60,62,63", "previouslyFormattedCitation" : "&lt;sup&gt;60,62,63&lt;/sup&gt;" }, "properties" : { "noteIndex" : 0 }, "schema" : "https://github.com/citation-style-language/schema/raw/master/csl-citation.json" }</w:instrText>
      </w:r>
      <w:r w:rsidRPr="003E73CD">
        <w:rPr>
          <w:sz w:val="22"/>
          <w:szCs w:val="22"/>
        </w:rPr>
        <w:fldChar w:fldCharType="separate"/>
      </w:r>
      <w:r w:rsidR="00B60C63" w:rsidRPr="003E73CD">
        <w:rPr>
          <w:noProof/>
          <w:sz w:val="22"/>
          <w:szCs w:val="22"/>
          <w:vertAlign w:val="superscript"/>
        </w:rPr>
        <w:t>60,62,63</w:t>
      </w:r>
      <w:r w:rsidRPr="003E73CD">
        <w:rPr>
          <w:sz w:val="22"/>
          <w:szCs w:val="22"/>
        </w:rPr>
        <w:fldChar w:fldCharType="end"/>
      </w:r>
      <w:proofErr w:type="gramStart"/>
      <w:r w:rsidRPr="003E73CD">
        <w:rPr>
          <w:sz w:val="22"/>
          <w:szCs w:val="22"/>
        </w:rPr>
        <w:t xml:space="preserve">  The</w:t>
      </w:r>
      <w:proofErr w:type="gramEnd"/>
      <w:r w:rsidRPr="003E73CD">
        <w:rPr>
          <w:sz w:val="22"/>
          <w:szCs w:val="22"/>
        </w:rPr>
        <w:t xml:space="preserve"> trial involved 740 patients with stage I and II melanoma.  Overall survival did not differ significantly between the elective lymphadenectomy arm and the observation arm.  However, for patients aged 60 years or younger (552 patients) the 5-year survival rate was significantly better for those who underwent elective lymphadenectomy.</w:t>
      </w:r>
      <w:r w:rsidRPr="003E73CD">
        <w:rPr>
          <w:sz w:val="22"/>
          <w:szCs w:val="22"/>
        </w:rPr>
        <w:fldChar w:fldCharType="begin" w:fldLock="1"/>
      </w:r>
      <w:r w:rsidR="006E7542" w:rsidRPr="003E73CD">
        <w:rPr>
          <w:sz w:val="22"/>
          <w:szCs w:val="22"/>
        </w:rPr>
        <w:instrText>ADDIN CSL_CITATION { "citationItems" : [ { "id" : "ITEM-1", "itemData" : { "ISSN" : "0003-4932", "PMID" : "8813254", "abstract" : "OBJECTIVE: A prospective multi-institutional randomized surgical trial involving 740 stage I and II melanoma patients was conducted by the Intergroup Melanoma Surgical Program to determine whether elective (immediate) lymph node dissection (ELND) for intermediate-thickness melanoma (1-4 mm) improves survival rates compared with clinical observation of the lymph nodes. A second objective was to define subgroups of melanoma patients who would have a higher survival with ELND.\n\nMETHODS: The eligible patients were stratified according to tumor thickness, anatomic site, and ulceration, and then were prerandomized to either ELND or nodal observation. Femoral, axillary, or modified neck dissections were performed using standardized surgical guidelines.\n\nRESULTS: The median follow-up was 7.4 years. A multifactorial (Cox regression) analysis showed that the following factors independently influenced survival: tumor ulceration, trunk site, tumor thickness, and patient age. Surgical treatment results were first compared based on randomized intent. Overall 5-year survival was not significantly different for patients who received ELND or nodal observation. However, the 552 patients 60 years of age or younger (75% of total group) with ELND has a significantly better 5-year survival. Among these patients, 5-year survival was better with ELND versus nodal observation for the 335 patients with tumors 1 to 2 mm thick, the 403 patients without tumor ulceration, and the 284 patients with tumors 1 to 2 mm thick and no ulceration. In contrast, patients older than 60 years of age who had ELND actually had a lower survival trend than those who had nodal observation. When survival rates were compared based on treatment actually received (i.e., including crossover patients), the patients with significantly improved 5-year survival rates after ELND included those with tumors 1 to 2 mm thick, those without tumor ulceration, and those 60 years of age or younger with tumors 1 to 2 mm thick or without ulceration.\n\nCONCLUSION: This is the first randomized study to prove the value of surgical treatment for clinically occult regional metastases. Patients 60 years or age or younger with intermediate-thickness melanomas, especially with nonulcerative melanoma and those with tumors 1 to 2 mm thick, may benefit from ELND. However, because some patients still are developing distant disease, these results should be considered an interim analysis.", "author" : [ { "dropping-particle" : "", "family" : "Balch", "given" : "C M", "non-dropping-particle" : "", "parse-names" : false, "suffix" : "" }, { "dropping-particle" : "", "family" : "Soong", "given" : "S J", "non-dropping-particle" : "", "parse-names" : false, "suffix" : "" }, { "dropping-particle" : "", "family" : "Bartolucci", "given" : "A A", "non-dropping-particle" : "", "parse-names" : false, "suffix" : "" }, { "dropping-particle" : "", "family" : "Urist", "given" : "M M", "non-dropping-particle" : "", "parse-names" : false, "suffix" : "" }, { "dropping-particle" : "", "family" : "Karakousis", "given" : "C P", "non-dropping-particle" : "", "parse-names" : false, "suffix" : "" }, { "dropping-particle" : "", "family" : "Smith", "given" : "T J", "non-dropping-particle" : "", "parse-names" : false, "suffix" : "" }, { "dropping-particle" : "", "family" : "Temple", "given" : "W J", "non-dropping-particle" : "", "parse-names" : false, "suffix" : "" }, { "dropping-particle" : "", "family" : "Ross", "given" : "M I", "non-dropping-particle" : "", "parse-names" : false, "suffix" : "" }, { "dropping-particle" : "", "family" : "Jewell", "given" : "W R", "non-dropping-particle" : "", "parse-names" : false, "suffix" : "" }, { "dropping-particle" : "", "family" : "Mihm", "given" : "M C", "non-dropping-particle" : "", "parse-names" : false, "suffix" : "" }, { "dropping-particle" : "", "family" : "Barnhill", "given" : "R L", "non-dropping-particle" : "", "parse-names" : false, "suffix" : "" }, { "dropping-particle" : "", "family" : "Wanebo", "given" : "H J", "non-dropping-particle" : "", "parse-names" : false, "suffix" : "" } ], "container-title" : "Annals of surgery", "id" : "ITEM-1", "issue" : "3", "issued" : { "date-parts" : [ [ "1996", "9" ] ] }, "page" : "255-63; discussion 263-6", "title" : "Efficacy of an elective regional lymph node dissection of 1 to 4 mm thick melanomas for patients 60 years of age and younger.", "type" : "article-journal", "volume" : "224" }, "uris" : [ "http://www.mendeley.com/documents/?uuid=07beeae1-6dfb-411a-8faf-0bb3d50bd8d0" ] } ], "mendeley" : { "formattedCitation" : "&lt;sup&gt;60&lt;/sup&gt;", "plainTextFormattedCitation" : "60", "previouslyFormattedCitation" : "&lt;sup&gt;60&lt;/sup&gt;" }, "properties" : { "noteIndex" : 0 }, "schema" : "https://github.com/citation-style-language/schema/raw/master/csl-citation.json" }</w:instrText>
      </w:r>
      <w:r w:rsidRPr="003E73CD">
        <w:rPr>
          <w:sz w:val="22"/>
          <w:szCs w:val="22"/>
        </w:rPr>
        <w:fldChar w:fldCharType="separate"/>
      </w:r>
      <w:r w:rsidR="00B60C63" w:rsidRPr="003E73CD">
        <w:rPr>
          <w:noProof/>
          <w:sz w:val="22"/>
          <w:szCs w:val="22"/>
          <w:vertAlign w:val="superscript"/>
        </w:rPr>
        <w:t>60</w:t>
      </w:r>
      <w:r w:rsidRPr="003E73CD">
        <w:rPr>
          <w:sz w:val="22"/>
          <w:szCs w:val="22"/>
        </w:rPr>
        <w:fldChar w:fldCharType="end"/>
      </w:r>
      <w:r w:rsidRPr="003E73CD">
        <w:rPr>
          <w:sz w:val="22"/>
          <w:szCs w:val="22"/>
        </w:rPr>
        <w:t xml:space="preserve">  </w:t>
      </w:r>
    </w:p>
    <w:p w14:paraId="1D9B12B7" w14:textId="5FC3873B" w:rsidR="0061482C" w:rsidRPr="003E73CD" w:rsidRDefault="0061482C" w:rsidP="0061482C">
      <w:pPr>
        <w:spacing w:line="480" w:lineRule="auto"/>
        <w:rPr>
          <w:sz w:val="22"/>
          <w:szCs w:val="22"/>
        </w:rPr>
      </w:pPr>
      <w:r w:rsidRPr="003E73CD">
        <w:rPr>
          <w:sz w:val="22"/>
          <w:szCs w:val="22"/>
        </w:rPr>
        <w:tab/>
        <w:t>One of the difficulties with elective lymphadenectomy was selection of the correct nodal basin(s) to dissect.  This was particularly problematic for head, neck and trunk primary melanoma sites from which lymphatic drainage was variable.</w:t>
      </w:r>
      <w:r w:rsidRPr="003E73CD">
        <w:rPr>
          <w:sz w:val="22"/>
          <w:szCs w:val="22"/>
        </w:rPr>
        <w:fldChar w:fldCharType="begin" w:fldLock="1"/>
      </w:r>
      <w:r w:rsidR="006E7542" w:rsidRPr="003E73CD">
        <w:rPr>
          <w:sz w:val="22"/>
          <w:szCs w:val="22"/>
        </w:rPr>
        <w:instrText>ADDIN CSL_CITATION { "citationItems" : [ { "id" : "ITEM-1", "itemData" : { "ISSN" : "0161-5505", "PMID" : "12679402", "abstract" : "An essential prerequisite for a successful sentinel lymph node biopsy (SLNB) procedure is an accurate map of the pattern of lymphatic drainage from the primary tumor site in each patient. In melanoma patients, mapping requires high-quality lymphoscintigraphy, which can identify the actual lymphatic collecting vessels as they drain into the sentinel lymph nodes. Small-particle radiocolloids are needed to achieve this goal, and imaging protocols must be adapted to ensure that all true sentinel nodes, including those in unexpected locations, are found in every patient. Clinical prediction of lymphatic drainage from the skin is not possible. The old clinical guidelines based on Sappey's lines therefore should be abandoned. Patterns of lymphatic drainage from the skin are highly variable from patient to patient, even from the same area of the skin. Unexpected lymphatic drainage from the skin of the back to sentinel nodes in the triangular intermuscular space and, in some patients, through the posterior body wall to sentinel nodes in the para-aortic, paravertebral, and retroperitoneal areas has been found. Lymphatic drainage from the head and neck frequently involves sentinel nodes in multiple node fields and can occur from the base of the neck up to nodes in the occipital or upper cervical areas or from the scalp down to nodes at the neck base, bypassing many node groups. The sentinel node is not always found in the nearest node field and is best defined as \"any lymph node receiving direct lymphatic drainage from a primary tumor site.\" Lymphatic drainage can occur from the upper limb to sentinel nodes above the axilla. Drainage to the epitrochlear region from the hand and arm as well as to the popliteal region from the foot and leg is more common than was previously thought. Interval nodes, which lie along the course of a lymphatic vessel between a lesion site and a recognized node field, are not uncommon, especially in the trunk. Drainage across the midline of the body is quite common in the trunk and in the head and neck. Micrometastatic disease can be present in any sentinel node regardless of its location, and for the SLNB technique to be accurate, all true sentinel nodes must be biopsied in every patient.", "author" : [ { "dropping-particle" : "", "family" : "Uren", "given" : "Roger F", "non-dropping-particle" : "", "parse-names" : false, "suffix" : "" }, { "dropping-particle" : "", "family" : "Howman-Giles", "given" : "Robert", "non-dropping-particle" : "", "parse-names" : false, "suffix" : "" }, { "dropping-particle" : "", "family" : "Thompson", "given" : "John F", "non-dropping-particle" : "", "parse-names" : false, "suffix" : "" } ], "container-title" : "Journal of nuclear medicine : official publication, Society of Nuclear Medicine", "id" : "ITEM-1", "issue" : "4", "issued" : { "date-parts" : [ [ "2003", "4" ] ] }, "page" : "570-82", "title" : "Patterns of lymphatic drainage from the skin in patients with melanoma.", "type" : "article-journal", "volume" : "44" }, "uris" : [ "http://www.mendeley.com/documents/?uuid=cb1b7e71-2be3-46d2-8fa6-a5470b996a21" ] } ], "mendeley" : { "formattedCitation" : "&lt;sup&gt;64&lt;/sup&gt;", "plainTextFormattedCitation" : "64", "previouslyFormattedCitation" : "&lt;sup&gt;64&lt;/sup&gt;" }, "properties" : { "noteIndex" : 0 }, "schema" : "https://github.com/citation-style-language/schema/raw/master/csl-citation.json" }</w:instrText>
      </w:r>
      <w:r w:rsidRPr="003E73CD">
        <w:rPr>
          <w:sz w:val="22"/>
          <w:szCs w:val="22"/>
        </w:rPr>
        <w:fldChar w:fldCharType="separate"/>
      </w:r>
      <w:r w:rsidR="00B60C63" w:rsidRPr="003E73CD">
        <w:rPr>
          <w:noProof/>
          <w:sz w:val="22"/>
          <w:szCs w:val="22"/>
          <w:vertAlign w:val="superscript"/>
        </w:rPr>
        <w:t>64</w:t>
      </w:r>
      <w:r w:rsidRPr="003E73CD">
        <w:rPr>
          <w:sz w:val="22"/>
          <w:szCs w:val="22"/>
        </w:rPr>
        <w:fldChar w:fldCharType="end"/>
      </w:r>
      <w:proofErr w:type="gramStart"/>
      <w:r w:rsidRPr="003E73CD">
        <w:rPr>
          <w:sz w:val="22"/>
          <w:szCs w:val="22"/>
        </w:rPr>
        <w:t xml:space="preserve">  </w:t>
      </w:r>
      <w:r w:rsidR="006C004B">
        <w:rPr>
          <w:sz w:val="22"/>
          <w:szCs w:val="22"/>
        </w:rPr>
        <w:t>As</w:t>
      </w:r>
      <w:proofErr w:type="gramEnd"/>
      <w:r w:rsidR="006C004B">
        <w:rPr>
          <w:sz w:val="22"/>
          <w:szCs w:val="22"/>
        </w:rPr>
        <w:t xml:space="preserve"> a  result, l</w:t>
      </w:r>
      <w:r w:rsidRPr="003E73CD">
        <w:rPr>
          <w:sz w:val="22"/>
          <w:szCs w:val="22"/>
        </w:rPr>
        <w:t>ymphoscintigraphy began to be used to determine the nodal basin(</w:t>
      </w:r>
      <w:r w:rsidR="006C004B">
        <w:rPr>
          <w:sz w:val="22"/>
          <w:szCs w:val="22"/>
        </w:rPr>
        <w:t xml:space="preserve">s) to which </w:t>
      </w:r>
      <w:r w:rsidRPr="003E73CD">
        <w:rPr>
          <w:sz w:val="22"/>
          <w:szCs w:val="22"/>
        </w:rPr>
        <w:t>primary tumour lymphatic drainage occurred</w:t>
      </w:r>
      <w:r w:rsidR="006C004B">
        <w:rPr>
          <w:sz w:val="22"/>
          <w:szCs w:val="22"/>
        </w:rPr>
        <w:t>,</w:t>
      </w:r>
      <w:r w:rsidRPr="003E73CD">
        <w:rPr>
          <w:sz w:val="22"/>
          <w:szCs w:val="22"/>
        </w:rPr>
        <w:t xml:space="preserve"> in order to improve the accuracy of the procedure.</w:t>
      </w:r>
      <w:r w:rsidRPr="003E73CD">
        <w:rPr>
          <w:sz w:val="22"/>
          <w:szCs w:val="22"/>
        </w:rPr>
        <w:fldChar w:fldCharType="begin" w:fldLock="1"/>
      </w:r>
      <w:r w:rsidR="006E7542" w:rsidRPr="003E73CD">
        <w:rPr>
          <w:sz w:val="22"/>
          <w:szCs w:val="22"/>
        </w:rPr>
        <w:instrText>ADDIN CSL_CITATION { "citationItems" : [ { "id" : "ITEM-1", "itemData" : { "ISSN" : "0003-1348", "PMID" : "2596765", "abstract" : "Accepted therapy for intermediate-thickness melanomas is wide local excision and regional lymphadenectomy for nodes known to be in the lymph drainage basin. Lymphoscintigraphy has been shown to be of great help in predicting the drainage pattern of truncal, shoulder, proximal extremity, and head and neck melanomas. Lymphoscintigraphy using Technetium-99 antimony sulfur colloid was performed on 17 patients with cutaneous melanomas at H. Lee Moffitt Cancer Center at the University of South Florida. Of 13 patients with primary truncal and shoulder lesions, drainage patterns were discordant 54 per cent of the time and resulted in dissection of nodal groups different than would otherwise have been planned. This resulted in several lymph nodes positive for metastatic disease removed from operative sites not expected to show metastatic spread by clinical experience alone. The discordant rate for head and neck drainage was also high with 2 of 3 forehead studies showing drainage to both anterior and posterior cervical chains when only anterior chain drainage was expected, while only one of these drained to the preauricular nodes. Again, this led to elective lymph-node dissections of nodal basins not anticipated on clinical grounds alone. After a mean follow-up of 2 years, in which 60 to 75 per cent of all recurrences from melanoma are expected to occur, there has been no lymph-node metastasis development in basins that were not predicted by the scan. It is clear from our data that well-known historical patterns of lymph drainage in addition to the clinical impression of experienced surgeons cannot reliably predict the lymphatic drainage of many truncal, shoulder, and head and neck melanomas.(ABSTRACT TRUNCATED AT 250 WORDS)", "author" : [ { "dropping-particle" : "", "family" : "Norman", "given" : "J", "non-dropping-particle" : "", "parse-names" : false, "suffix" : "" }, { "dropping-particle" : "", "family" : "Cruse", "given" : "W", "non-dropping-particle" : "", "parse-names" : false, "suffix" : "" }, { "dropping-particle" : "", "family" : "Ruas", "given" : "E", "non-dropping-particle" : "", "parse-names" : false, "suffix" : "" }, { "dropping-particle" : "", "family" : "Beatty", "given" : "E", "non-dropping-particle" : "", "parse-names" : false, "suffix" : "" }, { "dropping-particle" : "", "family" : "Hymes", "given" : "S", "non-dropping-particle" : "", "parse-names" : false, "suffix" : "" }, { "dropping-particle" : "", "family" : "Espinosa", "given" : "C", "non-dropping-particle" : "", "parse-names" : false, "suffix" : "" }, { "dropping-particle" : "", "family" : "Clark", "given" : "R", "non-dropping-particle" : "", "parse-names" : false, "suffix" : "" }, { "dropping-particle" : "", "family" : "Reintgen", "given" : "D", "non-dropping-particle" : "", "parse-names" : false, "suffix" : "" } ], "container-title" : "The American surgeon", "id" : "ITEM-1", "issue" : "12", "issued" : { "date-parts" : [ [ "1989", "12" ] ] }, "page" : "689-94", "title" : "The expanding role of lymphoscintigraphy in the management of cutaneous melanoma. First Place Winner: Conrad Jobst award.", "type" : "article-journal", "volume" : "55" }, "uris" : [ "http://www.mendeley.com/documents/?uuid=19ab9459-bf20-462b-8b71-42030fcf5935" ] }, { "id" : "ITEM-2", "itemData" : { "ISSN" : "0002-9610", "PMID" : "3993840", "abstract" : "Radionuclide lymphograms provide invaluable preoperative information on many truncal melanomas of the skin that require elective regional lymph node dissection.", "author" : [ { "dropping-particle" : "", "family" : "Jones", "given" : "R F", "non-dropping-particle" : "", "parse-names" : false, "suffix" : "" }, { "dropping-particle" : "", "family" : "Moe", "given" : "R E", "non-dropping-particle" : "", "parse-names" : false, "suffix" : "" }, { "dropping-particle" : "", "family" : "Nelp", "given" : "W", "non-dropping-particle" : "", "parse-names" : false, "suffix" : "" } ], "container-title" : "American journal of surgery", "id" : "ITEM-2", "issue" : "5", "issued" : { "date-parts" : [ [ "1985", "5" ] ] }, "page" : "613-4", "title" : "Use of radionuclide lymphograms to determine lymphatic drainage of truncal melanomas.", "type" : "article-journal", "volume" : "149" }, "uris" : [ "http://www.mendeley.com/documents/?uuid=43dbdf33-8f6e-4acb-b57b-0d1145ad5030" ] } ], "mendeley" : { "formattedCitation" : "&lt;sup&gt;65,66&lt;/sup&gt;", "plainTextFormattedCitation" : "65,66", "previouslyFormattedCitation" : "&lt;sup&gt;65,66&lt;/sup&gt;" }, "properties" : { "noteIndex" : 0 }, "schema" : "https://github.com/citation-style-language/schema/raw/master/csl-citation.json" }</w:instrText>
      </w:r>
      <w:r w:rsidRPr="003E73CD">
        <w:rPr>
          <w:sz w:val="22"/>
          <w:szCs w:val="22"/>
        </w:rPr>
        <w:fldChar w:fldCharType="separate"/>
      </w:r>
      <w:r w:rsidR="00B60C63" w:rsidRPr="003E73CD">
        <w:rPr>
          <w:noProof/>
          <w:sz w:val="22"/>
          <w:szCs w:val="22"/>
          <w:vertAlign w:val="superscript"/>
        </w:rPr>
        <w:t>65,66</w:t>
      </w:r>
      <w:r w:rsidRPr="003E73CD">
        <w:rPr>
          <w:sz w:val="22"/>
          <w:szCs w:val="22"/>
        </w:rPr>
        <w:fldChar w:fldCharType="end"/>
      </w:r>
      <w:proofErr w:type="gramStart"/>
      <w:r w:rsidRPr="003E73CD">
        <w:rPr>
          <w:sz w:val="22"/>
          <w:szCs w:val="22"/>
        </w:rPr>
        <w:t xml:space="preserve">  However</w:t>
      </w:r>
      <w:proofErr w:type="gramEnd"/>
      <w:r w:rsidRPr="003E73CD">
        <w:rPr>
          <w:sz w:val="22"/>
          <w:szCs w:val="22"/>
        </w:rPr>
        <w:t>, there was significant morbidity created by lymphadenectomy and, for patients who were subsequently found to have no evidence of nodal metastases, this morbidity was considered excessive.  This led to the development of intra-operative lymphatic mapping and sentinel node biopsy as a procedure with lesser morbidity that could identify and stage the regional lymph nodes draining the primary melanoma site.</w:t>
      </w:r>
      <w:r w:rsidRPr="003E73CD">
        <w:rPr>
          <w:sz w:val="22"/>
          <w:szCs w:val="22"/>
        </w:rPr>
        <w:fldChar w:fldCharType="begin" w:fldLock="1"/>
      </w:r>
      <w:r w:rsidR="006E7542" w:rsidRPr="003E73CD">
        <w:rPr>
          <w:sz w:val="22"/>
          <w:szCs w:val="22"/>
        </w:rPr>
        <w:instrText>ADDIN CSL_CITATION { "citationItems" : [ { "id" : "ITEM-1", "itemData" : { "ISSN" : "0004-0010", "PMID" : "1558490", "abstract" : "The initial route of metastases in most patients with melanoma is via the lymphatics to the regional nodes. However, routine lymphadenectomy for patients with clinical stage I melanoma remains controversial because most of these patients do not have nodal metastases, are unlikely to benefit from the operation, and may suffer troublesome postoperative edema of the limbs. A new procedure was developed using vital dyes that permits intraoperative identification of the sentinel lymph node, the lymph node nearest the site of the primary melanoma, on the direct drainage pathway. The most likely site of early metastases, the sentinel node can be removed for immediate intraoperative study to identify clinically occult melanoma cells. We successfully identified the sentinel node(s) in 194 of 237 lymphatic basins and detected metastases in 40 specimens (21%) on examination of routine hematoxylin-eosin-stained slides (12%) or exclusively in immunohistochemically stained preparations (9%). Metastases were present in 47 (18%) of 259 sentinel nodes, while nonsentinel nodes were the sole site of metastasis in only two of 3079 nodes from 194 lymphadenectomy specimens that had an identifiable sentinel node, a false-negative rate of less than 1%. Thus, this technique identifies, with a high degree of accuracy, patients with early stage melanoma who have nodal metastases and are likely to benefit from radical lymphadenectomy.", "author" : [ { "dropping-particle" : "", "family" : "Morton", "given" : "D L", "non-dropping-particle" : "", "parse-names" : false, "suffix" : "" }, { "dropping-particle" : "", "family" : "Wen", "given" : "D R", "non-dropping-particle" : "", "parse-names" : false, "suffix" : "" }, { "dropping-particle" : "", "family" : "Wong", "given" : "J H", "non-dropping-particle" : "", "parse-names" : false, "suffix" : "" }, { "dropping-particle" : "", "family" : "Economou", "given" : "J S", "non-dropping-particle" : "", "parse-names" : false, "suffix" : "" }, { "dropping-particle" : "", "family" : "Cagle", "given" : "L A", "non-dropping-particle" : "", "parse-names" : false, "suffix" : "" }, { "dropping-particle" : "", "family" : "Storm", "given" : "F K", "non-dropping-particle" : "", "parse-names" : false, "suffix" : "" }, { "dropping-particle" : "", "family" : "Foshag", "given" : "L J", "non-dropping-particle" : "", "parse-names" : false, "suffix" : "" }, { "dropping-particle" : "", "family" : "Cochran", "given" : "A J", "non-dropping-particle" : "", "parse-names" : false, "suffix" : "" } ], "container-title" : "Archives of surgery (Chicago, Ill. : 1960)", "id" : "ITEM-1", "issue" : "4", "issued" : { "date-parts" : [ [ "1992", "4" ] ] }, "page" : "392-9", "title" : "Technical details of intraoperative lymphatic mapping for early stage melanoma.", "type" : "article-journal", "volume" : "127" }, "uris" : [ "http://www.mendeley.com/documents/?uuid=7401ee58-b336-4659-b9d3-95737609b89d" ] } ], "mendeley" : { "formattedCitation" : "&lt;sup&gt;67&lt;/sup&gt;", "plainTextFormattedCitation" : "67", "previouslyFormattedCitation" : "&lt;sup&gt;67&lt;/sup&gt;" }, "properties" : { "noteIndex" : 0 }, "schema" : "https://github.com/citation-style-language/schema/raw/master/csl-citation.json" }</w:instrText>
      </w:r>
      <w:r w:rsidRPr="003E73CD">
        <w:rPr>
          <w:sz w:val="22"/>
          <w:szCs w:val="22"/>
        </w:rPr>
        <w:fldChar w:fldCharType="separate"/>
      </w:r>
      <w:r w:rsidR="00B60C63" w:rsidRPr="003E73CD">
        <w:rPr>
          <w:noProof/>
          <w:sz w:val="22"/>
          <w:szCs w:val="22"/>
          <w:vertAlign w:val="superscript"/>
        </w:rPr>
        <w:t>67</w:t>
      </w:r>
      <w:r w:rsidRPr="003E73CD">
        <w:rPr>
          <w:sz w:val="22"/>
          <w:szCs w:val="22"/>
        </w:rPr>
        <w:fldChar w:fldCharType="end"/>
      </w:r>
      <w:proofErr w:type="gramStart"/>
      <w:r w:rsidRPr="003E73CD">
        <w:rPr>
          <w:sz w:val="22"/>
          <w:szCs w:val="22"/>
        </w:rPr>
        <w:t xml:space="preserve">  The</w:t>
      </w:r>
      <w:proofErr w:type="gramEnd"/>
      <w:r w:rsidRPr="003E73CD">
        <w:rPr>
          <w:sz w:val="22"/>
          <w:szCs w:val="22"/>
        </w:rPr>
        <w:t xml:space="preserve"> development of lymphatic mapping and sentinel node biopsy are described in Section 1.2.</w:t>
      </w:r>
    </w:p>
    <w:p w14:paraId="6129AE60" w14:textId="77777777" w:rsidR="0061482C" w:rsidRPr="003E73CD" w:rsidRDefault="0061482C" w:rsidP="0061482C">
      <w:pPr>
        <w:spacing w:line="480" w:lineRule="auto"/>
        <w:rPr>
          <w:sz w:val="22"/>
          <w:szCs w:val="22"/>
        </w:rPr>
      </w:pPr>
    </w:p>
    <w:p w14:paraId="1713860C" w14:textId="77777777" w:rsidR="0061482C" w:rsidRPr="003E73CD" w:rsidRDefault="0061482C" w:rsidP="0061482C">
      <w:pPr>
        <w:spacing w:line="480" w:lineRule="auto"/>
        <w:rPr>
          <w:b/>
          <w:sz w:val="22"/>
          <w:szCs w:val="22"/>
        </w:rPr>
      </w:pPr>
      <w:proofErr w:type="gramStart"/>
      <w:r w:rsidRPr="003E73CD">
        <w:rPr>
          <w:b/>
          <w:sz w:val="22"/>
          <w:szCs w:val="22"/>
        </w:rPr>
        <w:t>iv) Management</w:t>
      </w:r>
      <w:proofErr w:type="gramEnd"/>
      <w:r w:rsidRPr="003E73CD">
        <w:rPr>
          <w:b/>
          <w:sz w:val="22"/>
          <w:szCs w:val="22"/>
        </w:rPr>
        <w:t xml:space="preserve"> of distant metastases</w:t>
      </w:r>
    </w:p>
    <w:p w14:paraId="630A46C9" w14:textId="398FC5D2" w:rsidR="0061482C" w:rsidRPr="003E73CD" w:rsidRDefault="0061482C" w:rsidP="0061482C">
      <w:pPr>
        <w:spacing w:line="480" w:lineRule="auto"/>
        <w:ind w:firstLine="720"/>
        <w:rPr>
          <w:sz w:val="22"/>
          <w:szCs w:val="22"/>
        </w:rPr>
      </w:pPr>
      <w:r w:rsidRPr="003E73CD">
        <w:rPr>
          <w:sz w:val="22"/>
          <w:szCs w:val="22"/>
        </w:rPr>
        <w:t>Only around 1.3% of patients will be diagnosed with distant metastases at the time of initial presentation with melanoma.</w:t>
      </w:r>
      <w:r w:rsidRPr="003E73CD">
        <w:rPr>
          <w:sz w:val="22"/>
          <w:szCs w:val="22"/>
        </w:rPr>
        <w:fldChar w:fldCharType="begin" w:fldLock="1"/>
      </w:r>
      <w:r w:rsidR="006E7542" w:rsidRPr="003E73CD">
        <w:rPr>
          <w:sz w:val="22"/>
          <w:szCs w:val="22"/>
        </w:rPr>
        <w:instrText>ADDIN CSL_CITATION { "citationItems" : [ { "id" : "ITEM-1", "itemData" : { "abstract" : "The latest UK cancer incidence, mortality and survival statistics, as well as information on the causes, diagnosis, treatment, screening and molecular biology and genetics of cancer. The information on these pages is written for health professionals. If you are looking for information because you or someone you know has been affected by cancer, then our CancerHelp UK website is likely to be more relevant and useful.", "author" : [ { "dropping-particle" : "", "family" : "Cancer Research UK", "given" : "", "non-dropping-particle" : "", "parse-names" : false, "suffix" : "" } ], "container-title" : "Online Source. www.cancerresearchuk.org/cancer-info/cancerstats/", "id" : "ITEM-1", "issued" : { "date-parts" : [ [ "2012" ] ] }, "title" : "CancerStats: Cancer Statistics for the UK", "type" : "article-journal" }, "uris" : [ "http://www.mendeley.com/documents/?uuid=060f94e0-04a1-4281-9b25-cc83af030044" ] } ], "mendeley" : { "formattedCitation" : "&lt;sup&gt;68&lt;/sup&gt;", "plainTextFormattedCitation" : "68", "previouslyFormattedCitation" : "&lt;sup&gt;68&lt;/sup&gt;" }, "properties" : { "noteIndex" : 0 }, "schema" : "https://github.com/citation-style-language/schema/raw/master/csl-citation.json" }</w:instrText>
      </w:r>
      <w:r w:rsidRPr="003E73CD">
        <w:rPr>
          <w:sz w:val="22"/>
          <w:szCs w:val="22"/>
        </w:rPr>
        <w:fldChar w:fldCharType="separate"/>
      </w:r>
      <w:r w:rsidR="00B60C63" w:rsidRPr="003E73CD">
        <w:rPr>
          <w:noProof/>
          <w:sz w:val="22"/>
          <w:szCs w:val="22"/>
          <w:vertAlign w:val="superscript"/>
        </w:rPr>
        <w:t>68</w:t>
      </w:r>
      <w:r w:rsidRPr="003E73CD">
        <w:rPr>
          <w:sz w:val="22"/>
          <w:szCs w:val="22"/>
        </w:rPr>
        <w:fldChar w:fldCharType="end"/>
      </w:r>
      <w:proofErr w:type="gramStart"/>
      <w:r w:rsidRPr="003E73CD">
        <w:rPr>
          <w:sz w:val="22"/>
          <w:szCs w:val="22"/>
        </w:rPr>
        <w:t xml:space="preserve">  The</w:t>
      </w:r>
      <w:proofErr w:type="gramEnd"/>
      <w:r w:rsidRPr="003E73CD">
        <w:rPr>
          <w:sz w:val="22"/>
          <w:szCs w:val="22"/>
        </w:rPr>
        <w:t xml:space="preserve"> most common sites of distant metastasis are skin and subcutaneous, distant nodal basins, lung, liver and brain.  Other sites such as small bowel, adrenal gland, spleen and other gastrointestinal locations occasionally harbour metastases.  Patients who present with distant metastases are classified as having AJCC stage IV disease and have a poorer prognosis in comparison to patients with stage I, II or III disease, with median survival of 6 months.</w:t>
      </w:r>
      <w:r w:rsidRPr="003E73CD">
        <w:rPr>
          <w:sz w:val="22"/>
          <w:szCs w:val="22"/>
        </w:rPr>
        <w:fldChar w:fldCharType="begin" w:fldLock="1"/>
      </w:r>
      <w:r w:rsidR="006E7542" w:rsidRPr="003E73CD">
        <w:rPr>
          <w:sz w:val="22"/>
          <w:szCs w:val="22"/>
        </w:rPr>
        <w:instrText>ADDIN CSL_CITATION { "citationItems" : [ { "id" : "ITEM-1", "itemData" : { "abstract" : "The latest UK cancer incidence, mortality and survival statistics, as well as information on the causes, diagnosis, treatment, screening and molecular biology and genetics of cancer. The information on these pages is written for health professionals. If you are looking for information because you or someone you know has been affected by cancer, then our CancerHelp UK website is likely to be more relevant and useful.", "author" : [ { "dropping-particle" : "", "family" : "Cancer Research UK", "given" : "", "non-dropping-particle" : "", "parse-names" : false, "suffix" : "" } ], "container-title" : "Online Source. www.cancerresearchuk.org/cancer-info/cancerstats/", "id" : "ITEM-1", "issued" : { "date-parts" : [ [ "2012" ] ] }, "title" : "CancerStats: Cancer Statistics for the UK", "type" : "article-journal" }, "uris" : [ "http://www.mendeley.com/documents/?uuid=060f94e0-04a1-4281-9b25-cc83af030044" ] } ], "mendeley" : { "formattedCitation" : "&lt;sup&gt;68&lt;/sup&gt;", "plainTextFormattedCitation" : "68", "previouslyFormattedCitation" : "&lt;sup&gt;68&lt;/sup&gt;" }, "properties" : { "noteIndex" : 0 }, "schema" : "https://github.com/citation-style-language/schema/raw/master/csl-citation.json" }</w:instrText>
      </w:r>
      <w:r w:rsidRPr="003E73CD">
        <w:rPr>
          <w:sz w:val="22"/>
          <w:szCs w:val="22"/>
        </w:rPr>
        <w:fldChar w:fldCharType="separate"/>
      </w:r>
      <w:r w:rsidR="00B60C63" w:rsidRPr="003E73CD">
        <w:rPr>
          <w:noProof/>
          <w:sz w:val="22"/>
          <w:szCs w:val="22"/>
          <w:vertAlign w:val="superscript"/>
        </w:rPr>
        <w:t>68</w:t>
      </w:r>
      <w:r w:rsidRPr="003E73CD">
        <w:rPr>
          <w:sz w:val="22"/>
          <w:szCs w:val="22"/>
        </w:rPr>
        <w:fldChar w:fldCharType="end"/>
      </w:r>
      <w:proofErr w:type="gramStart"/>
      <w:r w:rsidRPr="003E73CD">
        <w:rPr>
          <w:sz w:val="22"/>
          <w:szCs w:val="22"/>
        </w:rPr>
        <w:t xml:space="preserve">  The</w:t>
      </w:r>
      <w:proofErr w:type="gramEnd"/>
      <w:r w:rsidRPr="003E73CD">
        <w:rPr>
          <w:sz w:val="22"/>
          <w:szCs w:val="22"/>
        </w:rPr>
        <w:t xml:space="preserve"> management of distant metastases is dependent upon their number and location whilst taking account of the general health of the patient.  Surgical excision is commonly advocated when it is feasible e.g. for isolated metastasis or metastases that can be resected without causing significant </w:t>
      </w:r>
      <w:r w:rsidRPr="006503B3">
        <w:rPr>
          <w:sz w:val="22"/>
          <w:szCs w:val="22"/>
        </w:rPr>
        <w:t>morbidity.  Therapies such as isolated limb infusion or perfusion and electrochemotherapy can be used in some circumsta</w:t>
      </w:r>
      <w:r w:rsidR="00C11355" w:rsidRPr="006503B3">
        <w:rPr>
          <w:sz w:val="22"/>
          <w:szCs w:val="22"/>
        </w:rPr>
        <w:t>nces.  Radiotherapy is</w:t>
      </w:r>
      <w:r w:rsidRPr="006503B3">
        <w:rPr>
          <w:sz w:val="22"/>
          <w:szCs w:val="22"/>
        </w:rPr>
        <w:t xml:space="preserve"> used for palliation </w:t>
      </w:r>
      <w:r w:rsidR="00C11355" w:rsidRPr="006503B3">
        <w:rPr>
          <w:sz w:val="22"/>
          <w:szCs w:val="22"/>
        </w:rPr>
        <w:t>in patient</w:t>
      </w:r>
      <w:r w:rsidR="0053012A" w:rsidRPr="006503B3">
        <w:rPr>
          <w:sz w:val="22"/>
          <w:szCs w:val="22"/>
        </w:rPr>
        <w:t xml:space="preserve">s with metastatic melanoma.  Melanoma has traditionally had a reputation as a tumour that is </w:t>
      </w:r>
      <w:r w:rsidRPr="006503B3">
        <w:rPr>
          <w:sz w:val="22"/>
          <w:szCs w:val="22"/>
        </w:rPr>
        <w:t>r</w:t>
      </w:r>
      <w:r w:rsidR="0053012A" w:rsidRPr="006503B3">
        <w:rPr>
          <w:sz w:val="22"/>
          <w:szCs w:val="22"/>
        </w:rPr>
        <w:t>elatively radio-resistant, although this may be undeserved.</w:t>
      </w:r>
      <w:r w:rsidR="0053012A" w:rsidRPr="006503B3">
        <w:rPr>
          <w:sz w:val="22"/>
          <w:szCs w:val="22"/>
        </w:rPr>
        <w:fldChar w:fldCharType="begin" w:fldLock="1"/>
      </w:r>
      <w:r w:rsidR="00E03647" w:rsidRPr="006503B3">
        <w:rPr>
          <w:sz w:val="22"/>
          <w:szCs w:val="22"/>
        </w:rPr>
        <w:instrText>ADDIN CSL_CITATION { "citationItems" : [ { "id" : "ITEM-1", "itemData" : { "DOI" : "10.1016/S1470-2045(06)70758-6", "ISSN" : "1470-2045", "PMID" : "16814209", "abstract" : "The role of radiotherapy is well established in the management of most locally advanced and metastatic cancers; however, there has been reluctance to extend this role to melanoma. The reasons can be traced historically to in-vitro and in-vivo data suggesting that melanomas are resistant to radiation. Current findings indicate that these cancers have a wide range of sensitivity to radiation that overlaps extensively with those for common epithelial cancers: indeed, some melanomas show high sensitivity to radiation. Greater incorporation of radiotherapy into multidisciplinary management of melanoma is important because of the typical natural history of the disease (a propensity for both locoregional recurrence and distant metastases) and its poor response to systemic treatment. This review will discuss these issues and preview the strategies being developed for radiotherapy to further improve the care of patients with melanoma.", "author" : [ { "dropping-particle" : "", "family" : "Stevens", "given" : "Graham", "non-dropping-particle" : "", "parse-names" : false, "suffix" : "" }, { "dropping-particle" : "", "family" : "McKay", "given" : "Michael J", "non-dropping-particle" : "", "parse-names" : false, "suffix" : "" } ], "container-title" : "The Lancet. Oncology", "id" : "ITEM-1", "issue" : "7", "issued" : { "date-parts" : [ [ "2006", "7" ] ] }, "page" : "575-83", "title" : "Dispelling the myths surrounding radiotherapy for treatment of cutaneous melanoma.", "type" : "article-journal", "volume" : "7" }, "uris" : [ "http://www.mendeley.com/documents/?uuid=7fe1591e-c36f-4958-8910-e40def0d6b0b" ] } ], "mendeley" : { "formattedCitation" : "&lt;sup&gt;69&lt;/sup&gt;", "plainTextFormattedCitation" : "69", "previouslyFormattedCitation" : "&lt;sup&gt;69&lt;/sup&gt;" }, "properties" : { "noteIndex" : 0 }, "schema" : "https://github.com/citation-style-language/schema/raw/master/csl-citation.json" }</w:instrText>
      </w:r>
      <w:r w:rsidR="0053012A" w:rsidRPr="006503B3">
        <w:rPr>
          <w:sz w:val="22"/>
          <w:szCs w:val="22"/>
        </w:rPr>
        <w:fldChar w:fldCharType="separate"/>
      </w:r>
      <w:r w:rsidR="0053012A" w:rsidRPr="006503B3">
        <w:rPr>
          <w:noProof/>
          <w:sz w:val="22"/>
          <w:szCs w:val="22"/>
          <w:vertAlign w:val="superscript"/>
        </w:rPr>
        <w:t>69</w:t>
      </w:r>
      <w:r w:rsidR="0053012A" w:rsidRPr="006503B3">
        <w:rPr>
          <w:sz w:val="22"/>
          <w:szCs w:val="22"/>
        </w:rPr>
        <w:fldChar w:fldCharType="end"/>
      </w:r>
      <w:r w:rsidR="0053012A" w:rsidRPr="006503B3">
        <w:rPr>
          <w:sz w:val="22"/>
          <w:szCs w:val="22"/>
        </w:rPr>
        <w:t xml:space="preserve">   It has a role in treating brain metastases either via stereotactic radiosurgery or as whole brain radiotherapy</w:t>
      </w:r>
      <w:r w:rsidR="00E03647" w:rsidRPr="006503B3">
        <w:rPr>
          <w:sz w:val="22"/>
          <w:szCs w:val="22"/>
        </w:rPr>
        <w:t>.  It can also be effective for treating dermal metastases and for relieving pain in patients with bone metastases.</w:t>
      </w:r>
      <w:r w:rsidR="00E03647" w:rsidRPr="006503B3">
        <w:rPr>
          <w:sz w:val="22"/>
          <w:szCs w:val="22"/>
        </w:rPr>
        <w:fldChar w:fldCharType="begin" w:fldLock="1"/>
      </w:r>
      <w:r w:rsidR="001C6CB8" w:rsidRPr="006503B3">
        <w:rPr>
          <w:sz w:val="22"/>
          <w:szCs w:val="22"/>
        </w:rPr>
        <w:instrText>ADDIN CSL_CITATION { "citationItems" : [ { "id" : "ITEM-1", "itemData" : { "DOI" : "10.1016/j.det.2012.04.011", "ISSN" : "1558-0520", "PMID" : "22800556", "abstract" : "Radiation therapy is used infrequently for cutaneous melanoma, despite research suggesting benefit in certain clinical scenarios. This review presents data forming the highest level of evidence supporting the use of radiation therapy. Retrospective and prospective studies demonstrate radiation therapy for primary tumors is associated with high control rates. Two randomized trials have found improvements in regional control with adjuvant radiotherapy to regional lymphatics. Retrospective and prospective studies demonstrate radiation therapy is associated with palliative response and metastatic tumor control. Optimal care of melanoma patients involves radiation therapy; awareness of this is incumbent of clinicians caring for patients with this disease.", "author" : [ { "dropping-particle" : "", "family" : "Barker", "given" : "Christopher A", "non-dropping-particle" : "", "parse-names" : false, "suffix" : "" }, { "dropping-particle" : "", "family" : "Lee", "given" : "Nancy Y", "non-dropping-particle" : "", "parse-names" : false, "suffix" : "" } ], "container-title" : "Dermatologic clinics", "id" : "ITEM-1", "issue" : "3", "issued" : { "date-parts" : [ [ "2012", "7" ] ] }, "page" : "525-33", "title" : "Radiation therapy for cutaneous melanoma.", "type" : "article-journal", "volume" : "30" }, "uris" : [ "http://www.mendeley.com/documents/?uuid=e3a87e72-b0cd-40ef-837c-7fb1ae8a5557" ] } ], "mendeley" : { "formattedCitation" : "&lt;sup&gt;70&lt;/sup&gt;", "plainTextFormattedCitation" : "70", "previouslyFormattedCitation" : "&lt;sup&gt;70&lt;/sup&gt;" }, "properties" : { "noteIndex" : 0 }, "schema" : "https://github.com/citation-style-language/schema/raw/master/csl-citation.json" }</w:instrText>
      </w:r>
      <w:r w:rsidR="00E03647" w:rsidRPr="006503B3">
        <w:rPr>
          <w:sz w:val="22"/>
          <w:szCs w:val="22"/>
        </w:rPr>
        <w:fldChar w:fldCharType="separate"/>
      </w:r>
      <w:r w:rsidR="00E03647" w:rsidRPr="006503B3">
        <w:rPr>
          <w:noProof/>
          <w:sz w:val="22"/>
          <w:szCs w:val="22"/>
          <w:vertAlign w:val="superscript"/>
        </w:rPr>
        <w:t>70</w:t>
      </w:r>
      <w:r w:rsidR="00E03647" w:rsidRPr="006503B3">
        <w:rPr>
          <w:sz w:val="22"/>
          <w:szCs w:val="22"/>
        </w:rPr>
        <w:fldChar w:fldCharType="end"/>
      </w:r>
      <w:proofErr w:type="gramStart"/>
      <w:r w:rsidR="00E03647" w:rsidRPr="006503B3">
        <w:rPr>
          <w:sz w:val="22"/>
          <w:szCs w:val="22"/>
        </w:rPr>
        <w:t xml:space="preserve"> </w:t>
      </w:r>
      <w:r w:rsidR="0053012A" w:rsidRPr="006503B3">
        <w:rPr>
          <w:sz w:val="22"/>
          <w:szCs w:val="22"/>
        </w:rPr>
        <w:t xml:space="preserve"> </w:t>
      </w:r>
      <w:r w:rsidRPr="006503B3">
        <w:rPr>
          <w:sz w:val="22"/>
          <w:szCs w:val="22"/>
        </w:rPr>
        <w:t>Chemotherapeutic</w:t>
      </w:r>
      <w:proofErr w:type="gramEnd"/>
      <w:r w:rsidRPr="006503B3">
        <w:rPr>
          <w:sz w:val="22"/>
          <w:szCs w:val="22"/>
        </w:rPr>
        <w:t xml:space="preserve"> options have been limited for many years with dacarbazine, a cytotoxic alkylating agent,</w:t>
      </w:r>
      <w:r w:rsidRPr="003E73CD">
        <w:rPr>
          <w:sz w:val="22"/>
          <w:szCs w:val="22"/>
        </w:rPr>
        <w:t xml:space="preserve"> being the standard drug.  Dacarbazine was granted FDA approval in 1975 and is given as a series of intravenous infusions typically in 3- or 4-week cycles.  It has significant side effects including nausea, vomiting, headache, skin rashes, bone marrow suppression and sterility.  It is a relatively ineffective drug with complete response rates and partial response rates of around 10% and 10% respectively.</w:t>
      </w:r>
      <w:r w:rsidRPr="003E73CD">
        <w:rPr>
          <w:sz w:val="22"/>
          <w:szCs w:val="22"/>
        </w:rPr>
        <w:fldChar w:fldCharType="begin" w:fldLock="1"/>
      </w:r>
      <w:r w:rsidR="001C6CB8">
        <w:rPr>
          <w:sz w:val="22"/>
          <w:szCs w:val="22"/>
        </w:rPr>
        <w:instrText>ADDIN CSL_CITATION { "citationItems" : [ { "id" : "ITEM-1", "itemData" : { "DOI" : "10.1056/NEJMoa1104621", "ISBN" : "1533-4406 (Electronic)\\n0028-4793 (Linking)", "ISSN" : "0028-4793", "PMID" : "21639810", "abstract" : "Ipilimumab monotherapy (at a dose of 3 mg per kilogram of body weight), as compared with glycoprotein 100, improved overall survival in a phase 3 study involving patients with previously treated metastatic melanoma. We conducted a phase 3 study of ipilimumab (10 mg per kilogram) plus dacarbazine in patients with previously untreated metastatic melanoma.", "author" : [ { "dropping-particle" : "", "family" : "Robert", "given" : "Caroline", "non-dropping-particle" : "", "parse-names" : false, "suffix" : "" }, { "dropping-particle" : "", "family" : "Thomas", "given" : "Luc", "non-dropping-particle" : "", "parse-names" : false, "suffix" : "" }, { "dropping-particle" : "", "family" : "Bondarenko", "given" : "Igor", "non-dropping-particle" : "", "parse-names" : false, "suffix" : "" }, { "dropping-particle" : "", "family" : "O'Day", "given" : "Steven", "non-dropping-particle" : "", "parse-names" : false, "suffix" : "" }, { "dropping-particle" : "", "family" : "M D", "given" : "Jeffrey Weber", "non-dropping-particle" : "", "parse-names" : false, "suffix" : "" }, { "dropping-particle" : "", "family" : "Garbe", "given" : "Claus", "non-dropping-particle" : "", "parse-names" : false, "suffix" : "" }, { "dropping-particle" : "", "family" : "Lebbe", "given" : "Celeste", "non-dropping-particle" : "", "parse-names" : false, "suffix" : "" }, { "dropping-particle" : "", "family" : "Baurain", "given" : "Jean-Fran\u00e7ois", "non-dropping-particle" : "", "parse-names" : false, "suffix" : "" }, { "dropping-particle" : "", "family" : "Testori", "given" : "Alessandro", "non-dropping-particle" : "", "parse-names" : false, "suffix" : "" }, { "dropping-particle" : "", "family" : "Grob", "given" : "Jean-Jacques", "non-dropping-particle" : "", "parse-names" : false, "suffix" : "" }, { "dropping-particle" : "", "family" : "Davidson", "given" : "Neville", "non-dropping-particle" : "", "parse-names" : false, "suffix" : "" }, { "dropping-particle" : "", "family" : "Richards", "given" : "Jon", "non-dropping-particle" : "", "parse-names" : false, "suffix" : "" }, { "dropping-particle" : "", "family" : "Maio", "given" : "Michele", "non-dropping-particle" : "", "parse-names" : false, "suffix" : "" }, { "dropping-particle" : "", "family" : "Hauschild", "given" : "Axel", "non-dropping-particle" : "", "parse-names" : false, "suffix" : "" }, { "dropping-particle" : "", "family" : "Miller", "given" : "Wilson H", "non-dropping-particle" : "", "parse-names" : false, "suffix" : "" }, { "dropping-particle" : "", "family" : "Gascon", "given" : "Pere", "non-dropping-particle" : "", "parse-names" : false, "suffix" : "" }, { "dropping-particle" : "", "family" : "Lotem", "given" : "Michal", "non-dropping-particle" : "", "parse-names" : false, "suffix" : "" }, { "dropping-particle" : "", "family" : "Harmankaya", "given" : "Kaan", "non-dropping-particle" : "", "parse-names" : false, "suffix" : "" }, { "dropping-particle" : "", "family" : "Ibrahim", "given" : "Ramy", "non-dropping-particle" : "", "parse-names" : false, "suffix" : "" }, { "dropping-particle" : "", "family" : "Francis", "given" : "Stephen", "non-dropping-particle" : "", "parse-names" : false, "suffix" : "" }, { "dropping-particle" : "", "family" : "Chen", "given" : "Tai-Tsang", "non-dropping-particle" : "", "parse-names" : false, "suffix" : "" }, { "dropping-particle" : "", "family" : "Humphrey", "given" : "Rachel", "non-dropping-particle" : "", "parse-names" : false, "suffix" : "" }, { "dropping-particle" : "", "family" : "Hoos", "given" : "Axel", "non-dropping-particle" : "", "parse-names" : false, "suffix" : "" }, { "dropping-particle" : "", "family" : "Wolchok", "given" : "Jedd D", "non-dropping-particle" : "", "parse-names" : false, "suffix" : "" } ], "container-title" : "The New England journal of medicine", "id" : "ITEM-1", "issue" : "26", "issued" : { "date-parts" : [ [ "2011" ] ] }, "page" : "2517-2526", "title" : "Ipilimumab plus dacarbazine for previously untreated metastatic melanoma.", "type" : "article-journal", "volume" : "364" }, "uris" : [ "http://www.mendeley.com/documents/?uuid=5091c03f-1d5c-46ed-a47a-a04532e0b489" ] } ], "mendeley" : { "formattedCitation" : "&lt;sup&gt;71&lt;/sup&gt;", "plainTextFormattedCitation" : "71", "previouslyFormattedCitation" : "&lt;sup&gt;71&lt;/sup&gt;"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71</w:t>
      </w:r>
      <w:r w:rsidRPr="003E73CD">
        <w:rPr>
          <w:sz w:val="22"/>
          <w:szCs w:val="22"/>
        </w:rPr>
        <w:fldChar w:fldCharType="end"/>
      </w:r>
      <w:r w:rsidRPr="003E73CD">
        <w:rPr>
          <w:sz w:val="22"/>
          <w:szCs w:val="22"/>
        </w:rPr>
        <w:t xml:space="preserve">   As a result, 5-year survival rates for patients with stage IV disease in the UK have ranged from 8% for men to 25% for women.</w:t>
      </w:r>
      <w:r w:rsidRPr="003E73CD">
        <w:rPr>
          <w:sz w:val="22"/>
          <w:szCs w:val="22"/>
        </w:rPr>
        <w:fldChar w:fldCharType="begin" w:fldLock="1"/>
      </w:r>
      <w:r w:rsidR="006E7542" w:rsidRPr="003E73CD">
        <w:rPr>
          <w:sz w:val="22"/>
          <w:szCs w:val="22"/>
        </w:rPr>
        <w:instrText>ADDIN CSL_CITATION { "citationItems" : [ { "id" : "ITEM-1", "itemData" : { "abstract" : "The latest UK cancer incidence, mortality and survival statistics, as well as information on the causes, diagnosis, treatment, screening and molecular biology and genetics of cancer. The information on these pages is written for health professionals. If you are looking for information because you or someone you know has been affected by cancer, then our CancerHelp UK website is likely to be more relevant and useful.", "author" : [ { "dropping-particle" : "", "family" : "Cancer Research UK", "given" : "", "non-dropping-particle" : "", "parse-names" : false, "suffix" : "" } ], "container-title" : "Online Source. www.cancerresearchuk.org/cancer-info/cancerstats/", "id" : "ITEM-1", "issued" : { "date-parts" : [ [ "2012" ] ] }, "title" : "CancerStats: Cancer Statistics for the UK", "type" : "article-journal" }, "uris" : [ "http://www.mendeley.com/documents/?uuid=060f94e0-04a1-4281-9b25-cc83af030044" ] } ], "mendeley" : { "formattedCitation" : "&lt;sup&gt;68&lt;/sup&gt;", "plainTextFormattedCitation" : "68", "previouslyFormattedCitation" : "&lt;sup&gt;68&lt;/sup&gt;" }, "properties" : { "noteIndex" : 0 }, "schema" : "https://github.com/citation-style-language/schema/raw/master/csl-citation.json" }</w:instrText>
      </w:r>
      <w:r w:rsidRPr="003E73CD">
        <w:rPr>
          <w:sz w:val="22"/>
          <w:szCs w:val="22"/>
        </w:rPr>
        <w:fldChar w:fldCharType="separate"/>
      </w:r>
      <w:r w:rsidR="00B60C63" w:rsidRPr="003E73CD">
        <w:rPr>
          <w:noProof/>
          <w:sz w:val="22"/>
          <w:szCs w:val="22"/>
          <w:vertAlign w:val="superscript"/>
        </w:rPr>
        <w:t>68</w:t>
      </w:r>
      <w:r w:rsidRPr="003E73CD">
        <w:rPr>
          <w:sz w:val="22"/>
          <w:szCs w:val="22"/>
        </w:rPr>
        <w:fldChar w:fldCharType="end"/>
      </w:r>
      <w:proofErr w:type="gramStart"/>
      <w:r w:rsidRPr="003E73CD">
        <w:rPr>
          <w:sz w:val="22"/>
          <w:szCs w:val="22"/>
        </w:rPr>
        <w:t xml:space="preserve">  Patients</w:t>
      </w:r>
      <w:proofErr w:type="gramEnd"/>
      <w:r w:rsidRPr="003E73CD">
        <w:rPr>
          <w:sz w:val="22"/>
          <w:szCs w:val="22"/>
        </w:rPr>
        <w:t xml:space="preserve"> with isolated lung metastases tend to have a better prognosis than those with other forms of visceral metastasis, but overall the median survival time is 6 months.</w:t>
      </w:r>
      <w:r w:rsidRPr="003E73CD">
        <w:rPr>
          <w:sz w:val="22"/>
          <w:szCs w:val="22"/>
        </w:rPr>
        <w:fldChar w:fldCharType="begin" w:fldLock="1"/>
      </w:r>
      <w:r w:rsidR="006E7542" w:rsidRPr="003E73CD">
        <w:rPr>
          <w:sz w:val="22"/>
          <w:szCs w:val="22"/>
        </w:rPr>
        <w:instrText>ADDIN CSL_CITATION { "citationItems" : [ { "id" : "ITEM-1", "itemData" : { "DOI" : "10.1245/s10434-007-9717-9", "ISSN" : "1534-4681", "PMID" : "18196345", "abstract" : "OBJECTIVE: Information on prognosis for patients with cutaneous melanoma after locoregional or distant recurrence is sparse and controversial. The aim of this study was to analyze factors influencing outcome after the development of a first relapse.\n\nMETHODS: Information was extracted from the Sydney Melanoma Unit database for 873 melanoma patients with American Joint Committee on Cancer (AJCC) Stage I and II disease treated between 1960 and 2002 who relapsed following treatment of their primary melanoma. Clinical and pathologic factors predicting survival were analyzed using the Cox proportional hazards regression model.\n\nRESULTS: Initial presentation of recurrence was local: 95 patients (10.9%), in transit: 86 patients (9.9%), regional lymph node: 300 patients (34.4%), and distant: 392 patients (44.9%). Independent prognostic factors for survival of the 481 patients with only locoregional recurrence were type of recurrence, primary tumor ulceration, and patient age. Predictors for longer survival in the 392 patients with distant metastasis at the time of first presentation with recurrence were lung vs other sites and diagnosis of relapse after 1990 compared with diagnosis before 1980.\n\nCONCLUSIONS: The type of recurrence is the most important prognostic factor in melanoma patients who relapse. Primary tumor ulceration is the most important pathologic predictor. The results of this study suggest that management of distant metastases may have improved over the last 25 years, but many confounders and improved staging techniques make assessment of this unreliable.", "author" : [ { "dropping-particle" : "", "family" : "Francken", "given" : "Anne Brecht", "non-dropping-particle" : "", "parse-names" : false, "suffix" : "" }, { "dropping-particle" : "", "family" : "Accortt", "given" : "Neil A", "non-dropping-particle" : "", "parse-names" : false, "suffix" : "" }, { "dropping-particle" : "", "family" : "Shaw", "given" : "Helen M", "non-dropping-particle" : "", "parse-names" : false, "suffix" : "" }, { "dropping-particle" : "", "family" : "Wiener", "given" : "Martin", "non-dropping-particle" : "", "parse-names" : false, "suffix" : "" }, { "dropping-particle" : "", "family" : "Soong", "given" : "Seng-jaw", "non-dropping-particle" : "", "parse-names" : false, "suffix" : "" }, { "dropping-particle" : "", "family" : "Hoekstra", "given" : "Harald J", "non-dropping-particle" : "", "parse-names" : false, "suffix" : "" }, { "dropping-particle" : "", "family" : "Thompson", "given" : "John F", "non-dropping-particle" : "", "parse-names" : false, "suffix" : "" } ], "container-title" : "Annals of surgical oncology", "id" : "ITEM-1", "issue" : "5", "issued" : { "date-parts" : [ [ "2008", "5" ] ] }, "page" : "1476-84", "title" : "Prognosis and determinants of outcome following locoregional or distant recurrence in patients with cutaneous melanoma.", "type" : "article-journal", "volume" : "15" }, "uris" : [ "http://www.mendeley.com/documents/?uuid=319a9a1d-fcf4-4d6a-a387-8ec6c9c59e6f" ] } ], "mendeley" : { "formattedCitation" : "&lt;sup&gt;55&lt;/sup&gt;", "plainTextFormattedCitation" : "55", "previouslyFormattedCitation" : "&lt;sup&gt;55&lt;/sup&gt;" }, "properties" : { "noteIndex" : 0 }, "schema" : "https://github.com/citation-style-language/schema/raw/master/csl-citation.json" }</w:instrText>
      </w:r>
      <w:r w:rsidRPr="003E73CD">
        <w:rPr>
          <w:sz w:val="22"/>
          <w:szCs w:val="22"/>
        </w:rPr>
        <w:fldChar w:fldCharType="separate"/>
      </w:r>
      <w:r w:rsidR="00B60C63" w:rsidRPr="003E73CD">
        <w:rPr>
          <w:noProof/>
          <w:sz w:val="22"/>
          <w:szCs w:val="22"/>
          <w:vertAlign w:val="superscript"/>
        </w:rPr>
        <w:t>55</w:t>
      </w:r>
      <w:r w:rsidRPr="003E73CD">
        <w:rPr>
          <w:sz w:val="22"/>
          <w:szCs w:val="22"/>
        </w:rPr>
        <w:fldChar w:fldCharType="end"/>
      </w:r>
      <w:r w:rsidRPr="003E73CD">
        <w:rPr>
          <w:sz w:val="22"/>
          <w:szCs w:val="22"/>
        </w:rPr>
        <w:t xml:space="preserve">  </w:t>
      </w:r>
    </w:p>
    <w:p w14:paraId="1C4A715A" w14:textId="5789599D" w:rsidR="0061482C" w:rsidRPr="003E73CD" w:rsidRDefault="0061482C" w:rsidP="0061482C">
      <w:pPr>
        <w:spacing w:line="480" w:lineRule="auto"/>
        <w:ind w:firstLine="720"/>
        <w:rPr>
          <w:sz w:val="22"/>
          <w:szCs w:val="22"/>
        </w:rPr>
      </w:pPr>
      <w:r w:rsidRPr="003E73CD">
        <w:rPr>
          <w:sz w:val="22"/>
          <w:szCs w:val="22"/>
        </w:rPr>
        <w:t>One of the most exciting developments in melanoma treatment over recent years has been the emergence of targeted therapies and immunotherapy as effective treatments for stage IV disease.  Advances in genomic medicine have identified novel targets for drug development and elucidated some of the steps in oncogenesis relating to melanoma.  In 2002 Davies et al. discovered a mutation in the BRAF gene, which occurred in 40-60% of cutaneous melanomas.</w:t>
      </w:r>
      <w:r w:rsidRPr="003E73CD">
        <w:rPr>
          <w:sz w:val="22"/>
          <w:szCs w:val="22"/>
        </w:rPr>
        <w:fldChar w:fldCharType="begin" w:fldLock="1"/>
      </w:r>
      <w:r w:rsidR="001C6CB8">
        <w:rPr>
          <w:sz w:val="22"/>
          <w:szCs w:val="22"/>
        </w:rPr>
        <w:instrText>ADDIN CSL_CITATION { "citationItems" : [ { "id" : "ITEM-1", "itemData" : { "DOI" : "10.1038/nature00766", "ISSN" : "0028-0836", "PMID" : "12068308", "abstract" : "Cancers arise owing to the accumulation of mutations in critical genes that alter normal programmes of cell proliferation, differentiation and death. As the first stage of a systematic genome-wide screen for these genes, we have prioritized for analysis signalling pathways in which at least one gene is mutated in human cancer. The RAS RAF MEK ERK MAP kinase pathway mediates cellular responses to growth signals. RAS is mutated to an oncogenic form in about 15% of human cancer. The three RAF genes code for cytoplasmic serine/threonine kinases that are regulated by binding RAS. Here we report BRAF somatic missense mutations in 66% of malignant melanomas and at lower frequency in a wide range of human cancers. All mutations are within the kinase domain, with a single substitution (V599E) accounting for 80%. Mutated BRAF proteins have elevated kinase activity and are transforming in NIH3T3 cells. Furthermore, RAS function is not required for the growth of cancer cell lines with the V599E mutation. As BRAF is a serine/threonine kinase that is commonly activated by somatic point mutation in human cancer, it may provide new therapeutic opportunities in malignant melanoma.", "author" : [ { "dropping-particle" : "", "family" : "Davies", "given" : "Helen", "non-dropping-particle" : "", "parse-names" : false, "suffix" : "" }, { "dropping-particle" : "", "family" : "Bignell", "given" : "Graham R", "non-dropping-particle" : "", "parse-names" : false, "suffix" : "" }, { "dropping-particle" : "", "family" : "Cox", "given" : "Charles", "non-dropping-particle" : "", "parse-names" : false, "suffix" : "" }, { "dropping-particle" : "", "family" : "Stephens", "given" : "Philip", "non-dropping-particle" : "", "parse-names" : false, "suffix" : "" }, { "dropping-particle" : "", "family" : "Edkins", "given" : "Sarah", "non-dropping-particle" : "", "parse-names" : false, "suffix" : "" }, { "dropping-particle" : "", "family" : "Clegg", "given" : "Sheila", "non-dropping-particle" : "", "parse-names" : false, "suffix" : "" }, { "dropping-particle" : "", "family" : "Teague", "given" : "Jon", "non-dropping-particle" : "", "parse-names" : false, "suffix" : "" }, { "dropping-particle" : "", "family" : "Woffendin", "given" : "Hayley", "non-dropping-particle" : "", "parse-names" : false, "suffix" : "" }, { "dropping-particle" : "", "family" : "Garnett", "given" : "Mathew J", "non-dropping-particle" : "", "parse-names" : false, "suffix" : "" }, { "dropping-particle" : "", "family" : "Bottomley", "given" : "William", "non-dropping-particle" : "", "parse-names" : false, "suffix" : "" }, { "dropping-particle" : "", "family" : "Davis", "given" : "Neil", "non-dropping-particle" : "", "parse-names" : false, "suffix" : "" }, { "dropping-particle" : "", "family" : "Dicks", "given" : "Ed", "non-dropping-particle" : "", "parse-names" : false, "suffix" : "" }, { "dropping-particle" : "", "family" : "Ewing", "given" : "Rebecca", "non-dropping-particle" : "", "parse-names" : false, "suffix" : "" }, { "dropping-particle" : "", "family" : "Floyd", "given" : "Yvonne", "non-dropping-particle" : "", "parse-names" : false, "suffix" : "" }, { "dropping-particle" : "", "family" : "Gray", "given" : "Kristian", "non-dropping-particle" : "", "parse-names" : false, "suffix" : "" }, { "dropping-particle" : "", "family" : "Hall", "given" : "Sarah", "non-dropping-particle" : "", "parse-names" : false, "suffix" : "" }, { "dropping-particle" : "", "family" : "Hawes", "given" : "Rachel", "non-dropping-particle" : "", "parse-names" : false, "suffix" : "" }, { "dropping-particle" : "", "family" : "Hughes", "given" : "Jaime", "non-dropping-particle" : "", "parse-names" : false, "suffix" : "" }, { "dropping-particle" : "", "family" : "Kosmidou", "given" : "Vivian", "non-dropping-particle" : "", "parse-names" : false, "suffix" : "" }, { "dropping-particle" : "", "family" : "Menzies", "given" : "Andrew", "non-dropping-particle" : "", "parse-names" : false, "suffix" : "" }, { "dropping-particle" : "", "family" : "Mould", "given" : "Catherine", "non-dropping-particle" : "", "parse-names" : false, "suffix" : "" }, { "dropping-particle" : "", "family" : "Parker", "given" : "Adrian", "non-dropping-particle" : "", "parse-names" : false, "suffix" : "" }, { "dropping-particle" : "", "family" : "Stevens", "given" : "Claire", "non-dropping-particle" : "", "parse-names" : false, "suffix" : "" }, { "dropping-particle" : "", "family" : "Watt", "given" : "Stephen", "non-dropping-particle" : "", "parse-names" : false, "suffix" : "" }, { "dropping-particle" : "", "family" : "Hooper", "given" : "Steven", "non-dropping-particle" : "", "parse-names" : false, "suffix" : "" }, { "dropping-particle" : "", "family" : "Wilson", "given" : "Rebecca", "non-dropping-particle" : "", "parse-names" : false, "suffix" : "" }, { "dropping-particle" : "", "family" : "Jayatilake", "given" : "Hiran", "non-dropping-particle" : "", "parse-names" : false, "suffix" : "" }, { "dropping-particle" : "", "family" : "Gusterson", "given" : "Barry A", "non-dropping-particle" : "", "parse-names" : false, "suffix" : "" }, { "dropping-particle" : "", "family" : "Cooper", "given" : "Colin", "non-dropping-particle" : "", "parse-names" : false, "suffix" : "" }, { "dropping-particle" : "", "family" : "Shipley", "given" : "Janet", "non-dropping-particle" : "", "parse-names" : false, "suffix" : "" }, { "dropping-particle" : "", "family" : "Hargrave", "given" : "Darren", "non-dropping-particle" : "", "parse-names" : false, "suffix" : "" }, { "dropping-particle" : "", "family" : "Pritchard-Jones", "given" : "Katherine", "non-dropping-particle" : "", "parse-names" : false, "suffix" : "" }, { "dropping-particle" : "", "family" : "Maitland", "given" : "Norman", "non-dropping-particle" : "", "parse-names" : false, "suffix" : "" }, { "dropping-particle" : "", "family" : "Chenevix-Trench", "given" : "Georgia", "non-dropping-particle" : "", "parse-names" : false, "suffix" : "" }, { "dropping-particle" : "", "family" : "Riggins", "given" : "Gregory J", "non-dropping-particle" : "", "parse-names" : false, "suffix" : "" }, { "dropping-particle" : "", "family" : "Bigner", "given" : "Darell D", "non-dropping-particle" : "", "parse-names" : false, "suffix" : "" }, { "dropping-particle" : "", "family" : "Palmieri", "given" : "Giuseppe", "non-dropping-particle" : "", "parse-names" : false, "suffix" : "" }, { "dropping-particle" : "", "family" : "Cossu", "given" : "Antonio", "non-dropping-particle" : "", "parse-names" : false, "suffix" : "" }, { "dropping-particle" : "", "family" : "Flanagan", "given" : "Adrienne", "non-dropping-particle" : "", "parse-names" : false, "suffix" : "" }, { "dropping-particle" : "", "family" : "Nicholson", "given" : "Andrew", "non-dropping-particle" : "", "parse-names" : false, "suffix" : "" }, { "dropping-particle" : "", "family" : "Ho", "given" : "Judy W C", "non-dropping-particle" : "", "parse-names" : false, "suffix" : "" }, { "dropping-particle" : "", "family" : "Leung", "given" : "Suet Y", "non-dropping-particle" : "", "parse-names" : false, "suffix" : "" }, { "dropping-particle" : "", "family" : "Yuen", "given" : "Siu T", "non-dropping-particle" : "", "parse-names" : false, "suffix" : "" }, { "dropping-particle" : "", "family" : "Weber", "given" : "Barbara L", "non-dropping-particle" : "", "parse-names" : false, "suffix" : "" }, { "dropping-particle" : "", "family" : "Seigler", "given" : "Hilliard F", "non-dropping-particle" : "", "parse-names" : false, "suffix" : "" }, { "dropping-particle" : "", "family" : "Darrow", "given" : "Timothy L", "non-dropping-particle" : "", "parse-names" : false, "suffix" : "" }, { "dropping-particle" : "", "family" : "Paterson", "given" : "Hugh", "non-dropping-particle" : "", "parse-names" : false, "suffix" : "" }, { "dropping-particle" : "", "family" : "Marais", "given" : "Richard", "non-dropping-particle" : "", "parse-names" : false, "suffix" : "" }, { "dropping-particle" : "", "family" : "Marshall", "given" : "Christopher J", "non-dropping-particle" : "", "parse-names" : false, "suffix" : "" }, { "dropping-particle" : "", "family" : "Wooster", "given" : "Richard", "non-dropping-particle" : "", "parse-names" : false, "suffix" : "" }, { "dropping-particle" : "", "family" : "Stratton", "given" : "Michael R", "non-dropping-particle" : "", "parse-names" : false, "suffix" : "" }, { "dropping-particle" : "", "family" : "Futreal", "given" : "P Andrew", "non-dropping-particle" : "", "parse-names" : false, "suffix" : "" } ], "container-title" : "Nature", "id" : "ITEM-1", "issue" : "6892", "issued" : { "date-parts" : [ [ "2002", "6", "27" ] ] }, "page" : "949-54", "title" : "Mutations of the BRAF gene in human cancer.", "title-short" : "Nature", "type" : "article-journal", "volume" : "417" }, "uris" : [ "http://www.mendeley.com/documents/?uuid=b276d9b0-cacc-4f18-9fd1-664d71801b85" ] } ], "mendeley" : { "formattedCitation" : "&lt;sup&gt;72&lt;/sup&gt;", "plainTextFormattedCitation" : "72", "previouslyFormattedCitation" : "&lt;sup&gt;72&lt;/sup&gt;"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72</w:t>
      </w:r>
      <w:r w:rsidRPr="003E73CD">
        <w:rPr>
          <w:sz w:val="22"/>
          <w:szCs w:val="22"/>
        </w:rPr>
        <w:fldChar w:fldCharType="end"/>
      </w:r>
      <w:proofErr w:type="gramStart"/>
      <w:r w:rsidRPr="003E73CD">
        <w:rPr>
          <w:sz w:val="22"/>
          <w:szCs w:val="22"/>
        </w:rPr>
        <w:t xml:space="preserve">  This</w:t>
      </w:r>
      <w:proofErr w:type="gramEnd"/>
      <w:r w:rsidRPr="003E73CD">
        <w:rPr>
          <w:sz w:val="22"/>
          <w:szCs w:val="22"/>
        </w:rPr>
        <w:t xml:space="preserve"> was a single mutation at codon 600 and most commonly (90% of cases) involved substitution of valine for glutamic acid (V600E mutation).  BRAF is a serine-threonine kinase and the result of the mutation in the gene that encodes BRAF is that it becomes active.  BRAF forms part of a pathway between the cell membrane and the nucleus, known as the mitogen-activated protein (MAP) kinase pathway.  This pathway normally transmits signals from extra-cellular growth factors, such as fibroblast growth factor, stem-cell factor and hepatocyte growth factor, to the cell nucleus.</w:t>
      </w:r>
      <w:r w:rsidRPr="003E73CD">
        <w:rPr>
          <w:sz w:val="22"/>
          <w:szCs w:val="22"/>
        </w:rPr>
        <w:fldChar w:fldCharType="begin" w:fldLock="1"/>
      </w:r>
      <w:r w:rsidR="001C6CB8">
        <w:rPr>
          <w:sz w:val="22"/>
          <w:szCs w:val="22"/>
        </w:rPr>
        <w:instrText>ADDIN CSL_CITATION { "citationItems" : [ { "id" : "ITEM-1", "itemData" : { "DOI" : "10.1038/nature05661", "ISBN" : "1476-4687 (Electronic)", "ISSN" : "0028-0836", "PMID" : "17314971", "abstract" : "Melanoma is a cancer that arises from melanocytes, specialized pigmented cells that are found predominantly in the skin. The incidence of melanoma is rising steadily in western populations--the number of cases worldwide has doubled in the past 20 years. In its early stages malignant melanoma can be cured by surgical resection, but once it has progressed to the metastatic stage it is extremely difficult to treat and does not respond to current therapies. Recent discoveries in cell signalling have provided greater understanding of the biology that underlies melanoma, and these advances are being exploited to provide targeted drugs and new therapeutic approaches.", "author" : [ { "dropping-particle" : "", "family" : "Gray-Schopfer", "given" : "Vanessa", "non-dropping-particle" : "", "parse-names" : false, "suffix" : "" }, { "dropping-particle" : "", "family" : "Wellbrock", "given" : "Claudia", "non-dropping-particle" : "", "parse-names" : false, "suffix" : "" }, { "dropping-particle" : "", "family" : "Marais", "given" : "Richard", "non-dropping-particle" : "", "parse-names" : false, "suffix" : "" } ], "container-title" : "Nature", "id" : "ITEM-1", "issue" : "7130", "issued" : { "date-parts" : [ [ "2007" ] ] }, "page" : "851-857", "title" : "Melanoma biology and new targeted therapy.", "type" : "article-journal", "volume" : "445" }, "uris" : [ "http://www.mendeley.com/documents/?uuid=0393c9f0-832c-430e-8a50-dae1cc1ede79" ] } ], "mendeley" : { "formattedCitation" : "&lt;sup&gt;73&lt;/sup&gt;", "plainTextFormattedCitation" : "73", "previouslyFormattedCitation" : "&lt;sup&gt;73&lt;/sup&gt;"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73</w:t>
      </w:r>
      <w:r w:rsidRPr="003E73CD">
        <w:rPr>
          <w:sz w:val="22"/>
          <w:szCs w:val="22"/>
        </w:rPr>
        <w:fldChar w:fldCharType="end"/>
      </w:r>
      <w:proofErr w:type="gramStart"/>
      <w:r w:rsidRPr="003E73CD">
        <w:rPr>
          <w:sz w:val="22"/>
          <w:szCs w:val="22"/>
        </w:rPr>
        <w:t xml:space="preserve">  The</w:t>
      </w:r>
      <w:proofErr w:type="gramEnd"/>
      <w:r w:rsidRPr="003E73CD">
        <w:rPr>
          <w:sz w:val="22"/>
          <w:szCs w:val="22"/>
        </w:rPr>
        <w:t xml:space="preserve"> extra-cellular growth factor binds with a cell membrane tyrosine kinase receptor, which passes a signal through the cell wall and activates an intra-cellular GTPase called RAS.  A signal is then transmitted via the cytosolic protein kinases, BRAF, MEK and ERK, to the cell nucleus to undergo growth and proliferation.  The presence of the V600E mutation has the effect of turning on this pathway from within the cell itself, and doing so permanently, thus leading to unrestrained cell growth and proliferation.  The BRAF gene becomes an oncogene.  A number of additional mutations such as valine to lysine substitution (V600K) have since been discovered at the V600 codon of BRAF.  These are generally far less common than the V600E mutation, although there is evidence to suggest that the V600K mutation may account for up to 30% of BRAF mutations in cutaneous melanoma.</w:t>
      </w:r>
      <w:r w:rsidRPr="003E73CD">
        <w:rPr>
          <w:sz w:val="22"/>
          <w:szCs w:val="22"/>
        </w:rPr>
        <w:fldChar w:fldCharType="begin" w:fldLock="1"/>
      </w:r>
      <w:r w:rsidR="001C6CB8">
        <w:rPr>
          <w:sz w:val="22"/>
          <w:szCs w:val="22"/>
        </w:rPr>
        <w:instrText>ADDIN CSL_CITATION { "citationItems" : [ { "id" : "ITEM-1", "itemData" : { "DOI" : "10.1186/1479-5876-8-67", "ISBN" : "1479-5876 (Electronic)\\r1479-5876 (Linking)", "ISSN" : "1479-5876", "PMID" : "20630094", "abstract" : "Activating mutations in BRAF kinase are common in melanomas. Clinical trials with PLX4032, the mutant-BRAF inhibitor, show promising preliminary results in patients selected for the presence of V600E mutation. However, activating V600K mutation is the other most common mutation, yet patients with this variant are currently excluded from the PLX4032 trials. Here we present evidence that a patient bearing the BRAF V600K mutation responded remarkably to PLX4032, suggesting that clinical trials should include all patients with activating BRAF V600E/K mutations.", "author" : [ { "dropping-particle" : "", "family" : "Rubinstein", "given" : "Jill C", "non-dropping-particle" : "", "parse-names" : false, "suffix" : "" }, { "dropping-particle" : "", "family" : "Sznol", "given" : "Mario", "non-dropping-particle" : "", "parse-names" : false, "suffix" : "" }, { "dropping-particle" : "", "family" : "Pavlick", "given" : "Anna C", "non-dropping-particle" : "", "parse-names" : false, "suffix" : "" }, { "dropping-particle" : "", "family" : "Ariyan", "given" : "Stephan", "non-dropping-particle" : "", "parse-names" : false, "suffix" : "" }, { "dropping-particle" : "", "family" : "Cheng", "given" : "Elaine", "non-dropping-particle" : "", "parse-names" : false, "suffix" : "" }, { "dropping-particle" : "", "family" : "Bacchiocchi", "given" : "Antonella", "non-dropping-particle" : "", "parse-names" : false, "suffix" : "" }, { "dropping-particle" : "", "family" : "Kluger", "given" : "Harriet M", "non-dropping-particle" : "", "parse-names" : false, "suffix" : "" }, { "dropping-particle" : "", "family" : "Narayan", "given" : "Deepak", "non-dropping-particle" : "", "parse-names" : false, "suffix" : "" }, { "dropping-particle" : "", "family" : "Halaban", "given" : "Ruth", "non-dropping-particle" : "", "parse-names" : false, "suffix" : "" } ], "container-title" : "Journal of translational medicine", "id" : "ITEM-1", "issued" : { "date-parts" : [ [ "2010" ] ] }, "page" : "67", "title" : "Incidence of the V600K mutation among melanoma patients with BRAF mutations, and potential therapeutic response to the specific BRAF inhibitor PLX4032.", "type" : "article-journal", "volume" : "8" }, "uris" : [ "http://www.mendeley.com/documents/?uuid=a2c53aa5-8f1c-408f-9c3b-667ef1189484" ] } ], "mendeley" : { "formattedCitation" : "&lt;sup&gt;74&lt;/sup&gt;", "plainTextFormattedCitation" : "74", "previouslyFormattedCitation" : "&lt;sup&gt;74&lt;/sup&gt;"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74</w:t>
      </w:r>
      <w:r w:rsidRPr="003E73CD">
        <w:rPr>
          <w:sz w:val="22"/>
          <w:szCs w:val="22"/>
        </w:rPr>
        <w:fldChar w:fldCharType="end"/>
      </w:r>
      <w:proofErr w:type="gramStart"/>
      <w:r w:rsidRPr="003E73CD">
        <w:rPr>
          <w:sz w:val="22"/>
          <w:szCs w:val="22"/>
        </w:rPr>
        <w:t xml:space="preserve">  The</w:t>
      </w:r>
      <w:proofErr w:type="gramEnd"/>
      <w:r w:rsidRPr="003E73CD">
        <w:rPr>
          <w:sz w:val="22"/>
          <w:szCs w:val="22"/>
        </w:rPr>
        <w:t xml:space="preserve"> discovery of this single point mutation on a gene that codes for a specific serine-threonine kinase in a known cellular pathway lent itself to the development of drugs specifically targeted to inhibit BRAF V600 and thus stop or slow down the flow of messages telling the cell nucleus to grow and proliferate.  The first such molecular targeted therapy for melanoma was vemurafenib (a BRAF V600 inhibitor) and the results of a phase I trial were published in 2010.</w:t>
      </w:r>
      <w:r w:rsidRPr="003E73CD">
        <w:rPr>
          <w:sz w:val="22"/>
          <w:szCs w:val="22"/>
        </w:rPr>
        <w:fldChar w:fldCharType="begin" w:fldLock="1"/>
      </w:r>
      <w:r w:rsidR="001C6CB8">
        <w:rPr>
          <w:sz w:val="22"/>
          <w:szCs w:val="22"/>
        </w:rPr>
        <w:instrText>ADDIN CSL_CITATION { "citationItems" : [ { "id" : "ITEM-1", "itemData" : { "DOI" : "10.1056/NEJMoa1002011", "ISSN" : "1533-4406", "PMID" : "20818844", "abstract" : "BACKGROUND: The identification of somatic mutations in the gene encoding the serine-threonine protein kinase B-RAF (BRAF) in the majority of melanomas offers an opportunity to test oncogene-targeted therapy for this disease.\n\nMETHODS: We conducted a multicenter, phase 1, dose-escalation trial of PLX4032 (also known as RG7204), an orally available inhibitor of mutated BRAF, followed by an extension phase involving the maximum dose that could be administered without adverse effects (the recommended phase 2 dose). Patients received PLX4032 twice daily until they had disease progression. Pharmacokinetic analysis and tumor-response assessments were conducted in all patients. In selected patients, tumor biopsy was performed before and during treatment to validate BRAF inhibition.\n\nRESULTS: A total of 55 patients (49 of whom had melanoma) were enrolled in the dose-escalation phase, and 32 additional patients with metastatic melanoma who had BRAF with the V600E mutation were enrolled in the extension phase. The recommended phase 2 dose was 960 mg twice daily, with increases in the dose limited by grade 2 or 3 rash, fatigue, and arthralgia. In the dose-escalation cohort, among the 16 patients with melanoma whose tumors carried the V600E BRAF mutation and who were receiving 240 mg or more of PLX4032 twice daily, 10 had a partial response and 1 had a complete response. Among the 32 patients in the extension cohort, 24 had a partial response and 2 had a complete response. The estimated median progression-free survival among all patients was more than 7 months.\n\nCONCLUSIONS: Treatment of metastatic melanoma with PLX4032 in patients with tumors that carry the V600E BRAF mutation resulted in complete or partial tumor regression in the majority of patients. (Funded by Plexxikon and Roche Pharmaceuticals.)", "author" : [ { "dropping-particle" : "", "family" : "Flaherty", "given" : "Keith T", "non-dropping-particle" : "", "parse-names" : false, "suffix" : "" }, { "dropping-particle" : "", "family" : "Puzanov", "given" : "Igor", "non-dropping-particle" : "", "parse-names" : false, "suffix" : "" }, { "dropping-particle" : "", "family" : "Kim", "given" : "Kevin B", "non-dropping-particle" : "", "parse-names" : false, "suffix" : "" }, { "dropping-particle" : "", "family" : "Ribas", "given" : "Antoni", "non-dropping-particle" : "", "parse-names" : false, "suffix" : "" }, { "dropping-particle" : "", "family" : "McArthur", "given" : "Grant A", "non-dropping-particle" : "", "parse-names" : false, "suffix" : "" }, { "dropping-particle" : "", "family" : "Sosman", "given" : "Jeffrey A", "non-dropping-particle" : "", "parse-names" : false, "suffix" : "" }, { "dropping-particle" : "", "family" : "O'Dwyer", "given" : "Peter J", "non-dropping-particle" : "", "parse-names" : false, "suffix" : "" }, { "dropping-particle" : "", "family" : "Lee", "given" : "Richard J", "non-dropping-particle" : "", "parse-names" : false, "suffix" : "" }, { "dropping-particle" : "", "family" : "Grippo", "given" : "Joseph F", "non-dropping-particle" : "", "parse-names" : false, "suffix" : "" }, { "dropping-particle" : "", "family" : "Nolop", "given" : "Keith", "non-dropping-particle" : "", "parse-names" : false, "suffix" : "" }, { "dropping-particle" : "", "family" : "Chapman", "given" : "Paul B", "non-dropping-particle" : "", "parse-names" : false, "suffix" : "" } ], "container-title" : "The New England journal of medicine", "id" : "ITEM-1", "issue" : "9", "issued" : { "date-parts" : [ [ "2010", "8", "26" ] ] }, "page" : "809-19", "title" : "Inhibition of mutated, activated BRAF in metastatic melanoma.", "type" : "article-journal", "volume" : "363" }, "uris" : [ "http://www.mendeley.com/documents/?uuid=85543ae3-095e-488d-8d76-defbe4fc497b" ] } ], "mendeley" : { "formattedCitation" : "&lt;sup&gt;75&lt;/sup&gt;", "plainTextFormattedCitation" : "75", "previouslyFormattedCitation" : "&lt;sup&gt;75&lt;/sup&gt;"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75</w:t>
      </w:r>
      <w:r w:rsidRPr="003E73CD">
        <w:rPr>
          <w:sz w:val="22"/>
          <w:szCs w:val="22"/>
        </w:rPr>
        <w:fldChar w:fldCharType="end"/>
      </w:r>
      <w:proofErr w:type="gramStart"/>
      <w:r w:rsidRPr="003E73CD">
        <w:rPr>
          <w:sz w:val="22"/>
          <w:szCs w:val="22"/>
        </w:rPr>
        <w:t xml:space="preserve">  This</w:t>
      </w:r>
      <w:proofErr w:type="gramEnd"/>
      <w:r w:rsidRPr="003E73CD">
        <w:rPr>
          <w:sz w:val="22"/>
          <w:szCs w:val="22"/>
        </w:rPr>
        <w:t xml:space="preserve"> trial demonstrated complete or partial response to vemurafenib in 81% of patients who had V600E mutated BRAF.  The subsequent phase III trial (BRAF inhibitor in melanoma 3 (BRIM-3)) compared vemurafenib with dacarbazine in 675 patients with V600E mutated BRAF and metastatic melanoma.  Overall survival at 6 months was 84% (95% confidence interval (CI) 78-89) for the vemurafenib group versus 64% (95% CI 56-73) for the dacarbazine group.</w:t>
      </w:r>
      <w:r w:rsidRPr="003E73CD">
        <w:rPr>
          <w:sz w:val="22"/>
          <w:szCs w:val="22"/>
        </w:rPr>
        <w:fldChar w:fldCharType="begin" w:fldLock="1"/>
      </w:r>
      <w:r w:rsidR="001C6CB8">
        <w:rPr>
          <w:sz w:val="22"/>
          <w:szCs w:val="22"/>
        </w:rPr>
        <w:instrText>ADDIN CSL_CITATION { "citationItems" : [ { "id" : "ITEM-1", "itemData" : { "DOI" : "10.1056/NEJMoa1103782", "ISSN" : "1533-4406", "PMID" : "21639808", "abstract" : "BACKGROUND: Phase 1 and 2 clinical trials of the BRAF kinase inhibitor vemurafenib (PLX4032) have shown response rates of more than 50% in patients with metastatic melanoma with the BRAF V600E mutation.\n\nMETHODS: We conducted a phase 3 randomized clinical trial comparing vemurafenib with dacarbazine in 675 patients with previously untreated, metastatic melanoma with the BRAF V600E mutation. Patients were randomly assigned to receive either vemurafenib (960 mg orally twice daily) or dacarbazine (1000 mg per square meter of body-surface area intravenously every 3 weeks). Coprimary end points were rates of overall and progression-free survival. Secondary end points included the response rate, response duration, and safety. A final analysis was planned after 196 deaths and an interim analysis after 98 deaths.\n\nRESULTS: At 6 months, overall survival was 84% (95% confidence interval [CI], 78 to 89) in the vemurafenib group and 64% (95% CI, 56 to 73) in the dacarbazine group. In the interim analysis for overall survival and final analysis for progression-free survival, vemurafenib was associated with a relative reduction of 63% in the risk of death and of 74% in the risk of either death or disease progression, as compared with dacarbazine (P&lt;0.001 for both comparisons). After review of the interim analysis by an independent data and safety monitoring board, crossover from dacarbazine to vemurafenib was recommended. Response rates were 48% for vemurafenib and 5% for dacarbazine. Common adverse events associated with vemurafenib were arthralgia, rash, fatigue, alopecia, keratoacanthoma or squamous-cell carcinoma, photosensitivity, nausea, and diarrhea; 38% of patients required dose modification because of toxic effects.\n\nCONCLUSIONS: Vemurafenib produced improved rates of overall and progression-free survival in patients with previously untreated melanoma with the BRAF V600E mutation. (Funded by Hoffmann-La Roche; BRIM-3 ClinicalTrials.gov number, NCT01006980.).", "author" : [ { "dropping-particle" : "", "family" : "Chapman", "given" : "Paul B", "non-dropping-particle" : "", "parse-names" : false, "suffix" : "" }, { "dropping-particle" : "", "family" : "Hauschild", "given" : "Axel", "non-dropping-particle" : "", "parse-names" : false, "suffix" : "" }, { "dropping-particle" : "", "family" : "Robert", "given" : "Caroline", "non-dropping-particle" : "", "parse-names" : false, "suffix" : "" }, { "dropping-particle" : "", "family" : "Haanen", "given" : "John B", "non-dropping-particle" : "", "parse-names" : false, "suffix" : "" }, { "dropping-particle" : "", "family" : "Ascierto", "given" : "Paolo", "non-dropping-particle" : "", "parse-names" : false, "suffix" : "" }, { "dropping-particle" : "", "family" : "Larkin", "given" : "James", "non-dropping-particle" : "", "parse-names" : false, "suffix" : "" }, { "dropping-particle" : "", "family" : "Dummer", "given" : "Reinhard", "non-dropping-particle" : "", "parse-names" : false, "suffix" : "" }, { "dropping-particle" : "", "family" : "Garbe", "given" : "Claus", "non-dropping-particle" : "", "parse-names" : false, "suffix" : "" }, { "dropping-particle" : "", "family" : "Testori", "given" : "Alessandro", "non-dropping-particle" : "", "parse-names" : false, "suffix" : "" }, { "dropping-particle" : "", "family" : "Maio", "given" : "Michele", "non-dropping-particle" : "", "parse-names" : false, "suffix" : "" }, { "dropping-particle" : "", "family" : "Hogg", "given" : "David", "non-dropping-particle" : "", "parse-names" : false, "suffix" : "" }, { "dropping-particle" : "", "family" : "Lorigan", "given" : "Paul", "non-dropping-particle" : "", "parse-names" : false, "suffix" : "" }, { "dropping-particle" : "", "family" : "Lebbe", "given" : "Celeste", "non-dropping-particle" : "", "parse-names" : false, "suffix" : "" }, { "dropping-particle" : "", "family" : "Jouary", "given" : "Thomas", "non-dropping-particle" : "", "parse-names" : false, "suffix" : "" }, { "dropping-particle" : "", "family" : "Schadendorf", "given" : "Dirk", "non-dropping-particle" : "", "parse-names" : false, "suffix" : "" }, { "dropping-particle" : "", "family" : "Ribas", "given" : "Antoni", "non-dropping-particle" : "", "parse-names" : false, "suffix" : "" }, { "dropping-particle" : "", "family" : "O'Day", "given" : "Steven J", "non-dropping-particle" : "", "parse-names" : false, "suffix" : "" }, { "dropping-particle" : "", "family" : "Sosman", "given" : "Jeffrey A", "non-dropping-particle" : "", "parse-names" : false, "suffix" : "" }, { "dropping-particle" : "", "family" : "Kirkwood", "given" : "John M", "non-dropping-particle" : "", "parse-names" : false, "suffix" : "" }, { "dropping-particle" : "", "family" : "Eggermont", "given" : "Alexander M M", "non-dropping-particle" : "", "parse-names" : false, "suffix" : "" }, { "dropping-particle" : "", "family" : "Dreno", "given" : "Brigitte", "non-dropping-particle" : "", "parse-names" : false, "suffix" : "" }, { "dropping-particle" : "", "family" : "Nolop", "given" : "Keith", "non-dropping-particle" : "", "parse-names" : false, "suffix" : "" }, { "dropping-particle" : "", "family" : "Li", "given" : "Jiang", "non-dropping-particle" : "", "parse-names" : false, "suffix" : "" }, { "dropping-particle" : "", "family" : "Nelson", "given" : "Betty", "non-dropping-particle" : "", "parse-names" : false, "suffix" : "" }, { "dropping-particle" : "", "family" : "Hou", "given" : "Jeannie", "non-dropping-particle" : "", "parse-names" : false, "suffix" : "" }, { "dropping-particle" : "", "family" : "Lee", "given" : "Richard J", "non-dropping-particle" : "", "parse-names" : false, "suffix" : "" }, { "dropping-particle" : "", "family" : "Flaherty", "given" : "Keith T", "non-dropping-particle" : "", "parse-names" : false, "suffix" : "" }, { "dropping-particle" : "", "family" : "McArthur", "given" : "Grant A", "non-dropping-particle" : "", "parse-names" : false, "suffix" : "" } ], "container-title" : "The New England journal of medicine", "id" : "ITEM-1", "issue" : "26", "issued" : { "date-parts" : [ [ "2011", "6", "30" ] ] }, "page" : "2507-16", "title" : "Improved survival with vemurafenib in melanoma with BRAF V600E mutation.", "type" : "article-journal", "volume" : "364" }, "uris" : [ "http://www.mendeley.com/documents/?uuid=e96b8c25-aa43-4b36-87a9-9c6433f9fa2c" ] } ], "mendeley" : { "formattedCitation" : "&lt;sup&gt;76&lt;/sup&gt;", "plainTextFormattedCitation" : "76", "previouslyFormattedCitation" : "&lt;sup&gt;76&lt;/sup&gt;"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76</w:t>
      </w:r>
      <w:r w:rsidRPr="003E73CD">
        <w:rPr>
          <w:sz w:val="22"/>
          <w:szCs w:val="22"/>
        </w:rPr>
        <w:fldChar w:fldCharType="end"/>
      </w:r>
      <w:r w:rsidRPr="003E73CD">
        <w:rPr>
          <w:sz w:val="22"/>
          <w:szCs w:val="22"/>
        </w:rPr>
        <w:t xml:space="preserve">   Another BRAF inhibitor, dabrafenib, has subsequently been developed and shown to improve survival for patients with metastatic melanoma.</w:t>
      </w:r>
      <w:r w:rsidRPr="003E73CD">
        <w:rPr>
          <w:sz w:val="22"/>
          <w:szCs w:val="22"/>
        </w:rPr>
        <w:fldChar w:fldCharType="begin" w:fldLock="1"/>
      </w:r>
      <w:r w:rsidR="001C6CB8">
        <w:rPr>
          <w:sz w:val="22"/>
          <w:szCs w:val="22"/>
        </w:rPr>
        <w:instrText>ADDIN CSL_CITATION { "citationItems" : [ { "id" : "ITEM-1", "itemData" : { "DOI" : "10.1016/S0140-6736(12)60868-X", "ISBN" : "1474-547X", "ISSN" : "01406736", "PMID" : "22735384", "abstract" : "Background Dabrafenib, an inhibitor of mutated BRAF, has clinical activity with a manageable safety profile in studies of phase 1 and 2 in patients with BRAFV600-mutated metastatic melanoma. We studied the efficacy of dabrafenib in patients with BRAFV600E-mutated metastatic melanoma. Methods We enrolled patients in this open-label phase 3 trial between Dec 23, 2010, and Sept 1, 2011. This report is based on a data cutoff date of Dec 19, 2011. Patients aged 18 years or older with previously untreated, stage IV or unresectable stage III BRAFV600E mutation-positive melanoma were randomly assigned (3:1) to receive dabrafenib (150 mg twice daily, orally) or dacarbazine (1000 mg/m2 intravenously every 3 weeks). Patients were stratified according to American Joint Committee on Cancer stage (unresectable III+IVM1a+IVM1b vs IVM1c). The primary endpoint was investigator-assessed progression-free survival and was analysed by intention to treat; safety was assessed per protocol. This study is registered with ClinicalTrials.gov, number NCT01227889. Findings Of the 733 patients screened, 250 were randomly assigned to receive either dabrafenib (187 patients) or dacarbazine (63 patients). Median progression-free survival was 5 1 months for dabrafenib and 2 7 months for dacarbazine, with a hazard ratio (HR) of 0 30 (95% CI 0 18-0 51; p&lt;0 0001). At data cutoff, 107 (57%) patients in the dabrafenib group and 14 (22%) in the dacarbazine group remained on randomised treatment. Treatment-related adverse events (grade 2 or higher) occurred in 100 (53%) of the 187 patients who received dabrafenib and in 26 (44%) of the 59 patients who received dacarbazine. The most common adverse events with dabrafenib were skin-related toxic effects, fever, fatigue, arthralgia, and headache.The most common adverse events with dacarbazine were nausea, vomiting, neutropenia, fatigue, and asthenia. Grade 3-4 adverse events were uncommon in both groups. Interpretation Dabrafenib significantly improved progression-free survival compared with dacarbazine.", "author" : [ { "dropping-particle" : "", "family" : "Hauschild", "given" : "Axel", "non-dropping-particle" : "", "parse-names" : false, "suffix" : "" }, { "dropping-particle" : "", "family" : "Grob", "given" : "Jean Jacques", "non-dropping-particle" : "", "parse-names" : false, "suffix" : "" }, { "dropping-particle" : "V.", "family" : "Demidov", "given" : "Lev", "non-dropping-particle" : "", "parse-names" : false, "suffix" : "" }, { "dropping-particle" : "", "family" : "Jouary", "given" : "Thomas", "non-dropping-particle" : "", "parse-names" : false, "suffix" : "" }, { "dropping-particle" : "", "family" : "Gutzmer", "given" : "Ralf", "non-dropping-particle" : "", "parse-names" : false, "suffix" : "" }, { "dropping-particle" : "", "family" : "Millward", "given" : "Michael", "non-dropping-particle" : "", "parse-names" : false, "suffix" : "" }, { "dropping-particle" : "", "family" : "Rutkowski", "given" : "Piotr", "non-dropping-particle" : "", "parse-names" : false, "suffix" : "" }, { "dropping-particle" : "", "family" : "Blank", "given" : "Christian U.", "non-dropping-particle" : "", "parse-names" : false, "suffix" : "" }, { "dropping-particle" : "", "family" : "Miller", "given" : "Wilson H.", "non-dropping-particle" : "", "parse-names" : false, "suffix" : "" }, { "dropping-particle" : "", "family" : "Kaempgen", "given" : "Eckhart", "non-dropping-particle" : "", "parse-names" : false, "suffix" : "" }, { "dropping-particle" : "", "family" : "Mart\u00edn-Algarra", "given" : "Salvador", "non-dropping-particle" : "", "parse-names" : false, "suffix" : "" }, { "dropping-particle" : "", "family" : "Karaszewska", "given" : "Boguslawa", "non-dropping-particle" : "", "parse-names" : false, "suffix" : "" }, { "dropping-particle" : "", "family" : "Mauch", "given" : "Cornelia", "non-dropping-particle" : "", "parse-names" : false, "suffix" : "" }, { "dropping-particle" : "", "family" : "Chiarion-Sileni", "given" : "Vanna", "non-dropping-particle" : "", "parse-names" : false, "suffix" : "" }, { "dropping-particle" : "", "family" : "Martin", "given" : "Anne Marie", "non-dropping-particle" : "", "parse-names" : false, "suffix" : "" }, { "dropping-particle" : "", "family" : "Swann", "given" : "Suzanne", "non-dropping-particle" : "", "parse-names" : false, "suffix" : "" }, { "dropping-particle" : "", "family" : "Haney", "given" : "Patricia", "non-dropping-particle" : "", "parse-names" : false, "suffix" : "" }, { "dropping-particle" : "", "family" : "Mirakhur", "given" : "Beloo", "non-dropping-particle" : "", "parse-names" : false, "suffix" : "" }, { "dropping-particle" : "", "family" : "Guckert", "given" : "Mary E.", "non-dropping-particle" : "", "parse-names" : false, "suffix" : "" }, { "dropping-particle" : "", "family" : "Goodman", "given" : "Vicki", "non-dropping-particle" : "", "parse-names" : false, "suffix" : "" }, { "dropping-particle" : "", "family" : "Chapman", "given" : "Paul B.", "non-dropping-particle" : "", "parse-names" : false, "suffix" : "" } ], "container-title" : "The Lancet", "id" : "ITEM-1", "issue" : "9839", "issued" : { "date-parts" : [ [ "2012" ] ] }, "page" : "358-365", "title" : "Dabrafenib in BRAF-mutated metastatic melanoma: A multicentre, open-label, phase 3 randomised controlled trial", "type" : "article-journal", "volume" : "380" }, "uris" : [ "http://www.mendeley.com/documents/?uuid=ab8b8cb3-bcc6-4895-a3aa-e606381eca17" ] } ], "mendeley" : { "formattedCitation" : "&lt;sup&gt;77&lt;/sup&gt;", "plainTextFormattedCitation" : "77", "previouslyFormattedCitation" : "&lt;sup&gt;77&lt;/sup&gt;"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77</w:t>
      </w:r>
      <w:r w:rsidRPr="003E73CD">
        <w:rPr>
          <w:sz w:val="22"/>
          <w:szCs w:val="22"/>
        </w:rPr>
        <w:fldChar w:fldCharType="end"/>
      </w:r>
      <w:proofErr w:type="gramStart"/>
      <w:r w:rsidRPr="003E73CD">
        <w:rPr>
          <w:sz w:val="22"/>
          <w:szCs w:val="22"/>
        </w:rPr>
        <w:t xml:space="preserve">  The</w:t>
      </w:r>
      <w:proofErr w:type="gramEnd"/>
      <w:r w:rsidRPr="003E73CD">
        <w:rPr>
          <w:sz w:val="22"/>
          <w:szCs w:val="22"/>
        </w:rPr>
        <w:t xml:space="preserve"> challenge at present is to determine the optimal use for such agents alone and in combination.  One of the main advantages of these drugs is that they are administered orally and so the morbidity and number of hospital admissions or day-visits are reduced in comparison with conventional intravenous chemotherapy using dacarbazine.  The news is not all good, however.  One of the main side effects with vemurafenib is that there is an increase in the incidence of squamous cell carcinomas (~12%).</w:t>
      </w:r>
      <w:r w:rsidRPr="003E73CD">
        <w:rPr>
          <w:sz w:val="22"/>
          <w:szCs w:val="22"/>
        </w:rPr>
        <w:fldChar w:fldCharType="begin" w:fldLock="1"/>
      </w:r>
      <w:r w:rsidR="001C6CB8">
        <w:rPr>
          <w:sz w:val="22"/>
          <w:szCs w:val="22"/>
        </w:rPr>
        <w:instrText>ADDIN CSL_CITATION { "citationItems" : [ { "id" : "ITEM-1", "itemData" : { "DOI" : "10.1056/NEJMoa1103782", "ISSN" : "1533-4406", "PMID" : "21639808", "abstract" : "BACKGROUND: Phase 1 and 2 clinical trials of the BRAF kinase inhibitor vemurafenib (PLX4032) have shown response rates of more than 50% in patients with metastatic melanoma with the BRAF V600E mutation.\n\nMETHODS: We conducted a phase 3 randomized clinical trial comparing vemurafenib with dacarbazine in 675 patients with previously untreated, metastatic melanoma with the BRAF V600E mutation. Patients were randomly assigned to receive either vemurafenib (960 mg orally twice daily) or dacarbazine (1000 mg per square meter of body-surface area intravenously every 3 weeks). Coprimary end points were rates of overall and progression-free survival. Secondary end points included the response rate, response duration, and safety. A final analysis was planned after 196 deaths and an interim analysis after 98 deaths.\n\nRESULTS: At 6 months, overall survival was 84% (95% confidence interval [CI], 78 to 89) in the vemurafenib group and 64% (95% CI, 56 to 73) in the dacarbazine group. In the interim analysis for overall survival and final analysis for progression-free survival, vemurafenib was associated with a relative reduction of 63% in the risk of death and of 74% in the risk of either death or disease progression, as compared with dacarbazine (P&lt;0.001 for both comparisons). After review of the interim analysis by an independent data and safety monitoring board, crossover from dacarbazine to vemurafenib was recommended. Response rates were 48% for vemurafenib and 5% for dacarbazine. Common adverse events associated with vemurafenib were arthralgia, rash, fatigue, alopecia, keratoacanthoma or squamous-cell carcinoma, photosensitivity, nausea, and diarrhea; 38% of patients required dose modification because of toxic effects.\n\nCONCLUSIONS: Vemurafenib produced improved rates of overall and progression-free survival in patients with previously untreated melanoma with the BRAF V600E mutation. (Funded by Hoffmann-La Roche; BRIM-3 ClinicalTrials.gov number, NCT01006980.).", "author" : [ { "dropping-particle" : "", "family" : "Chapman", "given" : "Paul B", "non-dropping-particle" : "", "parse-names" : false, "suffix" : "" }, { "dropping-particle" : "", "family" : "Hauschild", "given" : "Axel", "non-dropping-particle" : "", "parse-names" : false, "suffix" : "" }, { "dropping-particle" : "", "family" : "Robert", "given" : "Caroline", "non-dropping-particle" : "", "parse-names" : false, "suffix" : "" }, { "dropping-particle" : "", "family" : "Haanen", "given" : "John B", "non-dropping-particle" : "", "parse-names" : false, "suffix" : "" }, { "dropping-particle" : "", "family" : "Ascierto", "given" : "Paolo", "non-dropping-particle" : "", "parse-names" : false, "suffix" : "" }, { "dropping-particle" : "", "family" : "Larkin", "given" : "James", "non-dropping-particle" : "", "parse-names" : false, "suffix" : "" }, { "dropping-particle" : "", "family" : "Dummer", "given" : "Reinhard", "non-dropping-particle" : "", "parse-names" : false, "suffix" : "" }, { "dropping-particle" : "", "family" : "Garbe", "given" : "Claus", "non-dropping-particle" : "", "parse-names" : false, "suffix" : "" }, { "dropping-particle" : "", "family" : "Testori", "given" : "Alessandro", "non-dropping-particle" : "", "parse-names" : false, "suffix" : "" }, { "dropping-particle" : "", "family" : "Maio", "given" : "Michele", "non-dropping-particle" : "", "parse-names" : false, "suffix" : "" }, { "dropping-particle" : "", "family" : "Hogg", "given" : "David", "non-dropping-particle" : "", "parse-names" : false, "suffix" : "" }, { "dropping-particle" : "", "family" : "Lorigan", "given" : "Paul", "non-dropping-particle" : "", "parse-names" : false, "suffix" : "" }, { "dropping-particle" : "", "family" : "Lebbe", "given" : "Celeste", "non-dropping-particle" : "", "parse-names" : false, "suffix" : "" }, { "dropping-particle" : "", "family" : "Jouary", "given" : "Thomas", "non-dropping-particle" : "", "parse-names" : false, "suffix" : "" }, { "dropping-particle" : "", "family" : "Schadendorf", "given" : "Dirk", "non-dropping-particle" : "", "parse-names" : false, "suffix" : "" }, { "dropping-particle" : "", "family" : "Ribas", "given" : "Antoni", "non-dropping-particle" : "", "parse-names" : false, "suffix" : "" }, { "dropping-particle" : "", "family" : "O'Day", "given" : "Steven J", "non-dropping-particle" : "", "parse-names" : false, "suffix" : "" }, { "dropping-particle" : "", "family" : "Sosman", "given" : "Jeffrey A", "non-dropping-particle" : "", "parse-names" : false, "suffix" : "" }, { "dropping-particle" : "", "family" : "Kirkwood", "given" : "John M", "non-dropping-particle" : "", "parse-names" : false, "suffix" : "" }, { "dropping-particle" : "", "family" : "Eggermont", "given" : "Alexander M M", "non-dropping-particle" : "", "parse-names" : false, "suffix" : "" }, { "dropping-particle" : "", "family" : "Dreno", "given" : "Brigitte", "non-dropping-particle" : "", "parse-names" : false, "suffix" : "" }, { "dropping-particle" : "", "family" : "Nolop", "given" : "Keith", "non-dropping-particle" : "", "parse-names" : false, "suffix" : "" }, { "dropping-particle" : "", "family" : "Li", "given" : "Jiang", "non-dropping-particle" : "", "parse-names" : false, "suffix" : "" }, { "dropping-particle" : "", "family" : "Nelson", "given" : "Betty", "non-dropping-particle" : "", "parse-names" : false, "suffix" : "" }, { "dropping-particle" : "", "family" : "Hou", "given" : "Jeannie", "non-dropping-particle" : "", "parse-names" : false, "suffix" : "" }, { "dropping-particle" : "", "family" : "Lee", "given" : "Richard J", "non-dropping-particle" : "", "parse-names" : false, "suffix" : "" }, { "dropping-particle" : "", "family" : "Flaherty", "given" : "Keith T", "non-dropping-particle" : "", "parse-names" : false, "suffix" : "" }, { "dropping-particle" : "", "family" : "McArthur", "given" : "Grant A", "non-dropping-particle" : "", "parse-names" : false, "suffix" : "" } ], "container-title" : "The New England journal of medicine", "id" : "ITEM-1", "issue" : "26", "issued" : { "date-parts" : [ [ "2011", "6", "30" ] ] }, "page" : "2507-16", "title" : "Improved survival with vemurafenib in melanoma with BRAF V600E mutation.", "type" : "article-journal", "volume" : "364" }, "uris" : [ "http://www.mendeley.com/documents/?uuid=e96b8c25-aa43-4b36-87a9-9c6433f9fa2c" ] } ], "mendeley" : { "formattedCitation" : "&lt;sup&gt;76&lt;/sup&gt;", "plainTextFormattedCitation" : "76", "previouslyFormattedCitation" : "&lt;sup&gt;76&lt;/sup&gt;"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76</w:t>
      </w:r>
      <w:r w:rsidRPr="003E73CD">
        <w:rPr>
          <w:sz w:val="22"/>
          <w:szCs w:val="22"/>
        </w:rPr>
        <w:fldChar w:fldCharType="end"/>
      </w:r>
      <w:proofErr w:type="gramStart"/>
      <w:r w:rsidRPr="003E73CD">
        <w:rPr>
          <w:sz w:val="22"/>
          <w:szCs w:val="22"/>
        </w:rPr>
        <w:t xml:space="preserve">  In</w:t>
      </w:r>
      <w:proofErr w:type="gramEnd"/>
      <w:r w:rsidRPr="003E73CD">
        <w:rPr>
          <w:sz w:val="22"/>
          <w:szCs w:val="22"/>
        </w:rPr>
        <w:t xml:space="preserve"> addition, resistance appears to develop to treatment with BRAF inhibitors so that disease progression eventually occurs.</w:t>
      </w:r>
      <w:r w:rsidRPr="003E73CD">
        <w:rPr>
          <w:sz w:val="22"/>
          <w:szCs w:val="22"/>
        </w:rPr>
        <w:fldChar w:fldCharType="begin" w:fldLock="1"/>
      </w:r>
      <w:r w:rsidR="001C6CB8">
        <w:rPr>
          <w:sz w:val="22"/>
          <w:szCs w:val="22"/>
        </w:rPr>
        <w:instrText>ADDIN CSL_CITATION { "citationItems" : [ { "id" : "ITEM-1", "itemData" : { "DOI" : "10.1038/nature09626", "ISBN" : "1476-4687 (Electronic)\\r0028-0836 (Linking)", "ISSN" : "0028-0836", "PMID" : "21107323", "abstract" : "Activating B-RAF(V600E) (also known as BRAF) kinase mutations occur in \u223c7% of human malignancies and \u223c60% of melanomas. Early clinical experience with a novel class I RAF-selective inhibitor, PLX4032, demonstrated an unprecedented 80% anti-tumour response rate among patients with B-RAF(V600E)-positive melanomas, but acquired drug resistance frequently develops after initial responses. Hypotheses for mechanisms of acquired resistance to B-RAF inhibition include secondary mutations in B-RAF(V600E), MAPK reactivation, and activation of alternative survival pathways. Here we show that acquired resistance to PLX4032 develops by mutually exclusive PDGFR\u03b2 (also known as PDGFRB) upregulation or N-RAS (also known as NRAS) mutations but not through secondary mutations in B-RAF(V600E). We used PLX4032-resistant sub-lines artificially derived from B-RAF(V600E)-positive melanoma cell lines and validated key findings in PLX4032-resistant tumours and tumour-matched, short-term cultures from clinical trial patients. Induction of PDGFR\u03b2 RNA, protein and tyrosine phosphorylation emerged as a dominant feature of acquired PLX4032 resistance in a subset of melanoma sub-lines, patient-derived biopsies and short-term cultures. PDGFR\u03b2-upregulated tumour cells have low activated RAS levels and, when treated with PLX4032, do not reactivate the MAPK pathway significantly. In another subset, high levels of activated N-RAS resulting from mutations lead to significant MAPK pathway reactivation upon PLX4032 treatment. Knockdown of PDGFR\u03b2 or N-RAS reduced growth of the respective PLX4032-resistant subsets. Overexpression of PDGFR\u03b2 or N-RAS(Q61K) conferred PLX4032 resistance to PLX4032-sensitive parental cell lines. Importantly, MAPK reactivation predicts MEK inhibitor sensitivity. Thus, melanomas escape B-RAF(V600E) targeting not through secondary B-RAF(V600E) mutations but via receptor tyrosine kinase (RTK)-mediated activation of alternative survival pathway(s) or activated RAS-mediated reactivation of the MAPK pathway, suggesting additional therapeutic strategies.", "author" : [ { "dropping-particle" : "", "family" : "Nazarian", "given" : "Ramin", "non-dropping-particle" : "", "parse-names" : false, "suffix" : "" }, { "dropping-particle" : "", "family" : "Shi", "given" : "Hubing", "non-dropping-particle" : "", "parse-names" : false, "suffix" : "" }, { "dropping-particle" : "", "family" : "Wang", "given" : "Qi", "non-dropping-particle" : "", "parse-names" : false, "suffix" : "" }, { "dropping-particle" : "", "family" : "Kong", "given" : "Xiangju", "non-dropping-particle" : "", "parse-names" : false, "suffix" : "" }, { "dropping-particle" : "", "family" : "Koya", "given" : "Richard C", "non-dropping-particle" : "", "parse-names" : false, "suffix" : "" }, { "dropping-particle" : "", "family" : "Lee", "given" : "Hane", "non-dropping-particle" : "", "parse-names" : false, "suffix" : "" }, { "dropping-particle" : "", "family" : "Chen", "given" : "Zugen", "non-dropping-particle" : "", "parse-names" : false, "suffix" : "" }, { "dropping-particle" : "", "family" : "Lee", "given" : "Mi-Kyung", "non-dropping-particle" : "", "parse-names" : false, "suffix" : "" }, { "dropping-particle" : "", "family" : "Attar", "given" : "Narsis", "non-dropping-particle" : "", "parse-names" : false, "suffix" : "" }, { "dropping-particle" : "", "family" : "Sazegar", "given" : "Hooman", "non-dropping-particle" : "", "parse-names" : false, "suffix" : "" }, { "dropping-particle" : "", "family" : "Chodon", "given" : "Thinle", "non-dropping-particle" : "", "parse-names" : false, "suffix" : "" }, { "dropping-particle" : "", "family" : "Nelson", "given" : "Stanley F", "non-dropping-particle" : "", "parse-names" : false, "suffix" : "" }, { "dropping-particle" : "", "family" : "McArthur", "given" : "Grant", "non-dropping-particle" : "", "parse-names" : false, "suffix" : "" }, { "dropping-particle" : "", "family" : "Sosman", "given" : "Jeffrey A", "non-dropping-particle" : "", "parse-names" : false, "suffix" : "" }, { "dropping-particle" : "", "family" : "Ribas", "given" : "Antoni", "non-dropping-particle" : "", "parse-names" : false, "suffix" : "" }, { "dropping-particle" : "", "family" : "Lo", "given" : "Roger S", "non-dropping-particle" : "", "parse-names" : false, "suffix" : "" } ], "container-title" : "Nature", "id" : "ITEM-1", "issue" : "7326", "issued" : { "date-parts" : [ [ "2010" ] ] }, "page" : "973-977", "title" : "Melanomas acquire resistance to B-RAF(V600E) inhibition by RTK or N-RAS upregulation.", "type" : "article-journal", "volume" : "468" }, "uris" : [ "http://www.mendeley.com/documents/?uuid=687dc7d3-7070-4471-9d2f-1689897e8c55" ] } ], "mendeley" : { "formattedCitation" : "&lt;sup&gt;78&lt;/sup&gt;", "plainTextFormattedCitation" : "78", "previouslyFormattedCitation" : "&lt;sup&gt;78&lt;/sup&gt;"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78</w:t>
      </w:r>
      <w:r w:rsidRPr="003E73CD">
        <w:rPr>
          <w:sz w:val="22"/>
          <w:szCs w:val="22"/>
        </w:rPr>
        <w:fldChar w:fldCharType="end"/>
      </w:r>
      <w:proofErr w:type="gramStart"/>
      <w:r w:rsidRPr="003E73CD">
        <w:rPr>
          <w:sz w:val="22"/>
          <w:szCs w:val="22"/>
        </w:rPr>
        <w:t xml:space="preserve">  Drugs</w:t>
      </w:r>
      <w:proofErr w:type="gramEnd"/>
      <w:r w:rsidRPr="003E73CD">
        <w:rPr>
          <w:sz w:val="22"/>
          <w:szCs w:val="22"/>
        </w:rPr>
        <w:t xml:space="preserve"> that target other steps in the MAP kinase pathway are therefore being developed in order to combat the problem of resistance.</w:t>
      </w:r>
    </w:p>
    <w:p w14:paraId="6EEB457C" w14:textId="2FB47B1B" w:rsidR="0061482C" w:rsidRPr="003E73CD" w:rsidRDefault="0061482C" w:rsidP="0061482C">
      <w:pPr>
        <w:spacing w:line="480" w:lineRule="auto"/>
        <w:ind w:firstLine="720"/>
        <w:rPr>
          <w:sz w:val="22"/>
          <w:szCs w:val="22"/>
        </w:rPr>
      </w:pPr>
      <w:r w:rsidRPr="003E73CD">
        <w:rPr>
          <w:sz w:val="22"/>
          <w:szCs w:val="22"/>
        </w:rPr>
        <w:t>The aforementioned advances in genomic medicine and increased understanding of the cellular mechanisms underpinning melanoma pathogenesis have paved the way for a new approach to classification of melanoma.  What is emerging is a clinicopathological and genetic correlation.</w:t>
      </w:r>
      <w:r w:rsidRPr="003E73CD">
        <w:rPr>
          <w:sz w:val="22"/>
          <w:szCs w:val="22"/>
        </w:rPr>
        <w:fldChar w:fldCharType="begin" w:fldLock="1"/>
      </w:r>
      <w:r w:rsidR="001C6CB8">
        <w:rPr>
          <w:sz w:val="22"/>
          <w:szCs w:val="22"/>
        </w:rPr>
        <w:instrText>ADDIN CSL_CITATION { "citationItems" : [ { "id" : "ITEM-1", "itemData" : { "DOI" : "10.1146/annurev-pathol-012513-104658", "ISBN" : "1553-4014 (Electronic)\\n1553-4006 (Linking)", "ISSN" : "1553-4014", "PMID" : "24460190", "abstract" : "Melanomas comprise multiple biologically distinct categories, which differ in cell of origin, age of onset, clinical and histologic presentation, pattern of metastasis, ethnic distribution, causative role of UV radiation, predisposing germ-line alterations, mutational processes, and patterns of somatic mutations. Neoplasms are initiated by gain-of-function mutations in one of several primary oncogenes, which typically lead to benign melanocytic nevi with characteristic histologic features. The progression of nevi is restrained by multiple tumor-suppressive mechanisms. Secondary genetic alterations override these barriers and promote intermediate or overtly malignant tumors along distinct progression trajectories. The current knowledge about the pathogenesis and clinical, histologic, and genetic features of primary melanocytic neoplasms is reviewed and integrated into a taxonomic framework.", "author" : [ { "dropping-particle" : "", "family" : "Bastian", "given" : "B C", "non-dropping-particle" : "", "parse-names" : false, "suffix" : "" } ], "container-title" : "Annu Rev Pathol", "id" : "ITEM-1", "issued" : { "date-parts" : [ [ "2014" ] ] }, "page" : "239-271", "title" : "The molecular pathology of melanoma: an integrated taxonomy of melanocytic neoplasia", "type" : "article-journal", "volume" : "9" }, "uris" : [ "http://www.mendeley.com/documents/?uuid=5fa8cacc-09ad-4f72-a6df-1e45c97294aa" ] } ], "mendeley" : { "formattedCitation" : "&lt;sup&gt;79&lt;/sup&gt;", "plainTextFormattedCitation" : "79", "previouslyFormattedCitation" : "&lt;sup&gt;79&lt;/sup&gt;"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79</w:t>
      </w:r>
      <w:r w:rsidRPr="003E73CD">
        <w:rPr>
          <w:sz w:val="22"/>
          <w:szCs w:val="22"/>
        </w:rPr>
        <w:fldChar w:fldCharType="end"/>
      </w:r>
      <w:proofErr w:type="gramStart"/>
      <w:r w:rsidRPr="003E73CD">
        <w:rPr>
          <w:sz w:val="22"/>
          <w:szCs w:val="22"/>
        </w:rPr>
        <w:t xml:space="preserve">  For</w:t>
      </w:r>
      <w:proofErr w:type="gramEnd"/>
      <w:r w:rsidRPr="003E73CD">
        <w:rPr>
          <w:sz w:val="22"/>
          <w:szCs w:val="22"/>
        </w:rPr>
        <w:t xml:space="preserve"> example, nodular melanoma occurring on chronically sun damaged skin and lentigo maligna melanoma are associated with mutations in KIT but not BRAF whereas nodular and superficial spreading melanomas arising on non-chronically sun damaged skin are associated with BRAF but not KIT mutations.  They typically occur at different ages and exhibit different patterns of metastasis.</w:t>
      </w:r>
      <w:r w:rsidRPr="003E73CD">
        <w:rPr>
          <w:sz w:val="22"/>
          <w:szCs w:val="22"/>
        </w:rPr>
        <w:fldChar w:fldCharType="begin" w:fldLock="1"/>
      </w:r>
      <w:r w:rsidR="001C6CB8">
        <w:rPr>
          <w:sz w:val="22"/>
          <w:szCs w:val="22"/>
        </w:rPr>
        <w:instrText>ADDIN CSL_CITATION { "citationItems" : [ { "id" : "ITEM-1", "itemData" : { "DOI" : "10.1146/annurev-pathol-012513-104658", "ISBN" : "1553-4014 (Electronic)\\n1553-4006 (Linking)", "ISSN" : "1553-4014", "PMID" : "24460190", "abstract" : "Melanomas comprise multiple biologically distinct categories, which differ in cell of origin, age of onset, clinical and histologic presentation, pattern of metastasis, ethnic distribution, causative role of UV radiation, predisposing germ-line alterations, mutational processes, and patterns of somatic mutations. Neoplasms are initiated by gain-of-function mutations in one of several primary oncogenes, which typically lead to benign melanocytic nevi with characteristic histologic features. The progression of nevi is restrained by multiple tumor-suppressive mechanisms. Secondary genetic alterations override these barriers and promote intermediate or overtly malignant tumors along distinct progression trajectories. The current knowledge about the pathogenesis and clinical, histologic, and genetic features of primary melanocytic neoplasms is reviewed and integrated into a taxonomic framework.", "author" : [ { "dropping-particle" : "", "family" : "Bastian", "given" : "B C", "non-dropping-particle" : "", "parse-names" : false, "suffix" : "" } ], "container-title" : "Annu Rev Pathol", "id" : "ITEM-1", "issued" : { "date-parts" : [ [ "2014" ] ] }, "page" : "239-271", "title" : "The molecular pathology of melanoma: an integrated taxonomy of melanocytic neoplasia", "type" : "article-journal", "volume" : "9" }, "uris" : [ "http://www.mendeley.com/documents/?uuid=5fa8cacc-09ad-4f72-a6df-1e45c97294aa" ] } ], "mendeley" : { "formattedCitation" : "&lt;sup&gt;79&lt;/sup&gt;", "plainTextFormattedCitation" : "79", "previouslyFormattedCitation" : "&lt;sup&gt;79&lt;/sup&gt;"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79</w:t>
      </w:r>
      <w:r w:rsidRPr="003E73CD">
        <w:rPr>
          <w:sz w:val="22"/>
          <w:szCs w:val="22"/>
        </w:rPr>
        <w:fldChar w:fldCharType="end"/>
      </w:r>
      <w:r w:rsidRPr="003E73CD">
        <w:rPr>
          <w:sz w:val="22"/>
          <w:szCs w:val="22"/>
        </w:rPr>
        <w:t xml:space="preserve">   Knowledge of such differences will allow treatment strategies to become more individualized.</w:t>
      </w:r>
    </w:p>
    <w:p w14:paraId="52D5A44D" w14:textId="6B3AB54B" w:rsidR="0061482C" w:rsidRPr="003E73CD" w:rsidRDefault="0061482C" w:rsidP="0061482C">
      <w:pPr>
        <w:spacing w:line="480" w:lineRule="auto"/>
        <w:ind w:firstLine="720"/>
        <w:rPr>
          <w:sz w:val="22"/>
          <w:szCs w:val="22"/>
        </w:rPr>
      </w:pPr>
      <w:r w:rsidRPr="003E73CD">
        <w:rPr>
          <w:sz w:val="22"/>
          <w:szCs w:val="22"/>
        </w:rPr>
        <w:t xml:space="preserve">In addition to the </w:t>
      </w:r>
      <w:proofErr w:type="gramStart"/>
      <w:r w:rsidRPr="003E73CD">
        <w:rPr>
          <w:sz w:val="22"/>
          <w:szCs w:val="22"/>
        </w:rPr>
        <w:t>ground-breaking</w:t>
      </w:r>
      <w:proofErr w:type="gramEnd"/>
      <w:r w:rsidRPr="003E73CD">
        <w:rPr>
          <w:sz w:val="22"/>
          <w:szCs w:val="22"/>
        </w:rPr>
        <w:t xml:space="preserve"> developments in targeted therapy, there have been significant breakthroughs in the use of immunotherapy for treatment of metastatic melanoma.  Immunotherapy has been a focus of attention in relation to melanoma for the last half century.  Early trials using Bacillus Calmette-Guerin (BCG) showed some promise but this was not borne out in a randomized trial.</w:t>
      </w:r>
      <w:r w:rsidRPr="003E73CD">
        <w:rPr>
          <w:sz w:val="22"/>
          <w:szCs w:val="22"/>
        </w:rPr>
        <w:fldChar w:fldCharType="begin" w:fldLock="1"/>
      </w:r>
      <w:r w:rsidR="001C6CB8">
        <w:rPr>
          <w:sz w:val="22"/>
          <w:szCs w:val="22"/>
        </w:rPr>
        <w:instrText>ADDIN CSL_CITATION { "citationItems" : [ { "id" : "ITEM-1", "itemData" : { "ISSN" : "0003-4932", "PMID" : "4412271", "abstract" : "Over the past 7 years, 151 patients with malignant melanoma have been treated with BCG immunotherapy alone or as an adjunct to surgical therapy. Direct injection of metastatic melanoma lesions limited to skin resulted in 90% regression of injected lesions and 17% regression of uninjected lesions in immunocompetent patients. Approximately 25% of these patients remained free of disease for 1 to 6 years. Direct injections of BCG into nodules of patients with subcutaneous or visceral metastases resulted in a lower incidence of local control and no long term survivors. Attempts to improve the results of immunotherapy in these patients by palliative surgical resection of large metastatic lesions to lower tumor burden followed by BCG immunotherapy significantly improved the results although many patients still developed recurrent disease. Early results of a clinical trial combining BCG immunotherapy with regional lymphadenectomy in patients with melanoma metastatic to lymph nodes have been encouraging and promising. Further controlled clinical trials are necessary to elucidate the role of BCG in immunotherapy. However, since BCG is but one of a number of potential immunologic adjuvants, even more effective immunotherapy will be possible as further knowledge of the interactions of cellular and humoral immunity is acquired.", "author" : [ { "dropping-particle" : "", "family" : "Morton", "given" : "D L", "non-dropping-particle" : "", "parse-names" : false, "suffix" : "" }, { "dropping-particle" : "", "family" : "Eilber", "given" : "F R", "non-dropping-particle" : "", "parse-names" : false, "suffix" : "" }, { "dropping-particle" : "", "family" : "Holmes", "given" : "E C", "non-dropping-particle" : "", "parse-names" : false, "suffix" : "" }, { "dropping-particle" : "", "family" : "Hunt", "given" : "J S", "non-dropping-particle" : "", "parse-names" : false, "suffix" : "" }, { "dropping-particle" : "", "family" : "Ketcham", "given" : "A S", "non-dropping-particle" : "", "parse-names" : false, "suffix" : "" }, { "dropping-particle" : "", "family" : "Silverstein", "given" : "M J", "non-dropping-particle" : "", "parse-names" : false, "suffix" : "" }, { "dropping-particle" : "", "family" : "Sparks", "given" : "F C", "non-dropping-particle" : "", "parse-names" : false, "suffix" : "" } ], "container-title" : "Annals of surgery", "id" : "ITEM-1", "issue" : "4", "issued" : { "date-parts" : [ [ "1974", "10" ] ] }, "page" : "635-43", "title" : "BCG immunotherapy of malignant melanoma: summary of a seven-year experience.", "type" : "article-journal", "volume" : "180" }, "uris" : [ "http://www.mendeley.com/documents/?uuid=c27c56d8-4d75-4c18-998b-1c196bd303b8" ] }, { "id" : "ITEM-2", "itemData" : { "PMID" : "7050717", "abstract" : "In a randomized trial of adjuvant chemotherapy, immunotherapy, or immunochemotherapy, 761 evaluable patients with pathological Stage II cutaneous melanoma anywhere on the body or with pathological Stage I melanoma of the trunk (Clark's level 3 to 5) were studied by the World Health Organization International Melanoma Group. Wide local excision and excisional regional lymphadenectomy alone were performed in 185 patients and the results were compared with those of surgery plus chemotherapy with dacarbazine (in 192 patients), surgery plus immunotherapy with bacille Calmette-Guerin vaccine (in 203), and surgery plus chemotherapy combined with immunotherapy (in 181). The rates of disease-free survival and overall survival at 36 months were 30.4 +/- 8.3 per cent (mean +/- S.E.) and 41.6 +/- 10.0 per cent, respectively, after surgical treatment alone; 37.2 +/- 7.9 per cent and 46.5 +/- 8.3 per cent after surgery plus chemotherapy; 34.8 +/- 7.9 per cent and 48.7 +/- 8.7 per cent after surgery plus immunotherapy; and 33.6 +/- 7.9 per cent and 50.0 +/- 8.8 per cent after surgery plus a combination of chemotherapy and immunotherapy. None of the differences between groups was significant, and thus no effect of adjuvant therapy could be demonstrated in this study", "author" : [ { "dropping-particle" : "", "family" : "Veronesi", "given" : "U", "non-dropping-particle" : "", "parse-names" : false, "suffix" : "" }, { "dropping-particle" : "", "family" : "Adamus", "given" : "J", "non-dropping-particle" : "", "parse-names" : false, "suffix" : "" }, { "dropping-particle" : "", "family" : "Aubert", "given" : "C", "non-dropping-particle" : "", "parse-names" : false, "suffix" : "" }, { "dropping-particle" : "", "family" : "Bajetta", "given" : "E", "non-dropping-particle" : "", "parse-names" : false, "suffix" : "" }, { "dropping-particle" : "", "family" : "Beretta", "given" : "G", "non-dropping-particle" : "", "parse-names" : false, "suffix" : "" }, { "dropping-particle" : "", "family" : "Bonadonna", "given" : "G", "non-dropping-particle" : "", "parse-names" : false, "suffix" : "" }, { "dropping-particle" : "", "family" : "Bufalino", "given" : "R", "non-dropping-particle" : "", "parse-names" : false, "suffix" : "" }, { "dropping-particle" : "", "family" : "Cascinelli", "given" : "N", "non-dropping-particle" : "", "parse-names" : false, "suffix" : "" }, { "dropping-particle" : "", "family" : "Cocconi", "given" : "G", "non-dropping-particle" : "", "parse-names" : false, "suffix" : "" }, { "dropping-particle" : "", "family" : "Durand", "given" : "J", "non-dropping-particle" : "", "parse-names" : false, "suffix" : "" }, { "dropping-particle" : "", "family" : "Marsillac", "given" : "J", "non-dropping-particle" : "De", "parse-names" : false, "suffix" : "" }, { "dropping-particle" : "", "family" : "Ikonopisov", "given" : "R L", "non-dropping-particle" : "", "parse-names" : false, "suffix" : "" }, { "dropping-particle" : "", "family" : "Kiss", "given" : "B", "non-dropping-particle" : "", "parse-names" : false, "suffix" : "" }, { "dropping-particle" : "", "family" : "Lejeune", "given" : "F", "non-dropping-particle" : "", "parse-names" : false, "suffix" : "" }, { "dropping-particle" : "", "family" : "MacKie", "given" : "R", "non-dropping-particle" : "", "parse-names" : false, "suffix" : "" }, { "dropping-particle" : "", "family" : "Madej", "given" : "G", "non-dropping-particle" : "", "parse-names" : false, "suffix" : "" }, { "dropping-particle" : "", "family" : "Mulder", "given" : "H", "non-dropping-particle" : "", "parse-names" : false, "suffix" : "" }, { "dropping-particle" : "", "family" : "Mechl", "given" : "Z", "non-dropping-particle" : "", "parse-names" : false, "suffix" : "" }, { "dropping-particle" : "", "family" : "Milton", "given" : "G W", "non-dropping-particle" : "", "parse-names" : false, "suffix" : "" }, { "dropping-particle" : "", "family" : "Morabito", "given" : "A", "non-dropping-particle" : "", "parse-names" : false, "suffix" : "" }, { "dropping-particle" : "", "family" : "Peter", "given" : "H", "non-dropping-particle" : "", "parse-names" : false, "suffix" : "" }, { "dropping-particle" : "", "family" : "Priario", "given" : "J", "non-dropping-particle" : "", "parse-names" : false, "suffix" : "" }, { "dropping-particle" : "", "family" : "Paul", "given" : "E", "non-dropping-particle" : "", "parse-names" : false, "suffix" : "" }, { "dropping-particle" : "", "family" : "Rumke", "given" : "P", "non-dropping-particle" : "", "parse-names" : false, "suffix" : "" }, { "dropping-particle" : "", "family" : "Sertoli", "given" : "R", "non-dropping-particle" : "", "parse-names" : false, "suffix" : "" }, { "dropping-particle" : "", "family" : "Tomin", "given" : "R", "non-dropping-particle" : "", "parse-names" : false, "suffix" : "" } ], "container-title" : "N.Engl.J Med.", "id" : "ITEM-2", "issue" : "15", "issued" : { "date-parts" : [ [ "1982" ] ] }, "page" : "913-916", "title" : "A randomized trial of adjuvant chemotherapy and immunotherapy in cutaneous melanoma", "type" : "article-journal", "volume" : "307" }, "uris" : [ "http://www.mendeley.com/documents/?uuid=4c9fc224-3713-4131-9241-295a53f76e0c" ] } ], "mendeley" : { "formattedCitation" : "&lt;sup&gt;80,81&lt;/sup&gt;", "plainTextFormattedCitation" : "80,81", "previouslyFormattedCitation" : "&lt;sup&gt;80,81&lt;/sup&gt;"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80,81</w:t>
      </w:r>
      <w:r w:rsidRPr="003E73CD">
        <w:rPr>
          <w:sz w:val="22"/>
          <w:szCs w:val="22"/>
        </w:rPr>
        <w:fldChar w:fldCharType="end"/>
      </w:r>
      <w:r w:rsidRPr="003E73CD">
        <w:rPr>
          <w:sz w:val="22"/>
          <w:szCs w:val="22"/>
        </w:rPr>
        <w:t xml:space="preserve">   However, high dose interferon α2b was shown to improve survival in a trial in which it was administered as an adjuvant therapy to patients with resected melanoma and high-risk of recurrence (either T4 or N1 disease).</w:t>
      </w:r>
      <w:r w:rsidRPr="003E73CD">
        <w:rPr>
          <w:sz w:val="22"/>
          <w:szCs w:val="22"/>
        </w:rPr>
        <w:fldChar w:fldCharType="begin" w:fldLock="1"/>
      </w:r>
      <w:r w:rsidR="001C6CB8">
        <w:rPr>
          <w:sz w:val="22"/>
          <w:szCs w:val="22"/>
        </w:rPr>
        <w:instrText>ADDIN CSL_CITATION { "citationItems" : [ { "id" : "ITEM-1", "itemData" : { "author" : [ { "dropping-particle" : "", "family" : "Kirkwood", "given" : "JM", "non-dropping-particle" : "", "parse-names" : false, "suffix" : "" }, { "dropping-particle" : "", "family" : "Strawderman", "given" : "MH", "non-dropping-particle" : "", "parse-names" : false, "suffix" : "" }, { "dropping-particle" : "", "family" : "Ernstoff", "given" : "MS", "non-dropping-particle" : "", "parse-names" : false, "suffix" : "" }, { "dropping-particle" : "", "family" : "Smith", "given" : "TJ", "non-dropping-particle" : "", "parse-names" : false, "suffix" : "" }, { "dropping-particle" : "", "family" : "Borden", "given" : "EC", "non-dropping-particle" : "", "parse-names" : false, "suffix" : "" }, { "dropping-particle" : "", "family" : "Blum", "given" : "RH", "non-dropping-particle" : "", "parse-names" : false, "suffix" : "" } ], "container-title" : "J. Clin. Oncol.", "id" : "ITEM-1", "issue" : "1", "issued" : { "date-parts" : [ [ "1996", "1", "1" ] ] }, "page" : "7-17", "title" : "Interferon alfa-2b adjuvant therapy of high-risk resected cutaneous melanoma: the Eastern Cooperative Oncology Group Trial EST 1684", "type" : "article-journal", "volume" : "14" }, "uris" : [ "http://www.mendeley.com/documents/?uuid=f4a7338a-2a50-4da0-87be-61d2f20b3301" ] } ], "mendeley" : { "formattedCitation" : "&lt;sup&gt;82&lt;/sup&gt;", "plainTextFormattedCitation" : "82", "previouslyFormattedCitation" : "&lt;sup&gt;82&lt;/sup&gt;"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82</w:t>
      </w:r>
      <w:r w:rsidRPr="003E73CD">
        <w:rPr>
          <w:sz w:val="22"/>
          <w:szCs w:val="22"/>
        </w:rPr>
        <w:fldChar w:fldCharType="end"/>
      </w:r>
      <w:proofErr w:type="gramStart"/>
      <w:r w:rsidRPr="003E73CD">
        <w:rPr>
          <w:sz w:val="22"/>
          <w:szCs w:val="22"/>
        </w:rPr>
        <w:t xml:space="preserve">  The</w:t>
      </w:r>
      <w:proofErr w:type="gramEnd"/>
      <w:r w:rsidRPr="003E73CD">
        <w:rPr>
          <w:sz w:val="22"/>
          <w:szCs w:val="22"/>
        </w:rPr>
        <w:t xml:space="preserve"> treatment period lasted for 12 months which is significant not least because high-dose interferon is associated with significant side-effects.</w:t>
      </w:r>
      <w:r w:rsidRPr="003E73CD">
        <w:rPr>
          <w:sz w:val="22"/>
          <w:szCs w:val="22"/>
        </w:rPr>
        <w:fldChar w:fldCharType="begin" w:fldLock="1"/>
      </w:r>
      <w:r w:rsidR="001C6CB8">
        <w:rPr>
          <w:sz w:val="22"/>
          <w:szCs w:val="22"/>
        </w:rPr>
        <w:instrText>ADDIN CSL_CITATION { "citationItems" : [ { "id" : "ITEM-1", "itemData" : { "DOI" : "10.1002/cncr.23251", "ISSN" : "0008-543X", "PMID" : "18236459", "abstract" : "Interferon-alpha-2b (IFNalpha2b) is the only effective adjuvant therapy for melanoma patients at high risk of recurrence that has been approved by regulatory authorities worldwide. However, IFN toxicities increase the risk of poor treatment compliance and impair the potential for benefit from this agent. A review of the literature demonstrated little recent attention to supportive care in the management of IFN toxicities. An international group of experts with extensive personal experience in the use of IFNs worked together to develop practical guidelines for the use of IFNs. Practical recommendations were developed for patient education on the use of IFN; initial patient assessment and monitoring, including contraindications to the use of IFN, monitoring and managing adverse events, and IFN dose modification and discontinuation; IFN injection procedures; treatment of elderly patients; and use during pregnancy and nursing. Successful adjuvant therapy of melanoma with high-dose IFN requires close compliance with the treatment regimen. Recommendations for the recognition and management of adverse events are designed to enable more patients to complete the full planned course of treatment.", "author" : [ { "dropping-particle" : "", "family" : "Hauschild", "given" : "Axel", "non-dropping-particle" : "", "parse-names" : false, "suffix" : "" }, { "dropping-particle" : "", "family" : "Gogas", "given" : "Helen", "non-dropping-particle" : "", "parse-names" : false, "suffix" : "" }, { "dropping-particle" : "", "family" : "Tarhini", "given" : "Ahmad", "non-dropping-particle" : "", "parse-names" : false, "suffix" : "" }, { "dropping-particle" : "", "family" : "Middleton", "given" : "Mark R", "non-dropping-particle" : "", "parse-names" : false, "suffix" : "" }, { "dropping-particle" : "", "family" : "Testori", "given" : "Alessandro", "non-dropping-particle" : "", "parse-names" : false, "suffix" : "" }, { "dropping-particle" : "", "family" : "Dr\u00e9no", "given" : "Brigitte", "non-dropping-particle" : "", "parse-names" : false, "suffix" : "" }, { "dropping-particle" : "", "family" : "Kirkwood", "given" : "John M", "non-dropping-particle" : "", "parse-names" : false, "suffix" : "" } ], "container-title" : "Cancer", "id" : "ITEM-1", "issue" : "5", "issued" : { "date-parts" : [ [ "2008", "3", "1" ] ] }, "page" : "982-94", "title" : "Practical guidelines for the management of interferon-alpha-2b side effects in patients receiving adjuvant treatment for melanoma: expert opinion.", "type" : "article-journal", "volume" : "112" }, "uris" : [ "http://www.mendeley.com/documents/?uuid=bbd902a9-6fe8-4ac0-a056-ad29d7848fa0" ] } ], "mendeley" : { "formattedCitation" : "&lt;sup&gt;83&lt;/sup&gt;", "plainTextFormattedCitation" : "83", "previouslyFormattedCitation" : "&lt;sup&gt;83&lt;/sup&gt;"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83</w:t>
      </w:r>
      <w:r w:rsidRPr="003E73CD">
        <w:rPr>
          <w:sz w:val="22"/>
          <w:szCs w:val="22"/>
        </w:rPr>
        <w:fldChar w:fldCharType="end"/>
      </w:r>
      <w:proofErr w:type="gramStart"/>
      <w:r w:rsidRPr="003E73CD">
        <w:rPr>
          <w:sz w:val="22"/>
          <w:szCs w:val="22"/>
        </w:rPr>
        <w:t xml:space="preserve">  An</w:t>
      </w:r>
      <w:proofErr w:type="gramEnd"/>
      <w:r w:rsidRPr="003E73CD">
        <w:rPr>
          <w:sz w:val="22"/>
          <w:szCs w:val="22"/>
        </w:rPr>
        <w:t xml:space="preserve"> improvement in recurrence free survival and in overall survival were found in the high dose interferon group compared to the observation group and this has remained with prolonged follow-up, and has also been demonstrated in later randomized trials.</w:t>
      </w:r>
      <w:r w:rsidRPr="003E73CD">
        <w:rPr>
          <w:sz w:val="22"/>
          <w:szCs w:val="22"/>
        </w:rPr>
        <w:fldChar w:fldCharType="begin" w:fldLock="1"/>
      </w:r>
      <w:r w:rsidR="001C6CB8">
        <w:rPr>
          <w:sz w:val="22"/>
          <w:szCs w:val="22"/>
        </w:rPr>
        <w:instrText>ADDIN CSL_CITATION { "citationItems" : [ { "id" : "ITEM-1", "itemData" : { "DOI" : "10.1158/1078-0432.CCR-1103-3", "ISSN" : "1078-0432", "abstract" : "Purpose: Nearly 2000 patients with stage IIB and III melanoma have participated in four multicenter, randomized trials, conducted by the Eastern Cooperative Oncology Group and the Intergroup, investigating adjuvant high-dose IFN-{alpha} 2b therapy. The objectives of this study were to update the analyses of each individual trial and to analyze prognostic factors and treatment effects based on pooled data.  Experimental Design: Survival and disease status were updated to April 2001. Analysis of prognostic factors using optimized statistical models was based on data from patients in E1684, E1690, E1694, and E2696. Analysis of treatment effects versus observation (Obs) was based on data from 713 patients randomized to high-dose IFN-{alpha} 2b (HDI) or Obs in Trials E1684 and E1690.  Results: Updated analysis of E1684, E1690, and E1694 confirmed their original conclusions, now at median follow-up intervals of 2.1-12.6 years. Based on two-sided univariate log-rank analysis of pooled data from E1684 and E1690 (median follow-up, 7.2 years), relapse-free survival (RFS)--but not overall survival (OS)--was significantly prolonged (two-sided log-rank P value = 0.006) for patients treated with HDI versus Obs. Among all patients, prognostic factors that significantly negatively impacted RFS and OS included ulceration, recurrent disease at entry, enrollment in E1684, and age &gt; 49 years. Multivariate statistical models adjusting for these factors confirmed the statistically significant RFS benefit of HDI versus Obs but did not demonstrate a significant OS benefit in the pooled populations.  Conclusions: In patients with high-risk resected melanoma, HDI is effective adjuvant therapy with strong evidence for improved RFS and evidence for moderate improvement in OS based on two prospective randomized studies but not the pooled analysis. Analyses of predictors of relapse and response are now needed to improve the therapeutic value of this modality.", "author" : [ { "dropping-particle" : "", "family" : "Kirkwood", "given" : "J. M.", "non-dropping-particle" : "", "parse-names" : false, "suffix" : "" } ], "container-title" : "Clinical Cancer Research", "id" : "ITEM-1", "issue" : "5", "issued" : { "date-parts" : [ [ "2004", "3", "1" ] ] }, "page" : "1670-1677", "title" : "A Pooled Analysis of Eastern Cooperative Oncology Group and Intergroup Trials of Adjuvant High-Dose Interferon for Melanoma", "type" : "article-journal", "volume" : "10" }, "uris" : [ "http://www.mendeley.com/documents/?uuid=ef9f4325-fb2d-46fb-b6ac-d96edb340dca" ] } ], "mendeley" : { "formattedCitation" : "&lt;sup&gt;84&lt;/sup&gt;", "plainTextFormattedCitation" : "84", "previouslyFormattedCitation" : "&lt;sup&gt;84&lt;/sup&gt;"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84</w:t>
      </w:r>
      <w:r w:rsidRPr="003E73CD">
        <w:rPr>
          <w:sz w:val="22"/>
          <w:szCs w:val="22"/>
        </w:rPr>
        <w:fldChar w:fldCharType="end"/>
      </w:r>
      <w:proofErr w:type="gramStart"/>
      <w:r w:rsidRPr="003E73CD">
        <w:rPr>
          <w:sz w:val="22"/>
          <w:szCs w:val="22"/>
        </w:rPr>
        <w:t xml:space="preserve">  A</w:t>
      </w:r>
      <w:proofErr w:type="gramEnd"/>
      <w:r w:rsidRPr="003E73CD">
        <w:rPr>
          <w:sz w:val="22"/>
          <w:szCs w:val="22"/>
        </w:rPr>
        <w:t xml:space="preserve"> trial with another agent, interleukin-2, was also conducted during the 1980s and 1990s.</w:t>
      </w:r>
      <w:r w:rsidRPr="003E73CD">
        <w:rPr>
          <w:sz w:val="22"/>
          <w:szCs w:val="22"/>
        </w:rPr>
        <w:fldChar w:fldCharType="begin" w:fldLock="1"/>
      </w:r>
      <w:r w:rsidR="001C6CB8">
        <w:rPr>
          <w:sz w:val="22"/>
          <w:szCs w:val="22"/>
        </w:rPr>
        <w:instrText>ADDIN CSL_CITATION { "citationItems" : [ { "id" : "ITEM-1", "itemData" : { "ISBN" : "0732-183X (Print)\\n0732-183X (Linking)", "ISSN" : "0732183X", "PMID" : "10561265", "abstract" : "PURPOSE: To determine the short- and long-term efficacy and toxicity of the high-dose intravenous bolus interleukin 2 (IL-2) regimen in patients with metastatic melanoma. PATIENTS AND METHODS: Two hundred seventy assessable patients were entered onto eight clinical trials conducted between 1985 and 1993. IL-2 (Proleukin [aldesleukin]; Chiron Corp, Emeryville, CA) 600,000 or 720,000 IU/kg was administered by 15-minute intravenous infusion every 8 hours for up to 14 consecutive doses over 5 days as clinically tolerated with maximum support, including pressors. A second identical treatment cycle was scheduled after 6 to 9 days of rest, and courses could be repeated every 6 to 12 weeks in stable or responding patients. Data were analyzed through fall 1996. RESULTS: The overall objective response rate was 16% (95% confidence interval, 12% to 21%); there were 17 complete responses (CRs) (6%) and 26 partial responses (PRs) (10%). Responses occurred with all sites of disease and in patients with large tumor burdens. The median response duration for patients who achieved a CR has not been reached and was 5.9 months for those who achieved a PR. Twelve (28%) of the responding patients, including 10 (59%) of the patients who achieved a CR, remain progression-free. Disease did not progress in any patient responding for more than 30 months. Baseline performance status and whether patients had received prior systemic therapy were the only predictive prognostic factors for response to IL-2 therapy. Toxicities, although severe, generally reversed rapidly after therapy was completed. Six patients (2%) died from adverse events, all related to sepsis. CONCLUSION: High-dose IL-2 treatment seems to benefit some patients with metastatic melanoma by producing durable CRs or PRs and should be considered for appropriately selected melanoma patients.", "author" : [ { "dropping-particle" : "", "family" : "Atkins", "given" : "Michael B.", "non-dropping-particle" : "", "parse-names" : false, "suffix" : "" }, { "dropping-particle" : "", "family" : "Lotze", "given" : "Michael T.", "non-dropping-particle" : "", "parse-names" : false, "suffix" : "" }, { "dropping-particle" : "", "family" : "Dutcher", "given" : "Janice P.", "non-dropping-particle" : "", "parse-names" : false, "suffix" : "" }, { "dropping-particle" : "", "family" : "Fisher", "given" : "Richard I.", "non-dropping-particle" : "", "parse-names" : false, "suffix" : "" }, { "dropping-particle" : "", "family" : "Weiss", "given" : "Geoffrey", "non-dropping-particle" : "", "parse-names" : false, "suffix" : "" }, { "dropping-particle" : "", "family" : "Margolin", "given" : "Kim", "non-dropping-particle" : "", "parse-names" : false, "suffix" : "" }, { "dropping-particle" : "", "family" : "Abrams", "given" : "Jeff", "non-dropping-particle" : "", "parse-names" : false, "suffix" : "" }, { "dropping-particle" : "", "family" : "Sznol", "given" : "Mario", "non-dropping-particle" : "", "parse-names" : false, "suffix" : "" }, { "dropping-particle" : "", "family" : "Parkinson", "given" : "David", "non-dropping-particle" : "", "parse-names" : false, "suffix" : "" }, { "dropping-particle" : "", "family" : "Hawkins", "given" : "Michael", "non-dropping-particle" : "", "parse-names" : false, "suffix" : "" }, { "dropping-particle" : "", "family" : "Paradise", "given" : "Carolyn", "non-dropping-particle" : "", "parse-names" : false, "suffix" : "" }, { "dropping-particle" : "", "family" : "Kunkel", "given" : "Lori", "non-dropping-particle" : "", "parse-names" : false, "suffix" : "" }, { "dropping-particle" : "", "family" : "Rosenberg", "given" : "Steven A.", "non-dropping-particle" : "", "parse-names" : false, "suffix" : "" } ], "container-title" : "Journal of Clinical Oncology", "id" : "ITEM-1", "issue" : "7", "issued" : { "date-parts" : [ [ "1999" ] ] }, "page" : "2105-2116", "title" : "High-dose recombinant interleukin 2 therapy for patients with metastatic melanoma: Analysis of 270 patients treated between 1985 and 1993", "type" : "article-journal", "volume" : "17" }, "uris" : [ "http://www.mendeley.com/documents/?uuid=55c3174c-16da-4428-b6b6-e6851984f425" ] } ], "mendeley" : { "formattedCitation" : "&lt;sup&gt;85&lt;/sup&gt;", "plainTextFormattedCitation" : "85", "previouslyFormattedCitation" : "&lt;sup&gt;85&lt;/sup&gt;"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85</w:t>
      </w:r>
      <w:r w:rsidRPr="003E73CD">
        <w:rPr>
          <w:sz w:val="22"/>
          <w:szCs w:val="22"/>
        </w:rPr>
        <w:fldChar w:fldCharType="end"/>
      </w:r>
      <w:proofErr w:type="gramStart"/>
      <w:r w:rsidRPr="003E73CD">
        <w:rPr>
          <w:sz w:val="22"/>
          <w:szCs w:val="22"/>
        </w:rPr>
        <w:t xml:space="preserve">  Although</w:t>
      </w:r>
      <w:proofErr w:type="gramEnd"/>
      <w:r w:rsidRPr="003E73CD">
        <w:rPr>
          <w:sz w:val="22"/>
          <w:szCs w:val="22"/>
        </w:rPr>
        <w:t xml:space="preserve"> the response rate was fairly low (6% complete response and 10% partial response) it was durable in a significant proportion of patients.  The median duration of complete responses was at least 59 months.</w:t>
      </w:r>
      <w:r w:rsidRPr="003E73CD">
        <w:rPr>
          <w:sz w:val="22"/>
          <w:szCs w:val="22"/>
        </w:rPr>
        <w:fldChar w:fldCharType="begin" w:fldLock="1"/>
      </w:r>
      <w:r w:rsidR="001C6CB8">
        <w:rPr>
          <w:sz w:val="22"/>
          <w:szCs w:val="22"/>
        </w:rPr>
        <w:instrText>ADDIN CSL_CITATION { "citationItems" : [ { "id" : "ITEM-1", "itemData" : { "ISSN" : "1081-4442", "PMID" : "10685652", "abstract" : "PURPOSE: To update response duration and survival data for patients with metastatic melanoma receiving the high-dose IV bolus recombinant interleukin (IL)-2 regimen. PATIENTS AND METHODS: Two hundred seventy assessable patients were entered into eight clinical trials conducted between 1985 and 1993. IL-2 600,000 or 720,000 IU/kg was administered by 15-minute intravenous infusion every 8 hours for up to 14 consecutive doses over 5 days as clinically tolerated with maximum support, including pressors. A second, identical cycle of treatment was scheduled following 6 to 9 days of rest, and courses could be repeated every 6 to 12 weeks in stable or responding patients. Responding patients received up to five courses (two cycles/course) of treatment. All data were updated through December 1998 using report forms completed by the clinical investigators. RESULTS: The objective overall response rate was unchanged from the previous report. Tumor responses were seen in 16% of patients, with complete responses in 17 (6%) and partial responses in 26 (10%). Median survival for the group as a whole is now 12 months. Median follow-up time for surviving patients exceeds 7 years. Median duration of response for the 43 responding patients and the 26 patients with partial responses remained unchanged at 8.9 and 5.9 months, respectively. Response durations ranged from 1.5 to &gt; 122 months. The median duration of complete responses has yet to be reached, but is at least 59 months. Thirty-one patients (11%) were alive as of last contact; 28 were confirmed, including 18 responding patients. Three patients were lost to follow-up at &gt; 1, &gt; 13, and &gt; 104 months. Twelve responding patients remained continually disease- or progression-free from &gt; 70 to &gt; 150 months following initiation of therapy. Disease progression was not observed in any patient who was responding as of the last report or in any patient responding for longer than 30 months. CONCLUSION: These data continue to support the notion that high-dose IL-2 produces durable responses in some patients with metastatic melanoma and should be considered a therapeutic option for appropriately selected patients with this disease.", "author" : [ { "dropping-particle" : "", "family" : "Atkins", "given" : "M B", "non-dropping-particle" : "", "parse-names" : false, "suffix" : "" }, { "dropping-particle" : "", "family" : "Kunkel", "given" : "L", "non-dropping-particle" : "", "parse-names" : false, "suffix" : "" }, { "dropping-particle" : "", "family" : "Sznol", "given" : "M", "non-dropping-particle" : "", "parse-names" : false, "suffix" : "" }, { "dropping-particle" : "", "family" : "Rosenberg", "given" : "S A", "non-dropping-particle" : "", "parse-names" : false, "suffix" : "" } ], "container-title" : "The cancer journal from Scientific American", "id" : "ITEM-1", "issued" : { "date-parts" : [ [ "2000" ] ] }, "page" : "S11-S14", "title" : "High-dose recombinant interleukin-2 therapy in patients with metastatic melanoma: long-term survival update.", "type" : "article-journal", "volume" : "6 Suppl 1" }, "uris" : [ "http://www.mendeley.com/documents/?uuid=22277ee3-a943-4db5-882b-d40b7fc63e18" ] } ], "mendeley" : { "formattedCitation" : "&lt;sup&gt;86&lt;/sup&gt;", "plainTextFormattedCitation" : "86", "previouslyFormattedCitation" : "&lt;sup&gt;86&lt;/sup&gt;"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86</w:t>
      </w:r>
      <w:r w:rsidRPr="003E73CD">
        <w:rPr>
          <w:sz w:val="22"/>
          <w:szCs w:val="22"/>
        </w:rPr>
        <w:fldChar w:fldCharType="end"/>
      </w:r>
      <w:proofErr w:type="gramStart"/>
      <w:r w:rsidRPr="003E73CD">
        <w:rPr>
          <w:sz w:val="22"/>
          <w:szCs w:val="22"/>
        </w:rPr>
        <w:t xml:space="preserve">  Such</w:t>
      </w:r>
      <w:proofErr w:type="gramEnd"/>
      <w:r w:rsidRPr="003E73CD">
        <w:rPr>
          <w:sz w:val="22"/>
          <w:szCs w:val="22"/>
        </w:rPr>
        <w:t xml:space="preserve"> durable responses are rarely seen with traditional cytotoxic therapy or newer targeted therapies and so this was a very promising finding.  However, there were significant </w:t>
      </w:r>
      <w:proofErr w:type="gramStart"/>
      <w:r w:rsidRPr="003E73CD">
        <w:rPr>
          <w:sz w:val="22"/>
          <w:szCs w:val="22"/>
        </w:rPr>
        <w:t>side-effects</w:t>
      </w:r>
      <w:proofErr w:type="gramEnd"/>
      <w:r w:rsidRPr="003E73CD">
        <w:rPr>
          <w:sz w:val="22"/>
          <w:szCs w:val="22"/>
        </w:rPr>
        <w:t xml:space="preserve"> with treatment including arrhythmias, hypotension, pulmonary oedema and sepsis.  Deaths occurred in 2% of trial participants, associated with sepsis.</w:t>
      </w:r>
      <w:r w:rsidRPr="003E73CD">
        <w:rPr>
          <w:sz w:val="22"/>
          <w:szCs w:val="22"/>
        </w:rPr>
        <w:fldChar w:fldCharType="begin" w:fldLock="1"/>
      </w:r>
      <w:r w:rsidR="001C6CB8">
        <w:rPr>
          <w:sz w:val="22"/>
          <w:szCs w:val="22"/>
        </w:rPr>
        <w:instrText>ADDIN CSL_CITATION { "citationItems" : [ { "id" : "ITEM-1", "itemData" : { "ISBN" : "0732-183X (Print)\\n0732-183X (Linking)", "ISSN" : "0732183X", "PMID" : "10561265", "abstract" : "PURPOSE: To determine the short- and long-term efficacy and toxicity of the high-dose intravenous bolus interleukin 2 (IL-2) regimen in patients with metastatic melanoma. PATIENTS AND METHODS: Two hundred seventy assessable patients were entered onto eight clinical trials conducted between 1985 and 1993. IL-2 (Proleukin [aldesleukin]; Chiron Corp, Emeryville, CA) 600,000 or 720,000 IU/kg was administered by 15-minute intravenous infusion every 8 hours for up to 14 consecutive doses over 5 days as clinically tolerated with maximum support, including pressors. A second identical treatment cycle was scheduled after 6 to 9 days of rest, and courses could be repeated every 6 to 12 weeks in stable or responding patients. Data were analyzed through fall 1996. RESULTS: The overall objective response rate was 16% (95% confidence interval, 12% to 21%); there were 17 complete responses (CRs) (6%) and 26 partial responses (PRs) (10%). Responses occurred with all sites of disease and in patients with large tumor burdens. The median response duration for patients who achieved a CR has not been reached and was 5.9 months for those who achieved a PR. Twelve (28%) of the responding patients, including 10 (59%) of the patients who achieved a CR, remain progression-free. Disease did not progress in any patient responding for more than 30 months. Baseline performance status and whether patients had received prior systemic therapy were the only predictive prognostic factors for response to IL-2 therapy. Toxicities, although severe, generally reversed rapidly after therapy was completed. Six patients (2%) died from adverse events, all related to sepsis. CONCLUSION: High-dose IL-2 treatment seems to benefit some patients with metastatic melanoma by producing durable CRs or PRs and should be considered for appropriately selected melanoma patients.", "author" : [ { "dropping-particle" : "", "family" : "Atkins", "given" : "Michael B.", "non-dropping-particle" : "", "parse-names" : false, "suffix" : "" }, { "dropping-particle" : "", "family" : "Lotze", "given" : "Michael T.", "non-dropping-particle" : "", "parse-names" : false, "suffix" : "" }, { "dropping-particle" : "", "family" : "Dutcher", "given" : "Janice P.", "non-dropping-particle" : "", "parse-names" : false, "suffix" : "" }, { "dropping-particle" : "", "family" : "Fisher", "given" : "Richard I.", "non-dropping-particle" : "", "parse-names" : false, "suffix" : "" }, { "dropping-particle" : "", "family" : "Weiss", "given" : "Geoffrey", "non-dropping-particle" : "", "parse-names" : false, "suffix" : "" }, { "dropping-particle" : "", "family" : "Margolin", "given" : "Kim", "non-dropping-particle" : "", "parse-names" : false, "suffix" : "" }, { "dropping-particle" : "", "family" : "Abrams", "given" : "Jeff", "non-dropping-particle" : "", "parse-names" : false, "suffix" : "" }, { "dropping-particle" : "", "family" : "Sznol", "given" : "Mario", "non-dropping-particle" : "", "parse-names" : false, "suffix" : "" }, { "dropping-particle" : "", "family" : "Parkinson", "given" : "David", "non-dropping-particle" : "", "parse-names" : false, "suffix" : "" }, { "dropping-particle" : "", "family" : "Hawkins", "given" : "Michael", "non-dropping-particle" : "", "parse-names" : false, "suffix" : "" }, { "dropping-particle" : "", "family" : "Paradise", "given" : "Carolyn", "non-dropping-particle" : "", "parse-names" : false, "suffix" : "" }, { "dropping-particle" : "", "family" : "Kunkel", "given" : "Lori", "non-dropping-particle" : "", "parse-names" : false, "suffix" : "" }, { "dropping-particle" : "", "family" : "Rosenberg", "given" : "Steven A.", "non-dropping-particle" : "", "parse-names" : false, "suffix" : "" } ], "container-title" : "Journal of Clinical Oncology", "id" : "ITEM-1", "issue" : "7", "issued" : { "date-parts" : [ [ "1999" ] ] }, "page" : "2105-2116", "title" : "High-dose recombinant interleukin 2 therapy for patients with metastatic melanoma: Analysis of 270 patients treated between 1985 and 1993", "type" : "article-journal", "volume" : "17" }, "uris" : [ "http://www.mendeley.com/documents/?uuid=55c3174c-16da-4428-b6b6-e6851984f425" ] } ], "mendeley" : { "formattedCitation" : "&lt;sup&gt;85&lt;/sup&gt;", "plainTextFormattedCitation" : "85", "previouslyFormattedCitation" : "&lt;sup&gt;85&lt;/sup&gt;"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85</w:t>
      </w:r>
      <w:r w:rsidRPr="003E73CD">
        <w:rPr>
          <w:sz w:val="22"/>
          <w:szCs w:val="22"/>
        </w:rPr>
        <w:fldChar w:fldCharType="end"/>
      </w:r>
      <w:proofErr w:type="gramStart"/>
      <w:r w:rsidRPr="003E73CD">
        <w:rPr>
          <w:sz w:val="22"/>
          <w:szCs w:val="22"/>
        </w:rPr>
        <w:t xml:space="preserve">  Treatment</w:t>
      </w:r>
      <w:proofErr w:type="gramEnd"/>
      <w:r w:rsidRPr="003E73CD">
        <w:rPr>
          <w:sz w:val="22"/>
          <w:szCs w:val="22"/>
        </w:rPr>
        <w:t xml:space="preserve"> involved two initial courses of 14 intravenous infusions given every 8 hours and then repeat courses every 6 to 12 weeks for patients who were responding.  These factors combined with the lack of benefit for 84% of patients undergoing treatment meant that its use did not become commonplace.  A new drug, ipilimumab, was subsequently developed and trialed in a vaccine-controlled phase III study.</w:t>
      </w:r>
      <w:r w:rsidRPr="003E73CD">
        <w:rPr>
          <w:sz w:val="22"/>
          <w:szCs w:val="22"/>
        </w:rPr>
        <w:fldChar w:fldCharType="begin" w:fldLock="1"/>
      </w:r>
      <w:r w:rsidR="001C6CB8">
        <w:rPr>
          <w:sz w:val="22"/>
          <w:szCs w:val="22"/>
        </w:rPr>
        <w:instrText>ADDIN CSL_CITATION { "citationItems" : [ { "id" : "ITEM-1", "itemData" : { "DOI" : "10.1056/NEJMoa1003466", "ISBN" : "1533-4406 (Electronic) 0028-4793 (Linking)", "ISSN" : "1533-4406", "PMID" : "20525992", "abstract" : "An improvement in overall survival among patients with metastatic melanoma has been an elusive goal. In this phase 3 study, ipilimumab--which blocks cytotoxic T-lymphocyte-associated antigen 4 to potentiate an antitumor T-cell response--administered with or without a glycoprotein 100 (gp100) peptide vaccine was compared with gp100 alone in patients with previously treated metastatic melanoma.", "author" : [ { "dropping-particle" : "", "family" : "Hodi", "given" : "F Stephen", "non-dropping-particle" : "", "parse-names" : false, "suffix" : "" }, { "dropping-particle" : "", "family" : "O'Day", "given" : "Steven J", "non-dropping-particle" : "", "parse-names" : false, "suffix" : "" }, { "dropping-particle" : "", "family" : "McDermott", "given" : "David F", "non-dropping-particle" : "", "parse-names" : false, "suffix" : "" }, { "dropping-particle" : "", "family" : "Weber", "given" : "Robert W", "non-dropping-particle" : "", "parse-names" : false, "suffix" : "" }, { "dropping-particle" : "", "family" : "Sosman", "given" : "Jeffrey A", "non-dropping-particle" : "", "parse-names" : false, "suffix" : "" }, { "dropping-particle" : "", "family" : "Haanen", "given" : "John B", "non-dropping-particle" : "", "parse-names" : false, "suffix" : "" }, { "dropping-particle" : "", "family" : "Gonzalez", "given" : "Rene", "non-dropping-particle" : "", "parse-names" : false, "suffix" : "" }, { "dropping-particle" : "", "family" : "Robert", "given" : "Caroline", "non-dropping-particle" : "", "parse-names" : false, "suffix" : "" }, { "dropping-particle" : "", "family" : "Schadendorf", "given" : "Dirk", "non-dropping-particle" : "", "parse-names" : false, "suffix" : "" }, { "dropping-particle" : "", "family" : "Hassel", "given" : "Jessica C", "non-dropping-particle" : "", "parse-names" : false, "suffix" : "" }, { "dropping-particle" : "", "family" : "Akerley", "given" : "Wallace", "non-dropping-particle" : "", "parse-names" : false, "suffix" : "" }, { "dropping-particle" : "", "family" : "Eertwegh", "given" : "Alfons J M", "non-dropping-particle" : "van den", "parse-names" : false, "suffix" : "" }, { "dropping-particle" : "", "family" : "Lutzky", "given" : "Jose", "non-dropping-particle" : "", "parse-names" : false, "suffix" : "" }, { "dropping-particle" : "", "family" : "Lorigan", "given" : "Paul", "non-dropping-particle" : "", "parse-names" : false, "suffix" : "" }, { "dropping-particle" : "", "family" : "Vaubel", "given" : "Julia M", "non-dropping-particle" : "", "parse-names" : false, "suffix" : "" }, { "dropping-particle" : "", "family" : "Linette", "given" : "Gerald P", "non-dropping-particle" : "", "parse-names" : false, "suffix" : "" }, { "dropping-particle" : "", "family" : "Hogg", "given" : "David", "non-dropping-particle" : "", "parse-names" : false, "suffix" : "" }, { "dropping-particle" : "", "family" : "Ottensmeier", "given" : "Christian H", "non-dropping-particle" : "", "parse-names" : false, "suffix" : "" }, { "dropping-particle" : "", "family" : "Lebb\u00e9", "given" : "Celeste", "non-dropping-particle" : "", "parse-names" : false, "suffix" : "" }, { "dropping-particle" : "", "family" : "Peschel", "given" : "Christian", "non-dropping-particle" : "", "parse-names" : false, "suffix" : "" }, { "dropping-particle" : "", "family" : "Quirt", "given" : "Ian", "non-dropping-particle" : "", "parse-names" : false, "suffix" : "" }, { "dropping-particle" : "", "family" : "Clark", "given" : "Joseph I", "non-dropping-particle" : "", "parse-names" : false, "suffix" : "" }, { "dropping-particle" : "", "family" : "Wolchok", "given" : "Jedd D", "non-dropping-particle" : "", "parse-names" : false, "suffix" : "" }, { "dropping-particle" : "", "family" : "Weber", "given" : "Jeffrey S", "non-dropping-particle" : "", "parse-names" : false, "suffix" : "" }, { "dropping-particle" : "", "family" : "Tian", "given" : "Jason", "non-dropping-particle" : "", "parse-names" : false, "suffix" : "" }, { "dropping-particle" : "", "family" : "Yellin", "given" : "Michael J", "non-dropping-particle" : "", "parse-names" : false, "suffix" : "" }, { "dropping-particle" : "", "family" : "Nichol", "given" : "Geoffrey M", "non-dropping-particle" : "", "parse-names" : false, "suffix" : "" }, { "dropping-particle" : "", "family" : "Hoos", "given" : "Axel", "non-dropping-particle" : "", "parse-names" : false, "suffix" : "" }, { "dropping-particle" : "", "family" : "Urba", "given" : "Walter J", "non-dropping-particle" : "", "parse-names" : false, "suffix" : "" } ], "container-title" : "The New England journal of medicine", "id" : "ITEM-1", "issue" : "8", "issued" : { "date-parts" : [ [ "2010" ] ] }, "page" : "711-723", "title" : "Improved survival with ipilimumab in patients with metastatic melanoma.", "type" : "article-journal", "volume" : "363" }, "uris" : [ "http://www.mendeley.com/documents/?uuid=69ce025d-7ac9-490d-884d-c4c36e2dee37" ] } ], "mendeley" : { "formattedCitation" : "&lt;sup&gt;87&lt;/sup&gt;", "plainTextFormattedCitation" : "87", "previouslyFormattedCitation" : "&lt;sup&gt;87&lt;/sup&gt;"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87</w:t>
      </w:r>
      <w:r w:rsidRPr="003E73CD">
        <w:rPr>
          <w:sz w:val="22"/>
          <w:szCs w:val="22"/>
        </w:rPr>
        <w:fldChar w:fldCharType="end"/>
      </w:r>
      <w:proofErr w:type="gramStart"/>
      <w:r w:rsidRPr="003E73CD">
        <w:rPr>
          <w:sz w:val="22"/>
          <w:szCs w:val="22"/>
        </w:rPr>
        <w:t xml:space="preserve">  Ipilimumab</w:t>
      </w:r>
      <w:proofErr w:type="gramEnd"/>
      <w:r w:rsidRPr="003E73CD">
        <w:rPr>
          <w:sz w:val="22"/>
          <w:szCs w:val="22"/>
        </w:rPr>
        <w:t xml:space="preserve"> is a monoclonal antibody against cytotoxic T-lymphocyte antigen (CTLA-4).  </w:t>
      </w:r>
      <w:proofErr w:type="gramStart"/>
      <w:r w:rsidRPr="003E73CD">
        <w:rPr>
          <w:sz w:val="22"/>
          <w:szCs w:val="22"/>
        </w:rPr>
        <w:t>CTLA- 4 works as a “braking system” or “check-point” for the immune response by negatively regulating T-cells and dampening the T-cell response to a stimulator, such as a melanoma cell.</w:t>
      </w:r>
      <w:proofErr w:type="gramEnd"/>
      <w:r w:rsidRPr="003E73CD">
        <w:rPr>
          <w:sz w:val="22"/>
          <w:szCs w:val="22"/>
        </w:rPr>
        <w:t xml:space="preserve">  When a T-cell is activated by binding of the major histocompatibility complex on an antigen-presenting cell to the T-cell receptor, it expresses CTLA-4 which then binds to sites on the T-cell which would otherwise be occupied by another molecule on the antigen-presenting cell to provide a second stimulatory signal.</w:t>
      </w:r>
      <w:r w:rsidRPr="003E73CD">
        <w:rPr>
          <w:sz w:val="22"/>
          <w:szCs w:val="22"/>
        </w:rPr>
        <w:fldChar w:fldCharType="begin" w:fldLock="1"/>
      </w:r>
      <w:r w:rsidRPr="003E73CD">
        <w:rPr>
          <w:sz w:val="22"/>
          <w:szCs w:val="22"/>
        </w:rPr>
        <w:instrText>ADDIN CSL_CITATION { "citationItems" : [ { "id" : "ITEM-1", "itemData" : { "DOI" : "10.1111/ans.12673", "ISSN" : "14451433", "PMID" : "24842394", "abstract" : "The prognosis for patients with stage IV melanoma has historically been extremely poor and there have until recently been no effective treatment options. The last 3 years have seen a seismic shift in the management of these patients with the entry to the clinic of a number of novel agents with proven efficacy. These agents fall into two main classes: molecular-targeted therapy and immunotherapy. Molecular therapies have primarily targeted the mitogen-activated protein kinase pathway, most notably with oral inhibitors targetting oncogenic BRAF. Immunotherapy agents such as ipilimumab, and more recently antibodies against PD-1 boost the host immune response against the melanoma. It is important for surgeons to be aware of these advances for a number of reasons. Firstly, to be able to inform their patients of the general options available in the event of disease progression. Secondly, these agents are currently being assessed in the adjuvant setting and are likely to demonstrate efficacy for earlier stages of disease. Finally, it is important for surgeons to be able to advocate on their patients' behalf to minimize the lag time between publication of these promising results and the availability of these agents in the clinic. Furthermore, patients with advanced melanoma should be offered participation in clinical trials in order to refine the indications for these agents to maximize their chance of benefit.", "author" : [ { "dropping-particle" : "", "family" : "Gyorki", "given" : "David E.", "non-dropping-particle" : "", "parse-names" : false, "suffix" : "" }, { "dropping-particle" : "", "family" : "Spillane", "given" : "John", "non-dropping-particle" : "", "parse-names" : false, "suffix" : "" }, { "dropping-particle" : "", "family" : "Speakman", "given" : "David", "non-dropping-particle" : "", "parse-names" : false, "suffix" : "" }, { "dropping-particle" : "", "family" : "Shackleton", "given" : "Mark", "non-dropping-particle" : "", "parse-names" : false, "suffix" : "" }, { "dropping-particle" : "", "family" : "Henderson", "given" : "Michael A.", "non-dropping-particle" : "", "parse-names" : false, "suffix" : "" } ], "container-title" : "ANZ Journal of Surgery", "id" : "ITEM-1", "issue" : "9", "issued" : { "date-parts" : [ [ "2014", "9" ] ] }, "page" : "612-617", "title" : "Current management of advanced melanoma: a transformed landscape", "type" : "article-journal", "volume" : "84" }, "uris" : [ "http://www.mendeley.com/documents/?uuid=cc62a6c6-b9da-467e-aba1-9a7f1bf7e766" ] } ], "mendeley" : { "formattedCitation" : "&lt;sup&gt;25&lt;/sup&gt;", "plainTextFormattedCitation" : "25", "previouslyFormattedCitation" : "&lt;sup&gt;25&lt;/sup&gt;" }, "properties" : { "noteIndex" : 0 }, "schema" : "https://github.com/citation-style-language/schema/raw/master/csl-citation.json" }</w:instrText>
      </w:r>
      <w:r w:rsidRPr="003E73CD">
        <w:rPr>
          <w:sz w:val="22"/>
          <w:szCs w:val="22"/>
        </w:rPr>
        <w:fldChar w:fldCharType="separate"/>
      </w:r>
      <w:r w:rsidRPr="003E73CD">
        <w:rPr>
          <w:noProof/>
          <w:sz w:val="22"/>
          <w:szCs w:val="22"/>
          <w:vertAlign w:val="superscript"/>
        </w:rPr>
        <w:t>25</w:t>
      </w:r>
      <w:r w:rsidRPr="003E73CD">
        <w:rPr>
          <w:sz w:val="22"/>
          <w:szCs w:val="22"/>
        </w:rPr>
        <w:fldChar w:fldCharType="end"/>
      </w:r>
      <w:proofErr w:type="gramStart"/>
      <w:r w:rsidRPr="003E73CD">
        <w:rPr>
          <w:sz w:val="22"/>
          <w:szCs w:val="22"/>
        </w:rPr>
        <w:t xml:space="preserve">  By</w:t>
      </w:r>
      <w:proofErr w:type="gramEnd"/>
      <w:r w:rsidRPr="003E73CD">
        <w:rPr>
          <w:sz w:val="22"/>
          <w:szCs w:val="22"/>
        </w:rPr>
        <w:t xml:space="preserve"> blocking this system (check-point blockade) using ipilimumab, the bindings sites for the second stimulatory signal become available and the immune response is effectively boosted.  This is, however, non-specific and so immune-related side effects such as colitis, dermatitis or vitiligo, hypophysitis, hepatitis and uveitis can occur.   In the initial trial 2.1% of patients died due to treatment-related side-effects.</w:t>
      </w:r>
      <w:r w:rsidRPr="003E73CD">
        <w:rPr>
          <w:sz w:val="22"/>
          <w:szCs w:val="22"/>
        </w:rPr>
        <w:fldChar w:fldCharType="begin" w:fldLock="1"/>
      </w:r>
      <w:r w:rsidR="001C6CB8">
        <w:rPr>
          <w:sz w:val="22"/>
          <w:szCs w:val="22"/>
        </w:rPr>
        <w:instrText>ADDIN CSL_CITATION { "citationItems" : [ { "id" : "ITEM-1", "itemData" : { "DOI" : "10.1056/NEJMoa1003466", "ISBN" : "1533-4406 (Electronic) 0028-4793 (Linking)", "ISSN" : "1533-4406", "PMID" : "20525992", "abstract" : "An improvement in overall survival among patients with metastatic melanoma has been an elusive goal. In this phase 3 study, ipilimumab--which blocks cytotoxic T-lymphocyte-associated antigen 4 to potentiate an antitumor T-cell response--administered with or without a glycoprotein 100 (gp100) peptide vaccine was compared with gp100 alone in patients with previously treated metastatic melanoma.", "author" : [ { "dropping-particle" : "", "family" : "Hodi", "given" : "F Stephen", "non-dropping-particle" : "", "parse-names" : false, "suffix" : "" }, { "dropping-particle" : "", "family" : "O'Day", "given" : "Steven J", "non-dropping-particle" : "", "parse-names" : false, "suffix" : "" }, { "dropping-particle" : "", "family" : "McDermott", "given" : "David F", "non-dropping-particle" : "", "parse-names" : false, "suffix" : "" }, { "dropping-particle" : "", "family" : "Weber", "given" : "Robert W", "non-dropping-particle" : "", "parse-names" : false, "suffix" : "" }, { "dropping-particle" : "", "family" : "Sosman", "given" : "Jeffrey A", "non-dropping-particle" : "", "parse-names" : false, "suffix" : "" }, { "dropping-particle" : "", "family" : "Haanen", "given" : "John B", "non-dropping-particle" : "", "parse-names" : false, "suffix" : "" }, { "dropping-particle" : "", "family" : "Gonzalez", "given" : "Rene", "non-dropping-particle" : "", "parse-names" : false, "suffix" : "" }, { "dropping-particle" : "", "family" : "Robert", "given" : "Caroline", "non-dropping-particle" : "", "parse-names" : false, "suffix" : "" }, { "dropping-particle" : "", "family" : "Schadendorf", "given" : "Dirk", "non-dropping-particle" : "", "parse-names" : false, "suffix" : "" }, { "dropping-particle" : "", "family" : "Hassel", "given" : "Jessica C", "non-dropping-particle" : "", "parse-names" : false, "suffix" : "" }, { "dropping-particle" : "", "family" : "Akerley", "given" : "Wallace", "non-dropping-particle" : "", "parse-names" : false, "suffix" : "" }, { "dropping-particle" : "", "family" : "Eertwegh", "given" : "Alfons J M", "non-dropping-particle" : "van den", "parse-names" : false, "suffix" : "" }, { "dropping-particle" : "", "family" : "Lutzky", "given" : "Jose", "non-dropping-particle" : "", "parse-names" : false, "suffix" : "" }, { "dropping-particle" : "", "family" : "Lorigan", "given" : "Paul", "non-dropping-particle" : "", "parse-names" : false, "suffix" : "" }, { "dropping-particle" : "", "family" : "Vaubel", "given" : "Julia M", "non-dropping-particle" : "", "parse-names" : false, "suffix" : "" }, { "dropping-particle" : "", "family" : "Linette", "given" : "Gerald P", "non-dropping-particle" : "", "parse-names" : false, "suffix" : "" }, { "dropping-particle" : "", "family" : "Hogg", "given" : "David", "non-dropping-particle" : "", "parse-names" : false, "suffix" : "" }, { "dropping-particle" : "", "family" : "Ottensmeier", "given" : "Christian H", "non-dropping-particle" : "", "parse-names" : false, "suffix" : "" }, { "dropping-particle" : "", "family" : "Lebb\u00e9", "given" : "Celeste", "non-dropping-particle" : "", "parse-names" : false, "suffix" : "" }, { "dropping-particle" : "", "family" : "Peschel", "given" : "Christian", "non-dropping-particle" : "", "parse-names" : false, "suffix" : "" }, { "dropping-particle" : "", "family" : "Quirt", "given" : "Ian", "non-dropping-particle" : "", "parse-names" : false, "suffix" : "" }, { "dropping-particle" : "", "family" : "Clark", "given" : "Joseph I", "non-dropping-particle" : "", "parse-names" : false, "suffix" : "" }, { "dropping-particle" : "", "family" : "Wolchok", "given" : "Jedd D", "non-dropping-particle" : "", "parse-names" : false, "suffix" : "" }, { "dropping-particle" : "", "family" : "Weber", "given" : "Jeffrey S", "non-dropping-particle" : "", "parse-names" : false, "suffix" : "" }, { "dropping-particle" : "", "family" : "Tian", "given" : "Jason", "non-dropping-particle" : "", "parse-names" : false, "suffix" : "" }, { "dropping-particle" : "", "family" : "Yellin", "given" : "Michael J", "non-dropping-particle" : "", "parse-names" : false, "suffix" : "" }, { "dropping-particle" : "", "family" : "Nichol", "given" : "Geoffrey M", "non-dropping-particle" : "", "parse-names" : false, "suffix" : "" }, { "dropping-particle" : "", "family" : "Hoos", "given" : "Axel", "non-dropping-particle" : "", "parse-names" : false, "suffix" : "" }, { "dropping-particle" : "", "family" : "Urba", "given" : "Walter J", "non-dropping-particle" : "", "parse-names" : false, "suffix" : "" } ], "container-title" : "The New England journal of medicine", "id" : "ITEM-1", "issue" : "8", "issued" : { "date-parts" : [ [ "2010" ] ] }, "page" : "711-723", "title" : "Improved survival with ipilimumab in patients with metastatic melanoma.", "type" : "article-journal", "volume" : "363" }, "uris" : [ "http://www.mendeley.com/documents/?uuid=69ce025d-7ac9-490d-884d-c4c36e2dee37" ] } ], "mendeley" : { "formattedCitation" : "&lt;sup&gt;87&lt;/sup&gt;", "plainTextFormattedCitation" : "87", "previouslyFormattedCitation" : "&lt;sup&gt;87&lt;/sup&gt;"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87</w:t>
      </w:r>
      <w:r w:rsidRPr="003E73CD">
        <w:rPr>
          <w:sz w:val="22"/>
          <w:szCs w:val="22"/>
        </w:rPr>
        <w:fldChar w:fldCharType="end"/>
      </w:r>
      <w:proofErr w:type="gramStart"/>
      <w:r w:rsidRPr="003E73CD">
        <w:rPr>
          <w:sz w:val="22"/>
          <w:szCs w:val="22"/>
        </w:rPr>
        <w:t xml:space="preserve">  Understanding</w:t>
      </w:r>
      <w:proofErr w:type="gramEnd"/>
      <w:r w:rsidRPr="003E73CD">
        <w:rPr>
          <w:sz w:val="22"/>
          <w:szCs w:val="22"/>
        </w:rPr>
        <w:t xml:space="preserve"> of these side-effects has improved and management with dose reduction or cessation and corticosteroids has led to a reduction in treatment-related deaths.</w:t>
      </w:r>
      <w:r w:rsidRPr="003E73CD">
        <w:rPr>
          <w:sz w:val="22"/>
          <w:szCs w:val="22"/>
        </w:rPr>
        <w:fldChar w:fldCharType="begin" w:fldLock="1"/>
      </w:r>
      <w:r w:rsidR="001C6CB8">
        <w:rPr>
          <w:sz w:val="22"/>
          <w:szCs w:val="22"/>
        </w:rPr>
        <w:instrText>ADDIN CSL_CITATION { "citationItems" : [ { "id" : "ITEM-1", "itemData" : { "DOI" : "10.1056/NEJMoa1104621", "ISBN" : "1533-4406 (Electronic)\\n0028-4793 (Linking)", "ISSN" : "0028-4793", "PMID" : "21639810", "abstract" : "Ipilimumab monotherapy (at a dose of 3 mg per kilogram of body weight), as compared with glycoprotein 100, improved overall survival in a phase 3 study involving patients with previously treated metastatic melanoma. We conducted a phase 3 study of ipilimumab (10 mg per kilogram) plus dacarbazine in patients with previously untreated metastatic melanoma.", "author" : [ { "dropping-particle" : "", "family" : "Robert", "given" : "Caroline", "non-dropping-particle" : "", "parse-names" : false, "suffix" : "" }, { "dropping-particle" : "", "family" : "Thomas", "given" : "Luc", "non-dropping-particle" : "", "parse-names" : false, "suffix" : "" }, { "dropping-particle" : "", "family" : "Bondarenko", "given" : "Igor", "non-dropping-particle" : "", "parse-names" : false, "suffix" : "" }, { "dropping-particle" : "", "family" : "O'Day", "given" : "Steven", "non-dropping-particle" : "", "parse-names" : false, "suffix" : "" }, { "dropping-particle" : "", "family" : "M D", "given" : "Jeffrey Weber", "non-dropping-particle" : "", "parse-names" : false, "suffix" : "" }, { "dropping-particle" : "", "family" : "Garbe", "given" : "Claus", "non-dropping-particle" : "", "parse-names" : false, "suffix" : "" }, { "dropping-particle" : "", "family" : "Lebbe", "given" : "Celeste", "non-dropping-particle" : "", "parse-names" : false, "suffix" : "" }, { "dropping-particle" : "", "family" : "Baurain", "given" : "Jean-Fran\u00e7ois", "non-dropping-particle" : "", "parse-names" : false, "suffix" : "" }, { "dropping-particle" : "", "family" : "Testori", "given" : "Alessandro", "non-dropping-particle" : "", "parse-names" : false, "suffix" : "" }, { "dropping-particle" : "", "family" : "Grob", "given" : "Jean-Jacques", "non-dropping-particle" : "", "parse-names" : false, "suffix" : "" }, { "dropping-particle" : "", "family" : "Davidson", "given" : "Neville", "non-dropping-particle" : "", "parse-names" : false, "suffix" : "" }, { "dropping-particle" : "", "family" : "Richards", "given" : "Jon", "non-dropping-particle" : "", "parse-names" : false, "suffix" : "" }, { "dropping-particle" : "", "family" : "Maio", "given" : "Michele", "non-dropping-particle" : "", "parse-names" : false, "suffix" : "" }, { "dropping-particle" : "", "family" : "Hauschild", "given" : "Axel", "non-dropping-particle" : "", "parse-names" : false, "suffix" : "" }, { "dropping-particle" : "", "family" : "Miller", "given" : "Wilson H", "non-dropping-particle" : "", "parse-names" : false, "suffix" : "" }, { "dropping-particle" : "", "family" : "Gascon", "given" : "Pere", "non-dropping-particle" : "", "parse-names" : false, "suffix" : "" }, { "dropping-particle" : "", "family" : "Lotem", "given" : "Michal", "non-dropping-particle" : "", "parse-names" : false, "suffix" : "" }, { "dropping-particle" : "", "family" : "Harmankaya", "given" : "Kaan", "non-dropping-particle" : "", "parse-names" : false, "suffix" : "" }, { "dropping-particle" : "", "family" : "Ibrahim", "given" : "Ramy", "non-dropping-particle" : "", "parse-names" : false, "suffix" : "" }, { "dropping-particle" : "", "family" : "Francis", "given" : "Stephen", "non-dropping-particle" : "", "parse-names" : false, "suffix" : "" }, { "dropping-particle" : "", "family" : "Chen", "given" : "Tai-Tsang", "non-dropping-particle" : "", "parse-names" : false, "suffix" : "" }, { "dropping-particle" : "", "family" : "Humphrey", "given" : "Rachel", "non-dropping-particle" : "", "parse-names" : false, "suffix" : "" }, { "dropping-particle" : "", "family" : "Hoos", "given" : "Axel", "non-dropping-particle" : "", "parse-names" : false, "suffix" : "" }, { "dropping-particle" : "", "family" : "Wolchok", "given" : "Jedd D", "non-dropping-particle" : "", "parse-names" : false, "suffix" : "" } ], "container-title" : "The New England journal of medicine", "id" : "ITEM-1", "issue" : "26", "issued" : { "date-parts" : [ [ "2011" ] ] }, "page" : "2517-2526", "title" : "Ipilimumab plus dacarbazine for previously untreated metastatic melanoma.", "type" : "article-journal", "volume" : "364" }, "uris" : [ "http://www.mendeley.com/documents/?uuid=5091c03f-1d5c-46ed-a47a-a04532e0b489" ] } ], "mendeley" : { "formattedCitation" : "&lt;sup&gt;71&lt;/sup&gt;", "plainTextFormattedCitation" : "71", "previouslyFormattedCitation" : "&lt;sup&gt;71&lt;/sup&gt;"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71</w:t>
      </w:r>
      <w:r w:rsidRPr="003E73CD">
        <w:rPr>
          <w:sz w:val="22"/>
          <w:szCs w:val="22"/>
        </w:rPr>
        <w:fldChar w:fldCharType="end"/>
      </w:r>
      <w:proofErr w:type="gramStart"/>
      <w:r w:rsidRPr="003E73CD">
        <w:rPr>
          <w:sz w:val="22"/>
          <w:szCs w:val="22"/>
        </w:rPr>
        <w:t xml:space="preserve">  The</w:t>
      </w:r>
      <w:proofErr w:type="gramEnd"/>
      <w:r w:rsidRPr="003E73CD">
        <w:rPr>
          <w:sz w:val="22"/>
          <w:szCs w:val="22"/>
        </w:rPr>
        <w:t xml:space="preserve"> response rate with ipilimumab, as with interleukin-2, is low (10.9%) but durable in those who respond.</w:t>
      </w:r>
      <w:r w:rsidRPr="003E73CD">
        <w:rPr>
          <w:sz w:val="22"/>
          <w:szCs w:val="22"/>
        </w:rPr>
        <w:fldChar w:fldCharType="begin" w:fldLock="1"/>
      </w:r>
      <w:r w:rsidR="001C6CB8">
        <w:rPr>
          <w:sz w:val="22"/>
          <w:szCs w:val="22"/>
        </w:rPr>
        <w:instrText>ADDIN CSL_CITATION { "citationItems" : [ { "id" : "ITEM-1", "itemData" : { "DOI" : "10.1056/NEJMoa1003466", "ISBN" : "1533-4406 (Electronic) 0028-4793 (Linking)", "ISSN" : "1533-4406", "PMID" : "20525992", "abstract" : "An improvement in overall survival among patients with metastatic melanoma has been an elusive goal. In this phase 3 study, ipilimumab--which blocks cytotoxic T-lymphocyte-associated antigen 4 to potentiate an antitumor T-cell response--administered with or without a glycoprotein 100 (gp100) peptide vaccine was compared with gp100 alone in patients with previously treated metastatic melanoma.", "author" : [ { "dropping-particle" : "", "family" : "Hodi", "given" : "F Stephen", "non-dropping-particle" : "", "parse-names" : false, "suffix" : "" }, { "dropping-particle" : "", "family" : "O'Day", "given" : "Steven J", "non-dropping-particle" : "", "parse-names" : false, "suffix" : "" }, { "dropping-particle" : "", "family" : "McDermott", "given" : "David F", "non-dropping-particle" : "", "parse-names" : false, "suffix" : "" }, { "dropping-particle" : "", "family" : "Weber", "given" : "Robert W", "non-dropping-particle" : "", "parse-names" : false, "suffix" : "" }, { "dropping-particle" : "", "family" : "Sosman", "given" : "Jeffrey A", "non-dropping-particle" : "", "parse-names" : false, "suffix" : "" }, { "dropping-particle" : "", "family" : "Haanen", "given" : "John B", "non-dropping-particle" : "", "parse-names" : false, "suffix" : "" }, { "dropping-particle" : "", "family" : "Gonzalez", "given" : "Rene", "non-dropping-particle" : "", "parse-names" : false, "suffix" : "" }, { "dropping-particle" : "", "family" : "Robert", "given" : "Caroline", "non-dropping-particle" : "", "parse-names" : false, "suffix" : "" }, { "dropping-particle" : "", "family" : "Schadendorf", "given" : "Dirk", "non-dropping-particle" : "", "parse-names" : false, "suffix" : "" }, { "dropping-particle" : "", "family" : "Hassel", "given" : "Jessica C", "non-dropping-particle" : "", "parse-names" : false, "suffix" : "" }, { "dropping-particle" : "", "family" : "Akerley", "given" : "Wallace", "non-dropping-particle" : "", "parse-names" : false, "suffix" : "" }, { "dropping-particle" : "", "family" : "Eertwegh", "given" : "Alfons J M", "non-dropping-particle" : "van den", "parse-names" : false, "suffix" : "" }, { "dropping-particle" : "", "family" : "Lutzky", "given" : "Jose", "non-dropping-particle" : "", "parse-names" : false, "suffix" : "" }, { "dropping-particle" : "", "family" : "Lorigan", "given" : "Paul", "non-dropping-particle" : "", "parse-names" : false, "suffix" : "" }, { "dropping-particle" : "", "family" : "Vaubel", "given" : "Julia M", "non-dropping-particle" : "", "parse-names" : false, "suffix" : "" }, { "dropping-particle" : "", "family" : "Linette", "given" : "Gerald P", "non-dropping-particle" : "", "parse-names" : false, "suffix" : "" }, { "dropping-particle" : "", "family" : "Hogg", "given" : "David", "non-dropping-particle" : "", "parse-names" : false, "suffix" : "" }, { "dropping-particle" : "", "family" : "Ottensmeier", "given" : "Christian H", "non-dropping-particle" : "", "parse-names" : false, "suffix" : "" }, { "dropping-particle" : "", "family" : "Lebb\u00e9", "given" : "Celeste", "non-dropping-particle" : "", "parse-names" : false, "suffix" : "" }, { "dropping-particle" : "", "family" : "Peschel", "given" : "Christian", "non-dropping-particle" : "", "parse-names" : false, "suffix" : "" }, { "dropping-particle" : "", "family" : "Quirt", "given" : "Ian", "non-dropping-particle" : "", "parse-names" : false, "suffix" : "" }, { "dropping-particle" : "", "family" : "Clark", "given" : "Joseph I", "non-dropping-particle" : "", "parse-names" : false, "suffix" : "" }, { "dropping-particle" : "", "family" : "Wolchok", "given" : "Jedd D", "non-dropping-particle" : "", "parse-names" : false, "suffix" : "" }, { "dropping-particle" : "", "family" : "Weber", "given" : "Jeffrey S", "non-dropping-particle" : "", "parse-names" : false, "suffix" : "" }, { "dropping-particle" : "", "family" : "Tian", "given" : "Jason", "non-dropping-particle" : "", "parse-names" : false, "suffix" : "" }, { "dropping-particle" : "", "family" : "Yellin", "given" : "Michael J", "non-dropping-particle" : "", "parse-names" : false, "suffix" : "" }, { "dropping-particle" : "", "family" : "Nichol", "given" : "Geoffrey M", "non-dropping-particle" : "", "parse-names" : false, "suffix" : "" }, { "dropping-particle" : "", "family" : "Hoos", "given" : "Axel", "non-dropping-particle" : "", "parse-names" : false, "suffix" : "" }, { "dropping-particle" : "", "family" : "Urba", "given" : "Walter J", "non-dropping-particle" : "", "parse-names" : false, "suffix" : "" } ], "container-title" : "The New England journal of medicine", "id" : "ITEM-1", "issue" : "8", "issued" : { "date-parts" : [ [ "2010" ] ] }, "page" : "711-723", "title" : "Improved survival with ipilimumab in patients with metastatic melanoma.", "type" : "article-journal", "volume" : "363" }, "uris" : [ "http://www.mendeley.com/documents/?uuid=69ce025d-7ac9-490d-884d-c4c36e2dee37" ] } ], "mendeley" : { "formattedCitation" : "&lt;sup&gt;87&lt;/sup&gt;", "plainTextFormattedCitation" : "87", "previouslyFormattedCitation" : "&lt;sup&gt;87&lt;/sup&gt;"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87</w:t>
      </w:r>
      <w:r w:rsidRPr="003E73CD">
        <w:rPr>
          <w:sz w:val="22"/>
          <w:szCs w:val="22"/>
        </w:rPr>
        <w:fldChar w:fldCharType="end"/>
      </w:r>
      <w:proofErr w:type="gramStart"/>
      <w:r w:rsidRPr="003E73CD">
        <w:rPr>
          <w:sz w:val="22"/>
          <w:szCs w:val="22"/>
        </w:rPr>
        <w:t xml:space="preserve">  However</w:t>
      </w:r>
      <w:proofErr w:type="gramEnd"/>
      <w:r w:rsidRPr="003E73CD">
        <w:rPr>
          <w:sz w:val="22"/>
          <w:szCs w:val="22"/>
        </w:rPr>
        <w:t>, there are newer and even more effective drugs undergoing trials.  These drugs have a different target known as programmed cell death 1 (PD-1) molecule.  PD-1 is also involved in negative regulation of T-cells and inhibition of the immune response, but it is a cell receptor protein that is found not only on antigen-presenting cells but also on cancer cells themselves.</w:t>
      </w:r>
      <w:r w:rsidRPr="003E73CD">
        <w:rPr>
          <w:sz w:val="22"/>
          <w:szCs w:val="22"/>
        </w:rPr>
        <w:fldChar w:fldCharType="begin" w:fldLock="1"/>
      </w:r>
      <w:r w:rsidRPr="003E73CD">
        <w:rPr>
          <w:sz w:val="22"/>
          <w:szCs w:val="22"/>
        </w:rPr>
        <w:instrText>ADDIN CSL_CITATION { "citationItems" : [ { "id" : "ITEM-1", "itemData" : { "DOI" : "10.1177/1758834014566619", "ISSN" : "1758-8340", "PMID" : "25755683", "abstract" : "Until recently, treatment for metastatic melanoma was characterised by a limited availability of treatment options that offer objective survival benefit. Cytotoxic agents fundamentally lack the ability to achieve disease control and cytokine therapy with interleukin-2 has an unacceptably high - for the use across all patient cohorts - rate of toxicities. The validation of braf as an oncogene driving melanoma tumorigenesis, as well as the discovery of the role of CTLA-4 receptor in the evasion of anticancer immune response by melanoma, has revolutionised our treatment options against a disease with dismal prognosis. Quick implementation of translational discoveries brought about BRAF/MEK inhibition in clinic, while at the same time, wider experience with CTLA-4 blockade enabled clinicians to manage previously fatal immune-related toxicities with greater confidence. The suitability for clinical use of other oncogenic drivers such as NRAS and c-kit is currently being tested whilst the PD-1/PD-L1/PD-L2 axis has emerged as a new immunotherapy target with exciting early phase results. The recent exponential progress in treatment of melanoma has set an example of translational medicine and the current review aims to explain why, as well as suggesting new goals for the future.", "author" : [ { "dropping-particle" : "", "family" : "Lindsay", "given" : "Colin R", "non-dropping-particle" : "", "parse-names" : false, "suffix" : "" }, { "dropping-particle" : "", "family" : "Spiliopoulou", "given" : "Pavlina", "non-dropping-particle" : "", "parse-names" : false, "suffix" : "" }, { "dropping-particle" : "", "family" : "Waterston", "given" : "Ashita", "non-dropping-particle" : "", "parse-names" : false, "suffix" : "" } ], "container-title" : "Therapeutic advances in medical oncology", "id" : "ITEM-1", "issue" : "2", "issued" : { "date-parts" : [ [ "2015", "3", "21" ] ] }, "page" : "107-21", "title" : "Blinded by the light: why the treatment of metastatic melanoma has created a new paradigm for the management of cancer.", "type" : "article-journal", "volume" : "7" }, "uris" : [ "http://www.mendeley.com/documents/?uuid=d3e3971b-8cd1-410e-879e-a24ccdba0811" ] } ], "mendeley" : { "formattedCitation" : "&lt;sup&gt;24&lt;/sup&gt;", "plainTextFormattedCitation" : "24", "previouslyFormattedCitation" : "&lt;sup&gt;24&lt;/sup&gt;" }, "properties" : { "noteIndex" : 0 }, "schema" : "https://github.com/citation-style-language/schema/raw/master/csl-citation.json" }</w:instrText>
      </w:r>
      <w:r w:rsidRPr="003E73CD">
        <w:rPr>
          <w:sz w:val="22"/>
          <w:szCs w:val="22"/>
        </w:rPr>
        <w:fldChar w:fldCharType="separate"/>
      </w:r>
      <w:r w:rsidRPr="003E73CD">
        <w:rPr>
          <w:noProof/>
          <w:sz w:val="22"/>
          <w:szCs w:val="22"/>
          <w:vertAlign w:val="superscript"/>
        </w:rPr>
        <w:t>24</w:t>
      </w:r>
      <w:r w:rsidRPr="003E73CD">
        <w:rPr>
          <w:sz w:val="22"/>
          <w:szCs w:val="22"/>
        </w:rPr>
        <w:fldChar w:fldCharType="end"/>
      </w:r>
      <w:proofErr w:type="gramStart"/>
      <w:r w:rsidRPr="003E73CD">
        <w:rPr>
          <w:sz w:val="22"/>
          <w:szCs w:val="22"/>
        </w:rPr>
        <w:t xml:space="preserve">  Monoclonal</w:t>
      </w:r>
      <w:proofErr w:type="gramEnd"/>
      <w:r w:rsidRPr="003E73CD">
        <w:rPr>
          <w:sz w:val="22"/>
          <w:szCs w:val="22"/>
        </w:rPr>
        <w:t xml:space="preserve"> antibodies against PD-1 include nivolumab and lambrolizumab and early phase clinical trials have demonstrated objective response rates of 31% and 52% respectively, making this field of medicine currently one of the most exciting, and providing real hope for patients with metastatic disease.</w:t>
      </w:r>
      <w:r w:rsidRPr="003E73CD">
        <w:rPr>
          <w:sz w:val="22"/>
          <w:szCs w:val="22"/>
        </w:rPr>
        <w:fldChar w:fldCharType="begin" w:fldLock="1"/>
      </w:r>
      <w:r w:rsidRPr="003E73CD">
        <w:rPr>
          <w:sz w:val="22"/>
          <w:szCs w:val="22"/>
        </w:rPr>
        <w:instrText>ADDIN CSL_CITATION { "citationItems" : [ { "id" : "ITEM-1", "itemData" : { "DOI" : "10.1177/1758834014566619", "ISSN" : "1758-8340", "PMID" : "25755683", "abstract" : "Until recently, treatment for metastatic melanoma was characterised by a limited availability of treatment options that offer objective survival benefit. Cytotoxic agents fundamentally lack the ability to achieve disease control and cytokine therapy with interleukin-2 has an unacceptably high - for the use across all patient cohorts - rate of toxicities. The validation of braf as an oncogene driving melanoma tumorigenesis, as well as the discovery of the role of CTLA-4 receptor in the evasion of anticancer immune response by melanoma, has revolutionised our treatment options against a disease with dismal prognosis. Quick implementation of translational discoveries brought about BRAF/MEK inhibition in clinic, while at the same time, wider experience with CTLA-4 blockade enabled clinicians to manage previously fatal immune-related toxicities with greater confidence. The suitability for clinical use of other oncogenic drivers such as NRAS and c-kit is currently being tested whilst the PD-1/PD-L1/PD-L2 axis has emerged as a new immunotherapy target with exciting early phase results. The recent exponential progress in treatment of melanoma has set an example of translational medicine and the current review aims to explain why, as well as suggesting new goals for the future.", "author" : [ { "dropping-particle" : "", "family" : "Lindsay", "given" : "Colin R", "non-dropping-particle" : "", "parse-names" : false, "suffix" : "" }, { "dropping-particle" : "", "family" : "Spiliopoulou", "given" : "Pavlina", "non-dropping-particle" : "", "parse-names" : false, "suffix" : "" }, { "dropping-particle" : "", "family" : "Waterston", "given" : "Ashita", "non-dropping-particle" : "", "parse-names" : false, "suffix" : "" } ], "container-title" : "Therapeutic advances in medical oncology", "id" : "ITEM-1", "issue" : "2", "issued" : { "date-parts" : [ [ "2015", "3", "21" ] ] }, "page" : "107-21", "title" : "Blinded by the light: why the treatment of metastatic melanoma has created a new paradigm for the management of cancer.", "type" : "article-journal", "volume" : "7" }, "uris" : [ "http://www.mendeley.com/documents/?uuid=d3e3971b-8cd1-410e-879e-a24ccdba0811" ] } ], "mendeley" : { "formattedCitation" : "&lt;sup&gt;24&lt;/sup&gt;", "plainTextFormattedCitation" : "24", "previouslyFormattedCitation" : "&lt;sup&gt;24&lt;/sup&gt;" }, "properties" : { "noteIndex" : 0 }, "schema" : "https://github.com/citation-style-language/schema/raw/master/csl-citation.json" }</w:instrText>
      </w:r>
      <w:r w:rsidRPr="003E73CD">
        <w:rPr>
          <w:sz w:val="22"/>
          <w:szCs w:val="22"/>
        </w:rPr>
        <w:fldChar w:fldCharType="separate"/>
      </w:r>
      <w:r w:rsidRPr="003E73CD">
        <w:rPr>
          <w:noProof/>
          <w:sz w:val="22"/>
          <w:szCs w:val="22"/>
          <w:vertAlign w:val="superscript"/>
        </w:rPr>
        <w:t>24</w:t>
      </w:r>
      <w:r w:rsidRPr="003E73CD">
        <w:rPr>
          <w:sz w:val="22"/>
          <w:szCs w:val="22"/>
        </w:rPr>
        <w:fldChar w:fldCharType="end"/>
      </w:r>
      <w:r w:rsidRPr="003E73CD">
        <w:rPr>
          <w:sz w:val="22"/>
          <w:szCs w:val="22"/>
        </w:rPr>
        <w:t xml:space="preserve">  </w:t>
      </w:r>
    </w:p>
    <w:p w14:paraId="690CFA5B" w14:textId="77777777" w:rsidR="0061482C" w:rsidRPr="003E73CD" w:rsidRDefault="0061482C" w:rsidP="0061482C">
      <w:pPr>
        <w:spacing w:line="480" w:lineRule="auto"/>
        <w:rPr>
          <w:sz w:val="22"/>
          <w:szCs w:val="22"/>
        </w:rPr>
      </w:pPr>
    </w:p>
    <w:p w14:paraId="31ED73D7" w14:textId="77777777" w:rsidR="0061482C" w:rsidRPr="003E73CD" w:rsidRDefault="0061482C" w:rsidP="0061482C">
      <w:pPr>
        <w:spacing w:line="480" w:lineRule="auto"/>
        <w:rPr>
          <w:b/>
          <w:sz w:val="22"/>
          <w:szCs w:val="22"/>
        </w:rPr>
      </w:pPr>
      <w:r w:rsidRPr="003E73CD">
        <w:rPr>
          <w:b/>
          <w:sz w:val="22"/>
          <w:szCs w:val="22"/>
        </w:rPr>
        <w:t>Summary</w:t>
      </w:r>
    </w:p>
    <w:p w14:paraId="7D81BF77" w14:textId="798CB731" w:rsidR="0061482C" w:rsidRPr="003E73CD" w:rsidRDefault="0061482C" w:rsidP="0061482C">
      <w:pPr>
        <w:spacing w:line="480" w:lineRule="auto"/>
        <w:ind w:firstLine="720"/>
        <w:rPr>
          <w:sz w:val="22"/>
          <w:szCs w:val="22"/>
        </w:rPr>
      </w:pPr>
      <w:r w:rsidRPr="003E73CD">
        <w:rPr>
          <w:sz w:val="22"/>
          <w:szCs w:val="22"/>
        </w:rPr>
        <w:t xml:space="preserve">The management of melanoma has evolved over the past century or so from an often late-diagnosed, invariably fatal condition, for which mutilating surgery was commonplace and no treatment could help those with widespread metastatic disease, to a condition where earlier diagnosis and cure are possible, where surgery is more conservative and aims to maximise </w:t>
      </w:r>
      <w:r w:rsidR="00A02DD2" w:rsidRPr="003E73CD">
        <w:rPr>
          <w:sz w:val="22"/>
          <w:szCs w:val="22"/>
        </w:rPr>
        <w:t>potential benefit whilst minimis</w:t>
      </w:r>
      <w:r w:rsidRPr="003E73CD">
        <w:rPr>
          <w:sz w:val="22"/>
          <w:szCs w:val="22"/>
        </w:rPr>
        <w:t>ing morbidity, and where effective treatment is now available for those with metastatic disease.  The relative abund</w:t>
      </w:r>
      <w:r w:rsidR="00AC3D7B">
        <w:rPr>
          <w:sz w:val="22"/>
          <w:szCs w:val="22"/>
        </w:rPr>
        <w:t>ance of novel agents</w:t>
      </w:r>
      <w:r w:rsidRPr="003E73CD">
        <w:rPr>
          <w:sz w:val="22"/>
          <w:szCs w:val="22"/>
        </w:rPr>
        <w:t xml:space="preserve"> </w:t>
      </w:r>
      <w:r w:rsidR="00AC3D7B">
        <w:rPr>
          <w:sz w:val="22"/>
          <w:szCs w:val="22"/>
        </w:rPr>
        <w:t>and their potential for efficacy in the adjuvant setting mean</w:t>
      </w:r>
      <w:r w:rsidRPr="003E73CD">
        <w:rPr>
          <w:sz w:val="22"/>
          <w:szCs w:val="22"/>
        </w:rPr>
        <w:t xml:space="preserve"> that an accurate method for identifying patients likely to benefit from such drugs is needed now more than ever before.   </w:t>
      </w:r>
      <w:r w:rsidR="001C6CB8">
        <w:rPr>
          <w:sz w:val="22"/>
          <w:szCs w:val="22"/>
        </w:rPr>
        <w:t>Sentinel node biopsy involving lymphatic mapping by</w:t>
      </w:r>
      <w:r w:rsidRPr="003E73CD">
        <w:rPr>
          <w:sz w:val="22"/>
          <w:szCs w:val="22"/>
        </w:rPr>
        <w:t xml:space="preserve"> lymphoscinti</w:t>
      </w:r>
      <w:r w:rsidR="001C6CB8">
        <w:rPr>
          <w:sz w:val="22"/>
          <w:szCs w:val="22"/>
        </w:rPr>
        <w:t xml:space="preserve">graphy </w:t>
      </w:r>
      <w:r w:rsidR="00AC3D7B">
        <w:rPr>
          <w:sz w:val="22"/>
          <w:szCs w:val="22"/>
        </w:rPr>
        <w:t>assist</w:t>
      </w:r>
      <w:r w:rsidR="001C6CB8">
        <w:rPr>
          <w:sz w:val="22"/>
          <w:szCs w:val="22"/>
        </w:rPr>
        <w:t>s</w:t>
      </w:r>
      <w:r w:rsidR="00AC3D7B">
        <w:rPr>
          <w:sz w:val="22"/>
          <w:szCs w:val="22"/>
        </w:rPr>
        <w:t xml:space="preserve"> in the identification of patients at high risk of relapse.   I</w:t>
      </w:r>
      <w:r w:rsidR="001C6CB8">
        <w:rPr>
          <w:sz w:val="22"/>
          <w:szCs w:val="22"/>
        </w:rPr>
        <w:t>t is therefore vital that its</w:t>
      </w:r>
      <w:r w:rsidRPr="003E73CD">
        <w:rPr>
          <w:sz w:val="22"/>
          <w:szCs w:val="22"/>
        </w:rPr>
        <w:t xml:space="preserve"> quality is </w:t>
      </w:r>
      <w:r w:rsidR="00AC3D7B">
        <w:rPr>
          <w:sz w:val="22"/>
          <w:szCs w:val="22"/>
        </w:rPr>
        <w:t>of the highest standard</w:t>
      </w:r>
      <w:r w:rsidRPr="003E73CD">
        <w:rPr>
          <w:sz w:val="22"/>
          <w:szCs w:val="22"/>
        </w:rPr>
        <w:t xml:space="preserve"> and </w:t>
      </w:r>
      <w:r w:rsidR="00AC3D7B">
        <w:rPr>
          <w:sz w:val="22"/>
          <w:szCs w:val="22"/>
        </w:rPr>
        <w:t xml:space="preserve">that </w:t>
      </w:r>
      <w:r w:rsidRPr="003E73CD">
        <w:rPr>
          <w:sz w:val="22"/>
          <w:szCs w:val="22"/>
        </w:rPr>
        <w:t xml:space="preserve">information obtained </w:t>
      </w:r>
      <w:r w:rsidR="001C6CB8">
        <w:rPr>
          <w:sz w:val="22"/>
          <w:szCs w:val="22"/>
        </w:rPr>
        <w:t>as a result of the procedure</w:t>
      </w:r>
      <w:r w:rsidRPr="003E73CD">
        <w:rPr>
          <w:sz w:val="22"/>
          <w:szCs w:val="22"/>
        </w:rPr>
        <w:t xml:space="preserve"> is utilized to best effect.  These are the themes that underpin all the studies contained within this thesis.  In the future melanoma patients should receive highly individualized information regarding their prognosis, and be offered therapies that are specifically tailored to their particular tumour and their actual disease burden. </w:t>
      </w:r>
    </w:p>
    <w:p w14:paraId="759B398E" w14:textId="77777777" w:rsidR="0061482C" w:rsidRPr="003E73CD" w:rsidRDefault="0061482C" w:rsidP="0061482C">
      <w:pPr>
        <w:spacing w:line="480" w:lineRule="auto"/>
        <w:rPr>
          <w:sz w:val="22"/>
          <w:szCs w:val="22"/>
        </w:rPr>
      </w:pPr>
    </w:p>
    <w:p w14:paraId="5EFBEA34" w14:textId="77777777" w:rsidR="0061482C" w:rsidRPr="003E73CD" w:rsidRDefault="0061482C" w:rsidP="0061482C">
      <w:pPr>
        <w:spacing w:line="480" w:lineRule="auto"/>
        <w:rPr>
          <w:sz w:val="22"/>
          <w:szCs w:val="22"/>
        </w:rPr>
      </w:pPr>
    </w:p>
    <w:p w14:paraId="0154C335" w14:textId="77777777" w:rsidR="0061482C" w:rsidRPr="003E73CD" w:rsidRDefault="0061482C" w:rsidP="0061482C">
      <w:pPr>
        <w:spacing w:line="480" w:lineRule="auto"/>
        <w:rPr>
          <w:sz w:val="28"/>
          <w:szCs w:val="28"/>
        </w:rPr>
      </w:pPr>
      <w:r w:rsidRPr="003E73CD">
        <w:rPr>
          <w:sz w:val="28"/>
          <w:szCs w:val="28"/>
        </w:rPr>
        <w:br w:type="page"/>
        <w:t>1.2: Lymphatic mapping and occult nodal metastasis in melanoma: a review of the literature.</w:t>
      </w:r>
    </w:p>
    <w:p w14:paraId="2BD17477" w14:textId="77777777" w:rsidR="0061482C" w:rsidRPr="003E73CD" w:rsidRDefault="0061482C" w:rsidP="0061482C">
      <w:pPr>
        <w:widowControl w:val="0"/>
        <w:autoSpaceDE w:val="0"/>
        <w:autoSpaceDN w:val="0"/>
        <w:adjustRightInd w:val="0"/>
        <w:spacing w:line="480" w:lineRule="auto"/>
        <w:ind w:right="-389"/>
        <w:rPr>
          <w:b/>
          <w:bCs/>
          <w:sz w:val="22"/>
          <w:szCs w:val="22"/>
        </w:rPr>
      </w:pPr>
    </w:p>
    <w:p w14:paraId="1D6DB327" w14:textId="77777777" w:rsidR="0061482C" w:rsidRPr="003E73CD" w:rsidRDefault="0061482C" w:rsidP="0061482C">
      <w:pPr>
        <w:widowControl w:val="0"/>
        <w:autoSpaceDE w:val="0"/>
        <w:autoSpaceDN w:val="0"/>
        <w:adjustRightInd w:val="0"/>
        <w:spacing w:line="480" w:lineRule="auto"/>
        <w:ind w:right="-389"/>
        <w:rPr>
          <w:b/>
          <w:bCs/>
          <w:sz w:val="22"/>
          <w:szCs w:val="22"/>
        </w:rPr>
      </w:pPr>
      <w:r w:rsidRPr="003E73CD">
        <w:rPr>
          <w:b/>
          <w:bCs/>
          <w:sz w:val="22"/>
          <w:szCs w:val="22"/>
        </w:rPr>
        <w:t>BACKGROUND</w:t>
      </w:r>
    </w:p>
    <w:p w14:paraId="147EADCF" w14:textId="77777777" w:rsidR="0061482C" w:rsidRPr="003E73CD" w:rsidRDefault="0061482C" w:rsidP="0061482C">
      <w:pPr>
        <w:widowControl w:val="0"/>
        <w:autoSpaceDE w:val="0"/>
        <w:autoSpaceDN w:val="0"/>
        <w:adjustRightInd w:val="0"/>
        <w:spacing w:line="480" w:lineRule="auto"/>
        <w:ind w:right="-389" w:firstLine="720"/>
        <w:rPr>
          <w:sz w:val="22"/>
          <w:szCs w:val="22"/>
        </w:rPr>
      </w:pPr>
      <w:r w:rsidRPr="003E73CD">
        <w:rPr>
          <w:sz w:val="22"/>
          <w:szCs w:val="22"/>
        </w:rPr>
        <w:t xml:space="preserve">The detection of occult nodal metastasis in melanoma has important implications for prognosis, staging and subsequent therapeutic interventions.  The ability to accurately group patients according to prognosis is desirable to allow appropriate selection of patients for entry into clinical trials.  For an individual, an accurate prognosis could be helpful in allowing that individual to plan their life accordingly.  It is therefore vital that the methods used to detect occult nodal metastasis are reliable and reproducible and that the subsequent prognostic stratification of patients occurs such that within each group, prognostic variability is minimal.  Lymphatic mapping techniques have evolved over many years and have facilitated the development of the sentinel node concept into the technique of sentinel node biopsy that has become widely adopted as a minimally-invasive surgical procedure for detecting occult nodal metastasis in melanoma.  However, the ability to identify such patients presents a series of dilemmas, which require evidence in order to determine the most appropriate way forward.  This section aims to provide a brief overview of the development of lymphatic mapping and sentinel node biopsy for melanoma, to summarize current understanding with regards to occult nodal metastasis and to highlight areas where further research is required.  </w:t>
      </w:r>
    </w:p>
    <w:p w14:paraId="5ADE96BB" w14:textId="77777777" w:rsidR="0061482C" w:rsidRPr="003E73CD" w:rsidRDefault="0061482C" w:rsidP="0061482C">
      <w:pPr>
        <w:widowControl w:val="0"/>
        <w:autoSpaceDE w:val="0"/>
        <w:autoSpaceDN w:val="0"/>
        <w:adjustRightInd w:val="0"/>
        <w:spacing w:line="480" w:lineRule="auto"/>
        <w:ind w:right="-389"/>
        <w:rPr>
          <w:b/>
          <w:bCs/>
          <w:sz w:val="22"/>
          <w:szCs w:val="22"/>
        </w:rPr>
      </w:pPr>
    </w:p>
    <w:p w14:paraId="284972CB" w14:textId="77777777" w:rsidR="0061482C" w:rsidRPr="003E73CD" w:rsidRDefault="0061482C" w:rsidP="0061482C">
      <w:pPr>
        <w:widowControl w:val="0"/>
        <w:autoSpaceDE w:val="0"/>
        <w:autoSpaceDN w:val="0"/>
        <w:adjustRightInd w:val="0"/>
        <w:spacing w:line="480" w:lineRule="auto"/>
        <w:ind w:right="-389"/>
        <w:rPr>
          <w:b/>
          <w:bCs/>
          <w:sz w:val="22"/>
          <w:szCs w:val="22"/>
        </w:rPr>
      </w:pPr>
      <w:r w:rsidRPr="003E73CD">
        <w:rPr>
          <w:b/>
          <w:bCs/>
          <w:sz w:val="22"/>
          <w:szCs w:val="22"/>
        </w:rPr>
        <w:t>HISTORY OF LYMPHATIC MAPPING</w:t>
      </w:r>
    </w:p>
    <w:p w14:paraId="24C5924A" w14:textId="25676F2C" w:rsidR="0061482C" w:rsidRPr="003E73CD" w:rsidRDefault="0061482C" w:rsidP="0061482C">
      <w:pPr>
        <w:widowControl w:val="0"/>
        <w:autoSpaceDE w:val="0"/>
        <w:autoSpaceDN w:val="0"/>
        <w:adjustRightInd w:val="0"/>
        <w:spacing w:line="480" w:lineRule="auto"/>
        <w:ind w:right="-389" w:firstLine="720"/>
        <w:rPr>
          <w:sz w:val="22"/>
          <w:szCs w:val="22"/>
        </w:rPr>
      </w:pPr>
      <w:r w:rsidRPr="003E73CD">
        <w:rPr>
          <w:sz w:val="22"/>
          <w:szCs w:val="22"/>
        </w:rPr>
        <w:t>The lymphatic system has been the subject of study for over 2000 years.</w:t>
      </w:r>
      <w:r w:rsidRPr="003E73CD">
        <w:rPr>
          <w:sz w:val="22"/>
          <w:szCs w:val="22"/>
        </w:rPr>
        <w:fldChar w:fldCharType="begin" w:fldLock="1"/>
      </w:r>
      <w:r w:rsidR="001C6CB8">
        <w:rPr>
          <w:sz w:val="22"/>
          <w:szCs w:val="22"/>
        </w:rPr>
        <w:instrText>ADDIN CSL_CITATION { "citationItems" : [ { "id" : "ITEM-1", "itemData" : { "author" : [ { "dropping-particle" : "", "family" : "Thompson", "given" : "John F.", "non-dropping-particle" : "", "parse-names" : false, "suffix" : "" }, { "dropping-particle" : "", "family" : "Morton", "given" : "Donald L.", "non-dropping-particle" : "", "parse-names" : false, "suffix" : "" }, { "dropping-particle" : "", "family" : "Kroon", "given" : "Bin B. R.", "non-dropping-particle" : "", "parse-names" : false, "suffix" : "" } ], "id" : "ITEM-1", "issued" : { "date-parts" : [ [ "2004" ] ] }, "publisher" : "Martin-Dunitz", "publisher-place" : "London", "title" : "Textbook of Melanoma", "type" : "book" }, "uris" : [ "http://www.mendeley.com/documents/?uuid=f1691cff-67df-4630-b74e-2e0df28ade4c" ] } ], "mendeley" : { "formattedCitation" : "&lt;sup&gt;88&lt;/sup&gt;", "plainTextFormattedCitation" : "88", "previouslyFormattedCitation" : "&lt;sup&gt;88&lt;/sup&gt;"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88</w:t>
      </w:r>
      <w:r w:rsidRPr="003E73CD">
        <w:rPr>
          <w:sz w:val="22"/>
          <w:szCs w:val="22"/>
        </w:rPr>
        <w:fldChar w:fldCharType="end"/>
      </w:r>
      <w:proofErr w:type="gramStart"/>
      <w:r w:rsidRPr="003E73CD">
        <w:rPr>
          <w:sz w:val="22"/>
          <w:szCs w:val="22"/>
        </w:rPr>
        <w:t xml:space="preserve">  However</w:t>
      </w:r>
      <w:proofErr w:type="gramEnd"/>
      <w:r w:rsidRPr="003E73CD">
        <w:rPr>
          <w:sz w:val="22"/>
          <w:szCs w:val="22"/>
        </w:rPr>
        <w:t>, it was in the 19</w:t>
      </w:r>
      <w:r w:rsidRPr="003E73CD">
        <w:rPr>
          <w:sz w:val="22"/>
          <w:szCs w:val="22"/>
          <w:vertAlign w:val="superscript"/>
        </w:rPr>
        <w:t>th</w:t>
      </w:r>
      <w:r w:rsidRPr="003E73CD">
        <w:rPr>
          <w:sz w:val="22"/>
          <w:szCs w:val="22"/>
        </w:rPr>
        <w:t xml:space="preserve"> century that major advances began to pave the way for the development of modern methods of lymphatic mapping.  Cruikshank, a pupil of William Hunter, and Mascagni, a professor of anatomy in Sienna, Italy, had independently produced detailed illustrations of lymphatic vessels in man in the late 1780s.</w:t>
      </w:r>
      <w:r w:rsidRPr="003E73CD">
        <w:rPr>
          <w:sz w:val="22"/>
          <w:szCs w:val="22"/>
        </w:rPr>
        <w:fldChar w:fldCharType="begin" w:fldLock="1"/>
      </w:r>
      <w:r w:rsidR="001C6CB8">
        <w:rPr>
          <w:sz w:val="22"/>
          <w:szCs w:val="22"/>
        </w:rPr>
        <w:instrText>ADDIN CSL_CITATION { "citationItems" : [ { "id" : "ITEM-1", "itemData" : { "author" : [ { "dropping-particle" : "", "family" : "Cruikshank", "given" : "W", "non-dropping-particle" : "", "parse-names" : false, "suffix" : "" } ], "id" : "ITEM-1", "issued" : { "date-parts" : [ [ "1786" ] ] }, "title" : "The anatomy of the absorbing vessels of the human body", "type" : "article-journal" }, "uris" : [ "http://www.mendeley.com/documents/?uuid=9e8f78b2-9a30-4a47-8ec5-44d3f874e0d5" ] }, { "id" : "ITEM-2", "itemData" : { "author" : [ { "dropping-particle" : "", "family" : "Mascagni", "given" : "P", "non-dropping-particle" : "", "parse-names" : false, "suffix" : "" } ], "id" : "ITEM-2", "issued" : { "date-parts" : [ [ "1787" ] ] }, "publisher-place" : "Sienna", "title" : "Vasorum lymphaticum corporis humani historia et ichnographia", "type" : "book" }, "uris" : [ "http://www.mendeley.com/documents/?uuid=baef10b0-7df8-49c6-b7a7-6e19bffc5888" ] } ], "mendeley" : { "formattedCitation" : "&lt;sup&gt;89,90&lt;/sup&gt;", "plainTextFormattedCitation" : "89,90", "previouslyFormattedCitation" : "&lt;sup&gt;89,90&lt;/sup&gt;"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89,90</w:t>
      </w:r>
      <w:r w:rsidRPr="003E73CD">
        <w:rPr>
          <w:sz w:val="22"/>
          <w:szCs w:val="22"/>
        </w:rPr>
        <w:fldChar w:fldCharType="end"/>
      </w:r>
      <w:proofErr w:type="gramStart"/>
      <w:r w:rsidRPr="003E73CD">
        <w:rPr>
          <w:sz w:val="22"/>
          <w:szCs w:val="22"/>
        </w:rPr>
        <w:t xml:space="preserve">  These</w:t>
      </w:r>
      <w:proofErr w:type="gramEnd"/>
      <w:r w:rsidRPr="003E73CD">
        <w:rPr>
          <w:sz w:val="22"/>
          <w:szCs w:val="22"/>
        </w:rPr>
        <w:t xml:space="preserve"> investigators used a mercury injection technique and this technique was refined by Sappey, a professor of anatomy in Paris.  The resulting illustrations, produced following mercury injections in a series of cadavers, detailed the cutaneous lymphatic drainage pathways of the entire human body, and were published in an atlas in 1874.</w:t>
      </w:r>
      <w:r w:rsidRPr="003E73CD">
        <w:rPr>
          <w:sz w:val="22"/>
          <w:szCs w:val="22"/>
        </w:rPr>
        <w:fldChar w:fldCharType="begin" w:fldLock="1"/>
      </w:r>
      <w:r w:rsidR="001C6CB8">
        <w:rPr>
          <w:sz w:val="22"/>
          <w:szCs w:val="22"/>
        </w:rPr>
        <w:instrText>ADDIN CSL_CITATION { "citationItems" : [ { "id" : "ITEM-1", "itemData" : { "author" : [ { "dropping-particle" : "", "family" : "Sappey", "given" : "P.C.", "non-dropping-particle" : "", "parse-names" : false, "suffix" : "" } ], "id" : "ITEM-1", "issued" : { "date-parts" : [ [ "1874" ] ] }, "publisher" : "Delahaye", "publisher-place" : "Paris", "title" : "Anatomie, physiologie, pathologie des vaisseaux lymphatiques consid\u00e2er\u00e2es chez l'homme et les vert\u00e2ebr\u00e2es", "type" : "book" }, "uris" : [ "http://www.mendeley.com/documents/?uuid=e0452392-5ff2-4fb5-b884-e9e3e6040415" ] } ], "mendeley" : { "formattedCitation" : "&lt;sup&gt;91&lt;/sup&gt;", "plainTextFormattedCitation" : "91", "previouslyFormattedCitation" : "&lt;sup&gt;91&lt;/sup&gt;"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91</w:t>
      </w:r>
      <w:r w:rsidRPr="003E73CD">
        <w:rPr>
          <w:sz w:val="22"/>
          <w:szCs w:val="22"/>
        </w:rPr>
        <w:fldChar w:fldCharType="end"/>
      </w:r>
      <w:proofErr w:type="gramStart"/>
      <w:r w:rsidRPr="003E73CD">
        <w:rPr>
          <w:sz w:val="22"/>
          <w:szCs w:val="22"/>
        </w:rPr>
        <w:t xml:space="preserve">  Sappey</w:t>
      </w:r>
      <w:proofErr w:type="gramEnd"/>
      <w:r w:rsidRPr="003E73CD">
        <w:rPr>
          <w:sz w:val="22"/>
          <w:szCs w:val="22"/>
        </w:rPr>
        <w:t xml:space="preserve"> described zones on the trunk, in the midline and horizontally through the umbilicus around to L2 vertebra, from where drainage could occur to more than one nodal field.  Outside these zones, Sappey believed that drainage could only occur to the ipsilateral axilla or groin depending whether it was above or below the horizontal zone respectively.  Mercury injection could not be performed in living humans, and so other substances were tested.  Gerota discovered that dyes such as Prussian blue could be used to identify lymphatics in vivo.</w:t>
      </w:r>
      <w:r w:rsidRPr="003E73CD">
        <w:rPr>
          <w:sz w:val="22"/>
          <w:szCs w:val="22"/>
        </w:rPr>
        <w:fldChar w:fldCharType="begin" w:fldLock="1"/>
      </w:r>
      <w:r w:rsidR="001C6CB8">
        <w:rPr>
          <w:sz w:val="22"/>
          <w:szCs w:val="22"/>
        </w:rPr>
        <w:instrText>ADDIN CSL_CITATION { "citationItems" : [ { "id" : "ITEM-1", "itemData" : { "author" : [ { "dropping-particle" : "", "family" : "Gerota", "given" : "", "non-dropping-particle" : "", "parse-names" : false, "suffix" : "" } ], "container-title" : "Polychrom Injection Anat Anzeiger", "id" : "ITEM-1", "issued" : { "date-parts" : [ [ "1896" ] ] }, "page" : "216", "title" : "Zur Technik der Lymphgefassinjection. Eine neue Injections-masse fur Lymphgefasse", "type" : "article-journal", "volume" : "12" }, "uris" : [ "http://www.mendeley.com/documents/?uuid=4e7c86f4-997c-49b2-97f3-5852149bce99" ] } ], "mendeley" : { "formattedCitation" : "&lt;sup&gt;92&lt;/sup&gt;", "plainTextFormattedCitation" : "92", "previouslyFormattedCitation" : "&lt;sup&gt;92&lt;/sup&gt;"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92</w:t>
      </w:r>
      <w:r w:rsidRPr="003E73CD">
        <w:rPr>
          <w:sz w:val="22"/>
          <w:szCs w:val="22"/>
        </w:rPr>
        <w:fldChar w:fldCharType="end"/>
      </w:r>
      <w:r w:rsidRPr="003E73CD">
        <w:rPr>
          <w:sz w:val="22"/>
          <w:szCs w:val="22"/>
        </w:rPr>
        <w:t xml:space="preserve"> X-ray was discovered in 1895 and this provided a novel medium in which to image lymphatic anatomy.  Thorotrast, a colloidal preparation of thorium dioxide was developed and used in vivo to demonstrate lymphatic anatomy.</w:t>
      </w:r>
      <w:r w:rsidRPr="003E73CD">
        <w:rPr>
          <w:sz w:val="22"/>
          <w:szCs w:val="22"/>
        </w:rPr>
        <w:fldChar w:fldCharType="begin" w:fldLock="1"/>
      </w:r>
      <w:r w:rsidR="001C6CB8">
        <w:rPr>
          <w:sz w:val="22"/>
          <w:szCs w:val="22"/>
        </w:rPr>
        <w:instrText>ADDIN CSL_CITATION { "citationItems" : [ { "id" : "ITEM-1", "itemData" : { "DOI" : "10.1002/bjs.18002610303", "ISSN" : "00071323", "author" : [ { "dropping-particle" : "", "family" : "Gray", "given" : "J. H.", "non-dropping-particle" : "", "parse-names" : false, "suffix" : "" } ], "container-title" : "British Journal of Surgery", "id" : "ITEM-1", "issue" : "103", "issued" : { "date-parts" : [ [ "1939", "1" ] ] }, "page" : "462-495", "title" : "The relation of lymphatic vessels to the spread of cancer", "type" : "article-journal", "volume" : "26" }, "uris" : [ "http://www.mendeley.com/documents/?uuid=a11082a5-faba-4e0f-b9ff-4e890c64707b" ] } ], "mendeley" : { "formattedCitation" : "&lt;sup&gt;93&lt;/sup&gt;", "plainTextFormattedCitation" : "93", "previouslyFormattedCitation" : "&lt;sup&gt;93&lt;/sup&gt;"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93</w:t>
      </w:r>
      <w:r w:rsidRPr="003E73CD">
        <w:rPr>
          <w:sz w:val="22"/>
          <w:szCs w:val="22"/>
        </w:rPr>
        <w:fldChar w:fldCharType="end"/>
      </w:r>
      <w:proofErr w:type="gramStart"/>
      <w:r w:rsidRPr="003E73CD">
        <w:rPr>
          <w:sz w:val="22"/>
          <w:szCs w:val="22"/>
        </w:rPr>
        <w:t xml:space="preserve">  However</w:t>
      </w:r>
      <w:proofErr w:type="gramEnd"/>
      <w:r w:rsidRPr="003E73CD">
        <w:rPr>
          <w:sz w:val="22"/>
          <w:szCs w:val="22"/>
        </w:rPr>
        <w:t xml:space="preserve"> its use was discontinued when it was found to cause malignancies.</w:t>
      </w:r>
      <w:r w:rsidRPr="003E73CD">
        <w:rPr>
          <w:sz w:val="22"/>
          <w:szCs w:val="22"/>
        </w:rPr>
        <w:fldChar w:fldCharType="begin" w:fldLock="1"/>
      </w:r>
      <w:r w:rsidR="001C6CB8">
        <w:rPr>
          <w:sz w:val="22"/>
          <w:szCs w:val="22"/>
        </w:rPr>
        <w:instrText>ADDIN CSL_CITATION { "citationItems" : [ { "id" : "ITEM-1", "itemData" : { "DOI" : "10.1016/S0140-6736(65)90692-6", "ISSN" : "01406736", "PMID" : "14315226", "author" : [ { "dropping-particle" : "", "family" : "Horta", "given" : "J", "non-dropping-particle" : "", "parse-names" : false, "suffix" : "" } ], "container-title" : "Lancet", "id" : "ITEM-1", "issue" : "7405", "issued" : { "date-parts" : [ [ "1965", "7", "31" ] ] }, "page" : "201-205", "title" : "Malignancy and other late effects following administration of Thorootrast", "type" : "article-journal", "volume" : "286" }, "uris" : [ "http://www.mendeley.com/documents/?uuid=473cce7d-fa1a-4585-a097-8edb39ce9155" ] } ], "mendeley" : { "formattedCitation" : "&lt;sup&gt;94&lt;/sup&gt;", "plainTextFormattedCitation" : "94", "previouslyFormattedCitation" : "&lt;sup&gt;94&lt;/sup&gt;"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94</w:t>
      </w:r>
      <w:r w:rsidRPr="003E73CD">
        <w:rPr>
          <w:sz w:val="22"/>
          <w:szCs w:val="22"/>
        </w:rPr>
        <w:fldChar w:fldCharType="end"/>
      </w:r>
    </w:p>
    <w:p w14:paraId="4A89F1BB" w14:textId="022A5479" w:rsidR="0061482C" w:rsidRPr="003E73CD" w:rsidRDefault="0061482C" w:rsidP="0061482C">
      <w:pPr>
        <w:widowControl w:val="0"/>
        <w:autoSpaceDE w:val="0"/>
        <w:autoSpaceDN w:val="0"/>
        <w:adjustRightInd w:val="0"/>
        <w:spacing w:line="480" w:lineRule="auto"/>
        <w:ind w:right="-389" w:firstLine="720"/>
        <w:rPr>
          <w:sz w:val="22"/>
          <w:szCs w:val="22"/>
        </w:rPr>
      </w:pPr>
      <w:r w:rsidRPr="003E73CD">
        <w:rPr>
          <w:sz w:val="22"/>
          <w:szCs w:val="22"/>
        </w:rPr>
        <w:t>From the early 1930s vital dyes began to be used to study lymphatic drainage in patients, with the discovery that interstitial injections result in uptake into lymphatic capillaries and then to lymph nodes.</w:t>
      </w:r>
      <w:r w:rsidRPr="003E73CD">
        <w:rPr>
          <w:sz w:val="22"/>
          <w:szCs w:val="22"/>
        </w:rPr>
        <w:fldChar w:fldCharType="begin" w:fldLock="1"/>
      </w:r>
      <w:r w:rsidR="001C6CB8">
        <w:rPr>
          <w:sz w:val="22"/>
          <w:szCs w:val="22"/>
        </w:rPr>
        <w:instrText>ADDIN CSL_CITATION { "citationItems" : [ { "id" : "ITEM-1", "itemData" : { "ISSN" : "0022-1007", "PMID" : "19870160", "abstract" : "A technic is described for the demonstration of lymphatic capillaries in living skin and for their study. By means of vital dyes injected intradermally these vessels can be rendered plainly visible. They form an extraordinarily abundant anastomotic web. The least scratch, one which does not penetrate through the epidermis, gives rise to such conditions that lymphatic absorption readily takes place from the abraded surface; and so close-meshed is the lymphatic web that an intradermal injection with even the finest hypodermic needle tears some of the constituent vessels open with result that they undergo direct injection. In many individuals much of the fluid introduced at an ordinary intradermal injection, like that made in the clinic, spreads through the superficial lymphatic network, whereas in others it tends to enter the deeper lymphatics at once, the difference being due to merely physical factors determined by skin texture. Normal flow along the skin lymphatics is rapid even when the body is at rest, dye introduced into the skin of the resting forearm reaching the axilla within a few minutes. The observations make plain the fact that every intradermal injection is an intralymphatic one, often preponderantly such, while furthermore every local injection into the skin becomes within a few minutes a general one, so rapidly is the introduced material transported to the blood. The normal permeability of the skin lymphatics of man is approximately the same as that of the mouse. Tests indicate that in both instances the lymphatic wall behaves like a semipermeable membrane. The permeability of the human lymphatic wall like that of the mouse is subject to rapid and great changes. A stroke on the skin with a blunt instrument to produce a wheal, causes the lymphatic capillaries to become so permeable temporarily that dyes pass through their walls as if practically no barrier existed, instead of being held back for a greater or less period. Slight inflammation due to heat, ultraviolet light or bacterial products has a similar effect. So, too, has histamine. When fluid pours rapidly into the tissue from the blood, as when a wheal is formed, the lymphatics are compressed and their efficiency as drainage channels is interfered with. These facts are briefly discussed in their bearing upon skin phenomena in general. The lymphatics cannot be disregarded in considering such phenomena, in which it is plain that they have a large share.", "author" : [ { "dropping-particle" : "", "family" : "Hudack", "given" : "S S", "non-dropping-particle" : "", "parse-names" : false, "suffix" : "" }, { "dropping-particle" : "", "family" : "McMaster", "given" : "P D", "non-dropping-particle" : "", "parse-names" : false, "suffix" : "" } ], "container-title" : "The Journal of experimental medicine", "id" : "ITEM-1", "issue" : "5", "issued" : { "date-parts" : [ [ "1933", "4", "30" ] ] }, "page" : "751-74", "title" : "The lymphatic participation in human cutaneous phenomena: A study of the minute lymphatics of the living skin.", "type" : "article-journal", "volume" : "57" }, "uris" : [ "http://www.mendeley.com/documents/?uuid=b5626677-e484-4cc9-b101-14091ba826f6" ] } ], "mendeley" : { "formattedCitation" : "&lt;sup&gt;95&lt;/sup&gt;", "plainTextFormattedCitation" : "95", "previouslyFormattedCitation" : "&lt;sup&gt;95&lt;/sup&gt;"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95</w:t>
      </w:r>
      <w:r w:rsidRPr="003E73CD">
        <w:rPr>
          <w:sz w:val="22"/>
          <w:szCs w:val="22"/>
        </w:rPr>
        <w:fldChar w:fldCharType="end"/>
      </w:r>
      <w:proofErr w:type="gramStart"/>
      <w:r w:rsidRPr="003E73CD">
        <w:rPr>
          <w:sz w:val="22"/>
          <w:szCs w:val="22"/>
        </w:rPr>
        <w:t xml:space="preserve">  The</w:t>
      </w:r>
      <w:proofErr w:type="gramEnd"/>
      <w:r w:rsidRPr="003E73CD">
        <w:rPr>
          <w:sz w:val="22"/>
          <w:szCs w:val="22"/>
        </w:rPr>
        <w:t xml:space="preserve"> application of this technique for the identification of lymph nodes draining cancer is attributed to Weinberg in 1950.</w:t>
      </w:r>
      <w:r w:rsidRPr="003E73CD">
        <w:rPr>
          <w:sz w:val="22"/>
          <w:szCs w:val="22"/>
        </w:rPr>
        <w:fldChar w:fldCharType="begin" w:fldLock="1"/>
      </w:r>
      <w:r w:rsidR="001C6CB8">
        <w:rPr>
          <w:sz w:val="22"/>
          <w:szCs w:val="22"/>
        </w:rPr>
        <w:instrText>ADDIN CSL_CITATION { "citationItems" : [ { "id" : "ITEM-1", "itemData" : { "ISSN" : "0039-6087", "PMID" : "15418425", "author" : [ { "dropping-particle" : "", "family" : "Weinberg", "given" : "J", "non-dropping-particle" : "", "parse-names" : false, "suffix" : "" }, { "dropping-particle" : "", "family" : "Greaney", "given" : "E M", "non-dropping-particle" : "", "parse-names" : false, "suffix" : "" } ], "container-title" : "Surgery, gynecology &amp; obstetrics", "id" : "ITEM-1", "issue" : "5", "issued" : { "date-parts" : [ [ "1950", "5" ] ] }, "page" : "561-7", "title" : "Identification of regional lymph nodes by means of a vital staining dye during surgery of gastric cancer.", "type" : "article-journal", "volume" : "90" }, "uris" : [ "http://www.mendeley.com/documents/?uuid=7f12fdc8-ecad-49f5-a313-2854bf3ab3b7" ] } ], "mendeley" : { "formattedCitation" : "&lt;sup&gt;96&lt;/sup&gt;", "plainTextFormattedCitation" : "96", "previouslyFormattedCitation" : "&lt;sup&gt;96&lt;/sup&gt;"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96</w:t>
      </w:r>
      <w:r w:rsidRPr="003E73CD">
        <w:rPr>
          <w:sz w:val="22"/>
          <w:szCs w:val="22"/>
        </w:rPr>
        <w:fldChar w:fldCharType="end"/>
      </w:r>
      <w:proofErr w:type="gramStart"/>
      <w:r w:rsidRPr="003E73CD">
        <w:rPr>
          <w:sz w:val="22"/>
          <w:szCs w:val="22"/>
        </w:rPr>
        <w:t xml:space="preserve">  Shortly</w:t>
      </w:r>
      <w:proofErr w:type="gramEnd"/>
      <w:r w:rsidRPr="003E73CD">
        <w:rPr>
          <w:sz w:val="22"/>
          <w:szCs w:val="22"/>
        </w:rPr>
        <w:t xml:space="preserve"> following this Kinmonth developed the technique of x-ray contrast lymphangiography for in vivo imaging of lymphatic vessels and their draining lymph nodes.</w:t>
      </w:r>
      <w:r w:rsidRPr="003E73CD">
        <w:rPr>
          <w:sz w:val="22"/>
          <w:szCs w:val="22"/>
        </w:rPr>
        <w:fldChar w:fldCharType="begin" w:fldLock="1"/>
      </w:r>
      <w:r w:rsidR="001C6CB8">
        <w:rPr>
          <w:sz w:val="22"/>
          <w:szCs w:val="22"/>
        </w:rPr>
        <w:instrText>ADDIN CSL_CITATION { "citationItems" : [ { "id" : "ITEM-1", "itemData" : { "ISSN" : "0143-5221", "PMID" : "14896514", "author" : [ { "dropping-particle" : "", "family" : "Kinmonth", "given" : "J B", "non-dropping-particle" : "", "parse-names" : false, "suffix" : "" } ], "container-title" : "Clinical science (London, England : 1979)", "id" : "ITEM-1", "issue" : "1", "issued" : { "date-parts" : [ [ "1952", "2" ] ] }, "page" : "13-20", "title" : "Lymphangiography in man; a method of outlining lymphatic trunks at operation.", "type" : "article-journal", "volume" : "11" }, "uris" : [ "http://www.mendeley.com/documents/?uuid=6498490b-73e7-461b-87b5-d43906c726f5" ] } ], "mendeley" : { "formattedCitation" : "&lt;sup&gt;97&lt;/sup&gt;", "plainTextFormattedCitation" : "97", "previouslyFormattedCitation" : "&lt;sup&gt;97&lt;/sup&gt;"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97</w:t>
      </w:r>
      <w:r w:rsidRPr="003E73CD">
        <w:rPr>
          <w:sz w:val="22"/>
          <w:szCs w:val="22"/>
        </w:rPr>
        <w:fldChar w:fldCharType="end"/>
      </w:r>
      <w:proofErr w:type="gramStart"/>
      <w:r w:rsidRPr="003E73CD">
        <w:rPr>
          <w:sz w:val="22"/>
          <w:szCs w:val="22"/>
        </w:rPr>
        <w:t xml:space="preserve">  The</w:t>
      </w:r>
      <w:proofErr w:type="gramEnd"/>
      <w:r w:rsidRPr="003E73CD">
        <w:rPr>
          <w:sz w:val="22"/>
          <w:szCs w:val="22"/>
        </w:rPr>
        <w:t xml:space="preserve"> procedure involved subcutaneous injection of Patent Blue dye on the dorsum of the hand or foot.  This allowed identification of a blue-stained lymphatic channel, which was then cannulated for the injection of radio-opaque dye.  At a similar time, the technique of lymphoscintigraphy using radioactive colloidal gold was introduced.</w:t>
      </w:r>
      <w:r w:rsidRPr="003E73CD">
        <w:rPr>
          <w:sz w:val="22"/>
          <w:szCs w:val="22"/>
        </w:rPr>
        <w:fldChar w:fldCharType="begin" w:fldLock="1"/>
      </w:r>
      <w:r w:rsidR="001C6CB8">
        <w:rPr>
          <w:sz w:val="22"/>
          <w:szCs w:val="22"/>
        </w:rPr>
        <w:instrText>ADDIN CSL_CITATION { "citationItems" : [ { "id" : "ITEM-1", "itemData" : { "ISSN" : "0008-543X", "PMID" : "13106841", "author" : [ { "dropping-particle" : "", "family" : "Sherman", "given" : "A I", "non-dropping-particle" : "", "parse-names" : false, "suffix" : "" }, { "dropping-particle" : "", "family" : "Ter-Pogossian", "given" : "M", "non-dropping-particle" : "", "parse-names" : false, "suffix" : "" } ], "container-title" : "Cancer", "id" : "ITEM-1", "issue" : "6", "issued" : { "date-parts" : [ [ "1953", "11" ] ] }, "page" : "1238-40", "title" : "Lymph-node concentration of radioactive colloidal gold following interstitial injection.", "type" : "article-journal", "volume" : "6" }, "uris" : [ "http://www.mendeley.com/documents/?uuid=eeddd67e-ba03-4f7f-98c6-c737f7c09139" ] } ], "mendeley" : { "formattedCitation" : "&lt;sup&gt;98&lt;/sup&gt;", "plainTextFormattedCitation" : "98", "previouslyFormattedCitation" : "&lt;sup&gt;98&lt;/sup&gt;"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98</w:t>
      </w:r>
      <w:r w:rsidRPr="003E73CD">
        <w:rPr>
          <w:sz w:val="22"/>
          <w:szCs w:val="22"/>
        </w:rPr>
        <w:fldChar w:fldCharType="end"/>
      </w:r>
      <w:proofErr w:type="gramStart"/>
      <w:r w:rsidRPr="003E73CD">
        <w:rPr>
          <w:sz w:val="22"/>
          <w:szCs w:val="22"/>
        </w:rPr>
        <w:t xml:space="preserve">  Although</w:t>
      </w:r>
      <w:proofErr w:type="gramEnd"/>
      <w:r w:rsidRPr="003E73CD">
        <w:rPr>
          <w:sz w:val="22"/>
          <w:szCs w:val="22"/>
        </w:rPr>
        <w:t xml:space="preserve"> lymphangiography initially became the standard method for imaging the lymphatic system in vivo, it was lymphoscintigraphy that produced clear evidence against the existence of the strict boundaries described by Sappey, and demonstrated that lymphatic drainage patterns from the same area of skin could vary greatly from patient to patient.</w:t>
      </w:r>
      <w:r w:rsidRPr="003E73CD">
        <w:rPr>
          <w:sz w:val="22"/>
          <w:szCs w:val="22"/>
        </w:rPr>
        <w:fldChar w:fldCharType="begin" w:fldLock="1"/>
      </w:r>
      <w:r w:rsidR="001C6CB8">
        <w:rPr>
          <w:sz w:val="22"/>
          <w:szCs w:val="22"/>
        </w:rPr>
        <w:instrText>ADDIN CSL_CITATION { "citationItems" : [ { "id" : "ITEM-1", "itemData" : { "ISSN" : "0161-5505", "PMID" : "8355060", "abstract" : "Lymphoscintigraphy was performed in 209 patients with high-risk melanoma of the trunk referred to the Sydney Melanoma Unit and considered for lymph node dissection. Lymphoscintigraphy accurately defined the draining lymph node groups and was 94% sensitive in detecting draining sites that contained metastases. When combined with the clinical finding of palpable lymph nodes, the sensitivity rose to 98%. Most patients showed lymph drainage to one or two node groups and only 22 patients showed drainage to 3 or more node groups. The major lymph channels could also be marked on the skin prior to incontinuity dissection. Most patients had multiple draining lymph channels and these often diverged significantly from each other in the path to the draining node group. The number and location of interval nodes could be determined and marked on the skin. These and the major lymph channels could thus be excised at the time of surgery. Unusual drainage patterns were sometimes seen; for example, three patients displayed a new lymph pathway with direct drainage from the back anteriorly to the para-aortic nodes. The location of the sentinel nodes in each draining lymph-node group could also be marked on the skin prior to surgery, enabling quick and accurate identification of this node, using the blue-dye technique if biopsy were to be performed. These findings lead us to recommend lymphoscintigraphy prior to wide local excision in patients with truncal melanoma who are candidates for surgery. Lymphoscintigraphy results will help plan surgery and lead to minimum surgical intervention, consistent with effective surgical management.", "author" : [ { "dropping-particle" : "", "family" : "Uren", "given" : "R F", "non-dropping-particle" : "", "parse-names" : false, "suffix" : "" }, { "dropping-particle" : "", "family" : "Howman-Giles", "given" : "R B", "non-dropping-particle" : "", "parse-names" : false, "suffix" : "" }, { "dropping-particle" : "", "family" : "Shaw", "given" : "H M", "non-dropping-particle" : "", "parse-names" : false, "suffix" : "" }, { "dropping-particle" : "", "family" : "Thompson", "given" : "J F", "non-dropping-particle" : "", "parse-names" : false, "suffix" : "" }, { "dropping-particle" : "", "family" : "McCarthy", "given" : "W H", "non-dropping-particle" : "", "parse-names" : false, "suffix" : "" } ], "container-title" : "Journal of nuclear medicine : official publication, Society of Nuclear Medicine", "id" : "ITEM-1", "issue" : "9", "issued" : { "date-parts" : [ [ "1993", "9" ] ] }, "page" : "1435-40", "title" : "Lymphoscintigraphy in high-risk melanoma of the trunk: predicting draining node groups, defining lymphatic channels and locating the sentinel node.", "type" : "article-journal", "volume" : "34" }, "uris" : [ "http://www.mendeley.com/documents/?uuid=274338cb-ae32-48f7-bdbd-96e8755842db" ] } ], "mendeley" : { "formattedCitation" : "&lt;sup&gt;99&lt;/sup&gt;", "plainTextFormattedCitation" : "99", "previouslyFormattedCitation" : "&lt;sup&gt;99&lt;/sup&gt;"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99</w:t>
      </w:r>
      <w:r w:rsidRPr="003E73CD">
        <w:rPr>
          <w:sz w:val="22"/>
          <w:szCs w:val="22"/>
        </w:rPr>
        <w:fldChar w:fldCharType="end"/>
      </w:r>
      <w:proofErr w:type="gramStart"/>
      <w:r w:rsidRPr="003E73CD">
        <w:rPr>
          <w:sz w:val="22"/>
          <w:szCs w:val="22"/>
        </w:rPr>
        <w:t xml:space="preserve">  This</w:t>
      </w:r>
      <w:proofErr w:type="gramEnd"/>
      <w:r w:rsidRPr="003E73CD">
        <w:rPr>
          <w:sz w:val="22"/>
          <w:szCs w:val="22"/>
        </w:rPr>
        <w:t xml:space="preserve"> latter finding was perhaps most notable in the head and neck, thus leading to its reputation as an area with unpredictable drainage.</w:t>
      </w:r>
      <w:r w:rsidRPr="003E73CD">
        <w:rPr>
          <w:sz w:val="22"/>
          <w:szCs w:val="22"/>
        </w:rPr>
        <w:fldChar w:fldCharType="begin" w:fldLock="1"/>
      </w:r>
      <w:r w:rsidR="001C6CB8">
        <w:rPr>
          <w:sz w:val="22"/>
          <w:szCs w:val="22"/>
        </w:rPr>
        <w:instrText>ADDIN CSL_CITATION { "citationItems" : [ { "id" : "ITEM-1", "itemData" : { "ISSN" : "0032-1052", "PMID" : "8134434", "abstract" : "Lymphoscintigraphy has been shown to be of assistance in defining the lymphatic drainage pattern of melanoma. In this study, lymphoscintigraphy was performed on 25 patients with primary melanoma (stages I and II at diagnosis) of the head and neck to determine whether the lymphatic drainage seen on lymphoscintigram was the same as the surgeon's expected lymphatic drainage. The lymphoscintigrams were discordant in 21 of the patients (84 percent) with drainage to a lymphatic basin not predicted clinically. Based on the discordant lymphoscintigram, a change in surgical therapy occurred in 13 of 21 patients (62 percent). Of the 25 patients, 18 underwent prophylactic node dissections and 7 did not. Of the nodal basins removed, 27 of 38 nodal bases (71 percent) were seen on lymphoscintigraphy. Melanoma metastatic to lymph nodes was removed from nodal basins identified by the lymphoscintigram, but not predicted clinically, in two patients (8 percent). Historical anatomical patterns of lymph drainage and the clinical impression of experienced surgeons cannot reliably predict the pattern of lymphatic drainage in patients with melanoma of the head and neck.", "author" : [ { "dropping-particle" : "", "family" : "Wells", "given" : "K E", "non-dropping-particle" : "", "parse-names" : false, "suffix" : "" }, { "dropping-particle" : "", "family" : "Cruse", "given" : "C W", "non-dropping-particle" : "", "parse-names" : false, "suffix" : "" }, { "dropping-particle" : "", "family" : "Daniels", "given" : "S", "non-dropping-particle" : "", "parse-names" : false, "suffix" : "" }, { "dropping-particle" : "", "family" : "Berman", "given" : "C", "non-dropping-particle" : "", "parse-names" : false, "suffix" : "" }, { "dropping-particle" : "", "family" : "Norman", "given" : "J", "non-dropping-particle" : "", "parse-names" : false, "suffix" : "" }, { "dropping-particle" : "", "family" : "Reintgen", "given" : "D S", "non-dropping-particle" : "", "parse-names" : false, "suffix" : "" } ], "container-title" : "Plastic and reconstructive surgery", "id" : "ITEM-1", "issue" : "4", "issued" : { "date-parts" : [ [ "1994", "4" ] ] }, "page" : "757-61", "title" : "The use of lymphoscintigraphy in melanoma of the head and neck.", "type" : "article-journal", "volume" : "93" }, "uris" : [ "http://www.mendeley.com/documents/?uuid=a743256c-eac3-4845-9faf-4815af449197" ] }, { "id" : "ITEM-2", "itemData" : { "ISSN" : "0002-9610", "PMID" : "7485733", "abstract" : "BACKGROUND: The technique of lymphoscintigraphy may allow a more selective approach to the management of clinically negative neck nodes among patients with cutaneous head and neck melanoma.\n\nPATIENTS AND METHODS: A group of 97 patients with cutaneous head and neck melanoma had preoperative lymphoscintigraphy using intradermal injections of technetium 99m antimony trisulfide colloid to identify sentinel nodes. Fifty-one patients were eligible for clinical analysis after initial definitive treatment by wide excision only (n = 11), wide excision and elective dissection of the neck (n = 19) or axilla (n = 1), or wide excision and a sentinel node biopsy procedure (n = 20).\n\nRESULTS: Sentinel nodes were identified in 95 of 97 lymphoscintigrams, and 85% of patients had multiple sentinel nodes. In 21 patients (22%), sentinel nodes were identified outside the parotid region and the 5 main neck levels, mostly in postauricular nodes (n = 13). Lymphoscintigrams were discordant with clinical predictions in 33 patients (34%). Lymph nodes were positive in 4 elective dissections and 4 sentinel node biopsies. Among 16 patients evaluable after wide excision and a negative sentinel node biopsy, 4 patients subsequently developed metastatic nodes; however, confident identification of all nodes marked as sentinel nodes on lymphoscintigraphy was not achieved at the original biopsy procedure in 3 of these patients.\n\nCONCLUSIONS: Lymphoscintigraphy and sentinel node biopsy are more difficult to perform in the head and neck than in other parts of the body. The reliability of sentinel node biopsy based on lymphoscintigraphy may be improved by identifying and marking all nodes that are considered to receive direct lymphatic drainage from the primary melanoma, and by use of a gamma probe intraoperatively.", "author" : [ { "dropping-particle" : "", "family" : "O'Brien", "given" : "C J", "non-dropping-particle" : "", "parse-names" : false, "suffix" : "" }, { "dropping-particle" : "", "family" : "Uren", "given" : "R F", "non-dropping-particle" : "", "parse-names" : false, "suffix" : "" }, { "dropping-particle" : "", "family" : "Thompson", "given" : "J F", "non-dropping-particle" : "", "parse-names" : false, "suffix" : "" }, { "dropping-particle" : "", "family" : "Howman-Giles", "given" : "R B", "non-dropping-particle" : "", "parse-names" : false, "suffix" : "" }, { "dropping-particle" : "", "family" : "Petersen-Schaefer", "given" : "K", "non-dropping-particle" : "", "parse-names" : false, "suffix" : "" }, { "dropping-particle" : "", "family" : "Shaw", "given" : "H M", "non-dropping-particle" : "", "parse-names" : false, "suffix" : "" }, { "dropping-particle" : "", "family" : "Quinn", "given" : "M J", "non-dropping-particle" : "", "parse-names" : false, "suffix" : "" }, { "dropping-particle" : "", "family" : "McCarthy", "given" : "W H", "non-dropping-particle" : "", "parse-names" : false, "suffix" : "" } ], "container-title" : "American journal of surgery", "id" : "ITEM-2", "issue" : "5", "issued" : { "date-parts" : [ [ "1995", "11" ] ] }, "page" : "461-6", "title" : "Prediction of potential metastatic sites in cutaneous head and neck melanoma using lymphoscintigraphy.", "type" : "article-journal", "volume" : "170" }, "uris" : [ "http://www.mendeley.com/documents/?uuid=05380489-57e3-4f1b-97e9-45bb73411cac" ] }, { "id" : "ITEM-3", "itemData" : { "ISSN" : "0886-4470", "PMID" : "10722003", "abstract" : "OBJECTIVE: To describe a clinical experience with sentinel lymph node biopsy (SLNB) of head and neck nodal basins for clinical stage I melanomas draining to these areas.\n\nDESIGN: Consecutive clinical case series with a mean follow-up of 10.7 months.\n\nSETTING: University tertiary care referral medical center.\n\nPATIENTS: Seventy patients with clinical stage I cutaneous melanoma who underwent SLNB of cervical and/or parotid lymph node basins.\n\nINTERVENTIONS: Patients underwent same-day preoperative technetium Tc 99m lymphoscintigraphy followed by SLNB using gamma probe and blue dye (66 patients) and blue dye alone (4 patients). Patients with histological evidence of tumor (here in after \"positive\") according to SLNB results underwent modified cervical completion lymph node dissection, including parotidectomy, as appropriate. Patients without histological evidence of tumor (hereinafter \"negative\") according to SLNB results were followed up clinically without undergoing completion lymph node dissection.\n\nMAIN OUTCOME MEASURES: The rates of SLNB success, SLNB positivity, completion lymph node dissection positivity, complications, and SLNB false-negative results were determined by clinical follow-up.\n\nRESULTS: Locations of melanomas in the 70 patients were the face (n = 20), neck (n = 14), ear (n = 9), scalp (n = 9), and upper thorax (n = 18). Locations of basins that underwent biopsy (n = 104) were in the cervical (n = 68), parotid (n = 19), and axillary (n = 17) regions. The mean Breslow thickness was 2.1 mm (range, 0.4-12.0 mm). Sentinel lymph node biopsy was successful in 103 basins (99%). The mean number of sentinel lymph nodes per basin was 2.5 (range, 1.0-8.0). Positive sentinel lymph nodes were found in 12 patients (17%) and 15 basins (14%). Sentinel lymph node biopsy results correlated with the American Joint Committee on Cancer tumor stage (P = .05) and a Breslow thickness of 1.23 mm or greater (P = .03). Additional tumor-containing nodes were noted in 5 (42%) of the 12 patients who underwent completion lymph node dissection, and these results correlated with the presence of multiple positive sentinel lymph nodes (P = .01). There were complications in 3 patients (4%) (seromas in 2 patients and temporary spinal accessory nerve paresis in 1 patient). One nodal recurrence in a basin that was negative according to SLNB results (SLNB with blue dye only) was noted (false-negative rate, 2%). The results of SLNB were accurate in 69 patients (99%).\n\nCONCLUSIO\u2026", "author" : [ { "dropping-particle" : "", "family" : "Wagner", "given" : "J D", "non-dropping-particle" : "", "parse-names" : false, "suffix" : "" }, { "dropping-particle" : "", "family" : "Park", "given" : "H M", "non-dropping-particle" : "", "parse-names" : false, "suffix" : "" }, { "dropping-particle" : "", "family" : "Coleman", "given" : "J J", "non-dropping-particle" : "", "parse-names" : false, "suffix" : "" }, { "dropping-particle" : "", "family" : "Love", "given" : "C", "non-dropping-particle" : "", "parse-names" : false, "suffix" : "" }, { "dropping-particle" : "", "family" : "Hayes", "given" : "J T", "non-dropping-particle" : "", "parse-names" : false, "suffix" : "" } ], "container-title" : "Archives of otolaryngology--head &amp; neck surgery", "id" : "ITEM-3", "issue" : "3", "issued" : { "date-parts" : [ [ "2000", "3" ] ] }, "page" : "313-21", "title" : "Cervical sentinel lymph node biopsy for melanomas of the head and neck and upper thorax.", "type" : "article-journal", "volume" : "126" }, "uris" : [ "http://www.mendeley.com/documents/?uuid=b4c557f4-a433-4729-92fc-ab775d1b54c4" ] }, { "id" : "ITEM-4", "itemData" : { "ISSN" : "1043-3074", "PMID" : "10585602", "abstract" : "BACKGROUND: Lymphatic drainage in the head and neck region is known to be particularly complex. This study explores the value of sentinel node biopsy for melanoma in the head and neck region.\n\nMETHODS: Thirty consecutive patients with clinically localized cutaneous melanoma in the head and neck region were included. Sentinel node biopsy was performed with blue dye and a gamma probe after preoperative lymphoscintigraphy. Average follow-up was 23 months (range, 1-48).\n\nRESULTS: In 27 of 30 patients, a sentinel node was identified (90%). Only 53% of sentinel nodes were both blue and radioactive. A sentinel node was tumor-positive in 8 patients. The sentinel node was false-negative in two cases. Sensitivity of the procedure was 80% (8 of 10).\n\nCONCLUSIONS: Sentinel node biopsy in the head and neck region is a technically demanding procedure. Although it may help determine whether a neck dissection is necessary in certain patients, further investigation is required before this technique can be recommended for the standard management of cutaneous head and neck melanoma.", "author" : [ { "dropping-particle" : "", "family" : "Jansen", "given" : "L", "non-dropping-particle" : "", "parse-names" : false, "suffix" : "" }, { "dropping-particle" : "", "family" : "Koops", "given" : "H S", "non-dropping-particle" : "", "parse-names" : false, "suffix" : "" }, { "dropping-particle" : "", "family" : "Nieweg", "given" : "O E", "non-dropping-particle" : "", "parse-names" : false, "suffix" : "" }, { "dropping-particle" : "", "family" : "Doting", "given" : "M H", "non-dropping-particle" : "", "parse-names" : false, "suffix" : "" }, { "dropping-particle" : "", "family" : "Kapteijn", "given" : "B A", "non-dropping-particle" : "", "parse-names" : false, "suffix" : "" }, { "dropping-particle" : "", "family" : "Balm", "given" : "A J", "non-dropping-particle" : "", "parse-names" : false, "suffix" : "" }, { "dropping-particle" : "", "family" : "Vermey", "given" : "A", "non-dropping-particle" : "", "parse-names" : false, "suffix" : "" }, { "dropping-particle" : "", "family" : "Plukker", "given" : "J T", "non-dropping-particle" : "", "parse-names" : false, "suffix" : "" }, { "dropping-particle" : "", "family" : "Hoefnagel", "given" : "C A", "non-dropping-particle" : "", "parse-names" : false, "suffix" : "" }, { "dropping-particle" : "", "family" : "Piers", "given" : "D A", "non-dropping-particle" : "", "parse-names" : false, "suffix" : "" }, { "dropping-particle" : "", "family" : "Kroon", "given" : "B B", "non-dropping-particle" : "", "parse-names" : false, "suffix" : "" } ], "container-title" : "Head &amp; neck", "id" : "ITEM-4", "issue" : "1", "issued" : { "date-parts" : [ [ "2000", "1" ] ] }, "page" : "27-33", "title" : "Sentinel node biopsy for melanoma in the head and neck region.", "type" : "article-journal", "volume" : "22" }, "uris" : [ "http://www.mendeley.com/documents/?uuid=ebf06b8a-0b18-4332-ad38-26959ee6e80c" ] }, { "id" : "ITEM-5", "itemData" : { "ISSN" : "0960-8931", "PMID" : "15305159", "abstract" : "Sentinel lymph node biopsy may be more technically challenging for melanoma of the head and neck compared with other locations because of the complex lymphatic drainage patterns. This study demonstrates the value of sentinel node biopsy for head and neck melanoma, and highlights the associated difficulties. Thirty consecutive patients with primary cutaneous melanoma of the head and neck (n=26) or draining to the neck (n=4) underwent preoperative lymphoscintigraphy. This was followed by intraoperative lymphatic mapping using blue dye alone (n=8) or in combination with a hand-held gamma probe (n=22) and sentinel lymphadenectomy. Modified neck dissection was performed in all patients with positive sentinel nodes. The study population had a male predominance (73%). Most lesions were nodular and were not ulcerated. In two patients (6.2%) preoperative lymphoscintigraphy failed to demonstrate the draining nodes, which were retrieved by surgery, and in two patients (6.2%) the sentinel node was not found at surgery despite preoperative visualization. Overall, the sentinel node was identified 93% of the time: in seven out of eight cases (88%) using blue dye alone, and in 21 out of 22 cases (96%) using a combination of blue dye and gamma probe. Four out of 28 basins were deemed positive for metastases. Twenty-three of the 24 patients with negative sentinel nodes were free of disease at a median of 31 months (range 9-91 months). There was one false-negative case salvaged by surgery. The sentinel node technique is technically demanding but advantageous for most patients with head and neck melanoma. Identification rates seem to be better when preoperative lymphoscintigraphy is combined with intraoperative blue dye mapping and a hand-held gamma probe. The relative contribution of each component could not be determined.", "author" : [ { "dropping-particle" : "", "family" : "Shpitzer", "given" : "Thomas", "non-dropping-particle" : "", "parse-names" : false, "suffix" : "" }, { "dropping-particle" : "", "family" : "Segal", "given" : "Karl", "non-dropping-particle" : "", "parse-names" : false, "suffix" : "" }, { "dropping-particle" : "", "family" : "Schachter", "given" : "Jacob", "non-dropping-particle" : "", "parse-names" : false, "suffix" : "" }, { "dropping-particle" : "", "family" : "Hardoff", "given" : "Ruth", "non-dropping-particle" : "", "parse-names" : false, "suffix" : "" }, { "dropping-particle" : "", "family" : "Guttman", "given" : "Dan", "non-dropping-particle" : "", "parse-names" : false, "suffix" : "" }, { "dropping-particle" : "", "family" : "Ulanovski", "given" : "David", "non-dropping-particle" : "", "parse-names" : false, "suffix" : "" }, { "dropping-particle" : "", "family" : "Feinmesser", "given" : "Raphael", "non-dropping-particle" : "", "parse-names" : false, "suffix" : "" }, { "dropping-particle" : "", "family" : "Gutman", "given" : "Haim", "non-dropping-particle" : "", "parse-names" : false, "suffix" : "" } ], "container-title" : "Melanoma research", "id" : "ITEM-5", "issue" : "4", "issued" : { "date-parts" : [ [ "2004", "8" ] ] }, "page" : "283-7", "title" : "Sentinel node guided surgery for melanoma in the head and neck region.", "type" : "article-journal", "volume" : "14" }, "uris" : [ "http://www.mendeley.com/documents/?uuid=734af4cf-b37d-4fee-aeeb-61e9559c8d87" ] }, { "id" : "ITEM-6", "itemData" : { "DOI" : "10.1001/archotol.130.7.844", "ISSN" : "0886-4470", "PMID" : "15262761", "abstract" : "OBJECTIVES: To analyze lymphatic drainage patterns and recurrence patterns in patients undergoing sentinel lymph node biopsy (SLNB) for cutaneous head and neck melanoma. DESIGN: Retrospective review of a consecutive series with a mean follow-up of 35 months. SETTING: Tertiary cancer care center. PATIENTS: Fifty-one patients with clinically node-negative cutaneous melanoma of the head and neck region staged by means of SLNB. INTERVENTIONS: Sentinel lymph nodes (SLNs) were identified using preoperative lymphatic mapping along with intraoperative gamma probe evaluation and isosulfan blue dye injection. Patients with a positive SLNB finding by hematoxylin-eosin or immunohistochemical evaluation underwent completion lymphadenectomy of the affected lymphatic basin and were considered for further adjuvant treatment. Patients with a negative SLNB finding were observed clinically. MAIN OUTCOME MEASURES: Location characteristics of SLNs, incidence of positive SLNs, same-basin recurrence, and disease-free survival. RESULTS: The mean number of SLNs per patients was 2.75. The extent of SLNB included removal of 1 node (n = 11), multiple nodes from 1 basin (n = 18), 1 node in multiple basins (n = 7), and multiple nodes in multiple basins (n = 15). Drainage to unexpected basins was found in 13 of 51 patients. Parotid region drainage was identified in 18 patients. There were no same-basin recurrences in patients with a negative SLNB finding. Thirty-six-month disease-free survival was 88.9% for patients with a negative SLN and 72.9% for patients with a positive SLN (P=.17). CONCLUSIONS: The number and location of SLNs is variable and difficult to predict for head and neck cutaneous melanoma. Preoperative lymphoscintigraphy is an important planning instrument to guide complete removal of all SLNs. Based on 3-year follow-up, this procedure can be expected to provide low same-basin recurrence rates for patients with a negative SLN.", "author" : [ { "dropping-particle" : "", "family" : "Fincher", "given" : "Timothy R.", "non-dropping-particle" : "", "parse-names" : false, "suffix" : "" }, { "dropping-particle" : "", "family" : "O'Brien", "given" : "John C.", "non-dropping-particle" : "", "parse-names" : false, "suffix" : "" }, { "dropping-particle" : "", "family" : "McCarty", "given" : "Todd M.", "non-dropping-particle" : "", "parse-names" : false, "suffix" : "" }, { "dropping-particle" : "", "family" : "Fisher", "given" : "Tammy L.", "non-dropping-particle" : "", "parse-names" : false, "suffix" : "" }, { "dropping-particle" : "", "family" : "Preskitt", "given" : "John T.", "non-dropping-particle" : "", "parse-names" : false, "suffix" : "" }, { "dropping-particle" : "", "family" : "Lieberman", "given" : "Zelig H.", "non-dropping-particle" : "", "parse-names" : false, "suffix" : "" }, { "dropping-particle" : "", "family" : "Stephens", "given" : "Jeffrey F.", "non-dropping-particle" : "", "parse-names" : false, "suffix" : "" }, { "dropping-particle" : "", "family" : "Kuhn", "given" : "Joseph A.", "non-dropping-particle" : "", "parse-names" : false, "suffix" : "" } ], "container-title" : "Archives of Otolaryngology\u2013Head &amp; Neck Surgery", "id" : "ITEM-6", "issue" : "7", "issued" : { "date-parts" : [ [ "2004", "7", "1" ] ] }, "page" : "844-848", "title" : "Patterns of Drainage and Recurrence Following Sentinel Lymph Node Biopsy for Cutaneous Melanoma of the Head and Neck", "type" : "article-journal", "volume" : "130" }, "uris" : [ "http://www.mendeley.com/documents/?uuid=038e1964-9817-40ad-86f8-1eaa2078941d" ] }, { "id" : "ITEM-7", "itemData" : { "ISSN" : "1529-4242", "PMID" : "15731669", "abstract" : "Sentinel lymph node biopsy has revolutionized the surgical management of primary malignant melanoma. Most series on sentinel lymph node mapping have concentrated on extremity and truncal melanomas. The head and neck region has a rich and unpredictable lymphatic system. The use of sentinel lymph node mapping in the management of head and neck melanoma is evaluated. The authors conducted a retrospective review of patients treated for clinical stage I and stage II malignant melanoma of the head and neck with dynamic lymphoscintigraphy and gamma probe-guided sentinel lymph node biopsy. One hundred thirty-two patients (99 male patients and 33 female patients) were identified. The primary melanoma sites were the scalp (n = 54), ear (n = 14), face (n = 37), and neck (n = 27). Primary tumor staging was as follows: T1, 11; T2, 38; T3, 39; and T4, 44. Dynamic lymphoscintigraphy visualized sentinel lymph nodes in 128 patients (97 percent). In 71 cases (55 percent), a single draining nodal basin was identified, and in 57 cases there were multiple draining nodal basins (two basins, 55; three basins, two). Sentinel lymph nodes were successfully identified in 176 of 186 nodal basins (95 percent). Positive sentinel lymph nodes were identified in 22 patients (17.6 percent). Sentinel lymph node positivity by tumor staging was as follows: T2, 10.8 percent; T3, 19.4 percent; and T4, 26.8 percent. Completion lymphadenectomy revealed residual disease in seven patients (33.3 percent). Sentinel lymph node mapping for head and neck melanoma can be performed with results comparable to those of other anatomical sites.", "author" : [ { "dropping-particle" : "", "family" : "Carlson", "given" : "Grant W", "non-dropping-particle" : "", "parse-names" : false, "suffix" : "" }, { "dropping-particle" : "", "family" : "Murray", "given" : "Douglas R", "non-dropping-particle" : "", "parse-names" : false, "suffix" : "" }, { "dropping-particle" : "", "family" : "Lyles", "given" : "Robert H", "non-dropping-particle" : "", "parse-names" : false, "suffix" : "" }, { "dropping-particle" : "", "family" : "Hestley", "given" : "Andrea", "non-dropping-particle" : "", "parse-names" : false, "suffix" : "" }, { "dropping-particle" : "", "family" : "Cohen", "given" : "Cynthia", "non-dropping-particle" : "", "parse-names" : false, "suffix" : "" } ], "container-title" : "Plastic and reconstructive surgery", "id" : "ITEM-7", "issue" : "3", "issued" : { "date-parts" : [ [ "2005", "3" ] ] }, "page" : "721-8", "title" : "Sentinel lymph node biopsy in the management of cutaneous head and neck melanoma.", "type" : "article-journal", "volume" : "115" }, "uris" : [ "http://www.mendeley.com/documents/?uuid=c42656d6-c7bb-4881-ba01-2d6aada4bc88" ] } ], "mendeley" : { "formattedCitation" : "&lt;sup&gt;100\u2013106&lt;/sup&gt;", "plainTextFormattedCitation" : "100\u2013106", "previouslyFormattedCitation" : "&lt;sup&gt;100\u2013106&lt;/sup&gt;"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100–106</w:t>
      </w:r>
      <w:r w:rsidRPr="003E73CD">
        <w:rPr>
          <w:sz w:val="22"/>
          <w:szCs w:val="22"/>
        </w:rPr>
        <w:fldChar w:fldCharType="end"/>
      </w:r>
      <w:proofErr w:type="gramStart"/>
      <w:r w:rsidRPr="003E73CD">
        <w:rPr>
          <w:sz w:val="22"/>
          <w:szCs w:val="22"/>
        </w:rPr>
        <w:t xml:space="preserve">  In</w:t>
      </w:r>
      <w:proofErr w:type="gramEnd"/>
      <w:r w:rsidRPr="003E73CD">
        <w:rPr>
          <w:sz w:val="22"/>
          <w:szCs w:val="22"/>
        </w:rPr>
        <w:t xml:space="preserve"> the literature, cited rates of discordance between predicted and lymphoscintigraphically-determined sentinel node sites in the head and neck vary from 7% to 37%.</w:t>
      </w:r>
      <w:r w:rsidRPr="003E73CD">
        <w:rPr>
          <w:sz w:val="22"/>
          <w:szCs w:val="22"/>
        </w:rPr>
        <w:fldChar w:fldCharType="begin" w:fldLock="1"/>
      </w:r>
      <w:r w:rsidR="001C6CB8">
        <w:rPr>
          <w:sz w:val="22"/>
          <w:szCs w:val="22"/>
        </w:rPr>
        <w:instrText>ADDIN CSL_CITATION { "citationItems" : [ { "id" : "ITEM-1", "itemData" : { "DOI" : "10.1001/archotol.130.7.844", "ISSN" : "0886-4470", "PMID" : "15262761", "abstract" : "OBJECTIVES: To analyze lymphatic drainage patterns and recurrence patterns in patients undergoing sentinel lymph node biopsy (SLNB) for cutaneous head and neck melanoma. DESIGN: Retrospective review of a consecutive series with a mean follow-up of 35 months. SETTING: Tertiary cancer care center. PATIENTS: Fifty-one patients with clinically node-negative cutaneous melanoma of the head and neck region staged by means of SLNB. INTERVENTIONS: Sentinel lymph nodes (SLNs) were identified using preoperative lymphatic mapping along with intraoperative gamma probe evaluation and isosulfan blue dye injection. Patients with a positive SLNB finding by hematoxylin-eosin or immunohistochemical evaluation underwent completion lymphadenectomy of the affected lymphatic basin and were considered for further adjuvant treatment. Patients with a negative SLNB finding were observed clinically. MAIN OUTCOME MEASURES: Location characteristics of SLNs, incidence of positive SLNs, same-basin recurrence, and disease-free survival. RESULTS: The mean number of SLNs per patients was 2.75. The extent of SLNB included removal of 1 node (n = 11), multiple nodes from 1 basin (n = 18), 1 node in multiple basins (n = 7), and multiple nodes in multiple basins (n = 15). Drainage to unexpected basins was found in 13 of 51 patients. Parotid region drainage was identified in 18 patients. There were no same-basin recurrences in patients with a negative SLNB finding. Thirty-six-month disease-free survival was 88.9% for patients with a negative SLN and 72.9% for patients with a positive SLN (P=.17). CONCLUSIONS: The number and location of SLNs is variable and difficult to predict for head and neck cutaneous melanoma. Preoperative lymphoscintigraphy is an important planning instrument to guide complete removal of all SLNs. Based on 3-year follow-up, this procedure can be expected to provide low same-basin recurrence rates for patients with a negative SLN.", "author" : [ { "dropping-particle" : "", "family" : "Fincher", "given" : "Timothy R.", "non-dropping-particle" : "", "parse-names" : false, "suffix" : "" }, { "dropping-particle" : "", "family" : "O'Brien", "given" : "John C.", "non-dropping-particle" : "", "parse-names" : false, "suffix" : "" }, { "dropping-particle" : "", "family" : "McCarty", "given" : "Todd M.", "non-dropping-particle" : "", "parse-names" : false, "suffix" : "" }, { "dropping-particle" : "", "family" : "Fisher", "given" : "Tammy L.", "non-dropping-particle" : "", "parse-names" : false, "suffix" : "" }, { "dropping-particle" : "", "family" : "Preskitt", "given" : "John T.", "non-dropping-particle" : "", "parse-names" : false, "suffix" : "" }, { "dropping-particle" : "", "family" : "Lieberman", "given" : "Zelig H.", "non-dropping-particle" : "", "parse-names" : false, "suffix" : "" }, { "dropping-particle" : "", "family" : "Stephens", "given" : "Jeffrey F.", "non-dropping-particle" : "", "parse-names" : false, "suffix" : "" }, { "dropping-particle" : "", "family" : "Kuhn", "given" : "Joseph A.", "non-dropping-particle" : "", "parse-names" : false, "suffix" : "" } ], "container-title" : "Archives of Otolaryngology\u2013Head &amp; Neck Surgery", "id" : "ITEM-1", "issue" : "7", "issued" : { "date-parts" : [ [ "2004", "7", "1" ] ] }, "page" : "844-848", "title" : "Patterns of Drainage and Recurrence Following Sentinel Lymph Node Biopsy for Cutaneous Melanoma of the Head and Neck", "type" : "article-journal", "volume" : "130" }, "uris" : [ "http://www.mendeley.com/documents/?uuid=038e1964-9817-40ad-86f8-1eaa2078941d" ] }, { "id" : "ITEM-2", "itemData" : { "ISSN" : "1043-3074", "PMID" : "10585602", "abstract" : "BACKGROUND: Lymphatic drainage in the head and neck region is known to be particularly complex. This study explores the value of sentinel node biopsy for melanoma in the head and neck region.\n\nMETHODS: Thirty consecutive patients with clinically localized cutaneous melanoma in the head and neck region were included. Sentinel node biopsy was performed with blue dye and a gamma probe after preoperative lymphoscintigraphy. Average follow-up was 23 months (range, 1-48).\n\nRESULTS: In 27 of 30 patients, a sentinel node was identified (90%). Only 53% of sentinel nodes were both blue and radioactive. A sentinel node was tumor-positive in 8 patients. The sentinel node was false-negative in two cases. Sensitivity of the procedure was 80% (8 of 10).\n\nCONCLUSIONS: Sentinel node biopsy in the head and neck region is a technically demanding procedure. Although it may help determine whether a neck dissection is necessary in certain patients, further investigation is required before this technique can be recommended for the standard management of cutaneous head and neck melanoma.", "author" : [ { "dropping-particle" : "", "family" : "Jansen", "given" : "L", "non-dropping-particle" : "", "parse-names" : false, "suffix" : "" }, { "dropping-particle" : "", "family" : "Koops", "given" : "H S", "non-dropping-particle" : "", "parse-names" : false, "suffix" : "" }, { "dropping-particle" : "", "family" : "Nieweg", "given" : "O E", "non-dropping-particle" : "", "parse-names" : false, "suffix" : "" }, { "dropping-particle" : "", "family" : "Doting", "given" : "M H", "non-dropping-particle" : "", "parse-names" : false, "suffix" : "" }, { "dropping-particle" : "", "family" : "Kapteijn", "given" : "B A", "non-dropping-particle" : "", "parse-names" : false, "suffix" : "" }, { "dropping-particle" : "", "family" : "Balm", "given" : "A J", "non-dropping-particle" : "", "parse-names" : false, "suffix" : "" }, { "dropping-particle" : "", "family" : "Vermey", "given" : "A", "non-dropping-particle" : "", "parse-names" : false, "suffix" : "" }, { "dropping-particle" : "", "family" : "Plukker", "given" : "J T", "non-dropping-particle" : "", "parse-names" : false, "suffix" : "" }, { "dropping-particle" : "", "family" : "Hoefnagel", "given" : "C A", "non-dropping-particle" : "", "parse-names" : false, "suffix" : "" }, { "dropping-particle" : "", "family" : "Piers", "given" : "D A", "non-dropping-particle" : "", "parse-names" : false, "suffix" : "" }, { "dropping-particle" : "", "family" : "Kroon", "given" : "B B", "non-dropping-particle" : "", "parse-names" : false, "suffix" : "" } ], "container-title" : "Head &amp; neck", "id" : "ITEM-2", "issue" : "1", "issued" : { "date-parts" : [ [ "2000", "1" ] ] }, "page" : "27-33", "title" : "Sentinel node biopsy for melanoma in the head and neck region.", "type" : "article-journal", "volume" : "22" }, "uris" : [ "http://www.mendeley.com/documents/?uuid=ebf06b8a-0b18-4332-ad38-26959ee6e80c" ] }, { "id" : "ITEM-3", "itemData" : { "ISSN" : "0002-9610", "PMID" : "7485733", "abstract" : "BACKGROUND: The technique of lymphoscintigraphy may allow a more selective approach to the management of clinically negative neck nodes among patients with cutaneous head and neck melanoma.\n\nPATIENTS AND METHODS: A group of 97 patients with cutaneous head and neck melanoma had preoperative lymphoscintigraphy using intradermal injections of technetium 99m antimony trisulfide colloid to identify sentinel nodes. Fifty-one patients were eligible for clinical analysis after initial definitive treatment by wide excision only (n = 11), wide excision and elective dissection of the neck (n = 19) or axilla (n = 1), or wide excision and a sentinel node biopsy procedure (n = 20).\n\nRESULTS: Sentinel nodes were identified in 95 of 97 lymphoscintigrams, and 85% of patients had multiple sentinel nodes. In 21 patients (22%), sentinel nodes were identified outside the parotid region and the 5 main neck levels, mostly in postauricular nodes (n = 13). Lymphoscintigrams were discordant with clinical predictions in 33 patients (34%). Lymph nodes were positive in 4 elective dissections and 4 sentinel node biopsies. Among 16 patients evaluable after wide excision and a negative sentinel node biopsy, 4 patients subsequently developed metastatic nodes; however, confident identification of all nodes marked as sentinel nodes on lymphoscintigraphy was not achieved at the original biopsy procedure in 3 of these patients.\n\nCONCLUSIONS: Lymphoscintigraphy and sentinel node biopsy are more difficult to perform in the head and neck than in other parts of the body. The reliability of sentinel node biopsy based on lymphoscintigraphy may be improved by identifying and marking all nodes that are considered to receive direct lymphatic drainage from the primary melanoma, and by use of a gamma probe intraoperatively.", "author" : [ { "dropping-particle" : "", "family" : "O'Brien", "given" : "C J", "non-dropping-particle" : "", "parse-names" : false, "suffix" : "" }, { "dropping-particle" : "", "family" : "Uren", "given" : "R F", "non-dropping-particle" : "", "parse-names" : false, "suffix" : "" }, { "dropping-particle" : "", "family" : "Thompson", "given" : "J F", "non-dropping-particle" : "", "parse-names" : false, "suffix" : "" }, { "dropping-particle" : "", "family" : "Howman-Giles", "given" : "R B", "non-dropping-particle" : "", "parse-names" : false, "suffix" : "" }, { "dropping-particle" : "", "family" : "Petersen-Schaefer", "given" : "K", "non-dropping-particle" : "", "parse-names" : false, "suffix" : "" }, { "dropping-particle" : "", "family" : "Shaw", "given" : "H M", "non-dropping-particle" : "", "parse-names" : false, "suffix" : "" }, { "dropping-particle" : "", "family" : "Quinn", "given" : "M J", "non-dropping-particle" : "", "parse-names" : false, "suffix" : "" }, { "dropping-particle" : "", "family" : "McCarthy", "given" : "W H", "non-dropping-particle" : "", "parse-names" : false, "suffix" : "" } ], "container-title" : "American journal of surgery", "id" : "ITEM-3", "issue" : "5", "issued" : { "date-parts" : [ [ "1995", "11" ] ] }, "page" : "461-6", "title" : "Prediction of potential metastatic sites in cutaneous head and neck melanoma using lymphoscintigraphy.", "type" : "article-journal", "volume" : "170" }, "uris" : [ "http://www.mendeley.com/documents/?uuid=05380489-57e3-4f1b-97e9-45bb73411cac" ] }, { "id" : "ITEM-4", "itemData" : { "ISSN" : "0960-8931", "PMID" : "15305159", "abstract" : "Sentinel lymph node biopsy may be more technically challenging for melanoma of the head and neck compared with other locations because of the complex lymphatic drainage patterns. This study demonstrates the value of sentinel node biopsy for head and neck melanoma, and highlights the associated difficulties. Thirty consecutive patients with primary cutaneous melanoma of the head and neck (n=26) or draining to the neck (n=4) underwent preoperative lymphoscintigraphy. This was followed by intraoperative lymphatic mapping using blue dye alone (n=8) or in combination with a hand-held gamma probe (n=22) and sentinel lymphadenectomy. Modified neck dissection was performed in all patients with positive sentinel nodes. The study population had a male predominance (73%). Most lesions were nodular and were not ulcerated. In two patients (6.2%) preoperative lymphoscintigraphy failed to demonstrate the draining nodes, which were retrieved by surgery, and in two patients (6.2%) the sentinel node was not found at surgery despite preoperative visualization. Overall, the sentinel node was identified 93% of the time: in seven out of eight cases (88%) using blue dye alone, and in 21 out of 22 cases (96%) using a combination of blue dye and gamma probe. Four out of 28 basins were deemed positive for metastases. Twenty-three of the 24 patients with negative sentinel nodes were free of disease at a median of 31 months (range 9-91 months). There was one false-negative case salvaged by surgery. The sentinel node technique is technically demanding but advantageous for most patients with head and neck melanoma. Identification rates seem to be better when preoperative lymphoscintigraphy is combined with intraoperative blue dye mapping and a hand-held gamma probe. The relative contribution of each component could not be determined.", "author" : [ { "dropping-particle" : "", "family" : "Shpitzer", "given" : "Thomas", "non-dropping-particle" : "", "parse-names" : false, "suffix" : "" }, { "dropping-particle" : "", "family" : "Segal", "given" : "Karl", "non-dropping-particle" : "", "parse-names" : false, "suffix" : "" }, { "dropping-particle" : "", "family" : "Schachter", "given" : "Jacob", "non-dropping-particle" : "", "parse-names" : false, "suffix" : "" }, { "dropping-particle" : "", "family" : "Hardoff", "given" : "Ruth", "non-dropping-particle" : "", "parse-names" : false, "suffix" : "" }, { "dropping-particle" : "", "family" : "Guttman", "given" : "Dan", "non-dropping-particle" : "", "parse-names" : false, "suffix" : "" }, { "dropping-particle" : "", "family" : "Ulanovski", "given" : "David", "non-dropping-particle" : "", "parse-names" : false, "suffix" : "" }, { "dropping-particle" : "", "family" : "Feinmesser", "given" : "Raphael", "non-dropping-particle" : "", "parse-names" : false, "suffix" : "" }, { "dropping-particle" : "", "family" : "Gutman", "given" : "Haim", "non-dropping-particle" : "", "parse-names" : false, "suffix" : "" } ], "container-title" : "Melanoma research", "id" : "ITEM-4", "issue" : "4", "issued" : { "date-parts" : [ [ "2004", "8" ] ] }, "page" : "283-7", "title" : "Sentinel node guided surgery for melanoma in the head and neck region.", "type" : "article-journal", "volume" : "14" }, "uris" : [ "http://www.mendeley.com/documents/?uuid=734af4cf-b37d-4fee-aeeb-61e9559c8d87" ] }, { "id" : "ITEM-5", "itemData" : { "ISSN" : "0032-1052", "PMID" : "8134434", "abstract" : "Lymphoscintigraphy has been shown to be of assistance in defining the lymphatic drainage pattern of melanoma. In this study, lymphoscintigraphy was performed on 25 patients with primary melanoma (stages I and II at diagnosis) of the head and neck to determine whether the lymphatic drainage seen on lymphoscintigram was the same as the surgeon's expected lymphatic drainage. The lymphoscintigrams were discordant in 21 of the patients (84 percent) with drainage to a lymphatic basin not predicted clinically. Based on the discordant lymphoscintigram, a change in surgical therapy occurred in 13 of 21 patients (62 percent). Of the 25 patients, 18 underwent prophylactic node dissections and 7 did not. Of the nodal basins removed, 27 of 38 nodal bases (71 percent) were seen on lymphoscintigraphy. Melanoma metastatic to lymph nodes was removed from nodal basins identified by the lymphoscintigram, but not predicted clinically, in two patients (8 percent). Historical anatomical patterns of lymph drainage and the clinical impression of experienced surgeons cannot reliably predict the pattern of lymphatic drainage in patients with melanoma of the head and neck.", "author" : [ { "dropping-particle" : "", "family" : "Wells", "given" : "K E", "non-dropping-particle" : "", "parse-names" : false, "suffix" : "" }, { "dropping-particle" : "", "family" : "Cruse", "given" : "C W", "non-dropping-particle" : "", "parse-names" : false, "suffix" : "" }, { "dropping-particle" : "", "family" : "Daniels", "given" : "S", "non-dropping-particle" : "", "parse-names" : false, "suffix" : "" }, { "dropping-particle" : "", "family" : "Berman", "given" : "C", "non-dropping-particle" : "", "parse-names" : false, "suffix" : "" }, { "dropping-particle" : "", "family" : "Norman", "given" : "J", "non-dropping-particle" : "", "parse-names" : false, "suffix" : "" }, { "dropping-particle" : "", "family" : "Reintgen", "given" : "D S", "non-dropping-particle" : "", "parse-names" : false, "suffix" : "" } ], "container-title" : "Plastic and reconstructive surgery", "id" : "ITEM-5", "issue" : "4", "issued" : { "date-parts" : [ [ "1994", "4" ] ] }, "page" : "757-61", "title" : "The use of lymphoscintigraphy in melanoma of the head and neck.", "type" : "article-journal", "volume" : "93" }, "uris" : [ "http://www.mendeley.com/documents/?uuid=a743256c-eac3-4845-9faf-4815af449197" ] } ], "mendeley" : { "formattedCitation" : "&lt;sup&gt;100,101,103\u2013105&lt;/sup&gt;", "plainTextFormattedCitation" : "100,101,103\u2013105", "previouslyFormattedCitation" : "&lt;sup&gt;100,101,103\u2013105&lt;/sup&gt;"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100,101,103–105</w:t>
      </w:r>
      <w:r w:rsidRPr="003E73CD">
        <w:rPr>
          <w:sz w:val="22"/>
          <w:szCs w:val="22"/>
        </w:rPr>
        <w:fldChar w:fldCharType="end"/>
      </w:r>
    </w:p>
    <w:p w14:paraId="290B6C66" w14:textId="77777777" w:rsidR="0061482C" w:rsidRPr="003E73CD" w:rsidRDefault="0061482C" w:rsidP="0061482C">
      <w:pPr>
        <w:widowControl w:val="0"/>
        <w:autoSpaceDE w:val="0"/>
        <w:autoSpaceDN w:val="0"/>
        <w:adjustRightInd w:val="0"/>
        <w:spacing w:line="480" w:lineRule="auto"/>
        <w:ind w:right="-389"/>
        <w:rPr>
          <w:sz w:val="22"/>
          <w:szCs w:val="22"/>
        </w:rPr>
      </w:pPr>
    </w:p>
    <w:p w14:paraId="364A5A40" w14:textId="77777777" w:rsidR="0061482C" w:rsidRPr="003E73CD" w:rsidRDefault="0061482C" w:rsidP="0061482C">
      <w:pPr>
        <w:widowControl w:val="0"/>
        <w:autoSpaceDE w:val="0"/>
        <w:autoSpaceDN w:val="0"/>
        <w:adjustRightInd w:val="0"/>
        <w:spacing w:line="480" w:lineRule="auto"/>
        <w:ind w:right="-389"/>
        <w:rPr>
          <w:b/>
          <w:bCs/>
          <w:sz w:val="22"/>
          <w:szCs w:val="22"/>
        </w:rPr>
      </w:pPr>
      <w:r w:rsidRPr="003E73CD">
        <w:rPr>
          <w:b/>
          <w:bCs/>
          <w:sz w:val="22"/>
          <w:szCs w:val="22"/>
        </w:rPr>
        <w:t>DEVELOPMENT OF THE SENTINEL NODE CONCEPT AND SENTINEL NODE BIOPSY</w:t>
      </w:r>
    </w:p>
    <w:p w14:paraId="5D7510E1" w14:textId="617E1439" w:rsidR="0061482C" w:rsidRPr="003E73CD" w:rsidRDefault="0061482C" w:rsidP="0061482C">
      <w:pPr>
        <w:widowControl w:val="0"/>
        <w:autoSpaceDE w:val="0"/>
        <w:autoSpaceDN w:val="0"/>
        <w:adjustRightInd w:val="0"/>
        <w:spacing w:line="480" w:lineRule="auto"/>
        <w:ind w:right="-389" w:firstLine="720"/>
        <w:rPr>
          <w:sz w:val="22"/>
          <w:szCs w:val="22"/>
        </w:rPr>
      </w:pPr>
      <w:r w:rsidRPr="003E73CD">
        <w:rPr>
          <w:sz w:val="22"/>
          <w:szCs w:val="22"/>
        </w:rPr>
        <w:t>The sentinel node concept is now well established and sentinel node biopsy has been validated and widely accepted as a staging procedure in melanoma.  This situation has arisen from almost a century of observation, investigation and conceptual evolution.  Braithwaite is credited with introducing the concept of the sentinel node following an incidental observation of black pigment within a chain of nodes from the ileocaecal region to the duodenum and superior mesenteric artery in a patient with acute appendicitis.</w:t>
      </w:r>
      <w:r w:rsidRPr="003E73CD">
        <w:rPr>
          <w:sz w:val="22"/>
          <w:szCs w:val="22"/>
        </w:rPr>
        <w:fldChar w:fldCharType="begin" w:fldLock="1"/>
      </w:r>
      <w:r w:rsidR="001C6CB8">
        <w:rPr>
          <w:sz w:val="22"/>
          <w:szCs w:val="22"/>
        </w:rPr>
        <w:instrText>ADDIN CSL_CITATION { "citationItems" : [ { "id" : "ITEM-1", "itemData" : { "author" : [ { "dropping-particle" : "", "family" : "Braithwaite", "given" : "L.R.", "non-dropping-particle" : "", "parse-names" : false, "suffix" : "" } ], "container-title" : "British Journal of Surgery", "id" : "ITEM-1", "issued" : { "date-parts" : [ [ "1914" ] ] }, "page" : "7-26", "title" : "The flow of lymph from the ileocaecal angle, and its possible bearing on the cause of duodenal and gastric ulcer.", "type" : "article-journal", "volume" : "11" }, "uris" : [ "http://www.mendeley.com/documents/?uuid=20d76ccb-49ea-4abf-b260-0f764c7d091f" ] } ], "mendeley" : { "formattedCitation" : "&lt;sup&gt;107&lt;/sup&gt;", "plainTextFormattedCitation" : "107", "previouslyFormattedCitation" : "&lt;sup&gt;107&lt;/sup&gt;"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107</w:t>
      </w:r>
      <w:r w:rsidRPr="003E73CD">
        <w:rPr>
          <w:sz w:val="22"/>
          <w:szCs w:val="22"/>
        </w:rPr>
        <w:fldChar w:fldCharType="end"/>
      </w:r>
      <w:proofErr w:type="gramStart"/>
      <w:r w:rsidRPr="003E73CD">
        <w:rPr>
          <w:sz w:val="22"/>
          <w:szCs w:val="22"/>
        </w:rPr>
        <w:t xml:space="preserve">  The</w:t>
      </w:r>
      <w:proofErr w:type="gramEnd"/>
      <w:r w:rsidRPr="003E73CD">
        <w:rPr>
          <w:sz w:val="22"/>
          <w:szCs w:val="22"/>
        </w:rPr>
        <w:t xml:space="preserve"> study of testicular cancer, using lymphangiography, the technique developed by Kinmonth, also led to the development of a concept approaching that of the sentinel node.</w:t>
      </w:r>
      <w:r w:rsidRPr="003E73CD">
        <w:rPr>
          <w:sz w:val="22"/>
          <w:szCs w:val="22"/>
        </w:rPr>
        <w:fldChar w:fldCharType="begin" w:fldLock="1"/>
      </w:r>
      <w:r w:rsidR="001C6CB8">
        <w:rPr>
          <w:sz w:val="22"/>
          <w:szCs w:val="22"/>
        </w:rPr>
        <w:instrText>ADDIN CSL_CITATION { "citationItems" : [ { "id" : "ITEM-1", "itemData" : { "ISSN" : "0143-5221", "PMID" : "14896514", "author" : [ { "dropping-particle" : "", "family" : "Kinmonth", "given" : "J B", "non-dropping-particle" : "", "parse-names" : false, "suffix" : "" } ], "container-title" : "Clinical science (London, England : 1979)", "id" : "ITEM-1", "issue" : "1", "issued" : { "date-parts" : [ [ "1952", "2" ] ] }, "page" : "13-20", "title" : "Lymphangiography in man; a method of outlining lymphatic trunks at operation.", "type" : "article-journal", "volume" : "11" }, "uris" : [ "http://www.mendeley.com/documents/?uuid=6498490b-73e7-461b-87b5-d43906c726f5" ] } ], "mendeley" : { "formattedCitation" : "&lt;sup&gt;97&lt;/sup&gt;", "plainTextFormattedCitation" : "97", "previouslyFormattedCitation" : "&lt;sup&gt;97&lt;/sup&gt;"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97</w:t>
      </w:r>
      <w:r w:rsidRPr="003E73CD">
        <w:rPr>
          <w:sz w:val="22"/>
          <w:szCs w:val="22"/>
        </w:rPr>
        <w:fldChar w:fldCharType="end"/>
      </w:r>
      <w:proofErr w:type="gramStart"/>
      <w:r w:rsidRPr="003E73CD">
        <w:rPr>
          <w:sz w:val="22"/>
          <w:szCs w:val="22"/>
        </w:rPr>
        <w:t xml:space="preserve">  It</w:t>
      </w:r>
      <w:proofErr w:type="gramEnd"/>
      <w:r w:rsidRPr="003E73CD">
        <w:rPr>
          <w:sz w:val="22"/>
          <w:szCs w:val="22"/>
        </w:rPr>
        <w:t xml:space="preserve"> was recognized that primary nodes existed, to which lymph drained directly, and secondary nodes, to which lymph from primary nodes drained.</w:t>
      </w:r>
      <w:r w:rsidRPr="003E73CD">
        <w:rPr>
          <w:sz w:val="22"/>
          <w:szCs w:val="22"/>
        </w:rPr>
        <w:fldChar w:fldCharType="begin" w:fldLock="1"/>
      </w:r>
      <w:r w:rsidR="001C6CB8">
        <w:rPr>
          <w:sz w:val="22"/>
          <w:szCs w:val="22"/>
        </w:rPr>
        <w:instrText>ADDIN CSL_CITATION { "citationItems" : [ { "id" : "ITEM-1", "itemData" : { "ISSN" : "0022-5347", "PMID" : "14276208", "author" : [ { "dropping-particle" : "", "family" : "Busch", "given" : "F M", "non-dropping-particle" : "", "parse-names" : false, "suffix" : "" }, { "dropping-particle" : "", "family" : "Sayegh", "given" : "E S", "non-dropping-particle" : "", "parse-names" : false, "suffix" : "" }, { "dropping-particle" : "", "family" : "Chenault", "given" : "O W", "non-dropping-particle" : "", "parse-names" : false, "suffix" : "" } ], "container-title" : "The Journal of urology", "id" : "ITEM-1", "issued" : { "date-parts" : [ [ "1965", "4" ] ] }, "page" : "490-5", "title" : "Some uses of lymphangiography in the management of testicular tumors.", "type" : "article-journal", "volume" : "93" }, "uris" : [ "http://www.mendeley.com/documents/?uuid=18ba05e2-c04f-40b7-bdb4-3ef2caddc4b7" ] } ], "mendeley" : { "formattedCitation" : "&lt;sup&gt;108&lt;/sup&gt;", "plainTextFormattedCitation" : "108", "previouslyFormattedCitation" : "&lt;sup&gt;108&lt;/sup&gt;"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108</w:t>
      </w:r>
      <w:r w:rsidRPr="003E73CD">
        <w:rPr>
          <w:sz w:val="22"/>
          <w:szCs w:val="22"/>
        </w:rPr>
        <w:fldChar w:fldCharType="end"/>
      </w:r>
      <w:proofErr w:type="gramStart"/>
      <w:r w:rsidRPr="003E73CD">
        <w:rPr>
          <w:sz w:val="22"/>
          <w:szCs w:val="22"/>
        </w:rPr>
        <w:t xml:space="preserve">  The</w:t>
      </w:r>
      <w:proofErr w:type="gramEnd"/>
      <w:r w:rsidRPr="003E73CD">
        <w:rPr>
          <w:sz w:val="22"/>
          <w:szCs w:val="22"/>
        </w:rPr>
        <w:t xml:space="preserve"> term “sentinel node” was used by Cabanas in 1977 to describe a specific node that he believed reliably drained the penis.</w:t>
      </w:r>
      <w:r w:rsidRPr="003E73CD">
        <w:rPr>
          <w:sz w:val="22"/>
          <w:szCs w:val="22"/>
        </w:rPr>
        <w:fldChar w:fldCharType="begin" w:fldLock="1"/>
      </w:r>
      <w:r w:rsidR="001C6CB8">
        <w:rPr>
          <w:sz w:val="22"/>
          <w:szCs w:val="22"/>
        </w:rPr>
        <w:instrText>ADDIN CSL_CITATION { "citationItems" : [ { "id" : "ITEM-1", "itemData" : { "ISSN" : "0008-543X", "PMID" : "837331", "abstract" : "One hundred cases were studied in detail using lymphangiograms (LAG), anatomic dissections, and/or microscopic evaluation. LAG performed via the dorsal lymphatics of the penis demonstrate the existence of specific lymph node center, the so-called sentinel lymph node (SLN). This appears to be the primary site of metastases from penile carcinoma. The SLN is visualized radiographically, on the antero-posterior view, at the junction of the femoral head and the ascending ramus of the pubis. Anatomically, the SLN is part of the lymphatic system around the superficial epigastric vein. Forty-six SLN biopsies were performed with 15 positive for metastatic disease. In these 15 patients, an inguinofemoroiliac dissection was performed; in 12 cases there was no involvement of other lymph nodes. Lymphatic channels draining into the iliac lymph nodes without first draining into the sentinel lymph node were never demonstrated, nor were the inguinal-femoral lymph nodes involved in the absence of SLN involvement. On this bases, we recommend preliminary bilateral SLN biopsy to be followed by inguinofemoroiliac dissection when biopsy of the SLN biopsy to be followed by inguinofemoroiliac dissection when biopsy of the SLN is positive. When biopsy of the SLN is negative for metastatic disease, no further surgical therapy is immediately indicated. With negative SLN, 5-year survival was 90%. When SLN alone was involved, 5-year survival was 70%. Five-year survival was 50% with both SLN and other inguinal nodes involved. When iliac metastases were also present, 3-year survival was 20%.", "author" : [ { "dropping-particle" : "", "family" : "Cabanas", "given" : "R M", "non-dropping-particle" : "", "parse-names" : false, "suffix" : "" } ], "container-title" : "Cancer", "id" : "ITEM-1", "issue" : "2", "issued" : { "date-parts" : [ [ "1977", "2" ] ] }, "page" : "456-66", "title" : "An approach for the treatment of penile carcinoma.", "type" : "article-journal", "volume" : "39" }, "uris" : [ "http://www.mendeley.com/documents/?uuid=20ffc19d-28b5-45b8-82c2-657511aea425" ] } ], "mendeley" : { "formattedCitation" : "&lt;sup&gt;109&lt;/sup&gt;", "plainTextFormattedCitation" : "109", "previouslyFormattedCitation" : "&lt;sup&gt;109&lt;/sup&gt;"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109</w:t>
      </w:r>
      <w:r w:rsidRPr="003E73CD">
        <w:rPr>
          <w:sz w:val="22"/>
          <w:szCs w:val="22"/>
        </w:rPr>
        <w:fldChar w:fldCharType="end"/>
      </w:r>
      <w:proofErr w:type="gramStart"/>
      <w:r w:rsidRPr="003E73CD">
        <w:rPr>
          <w:sz w:val="22"/>
          <w:szCs w:val="22"/>
        </w:rPr>
        <w:t xml:space="preserve">  He</w:t>
      </w:r>
      <w:proofErr w:type="gramEnd"/>
      <w:r w:rsidRPr="003E73CD">
        <w:rPr>
          <w:sz w:val="22"/>
          <w:szCs w:val="22"/>
        </w:rPr>
        <w:t xml:space="preserve"> performed lymphangiography in 100 male subjects, 10 of whom were volunteers, 10 of whom had benign inflammatory lesions and the remaining 80 had penile carcinoma.  </w:t>
      </w:r>
      <w:proofErr w:type="gramStart"/>
      <w:r w:rsidRPr="003E73CD">
        <w:rPr>
          <w:sz w:val="22"/>
          <w:szCs w:val="22"/>
        </w:rPr>
        <w:t>Lymphangiography was performed by cannulating and injecting one or two dorsal lymphatics of the penis in 33 cases</w:t>
      </w:r>
      <w:proofErr w:type="gramEnd"/>
      <w:r w:rsidRPr="003E73CD">
        <w:rPr>
          <w:sz w:val="22"/>
          <w:szCs w:val="22"/>
        </w:rPr>
        <w:t xml:space="preserve">, but the remainder had injections via the dorsum of both feet.  The sentinel lymph node was described as a specific lymph node, frequently located at the anterior or medial aspect of the superficial epigastric vein.  Cabanas also described a technique of sentinel node biopsy, involving an incision parallel to the inguinal ligament with insertion of a finger under the upper flap to retrieve the sentinel node.  It was acknowledged that there may be up to 3 nodes at this site and that all should be removed, but that the sentinel node was always the largest and most medial.  Cabanas found that in all patients with metastases from penile carcinoma, this sentinel node contained metastases.  He recommended that sentinel node biopsy should be performed bilaterally for patients with penile carcinoma and that, if the results were negative, formal inguinal dissection could be avoided.  Although this treatment principle remains sound and underpins the current management strategy for melanoma and several other cancers, there are important differences in the method of identification of the sentinel node(s), its definition and the operative technique used for sentinel node biopsy.  The limitations of Cabanas’ work are that the technique did not image lymphatic drainage from the actual tumour site, the sentinel node was defined anatomically rather than as the node(s) identified by the imaging, and the operative technique did not involve any method of intraoperative mapping to confirm the identity of the sentinel node.   In addition, the technique is only applicable to tumours located on the penis.  </w:t>
      </w:r>
    </w:p>
    <w:p w14:paraId="6F157A73" w14:textId="1925CE4A" w:rsidR="0061482C" w:rsidRPr="003E73CD" w:rsidRDefault="0061482C" w:rsidP="0061482C">
      <w:pPr>
        <w:widowControl w:val="0"/>
        <w:autoSpaceDE w:val="0"/>
        <w:autoSpaceDN w:val="0"/>
        <w:adjustRightInd w:val="0"/>
        <w:spacing w:line="480" w:lineRule="auto"/>
        <w:ind w:right="-389" w:firstLine="720"/>
        <w:rPr>
          <w:sz w:val="22"/>
          <w:szCs w:val="22"/>
        </w:rPr>
      </w:pPr>
      <w:r w:rsidRPr="003E73CD">
        <w:rPr>
          <w:sz w:val="22"/>
          <w:szCs w:val="22"/>
        </w:rPr>
        <w:t>It was Morton’s group, in 1991, who developed a scientifically robust method for sentinel node biopsy that could be applied to cutaneous tumours in any location.  Preliminary studies were carried out using a feline model because of the presence of 3 inguinal lymph nodes rather than a single node, as is found in the majority of rodents and mammals.</w:t>
      </w:r>
      <w:r w:rsidRPr="003E73CD">
        <w:rPr>
          <w:sz w:val="22"/>
          <w:szCs w:val="22"/>
        </w:rPr>
        <w:fldChar w:fldCharType="begin" w:fldLock="1"/>
      </w:r>
      <w:r w:rsidR="001C6CB8">
        <w:rPr>
          <w:sz w:val="22"/>
          <w:szCs w:val="22"/>
        </w:rPr>
        <w:instrText>ADDIN CSL_CITATION { "citationItems" : [ { "id" : "ITEM-1", "itemData" : { "ISSN" : "0003-4932", "PMID" : "1953118", "abstract" : "To determine the feasibility of selective lymphadenectomy, the authors developed a feline model to identify and determine the utility of mapping dyes for this purpose. Adult cats were injected intradermally with a variety of mapping substances to determine whether the anatomic site of injection had a predictable pattern of drainage to a particular lymph node. Isosulfan blue provided the optimal mapping material. Injection of isosulfan blue intradermally into the skin of the medial thigh consistently led to coloration of the central lymph node, whereas intradermal abdominal wall injections and intradermal lateral thigh injections resulted in coloration of the lateral lymph node. Intradermal injections into skin about the perineum resulted in coloration of the most medial lymph node only. The feline model proved to a useful model to examine the utility of mapping dyes and to demonstrate dermal lymphatics. The predictable pattern of drainage of the skin in this feline model supports the feasibility of selective lymphadenectomy.", "author" : [ { "dropping-particle" : "", "family" : "Wong", "given" : "J H", "non-dropping-particle" : "", "parse-names" : false, "suffix" : "" }, { "dropping-particle" : "", "family" : "Cagle", "given" : "L A", "non-dropping-particle" : "", "parse-names" : false, "suffix" : "" }, { "dropping-particle" : "", "family" : "Morton", "given" : "D L", "non-dropping-particle" : "", "parse-names" : false, "suffix" : "" } ], "container-title" : "Annals of surgery", "id" : "ITEM-1", "issue" : "5", "issued" : { "date-parts" : [ [ "1991", "11" ] ] }, "page" : "637-41", "title" : "Lymphatic drainage of skin to a sentinel lymph node in a feline model.", "type" : "article-journal", "volume" : "214" }, "uris" : [ "http://www.mendeley.com/documents/?uuid=1a03ba2b-6173-4cc3-97be-5a1a2a84792f" ] } ], "mendeley" : { "formattedCitation" : "&lt;sup&gt;110&lt;/sup&gt;", "plainTextFormattedCitation" : "110", "previouslyFormattedCitation" : "&lt;sup&gt;110&lt;/sup&gt;"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110</w:t>
      </w:r>
      <w:r w:rsidRPr="003E73CD">
        <w:rPr>
          <w:sz w:val="22"/>
          <w:szCs w:val="22"/>
        </w:rPr>
        <w:fldChar w:fldCharType="end"/>
      </w:r>
      <w:proofErr w:type="gramStart"/>
      <w:r w:rsidRPr="003E73CD">
        <w:rPr>
          <w:sz w:val="22"/>
          <w:szCs w:val="22"/>
        </w:rPr>
        <w:t xml:space="preserve">  Several</w:t>
      </w:r>
      <w:proofErr w:type="gramEnd"/>
      <w:r w:rsidRPr="003E73CD">
        <w:rPr>
          <w:sz w:val="22"/>
          <w:szCs w:val="22"/>
        </w:rPr>
        <w:t xml:space="preserve"> dyes were used but isosulfan blue was found to be the most suitable.  In each animal 0.25-0.5ml of dye was injected intradermally at a site on the lower trunk, groin or lower limb and 5 minutes later a superficial groin dissection was performed, recording the presence or absence of dye in each lymph node.  A predictable pattern of lymphatic drainage emerged with no cases of unexpected drainage occurring.  Further studies were performed in which the progress of the dye through the lymphatics to the sentinel node and beyond was observed.   The following year Morton et al. published the technical details of this procedure applied to melanoma patients.</w:t>
      </w:r>
      <w:r w:rsidRPr="003E73CD">
        <w:rPr>
          <w:sz w:val="22"/>
          <w:szCs w:val="22"/>
        </w:rPr>
        <w:fldChar w:fldCharType="begin" w:fldLock="1"/>
      </w:r>
      <w:r w:rsidR="006E7542" w:rsidRPr="003E73CD">
        <w:rPr>
          <w:sz w:val="22"/>
          <w:szCs w:val="22"/>
        </w:rPr>
        <w:instrText>ADDIN CSL_CITATION { "citationItems" : [ { "id" : "ITEM-1", "itemData" : { "ISSN" : "0004-0010", "PMID" : "1558490", "abstract" : "The initial route of metastases in most patients with melanoma is via the lymphatics to the regional nodes. However, routine lymphadenectomy for patients with clinical stage I melanoma remains controversial because most of these patients do not have nodal metastases, are unlikely to benefit from the operation, and may suffer troublesome postoperative edema of the limbs. A new procedure was developed using vital dyes that permits intraoperative identification of the sentinel lymph node, the lymph node nearest the site of the primary melanoma, on the direct drainage pathway. The most likely site of early metastases, the sentinel node can be removed for immediate intraoperative study to identify clinically occult melanoma cells. We successfully identified the sentinel node(s) in 194 of 237 lymphatic basins and detected metastases in 40 specimens (21%) on examination of routine hematoxylin-eosin-stained slides (12%) or exclusively in immunohistochemically stained preparations (9%). Metastases were present in 47 (18%) of 259 sentinel nodes, while nonsentinel nodes were the sole site of metastasis in only two of 3079 nodes from 194 lymphadenectomy specimens that had an identifiable sentinel node, a false-negative rate of less than 1%. Thus, this technique identifies, with a high degree of accuracy, patients with early stage melanoma who have nodal metastases and are likely to benefit from radical lymphadenectomy.", "author" : [ { "dropping-particle" : "", "family" : "Morton", "given" : "D L", "non-dropping-particle" : "", "parse-names" : false, "suffix" : "" }, { "dropping-particle" : "", "family" : "Wen", "given" : "D R", "non-dropping-particle" : "", "parse-names" : false, "suffix" : "" }, { "dropping-particle" : "", "family" : "Wong", "given" : "J H", "non-dropping-particle" : "", "parse-names" : false, "suffix" : "" }, { "dropping-particle" : "", "family" : "Economou", "given" : "J S", "non-dropping-particle" : "", "parse-names" : false, "suffix" : "" }, { "dropping-particle" : "", "family" : "Cagle", "given" : "L A", "non-dropping-particle" : "", "parse-names" : false, "suffix" : "" }, { "dropping-particle" : "", "family" : "Storm", "given" : "F K", "non-dropping-particle" : "", "parse-names" : false, "suffix" : "" }, { "dropping-particle" : "", "family" : "Foshag", "given" : "L J", "non-dropping-particle" : "", "parse-names" : false, "suffix" : "" }, { "dropping-particle" : "", "family" : "Cochran", "given" : "A J", "non-dropping-particle" : "", "parse-names" : false, "suffix" : "" } ], "container-title" : "Archives of surgery (Chicago, Ill. : 1960)", "id" : "ITEM-1", "issue" : "4", "issued" : { "date-parts" : [ [ "1992", "4" ] ] }, "page" : "392-9", "title" : "Technical details of intraoperative lymphatic mapping for early stage melanoma.", "type" : "article-journal", "volume" : "127" }, "uris" : [ "http://www.mendeley.com/documents/?uuid=7401ee58-b336-4659-b9d3-95737609b89d" ] } ], "mendeley" : { "formattedCitation" : "&lt;sup&gt;67&lt;/sup&gt;", "plainTextFormattedCitation" : "67", "previouslyFormattedCitation" : "&lt;sup&gt;67&lt;/sup&gt;" }, "properties" : { "noteIndex" : 0 }, "schema" : "https://github.com/citation-style-language/schema/raw/master/csl-citation.json" }</w:instrText>
      </w:r>
      <w:r w:rsidRPr="003E73CD">
        <w:rPr>
          <w:sz w:val="22"/>
          <w:szCs w:val="22"/>
        </w:rPr>
        <w:fldChar w:fldCharType="separate"/>
      </w:r>
      <w:r w:rsidR="00B60C63" w:rsidRPr="003E73CD">
        <w:rPr>
          <w:noProof/>
          <w:sz w:val="22"/>
          <w:szCs w:val="22"/>
          <w:vertAlign w:val="superscript"/>
        </w:rPr>
        <w:t>67</w:t>
      </w:r>
      <w:r w:rsidRPr="003E73CD">
        <w:rPr>
          <w:sz w:val="22"/>
          <w:szCs w:val="22"/>
        </w:rPr>
        <w:fldChar w:fldCharType="end"/>
      </w:r>
      <w:proofErr w:type="gramStart"/>
      <w:r w:rsidRPr="003E73CD">
        <w:rPr>
          <w:sz w:val="22"/>
          <w:szCs w:val="22"/>
        </w:rPr>
        <w:t xml:space="preserve">  In</w:t>
      </w:r>
      <w:proofErr w:type="gramEnd"/>
      <w:r w:rsidRPr="003E73CD">
        <w:rPr>
          <w:sz w:val="22"/>
          <w:szCs w:val="22"/>
        </w:rPr>
        <w:t xml:space="preserve"> a series of 223 patients, intraoperative lymphatic mapping and sentinel node biopsy were performed for 237 nodal basins followed immediately by en bloc lymphadenectomy.   Patent blue-V was found to identify channels and stain sentinel nodes more brightly than isosulfan blue.  It was acknowledged that the technique required a significant learning curve and that the sentinel node(s) could not be identified in all patients.  Sentinel nodes were identified in 82% of nodal basins.  Metastases were found in 47 of 259 sentinel nodes compared to 2 of 3079 non-sentinel nodes and so it was proposed that radical lymphadenectomy should be reserved for only those patients with sentinel node metastases.  The main limitation of the technique described by Morton et al. was that it required meticulous dissection to identify and preserve the blue-stained lymphatic channel(s) at the periphery of the lymph node field so that each could be followed into the first draining lymph node(s).  The development of hand-held gamma probes and small particle colloids labelled with </w:t>
      </w:r>
      <w:r w:rsidRPr="003E73CD">
        <w:rPr>
          <w:sz w:val="22"/>
          <w:szCs w:val="22"/>
          <w:vertAlign w:val="superscript"/>
        </w:rPr>
        <w:t>99m</w:t>
      </w:r>
      <w:r w:rsidRPr="003E73CD">
        <w:rPr>
          <w:sz w:val="22"/>
          <w:szCs w:val="22"/>
        </w:rPr>
        <w:t>Tc (Technetium) permitted the use of such radioisotopes for intra-operative localization of sentinel nodes.  The first publication</w:t>
      </w:r>
      <w:r w:rsidR="007E359B" w:rsidRPr="003E73CD">
        <w:rPr>
          <w:sz w:val="22"/>
          <w:szCs w:val="22"/>
        </w:rPr>
        <w:t>s</w:t>
      </w:r>
      <w:r w:rsidRPr="003E73CD">
        <w:rPr>
          <w:sz w:val="22"/>
          <w:szCs w:val="22"/>
        </w:rPr>
        <w:t xml:space="preserve"> </w:t>
      </w:r>
      <w:r w:rsidR="007E359B" w:rsidRPr="003E73CD">
        <w:rPr>
          <w:sz w:val="22"/>
          <w:szCs w:val="22"/>
        </w:rPr>
        <w:t>of this technique were</w:t>
      </w:r>
      <w:r w:rsidRPr="003E73CD">
        <w:rPr>
          <w:sz w:val="22"/>
          <w:szCs w:val="22"/>
        </w:rPr>
        <w:t xml:space="preserve"> by Alex et al. in 1993.</w:t>
      </w:r>
      <w:r w:rsidRPr="003E73CD">
        <w:rPr>
          <w:sz w:val="22"/>
          <w:szCs w:val="22"/>
        </w:rPr>
        <w:fldChar w:fldCharType="begin" w:fldLock="1"/>
      </w:r>
      <w:r w:rsidR="001C6CB8">
        <w:rPr>
          <w:sz w:val="22"/>
          <w:szCs w:val="22"/>
        </w:rPr>
        <w:instrText>ADDIN CSL_CITATION { "citationItems" : [ { "id" : "ITEM-1", "itemData" : { "ISSN" : "0960-7404", "PMID" : "8252203", "abstract" : "The initial draining lymph node (Sentinel node) of a tumour may reflect the status of the tumours spread to the remaining lymphatic bed. The sentinel node, which has been reported to predict metastatic melanoma, has recently been localized by a new invasive technique [1]. The goal of our pre-clinical trial was to test a non-invasive technique to localize the sentinel node. Gamma-probe guided localization was used to identify and then surgically remove the first draining lymph node(s) in 16 inguinal lymphatic basins of eight cats. This method was found to be comparable to an invasive method using a blue dye. Gamma-probe localization has several potential advantages in that it can: (a) precisely locate on the surface of the skin the position of an underlying lymph node, (b) intraoperatively guide the surgeon to the lymph node during dissection, (c) verify that the correct node has been biopsied, (d) determine the possible presence of residual lymph nodes, (e) allow lymph nodes to be harvested through a small incision as opposed to raising a skin flap, and (f) be rapidly and easily performed.", "author" : [ { "dropping-particle" : "", "family" : "Alex", "given" : "J C", "non-dropping-particle" : "", "parse-names" : false, "suffix" : "" }, { "dropping-particle" : "", "family" : "Krag", "given" : "D N", "non-dropping-particle" : "", "parse-names" : false, "suffix" : "" } ], "container-title" : "Surgical oncology", "id" : "ITEM-1", "issue" : "3", "issued" : { "date-parts" : [ [ "1993", "1" ] ] }, "page" : "137-43", "title" : "Gamma-probe guided localization of lymph nodes.", "type" : "article-journal", "volume" : "2" }, "uris" : [ "http://www.mendeley.com/documents/?uuid=93c0d0d0-9a4e-493c-a517-d9f79573b8d9" ] }, { "id" : "ITEM-2", "itemData" : { "ISSN" : "0960-7404", "PMID" : "8305972", "abstract" : "The initial draining lymph node (sentinel node) has been successfully localized using intraoperative vital dye mapping and reportedly is predictive of regional nodal metastases in Clinical- Stage 1 melanoma. In an animal model, we previously established the technique of gamma-probe-guided localization of the technetium-99 sulfur colloid labelled sentinel node and found its sensitivity equal to vital dye mapping. We now report our initial experience using gamma-probe-guided localization to identify and then surgically remove the first draining lymph node(s) in 10 malignant melanoma patients. Lymphoscintigraphy was used to confirm localization. We conclude that this technique: (a) reliably localizes the sentinel node draining the site of a primary melanoma, (b) allows the lymphatic bed to be checked intraoperatively verifying complete sentinel node biopsy, and (c) is relatively simple and can be performed under local anaesthesia.", "author" : [ { "dropping-particle" : "", "family" : "Alex", "given" : "J C", "non-dropping-particle" : "", "parse-names" : false, "suffix" : "" }, { "dropping-particle" : "", "family" : "Weaver", "given" : "D L", "non-dropping-particle" : "", "parse-names" : false, "suffix" : "" }, { "dropping-particle" : "", "family" : "Fairbank", "given" : "J T", "non-dropping-particle" : "", "parse-names" : false, "suffix" : "" }, { "dropping-particle" : "", "family" : "Rankin", "given" : "B S", "non-dropping-particle" : "", "parse-names" : false, "suffix" : "" }, { "dropping-particle" : "", "family" : "Krag", "given" : "D N", "non-dropping-particle" : "", "parse-names" : false, "suffix" : "" } ], "container-title" : "Surgical oncology", "id" : "ITEM-2", "issue" : "5", "issued" : { "date-parts" : [ [ "1993", "10" ] ] }, "page" : "303-8", "title" : "Gamma-probe-guided lymph node localization in malignant melanoma.", "type" : "article-journal", "volume" : "2" }, "uris" : [ "http://www.mendeley.com/documents/?uuid=a3ccc6bd-ed02-4255-a2c2-d1bc76401c5a" ] } ], "mendeley" : { "formattedCitation" : "&lt;sup&gt;111,112&lt;/sup&gt;", "plainTextFormattedCitation" : "111,112", "previouslyFormattedCitation" : "&lt;sup&gt;111,112&lt;/sup&gt;"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111,112</w:t>
      </w:r>
      <w:r w:rsidRPr="003E73CD">
        <w:rPr>
          <w:sz w:val="22"/>
          <w:szCs w:val="22"/>
        </w:rPr>
        <w:fldChar w:fldCharType="end"/>
      </w:r>
      <w:proofErr w:type="gramStart"/>
      <w:r w:rsidRPr="003E73CD">
        <w:rPr>
          <w:sz w:val="22"/>
          <w:szCs w:val="22"/>
        </w:rPr>
        <w:t xml:space="preserve">  They</w:t>
      </w:r>
      <w:proofErr w:type="gramEnd"/>
      <w:r w:rsidRPr="003E73CD">
        <w:rPr>
          <w:sz w:val="22"/>
          <w:szCs w:val="22"/>
        </w:rPr>
        <w:t xml:space="preserve"> carried out preliminary studies in the feline model and then in 10 melanoma patients using intradermal injections of </w:t>
      </w:r>
      <w:r w:rsidRPr="003E73CD">
        <w:rPr>
          <w:sz w:val="22"/>
          <w:szCs w:val="22"/>
          <w:vertAlign w:val="superscript"/>
        </w:rPr>
        <w:t>99m</w:t>
      </w:r>
      <w:r w:rsidRPr="003E73CD">
        <w:rPr>
          <w:sz w:val="22"/>
          <w:szCs w:val="22"/>
        </w:rPr>
        <w:t>Tc-labelled colloid in addition to blue dye.  They discovered that it was not necessary to trace the lymphatics over as large a distance because the gamma probe could be placed on the skin and the sentinel node localized prior to making an incision.  Removal of the sentinel node could then be achieved via a small incision overlying it.  The other advantage of this technique was that it made the procedure less technically demanding and so facilitated its adoption by others.  Several groups began to gain experience using this technique and validation of the accuracy of the technique was confirmed by a multicentre trial.</w:t>
      </w:r>
      <w:r w:rsidRPr="003E73CD">
        <w:rPr>
          <w:sz w:val="22"/>
          <w:szCs w:val="22"/>
        </w:rPr>
        <w:fldChar w:fldCharType="begin" w:fldLock="1"/>
      </w:r>
      <w:r w:rsidR="001C6CB8">
        <w:rPr>
          <w:sz w:val="22"/>
          <w:szCs w:val="22"/>
        </w:rPr>
        <w:instrText>ADDIN CSL_CITATION { "citationItems" : [ { "id" : "ITEM-1", "itemData" : { "ISSN" : "0003-4932", "PMID" : "10522715", "abstract" : "OBJECTIVE: To evaluate the multicenter application of intraoperative lymphatic mapping, sentinel lymphadenectomy, and selective complete lymph node dissection (LM/SL/SCLND) for the management of early-stage melanoma.\n\nSUMMARY BACKGROUND DATA: The multidisciplinary technique of LM/SL/SCLND has been widely adopted, but not validated in a multicenter trial. The authors began the international Multicenter Selective Lymphadenectomy Trial (MSLT) 5 years ago to evaluate the survival of patients with early-stage primary melanoma after wide excision alone versus wide excision plus LM/SL/SCLND. This study examined the accuracy of LM/SL/SCLND in the MSLT, using the experience of the organizing center (John Wayne Cancer Institute [JWCI]) as a standard for comparison.\n\nMETHODS: Before entering patients into the randomization phase, each center in the MSLT was required to finish a 30-case learning phase with complete nuclear medicine, pathology, and surgical review. Selection of MSLT patients in the LM/SL/SCLND treatment arm was based on complete pathologic and surgical data. The comparison group of JWCI patients was selected using these criteria: primary cutaneous melanoma having a thickness &gt; or =1 mm with a Clark level &gt; or =III, or a thickness &lt;1 mm with a Clark level &gt; or =IV (MSLT criterion); LM/SL performed between June 1, 1985, and December 30, 1998; and patient not entered in the MSLT. The accuracy of LM/SL/SCLND was determined by comparing the rates of sentinel node (SN) identification and the incidence of SN metastases in the MSLT and JWCI groups.\n\nRESULTS: There were 551 patients in the MSLT group and 584 patients in the JWCI group. In both groups, LM performed with blue dye plus a radiocolloid was more successful (99.1 %) than LM performed with blue dye alone (95.2%) (p = 0.014). After a center had completed the 30-case learning phase, the success of SN identification in the MSLT group was independent of the center's case volume or experience in the MSLT.\n\nCONCLUSIONS: Lymphatic mapping and sentinel lymphadenectomy can be successfully learned and applied in a standardized fashion with high accuracy by centers worldwide. Successful SN identification rates of 97% can be achieved, and the incidence of nodal metastases approaches that of the organizing center. A multidisciplinary approach (surgery, nuclear medicine, and pathology) and a learning phase of &gt; or =30 consecutive cases per center are sufficient for mastery of LM/SL in cutaneous melanoma. Lymphati\u2026", "author" : [ { "dropping-particle" : "", "family" : "Morton", "given" : "D L", "non-dropping-particle" : "", "parse-names" : false, "suffix" : "" }, { "dropping-particle" : "", "family" : "Thompson", "given" : "J F", "non-dropping-particle" : "", "parse-names" : false, "suffix" : "" }, { "dropping-particle" : "", "family" : "Essner", "given" : "R", "non-dropping-particle" : "", "parse-names" : false, "suffix" : "" }, { "dropping-particle" : "", "family" : "Elashoff", "given" : "R", "non-dropping-particle" : "", "parse-names" : false, "suffix" : "" }, { "dropping-particle" : "", "family" : "Stern", "given" : "S L", "non-dropping-particle" : "", "parse-names" : false, "suffix" : "" }, { "dropping-particle" : "", "family" : "Nieweg", "given" : "O E", "non-dropping-particle" : "", "parse-names" : false, "suffix" : "" }, { "dropping-particle" : "", "family" : "Roses", "given" : "D F", "non-dropping-particle" : "", "parse-names" : false, "suffix" : "" }, { "dropping-particle" : "", "family" : "Karakousis", "given" : "C P", "non-dropping-particle" : "", "parse-names" : false, "suffix" : "" }, { "dropping-particle" : "", "family" : "Mozzillo", "given" : "N", "non-dropping-particle" : "", "parse-names" : false, "suffix" : "" }, { "dropping-particle" : "", "family" : "Reintgen", "given" : "D", "non-dropping-particle" : "", "parse-names" : false, "suffix" : "" }, { "dropping-particle" : "", "family" : "Wang", "given" : "H J", "non-dropping-particle" : "", "parse-names" : false, "suffix" : "" }, { "dropping-particle" : "", "family" : "Glass", "given" : "E C", "non-dropping-particle" : "", "parse-names" : false, "suffix" : "" }, { "dropping-particle" : "", "family" : "Cochran", "given" : "A J", "non-dropping-particle" : "", "parse-names" : false, "suffix" : "" } ], "container-title" : "Annals of surgery", "id" : "ITEM-1", "issue" : "4", "issued" : { "date-parts" : [ [ "1999", "10" ] ] }, "page" : "453-63; discussion 463-5", "title" : "Validation of the accuracy of intraoperative lymphatic mapping and sentinel lymphadenectomy for early-stage melanoma: a multicenter trial. Multicenter Selective Lymphadenectomy Trial Group.", "type" : "article-journal", "volume" : "230" }, "uris" : [ "http://www.mendeley.com/documents/?uuid=de224c39-9824-497f-80fc-721220f39b8d" ] } ], "mendeley" : { "formattedCitation" : "&lt;sup&gt;113&lt;/sup&gt;", "plainTextFormattedCitation" : "113", "previouslyFormattedCitation" : "&lt;sup&gt;113&lt;/sup&gt;"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113</w:t>
      </w:r>
      <w:r w:rsidRPr="003E73CD">
        <w:rPr>
          <w:sz w:val="22"/>
          <w:szCs w:val="22"/>
        </w:rPr>
        <w:fldChar w:fldCharType="end"/>
      </w:r>
      <w:proofErr w:type="gramStart"/>
      <w:r w:rsidRPr="003E73CD">
        <w:rPr>
          <w:sz w:val="22"/>
          <w:szCs w:val="22"/>
        </w:rPr>
        <w:t xml:space="preserve">  It</w:t>
      </w:r>
      <w:proofErr w:type="gramEnd"/>
      <w:r w:rsidRPr="003E73CD">
        <w:rPr>
          <w:sz w:val="22"/>
          <w:szCs w:val="22"/>
        </w:rPr>
        <w:t xml:space="preserve"> was shown that intra-operative injection of radiocolloid was not necessary and that radiocolloid injected at the time of lymphoscintigraphy would produce sufficient emissions to allow the procedure to be performed 24 hours later.</w:t>
      </w:r>
      <w:r w:rsidRPr="003E73CD">
        <w:rPr>
          <w:sz w:val="22"/>
          <w:szCs w:val="22"/>
        </w:rPr>
        <w:fldChar w:fldCharType="begin" w:fldLock="1"/>
      </w:r>
      <w:r w:rsidR="001C6CB8">
        <w:rPr>
          <w:sz w:val="22"/>
          <w:szCs w:val="22"/>
        </w:rPr>
        <w:instrText>ADDIN CSL_CITATION { "citationItems" : [ { "id" : "ITEM-1", "itemData" : { "ISSN" : "0960-8931", "PMID" : "9464623", "abstract" : "For patients with melanoma the 'sentinel' lymph node biopsy technique, although simple in concept, has the potential to provide misleading information if great care is not taken to ensure accurate sentinel node (SN) identification. The method initially reported involved lymphatic mapping by injection of blue dye around the primary melanoma site. Preoperative lymphoscintigraphy was subsequently shown to improve both the speed and accuracy of SN identification. More recently, intraoperative use of a hand-held gamma probe has been recommended, and it is likely that maximum reliability of SN biopsy will be achieved if all three manoeuvres are undertaken. As originally described, use of a gamma probe intraoperatively followed injection of tracer a short time before the surgical procedure. We report a simpler method of confirming SN identity with a gamma probe, using residual activity in the node following lymphoscintigraphy the previous day. In 21 patients close concordance with preoperative lymphoscintigram results and intraoperative findings after blue dye injection confirmed the reliability of the technique. Avoiding the need for repeat isotope administration on the day of surgery simplifies logistics, reduces costs, minimizes inconvenience and radiation dose for patients, and eliminates potential health and safety problems for operating theatre staff.", "author" : [ { "dropping-particle" : "", "family" : "Thompson", "given" : "J F", "non-dropping-particle" : "", "parse-names" : false, "suffix" : "" }, { "dropping-particle" : "", "family" : "Niewind", "given" : "P", "non-dropping-particle" : "", "parse-names" : false, "suffix" : "" }, { "dropping-particle" : "", "family" : "Uren", "given" : "R F", "non-dropping-particle" : "", "parse-names" : false, "suffix" : "" }, { "dropping-particle" : "", "family" : "Bosch", "given" : "C M", "non-dropping-particle" : "", "parse-names" : false, "suffix" : "" }, { "dropping-particle" : "", "family" : "Howman-Giles", "given" : "R", "non-dropping-particle" : "", "parse-names" : false, "suffix" : "" }, { "dropping-particle" : "", "family" : "Vrouenraets", "given" : "B C", "non-dropping-particle" : "", "parse-names" : false, "suffix" : "" } ], "container-title" : "Melanoma research", "id" : "ITEM-1", "issue" : "6", "issued" : { "date-parts" : [ [ "1997", "12" ] ] }, "page" : "500-6", "title" : "Single-dose isotope injection for both preoperative lymphoscintigraphy and intraoperative sentinel lymph node identification in melanoma patients.", "type" : "article-journal", "volume" : "7" }, "uris" : [ "http://www.mendeley.com/documents/?uuid=4b258767-3438-462e-962a-686ffdd8509e" ] } ], "mendeley" : { "formattedCitation" : "&lt;sup&gt;114&lt;/sup&gt;", "plainTextFormattedCitation" : "114", "previouslyFormattedCitation" : "&lt;sup&gt;114&lt;/sup&gt;"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114</w:t>
      </w:r>
      <w:r w:rsidRPr="003E73CD">
        <w:rPr>
          <w:sz w:val="22"/>
          <w:szCs w:val="22"/>
        </w:rPr>
        <w:fldChar w:fldCharType="end"/>
      </w:r>
      <w:proofErr w:type="gramStart"/>
      <w:r w:rsidRPr="003E73CD">
        <w:rPr>
          <w:sz w:val="22"/>
          <w:szCs w:val="22"/>
        </w:rPr>
        <w:t xml:space="preserve">  It</w:t>
      </w:r>
      <w:proofErr w:type="gramEnd"/>
      <w:r w:rsidRPr="003E73CD">
        <w:rPr>
          <w:sz w:val="22"/>
          <w:szCs w:val="22"/>
        </w:rPr>
        <w:t xml:space="preserve"> was also shown that the surgical procedure could be further simplified if, during lymphoscintigraphy, information was provided on the depth of the sentinel node(s).</w:t>
      </w:r>
      <w:r w:rsidRPr="003E73CD">
        <w:rPr>
          <w:sz w:val="22"/>
          <w:szCs w:val="22"/>
        </w:rPr>
        <w:fldChar w:fldCharType="begin" w:fldLock="1"/>
      </w:r>
      <w:r w:rsidR="001C6CB8">
        <w:rPr>
          <w:sz w:val="22"/>
          <w:szCs w:val="22"/>
        </w:rPr>
        <w:instrText>ADDIN CSL_CITATION { "citationItems" : [ { "id" : "ITEM-1", "itemData" : { "ISSN" : "0161-5505", "PMID" : "8355060", "abstract" : "Lymphoscintigraphy was performed in 209 patients with high-risk melanoma of the trunk referred to the Sydney Melanoma Unit and considered for lymph node dissection. Lymphoscintigraphy accurately defined the draining lymph node groups and was 94% sensitive in detecting draining sites that contained metastases. When combined with the clinical finding of palpable lymph nodes, the sensitivity rose to 98%. Most patients showed lymph drainage to one or two node groups and only 22 patients showed drainage to 3 or more node groups. The major lymph channels could also be marked on the skin prior to incontinuity dissection. Most patients had multiple draining lymph channels and these often diverged significantly from each other in the path to the draining node group. The number and location of interval nodes could be determined and marked on the skin. These and the major lymph channels could thus be excised at the time of surgery. Unusual drainage patterns were sometimes seen; for example, three patients displayed a new lymph pathway with direct drainage from the back anteriorly to the para-aortic nodes. The location of the sentinel nodes in each draining lymph-node group could also be marked on the skin prior to surgery, enabling quick and accurate identification of this node, using the blue-dye technique if biopsy were to be performed. These findings lead us to recommend lymphoscintigraphy prior to wide local excision in patients with truncal melanoma who are candidates for surgery. Lymphoscintigraphy results will help plan surgery and lead to minimum surgical intervention, consistent with effective surgical management.", "author" : [ { "dropping-particle" : "", "family" : "Uren", "given" : "R F", "non-dropping-particle" : "", "parse-names" : false, "suffix" : "" }, { "dropping-particle" : "", "family" : "Howman-Giles", "given" : "R B", "non-dropping-particle" : "", "parse-names" : false, "suffix" : "" }, { "dropping-particle" : "", "family" : "Shaw", "given" : "H M", "non-dropping-particle" : "", "parse-names" : false, "suffix" : "" }, { "dropping-particle" : "", "family" : "Thompson", "given" : "J F", "non-dropping-particle" : "", "parse-names" : false, "suffix" : "" }, { "dropping-particle" : "", "family" : "McCarthy", "given" : "W H", "non-dropping-particle" : "", "parse-names" : false, "suffix" : "" } ], "container-title" : "Journal of nuclear medicine : official publication, Society of Nuclear Medicine", "id" : "ITEM-1", "issue" : "9", "issued" : { "date-parts" : [ [ "1993", "9" ] ] }, "page" : "1435-40", "title" : "Lymphoscintigraphy in high-risk melanoma of the trunk: predicting draining node groups, defining lymphatic channels and locating the sentinel node.", "type" : "article-journal", "volume" : "34" }, "uris" : [ "http://www.mendeley.com/documents/?uuid=274338cb-ae32-48f7-bdbd-96e8755842db" ] } ], "mendeley" : { "formattedCitation" : "&lt;sup&gt;99&lt;/sup&gt;", "plainTextFormattedCitation" : "99", "previouslyFormattedCitation" : "&lt;sup&gt;99&lt;/sup&gt;"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99</w:t>
      </w:r>
      <w:r w:rsidRPr="003E73CD">
        <w:rPr>
          <w:sz w:val="22"/>
          <w:szCs w:val="22"/>
        </w:rPr>
        <w:fldChar w:fldCharType="end"/>
      </w:r>
      <w:proofErr w:type="gramStart"/>
      <w:r w:rsidRPr="003E73CD">
        <w:rPr>
          <w:sz w:val="22"/>
          <w:szCs w:val="22"/>
        </w:rPr>
        <w:t xml:space="preserve">  The</w:t>
      </w:r>
      <w:proofErr w:type="gramEnd"/>
      <w:r w:rsidRPr="003E73CD">
        <w:rPr>
          <w:sz w:val="22"/>
          <w:szCs w:val="22"/>
        </w:rPr>
        <w:t xml:space="preserve"> triple technique, comprising pre-operative lymphoscintigraphy, intra-operative gamma probe localization and intra-operative injection of blue dye was found to achieve a success rate of 99.1% when compared to a 95.2% success rate using blue dye alone.</w:t>
      </w:r>
      <w:r w:rsidRPr="003E73CD">
        <w:rPr>
          <w:sz w:val="22"/>
          <w:szCs w:val="22"/>
        </w:rPr>
        <w:fldChar w:fldCharType="begin" w:fldLock="1"/>
      </w:r>
      <w:r w:rsidR="001C6CB8">
        <w:rPr>
          <w:sz w:val="22"/>
          <w:szCs w:val="22"/>
        </w:rPr>
        <w:instrText>ADDIN CSL_CITATION { "citationItems" : [ { "id" : "ITEM-1", "itemData" : { "ISSN" : "0003-4932", "PMID" : "10522715", "abstract" : "OBJECTIVE: To evaluate the multicenter application of intraoperative lymphatic mapping, sentinel lymphadenectomy, and selective complete lymph node dissection (LM/SL/SCLND) for the management of early-stage melanoma.\n\nSUMMARY BACKGROUND DATA: The multidisciplinary technique of LM/SL/SCLND has been widely adopted, but not validated in a multicenter trial. The authors began the international Multicenter Selective Lymphadenectomy Trial (MSLT) 5 years ago to evaluate the survival of patients with early-stage primary melanoma after wide excision alone versus wide excision plus LM/SL/SCLND. This study examined the accuracy of LM/SL/SCLND in the MSLT, using the experience of the organizing center (John Wayne Cancer Institute [JWCI]) as a standard for comparison.\n\nMETHODS: Before entering patients into the randomization phase, each center in the MSLT was required to finish a 30-case learning phase with complete nuclear medicine, pathology, and surgical review. Selection of MSLT patients in the LM/SL/SCLND treatment arm was based on complete pathologic and surgical data. The comparison group of JWCI patients was selected using these criteria: primary cutaneous melanoma having a thickness &gt; or =1 mm with a Clark level &gt; or =III, or a thickness &lt;1 mm with a Clark level &gt; or =IV (MSLT criterion); LM/SL performed between June 1, 1985, and December 30, 1998; and patient not entered in the MSLT. The accuracy of LM/SL/SCLND was determined by comparing the rates of sentinel node (SN) identification and the incidence of SN metastases in the MSLT and JWCI groups.\n\nRESULTS: There were 551 patients in the MSLT group and 584 patients in the JWCI group. In both groups, LM performed with blue dye plus a radiocolloid was more successful (99.1 %) than LM performed with blue dye alone (95.2%) (p = 0.014). After a center had completed the 30-case learning phase, the success of SN identification in the MSLT group was independent of the center's case volume or experience in the MSLT.\n\nCONCLUSIONS: Lymphatic mapping and sentinel lymphadenectomy can be successfully learned and applied in a standardized fashion with high accuracy by centers worldwide. Successful SN identification rates of 97% can be achieved, and the incidence of nodal metastases approaches that of the organizing center. A multidisciplinary approach (surgery, nuclear medicine, and pathology) and a learning phase of &gt; or =30 consecutive cases per center are sufficient for mastery of LM/SL in cutaneous melanoma. Lymphati\u2026", "author" : [ { "dropping-particle" : "", "family" : "Morton", "given" : "D L", "non-dropping-particle" : "", "parse-names" : false, "suffix" : "" }, { "dropping-particle" : "", "family" : "Thompson", "given" : "J F", "non-dropping-particle" : "", "parse-names" : false, "suffix" : "" }, { "dropping-particle" : "", "family" : "Essner", "given" : "R", "non-dropping-particle" : "", "parse-names" : false, "suffix" : "" }, { "dropping-particle" : "", "family" : "Elashoff", "given" : "R", "non-dropping-particle" : "", "parse-names" : false, "suffix" : "" }, { "dropping-particle" : "", "family" : "Stern", "given" : "S L", "non-dropping-particle" : "", "parse-names" : false, "suffix" : "" }, { "dropping-particle" : "", "family" : "Nieweg", "given" : "O E", "non-dropping-particle" : "", "parse-names" : false, "suffix" : "" }, { "dropping-particle" : "", "family" : "Roses", "given" : "D F", "non-dropping-particle" : "", "parse-names" : false, "suffix" : "" }, { "dropping-particle" : "", "family" : "Karakousis", "given" : "C P", "non-dropping-particle" : "", "parse-names" : false, "suffix" : "" }, { "dropping-particle" : "", "family" : "Mozzillo", "given" : "N", "non-dropping-particle" : "", "parse-names" : false, "suffix" : "" }, { "dropping-particle" : "", "family" : "Reintgen", "given" : "D", "non-dropping-particle" : "", "parse-names" : false, "suffix" : "" }, { "dropping-particle" : "", "family" : "Wang", "given" : "H J", "non-dropping-particle" : "", "parse-names" : false, "suffix" : "" }, { "dropping-particle" : "", "family" : "Glass", "given" : "E C", "non-dropping-particle" : "", "parse-names" : false, "suffix" : "" }, { "dropping-particle" : "", "family" : "Cochran", "given" : "A J", "non-dropping-particle" : "", "parse-names" : false, "suffix" : "" } ], "container-title" : "Annals of surgery", "id" : "ITEM-1", "issue" : "4", "issued" : { "date-parts" : [ [ "1999", "10" ] ] }, "page" : "453-63; discussion 463-5", "title" : "Validation of the accuracy of intraoperative lymphatic mapping and sentinel lymphadenectomy for early-stage melanoma: a multicenter trial. Multicenter Selective Lymphadenectomy Trial Group.", "type" : "article-journal", "volume" : "230" }, "uris" : [ "http://www.mendeley.com/documents/?uuid=de224c39-9824-497f-80fc-721220f39b8d" ] } ], "mendeley" : { "formattedCitation" : "&lt;sup&gt;113&lt;/sup&gt;", "plainTextFormattedCitation" : "113", "previouslyFormattedCitation" : "&lt;sup&gt;113&lt;/sup&gt;"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113</w:t>
      </w:r>
      <w:r w:rsidRPr="003E73CD">
        <w:rPr>
          <w:sz w:val="22"/>
          <w:szCs w:val="22"/>
        </w:rPr>
        <w:fldChar w:fldCharType="end"/>
      </w:r>
      <w:r w:rsidRPr="003E73CD">
        <w:rPr>
          <w:sz w:val="22"/>
          <w:szCs w:val="22"/>
        </w:rPr>
        <w:t xml:space="preserve">   </w:t>
      </w:r>
      <w:r w:rsidR="00D743FB" w:rsidRPr="003E73CD">
        <w:rPr>
          <w:sz w:val="22"/>
          <w:szCs w:val="22"/>
        </w:rPr>
        <w:t>This triple technique has become the gold standard method when performing sentinel node biopsy for melanoma.</w:t>
      </w:r>
      <w:r w:rsidR="00A76291">
        <w:rPr>
          <w:sz w:val="22"/>
          <w:szCs w:val="22"/>
        </w:rPr>
        <w:t xml:space="preserve">  In England, it is curr</w:t>
      </w:r>
      <w:r w:rsidR="00996930">
        <w:rPr>
          <w:sz w:val="22"/>
          <w:szCs w:val="22"/>
        </w:rPr>
        <w:t>ently recommended that sentinel node biopsy is considered as a staging procedure for patients with stage IB-IIC melanoma with Breslow thickness &gt;1mm</w:t>
      </w:r>
      <w:r w:rsidR="00A76291">
        <w:rPr>
          <w:sz w:val="22"/>
          <w:szCs w:val="22"/>
        </w:rPr>
        <w:t xml:space="preserve"> (NICE (National Institute for Health and Care Excellence) guideline NG14).</w:t>
      </w:r>
      <w:r w:rsidR="00CE2A17">
        <w:rPr>
          <w:sz w:val="22"/>
          <w:szCs w:val="22"/>
        </w:rPr>
        <w:fldChar w:fldCharType="begin" w:fldLock="1"/>
      </w:r>
      <w:r w:rsidR="00217FAC">
        <w:rPr>
          <w:sz w:val="22"/>
          <w:szCs w:val="22"/>
        </w:rPr>
        <w:instrText>ADDIN CSL_CITATION { "citationItems" : [ { "id" : "ITEM-1", "itemData" : { "container-title" : "Melanoma: assessment and management. NICE guideline 14", "id" : "ITEM-1", "issued" : { "date-parts" : [ [ "2015" ] ] }, "title" : "National Institute for Health and Care Excellence", "type" : "webpage" }, "uris" : [ "http://www.mendeley.com/documents/?uuid=9c37bc62-70ba-46b7-91ae-4070fbc0da76" ] } ], "mendeley" : { "formattedCitation" : "&lt;sup&gt;115&lt;/sup&gt;", "plainTextFormattedCitation" : "115", "previouslyFormattedCitation" : "&lt;sup&gt;115&lt;/sup&gt;" }, "properties" : { "noteIndex" : 0 }, "schema" : "https://github.com/citation-style-language/schema/raw/master/csl-citation.json" }</w:instrText>
      </w:r>
      <w:r w:rsidR="00CE2A17">
        <w:rPr>
          <w:sz w:val="22"/>
          <w:szCs w:val="22"/>
        </w:rPr>
        <w:fldChar w:fldCharType="separate"/>
      </w:r>
      <w:r w:rsidR="00CE2A17" w:rsidRPr="00CE2A17">
        <w:rPr>
          <w:noProof/>
          <w:sz w:val="22"/>
          <w:szCs w:val="22"/>
          <w:vertAlign w:val="superscript"/>
        </w:rPr>
        <w:t>115</w:t>
      </w:r>
      <w:r w:rsidR="00CE2A17">
        <w:rPr>
          <w:sz w:val="22"/>
          <w:szCs w:val="22"/>
        </w:rPr>
        <w:fldChar w:fldCharType="end"/>
      </w:r>
    </w:p>
    <w:p w14:paraId="40939A30" w14:textId="0CB4DFDA" w:rsidR="00D743FB" w:rsidRPr="003E73CD" w:rsidRDefault="007E359B" w:rsidP="00A017A1">
      <w:pPr>
        <w:widowControl w:val="0"/>
        <w:autoSpaceDE w:val="0"/>
        <w:autoSpaceDN w:val="0"/>
        <w:adjustRightInd w:val="0"/>
        <w:spacing w:line="480" w:lineRule="auto"/>
        <w:ind w:right="-389" w:firstLine="720"/>
        <w:rPr>
          <w:sz w:val="22"/>
          <w:szCs w:val="22"/>
        </w:rPr>
      </w:pPr>
      <w:r w:rsidRPr="003E73CD">
        <w:rPr>
          <w:sz w:val="22"/>
          <w:szCs w:val="22"/>
        </w:rPr>
        <w:t>The triple technique does have some di</w:t>
      </w:r>
      <w:r w:rsidR="0088071C" w:rsidRPr="003E73CD">
        <w:rPr>
          <w:sz w:val="22"/>
          <w:szCs w:val="22"/>
        </w:rPr>
        <w:t>sadvantages.  T</w:t>
      </w:r>
      <w:r w:rsidRPr="003E73CD">
        <w:rPr>
          <w:sz w:val="22"/>
          <w:szCs w:val="22"/>
        </w:rPr>
        <w:t xml:space="preserve">he patient undergoes lymphoscintigraphy several hours or the day </w:t>
      </w:r>
      <w:r w:rsidR="0088071C" w:rsidRPr="003E73CD">
        <w:rPr>
          <w:sz w:val="22"/>
          <w:szCs w:val="22"/>
        </w:rPr>
        <w:t>before surgery and this requires</w:t>
      </w:r>
      <w:r w:rsidRPr="003E73CD">
        <w:rPr>
          <w:sz w:val="22"/>
          <w:szCs w:val="22"/>
        </w:rPr>
        <w:t xml:space="preserve"> a small intradermal injection, which can be painful.  The procedure involves small doses of radiation to which the patient and healthcare workers will be exposed and radioactivity at the injection site can obscure sentinel nodes in some cases.  </w:t>
      </w:r>
      <w:r w:rsidR="00D743FB" w:rsidRPr="003E73CD">
        <w:rPr>
          <w:sz w:val="22"/>
          <w:szCs w:val="22"/>
        </w:rPr>
        <w:t xml:space="preserve">Alternative methods of lymphatic mapping have </w:t>
      </w:r>
      <w:r w:rsidR="00AA411E" w:rsidRPr="003E73CD">
        <w:rPr>
          <w:sz w:val="22"/>
          <w:szCs w:val="22"/>
        </w:rPr>
        <w:t xml:space="preserve">therefore </w:t>
      </w:r>
      <w:r w:rsidR="00D743FB" w:rsidRPr="003E73CD">
        <w:rPr>
          <w:sz w:val="22"/>
          <w:szCs w:val="22"/>
        </w:rPr>
        <w:t xml:space="preserve">been developed and continue to be investigated.  These include </w:t>
      </w:r>
      <w:r w:rsidR="00A503FD" w:rsidRPr="003E73CD">
        <w:rPr>
          <w:sz w:val="22"/>
          <w:szCs w:val="22"/>
        </w:rPr>
        <w:t>indocyanine green lymphangiography, contrast enhanced ultrasound</w:t>
      </w:r>
      <w:r w:rsidR="008728B9" w:rsidRPr="003E73CD">
        <w:rPr>
          <w:sz w:val="22"/>
          <w:szCs w:val="22"/>
        </w:rPr>
        <w:t xml:space="preserve"> and magnetic nano</w:t>
      </w:r>
      <w:r w:rsidRPr="003E73CD">
        <w:rPr>
          <w:sz w:val="22"/>
          <w:szCs w:val="22"/>
        </w:rPr>
        <w:t xml:space="preserve"> </w:t>
      </w:r>
      <w:r w:rsidR="008728B9" w:rsidRPr="003E73CD">
        <w:rPr>
          <w:sz w:val="22"/>
          <w:szCs w:val="22"/>
        </w:rPr>
        <w:t>particles</w:t>
      </w:r>
      <w:r w:rsidR="0088071C" w:rsidRPr="003E73CD">
        <w:rPr>
          <w:sz w:val="22"/>
          <w:szCs w:val="22"/>
        </w:rPr>
        <w:t>.</w:t>
      </w:r>
      <w:r w:rsidR="004E51BA">
        <w:rPr>
          <w:sz w:val="22"/>
          <w:szCs w:val="22"/>
        </w:rPr>
        <w:fldChar w:fldCharType="begin" w:fldLock="1"/>
      </w:r>
      <w:r w:rsidR="00217FAC">
        <w:rPr>
          <w:sz w:val="22"/>
          <w:szCs w:val="22"/>
        </w:rPr>
        <w:instrText>ADDIN CSL_CITATION { "citationItems" : [ { "id" : "ITEM-1", "itemData" : { "DOI" : "10.1007/s11307-010-0421-y", "ISSN" : "1860-2002", "PMID" : "20862613", "abstract" : "Noninvasive in vivo imaging of lymphatic vessels and lymphatic nodes is expected to fulfill the purpose of analyzing lymphatic vessels and their function, understanding molecular mechanisms of lymphangiogenesis and lymphatic spread of tumors, and utilizing lymphatic molecular markers as a prognostic or diagnostic indicator. In this review, we provide a comprehensive summary of in vivo imaging modalities for detecting lymphatic vessels, lymphatic drainage, and lymphatic nodes, which include conventional lymphatic imaging techniques such as dyes and radionuclide scintigraphy as well as novel techniques for lymphatic imaging such as optical imaging, computed tomography, magnetic resonance imaging, ultrasound, positron emission tomography using lymphatic biomarkers, photoacoustic imaging, and combinations of multiple modalities. The field of lymphatic imaging is ever evolving, and technological advances, combined with the development of new contrast agents, continue to improve the research of lymphatic vascular system in health and disease states as well as to improve the accuracy of diagnosis in the relevant diseases.", "author" : [ { "dropping-particle" : "", "family" : "Zhang", "given" : "Fan", "non-dropping-particle" : "", "parse-names" : false, "suffix" : "" }, { "dropping-particle" : "", "family" : "Niu", "given" : "Gang", "non-dropping-particle" : "", "parse-names" : false, "suffix" : "" }, { "dropping-particle" : "", "family" : "Lu", "given" : "Guangming", "non-dropping-particle" : "", "parse-names" : false, "suffix" : "" }, { "dropping-particle" : "", "family" : "Chen", "given" : "Xiaoyuan", "non-dropping-particle" : "", "parse-names" : false, "suffix" : "" } ], "container-title" : "Molecular imaging and biology : MIB : the official publication of the Academy of Molecular Imaging", "id" : "ITEM-1", "issue" : "4", "issued" : { "date-parts" : [ [ "2011", "8" ] ] }, "page" : "599-612", "title" : "Preclinical lymphatic imaging.", "type" : "article-journal", "volume" : "13" }, "uris" : [ "http://www.mendeley.com/documents/?uuid=ae4eb7c1-9dcc-4a71-825d-71c3b5424268" ] }, { "id" : "ITEM-2", "itemData" : { "DOI" : "10.1245/s10434-016-5113-7", "ISSN" : "1534-4681", "PMID" : "26895751", "abstract" : "BACKGROUND: Sentinel lymph node biopsy (SLNB) in melanoma is currently performed using the standard dual technique (radioisotope and blue dye). The magnetic technique is non-radioactive and provides a brown color change in the sentinel lymph node (SLN) through an intradermal injection of a magnetic tracer, and utilizes a handheld magnetometer. The MELAMAG Trial compared the magnetic technique with the standard technique for SLNB in melanoma.\n\nMETHODS: Clinically node-negative patients with primary cutaneous melanoma were recruited from four centers. SLNB was undertaken after intradermal administration of both the standard (blue dye and radioisotope) and magnetic tracers. The SLN identification rate per patient, with the two techniques, was compared.\n\nRESULTS: A total of 133 patients were recruited, 129 of which were available for final analysis. The sentinel node identification rate was 97.7\u00a0% (126/129) with the standard technique and 95.3\u00a0% (123/129) with the magnetic technique [2.3\u00a0% difference; 95\u00a0% upper confidence limit (CL) 6.4; 5.4\u00a0% discordance]. With radioisotope alone, the SLN identification rate was 95.3\u00a0% (123/129), as with the magnetic technique (0\u00a0% difference; 95\u00a0% upper CL 4.5; 7.8\u00a0% discordance). The lymph node retrieval rate was 1.99 nodes per patient overall, 1.78 with the standard technique and 1.87 with the magnetic technique.\n\nCONCLUSIONS: The magnetic technique is feasible for SLNB in melanoma with a high SLN identification rate, but is associated with skin staining. When compared with the standard dual technique, it did not reach our predefined non-inferiority margin.", "author" : [ { "dropping-particle" : "", "family" : "Anninga", "given" : "Bauke", "non-dropping-particle" : "", "parse-names" : false, "suffix" : "" }, { "dropping-particle" : "", "family" : "White", "given" : "Samantha H", "non-dropping-particle" : "", "parse-names" : false, "suffix" : "" }, { "dropping-particle" : "", "family" : "Moncrieff", "given" : "Marc", "non-dropping-particle" : "", "parse-names" : false, "suffix" : "" }, { "dropping-particle" : "", "family" : "Dziewulski", "given" : "Peter", "non-dropping-particle" : "", "parse-names" : false, "suffix" : "" }, { "dropping-particle" : "", "family" : "L C Geh", "given" : "Jenny", "non-dropping-particle" : "", "parse-names" : false, "suffix" : "" }, { "dropping-particle" : "", "family" : "Klaase", "given" : "Joost", "non-dropping-particle" : "", "parse-names" : false, "suffix" : "" }, { "dropping-particle" : "", "family" : "Garmo", "given" : "Hans", "non-dropping-particle" : "", "parse-names" : false, "suffix" : "" }, { "dropping-particle" : "", "family" : "Castro", "given" : "Fernanda", "non-dropping-particle" : "", "parse-names" : false, "suffix" : "" }, { "dropping-particle" : "", "family" : "Pinder", "given" : "Sarah", "non-dropping-particle" : "", "parse-names" : false, "suffix" : "" }, { "dropping-particle" : "", "family" : "Pankhurst", "given" : "Quentin A", "non-dropping-particle" : "", "parse-names" : false, "suffix" : "" }, { "dropping-particle" : "", "family" : "Hall-Craggs", "given" : "Margaret A", "non-dropping-particle" : "", "parse-names" : false, "suffix" : "" }, { "dropping-particle" : "", "family" : "Douek", "given" : "Michael", "non-dropping-particle" : "", "parse-names" : false, "suffix" : "" } ], "container-title" : "Annals of surgical oncology", "id" : "ITEM-2", "issued" : { "date-parts" : [ [ "2016", "3", "19" ] ] }, "title" : "Magnetic Technique for Sentinel Lymph Node Biopsy in Melanoma: The MELAMAG Trial.", "type" : "article-journal" }, "uris" : [ "http://www.mendeley.com/documents/?uuid=c61def58-6389-4e08-9707-bdcf0529f327" ] } ], "mendeley" : { "formattedCitation" : "&lt;sup&gt;116,117&lt;/sup&gt;", "plainTextFormattedCitation" : "116,117", "previouslyFormattedCitation" : "&lt;sup&gt;116,117&lt;/sup&gt;" }, "properties" : { "noteIndex" : 0 }, "schema" : "https://github.com/citation-style-language/schema/raw/master/csl-citation.json" }</w:instrText>
      </w:r>
      <w:r w:rsidR="004E51BA">
        <w:rPr>
          <w:sz w:val="22"/>
          <w:szCs w:val="22"/>
        </w:rPr>
        <w:fldChar w:fldCharType="separate"/>
      </w:r>
      <w:r w:rsidR="00CE2A17" w:rsidRPr="00CE2A17">
        <w:rPr>
          <w:noProof/>
          <w:sz w:val="22"/>
          <w:szCs w:val="22"/>
          <w:vertAlign w:val="superscript"/>
        </w:rPr>
        <w:t>116,117</w:t>
      </w:r>
      <w:r w:rsidR="004E51BA">
        <w:rPr>
          <w:sz w:val="22"/>
          <w:szCs w:val="22"/>
        </w:rPr>
        <w:fldChar w:fldCharType="end"/>
      </w:r>
      <w:r w:rsidR="0088071C" w:rsidRPr="003E73CD">
        <w:rPr>
          <w:sz w:val="22"/>
          <w:szCs w:val="22"/>
        </w:rPr>
        <w:t xml:space="preserve"> </w:t>
      </w:r>
      <w:r w:rsidR="00056A11">
        <w:rPr>
          <w:sz w:val="22"/>
          <w:szCs w:val="22"/>
        </w:rPr>
        <w:t>The recently published MELAMAG trial compared a non-radioactive magnetic tracer with standard blue dye and radioisotope technique, with the ultimate aim of introducing a technique that does not require radioisotope.</w:t>
      </w:r>
      <w:r w:rsidR="002C24DF">
        <w:rPr>
          <w:sz w:val="22"/>
          <w:szCs w:val="22"/>
        </w:rPr>
        <w:fldChar w:fldCharType="begin" w:fldLock="1"/>
      </w:r>
      <w:r w:rsidR="00217FAC">
        <w:rPr>
          <w:sz w:val="22"/>
          <w:szCs w:val="22"/>
        </w:rPr>
        <w:instrText>ADDIN CSL_CITATION { "citationItems" : [ { "id" : "ITEM-1", "itemData" : { "DOI" : "10.1245/s10434-016-5113-7", "ISSN" : "1534-4681", "PMID" : "26895751", "abstract" : "BACKGROUND: Sentinel lymph node biopsy (SLNB) in melanoma is currently performed using the standard dual technique (radioisotope and blue dye). The magnetic technique is non-radioactive and provides a brown color change in the sentinel lymph node (SLN) through an intradermal injection of a magnetic tracer, and utilizes a handheld magnetometer. The MELAMAG Trial compared the magnetic technique with the standard technique for SLNB in melanoma.\n\nMETHODS: Clinically node-negative patients with primary cutaneous melanoma were recruited from four centers. SLNB was undertaken after intradermal administration of both the standard (blue dye and radioisotope) and magnetic tracers. The SLN identification rate per patient, with the two techniques, was compared.\n\nRESULTS: A total of 133 patients were recruited, 129 of which were available for final analysis. The sentinel node identification rate was 97.7\u00a0% (126/129) with the standard technique and 95.3\u00a0% (123/129) with the magnetic technique [2.3\u00a0% difference; 95\u00a0% upper confidence limit (CL) 6.4; 5.4\u00a0% discordance]. With radioisotope alone, the SLN identification rate was 95.3\u00a0% (123/129), as with the magnetic technique (0\u00a0% difference; 95\u00a0% upper CL 4.5; 7.8\u00a0% discordance). The lymph node retrieval rate was 1.99 nodes per patient overall, 1.78 with the standard technique and 1.87 with the magnetic technique.\n\nCONCLUSIONS: The magnetic technique is feasible for SLNB in melanoma with a high SLN identification rate, but is associated with skin staining. When compared with the standard dual technique, it did not reach our predefined non-inferiority margin.", "author" : [ { "dropping-particle" : "", "family" : "Anninga", "given" : "Bauke", "non-dropping-particle" : "", "parse-names" : false, "suffix" : "" }, { "dropping-particle" : "", "family" : "White", "given" : "Samantha H", "non-dropping-particle" : "", "parse-names" : false, "suffix" : "" }, { "dropping-particle" : "", "family" : "Moncrieff", "given" : "Marc", "non-dropping-particle" : "", "parse-names" : false, "suffix" : "" }, { "dropping-particle" : "", "family" : "Dziewulski", "given" : "Peter", "non-dropping-particle" : "", "parse-names" : false, "suffix" : "" }, { "dropping-particle" : "", "family" : "L C Geh", "given" : "Jenny", "non-dropping-particle" : "", "parse-names" : false, "suffix" : "" }, { "dropping-particle" : "", "family" : "Klaase", "given" : "Joost", "non-dropping-particle" : "", "parse-names" : false, "suffix" : "" }, { "dropping-particle" : "", "family" : "Garmo", "given" : "Hans", "non-dropping-particle" : "", "parse-names" : false, "suffix" : "" }, { "dropping-particle" : "", "family" : "Castro", "given" : "Fernanda", "non-dropping-particle" : "", "parse-names" : false, "suffix" : "" }, { "dropping-particle" : "", "family" : "Pinder", "given" : "Sarah", "non-dropping-particle" : "", "parse-names" : false, "suffix" : "" }, { "dropping-particle" : "", "family" : "Pankhurst", "given" : "Quentin A", "non-dropping-particle" : "", "parse-names" : false, "suffix" : "" }, { "dropping-particle" : "", "family" : "Hall-Craggs", "given" : "Margaret A", "non-dropping-particle" : "", "parse-names" : false, "suffix" : "" }, { "dropping-particle" : "", "family" : "Douek", "given" : "Michael", "non-dropping-particle" : "", "parse-names" : false, "suffix" : "" } ], "container-title" : "Annals of surgical oncology", "id" : "ITEM-1", "issued" : { "date-parts" : [ [ "2016", "3", "19" ] ] }, "title" : "Magnetic Technique for Sentinel Lymph Node Biopsy in Melanoma: The MELAMAG Trial.", "type" : "article-journal" }, "uris" : [ "http://www.mendeley.com/documents/?uuid=c61def58-6389-4e08-9707-bdcf0529f327" ] } ], "mendeley" : { "formattedCitation" : "&lt;sup&gt;117&lt;/sup&gt;", "plainTextFormattedCitation" : "117", "previouslyFormattedCitation" : "&lt;sup&gt;117&lt;/sup&gt;" }, "properties" : { "noteIndex" : 0 }, "schema" : "https://github.com/citation-style-language/schema/raw/master/csl-citation.json" }</w:instrText>
      </w:r>
      <w:r w:rsidR="002C24DF">
        <w:rPr>
          <w:sz w:val="22"/>
          <w:szCs w:val="22"/>
        </w:rPr>
        <w:fldChar w:fldCharType="separate"/>
      </w:r>
      <w:r w:rsidR="00CE2A17" w:rsidRPr="00CE2A17">
        <w:rPr>
          <w:noProof/>
          <w:sz w:val="22"/>
          <w:szCs w:val="22"/>
          <w:vertAlign w:val="superscript"/>
        </w:rPr>
        <w:t>117</w:t>
      </w:r>
      <w:r w:rsidR="002C24DF">
        <w:rPr>
          <w:sz w:val="22"/>
          <w:szCs w:val="22"/>
        </w:rPr>
        <w:fldChar w:fldCharType="end"/>
      </w:r>
      <w:proofErr w:type="gramStart"/>
      <w:r w:rsidR="00056A11">
        <w:rPr>
          <w:sz w:val="22"/>
          <w:szCs w:val="22"/>
        </w:rPr>
        <w:t xml:space="preserve">  </w:t>
      </w:r>
      <w:r w:rsidR="00BE7F1E">
        <w:rPr>
          <w:sz w:val="22"/>
          <w:szCs w:val="22"/>
        </w:rPr>
        <w:t>Although</w:t>
      </w:r>
      <w:proofErr w:type="gramEnd"/>
      <w:r w:rsidR="00BE7F1E">
        <w:rPr>
          <w:sz w:val="22"/>
          <w:szCs w:val="22"/>
        </w:rPr>
        <w:t xml:space="preserve"> sentinel node identification rates were similar (97.7% for standard technique versus 95.3% for magnetic technique) the pre-defined predicted non-inferiority margin </w:t>
      </w:r>
      <w:r w:rsidR="009033F7">
        <w:rPr>
          <w:sz w:val="22"/>
          <w:szCs w:val="22"/>
        </w:rPr>
        <w:t xml:space="preserve">for the trial </w:t>
      </w:r>
      <w:r w:rsidR="00BE7F1E">
        <w:rPr>
          <w:sz w:val="22"/>
          <w:szCs w:val="22"/>
        </w:rPr>
        <w:t xml:space="preserve">was not reached.  </w:t>
      </w:r>
      <w:r w:rsidR="002C24DF">
        <w:rPr>
          <w:sz w:val="22"/>
          <w:szCs w:val="22"/>
        </w:rPr>
        <w:t>In addition, the magnetic tracer injection produced black staining at the primary melanoma site, which was present at 1 year in 16.2% of cases and could cause confusion with possible recurrent disease.  F</w:t>
      </w:r>
      <w:r w:rsidR="00F37219" w:rsidRPr="003E73CD">
        <w:rPr>
          <w:sz w:val="22"/>
          <w:szCs w:val="22"/>
        </w:rPr>
        <w:t xml:space="preserve">or melanoma, </w:t>
      </w:r>
      <w:r w:rsidR="0088071C" w:rsidRPr="003E73CD">
        <w:rPr>
          <w:sz w:val="22"/>
          <w:szCs w:val="22"/>
        </w:rPr>
        <w:t>the location of potential sentinel nodes can be very varied (unlike sentinel node biopsy for breast cancer, for example) and so</w:t>
      </w:r>
      <w:r w:rsidR="002C24DF">
        <w:rPr>
          <w:sz w:val="22"/>
          <w:szCs w:val="22"/>
        </w:rPr>
        <w:t>,</w:t>
      </w:r>
      <w:r w:rsidR="0088071C" w:rsidRPr="003E73CD">
        <w:rPr>
          <w:sz w:val="22"/>
          <w:szCs w:val="22"/>
        </w:rPr>
        <w:t xml:space="preserve"> </w:t>
      </w:r>
      <w:r w:rsidR="002C24DF">
        <w:rPr>
          <w:sz w:val="22"/>
          <w:szCs w:val="22"/>
        </w:rPr>
        <w:t xml:space="preserve">irrespective of the intra-operative tracer choice, </w:t>
      </w:r>
      <w:r w:rsidR="0088071C" w:rsidRPr="003E73CD">
        <w:rPr>
          <w:sz w:val="22"/>
          <w:szCs w:val="22"/>
        </w:rPr>
        <w:t>the pre-operative lymphoscintigram remains important to ensure that all lymphatic basins that contain sentinel nodes are identified.</w:t>
      </w:r>
      <w:r w:rsidR="009033F7">
        <w:rPr>
          <w:sz w:val="22"/>
          <w:szCs w:val="22"/>
        </w:rPr>
        <w:t xml:space="preserve">  Valsecchi et al. conducted a meta</w:t>
      </w:r>
      <w:r w:rsidR="006D497A">
        <w:rPr>
          <w:sz w:val="22"/>
          <w:szCs w:val="22"/>
        </w:rPr>
        <w:t>-analysis of studies of sentinel node biopsy for staging in melanoma and found that the average sentinel node identification rate was 98.1% (95% CI: 97.3-98.6%), based on data from 71 studies containing 25240 patients.</w:t>
      </w:r>
      <w:r w:rsidR="00C03DEB">
        <w:rPr>
          <w:sz w:val="22"/>
          <w:szCs w:val="22"/>
        </w:rPr>
        <w:fldChar w:fldCharType="begin" w:fldLock="1"/>
      </w:r>
      <w:r w:rsidR="00217FAC">
        <w:rPr>
          <w:sz w:val="22"/>
          <w:szCs w:val="22"/>
        </w:rPr>
        <w:instrText>ADDIN CSL_CITATION { "citationItems" : [ { "id" : "ITEM-1", "itemData" : { "DOI" : "10.1200/JCO.2010.33.1884", "ISSN" : "1527-7755", "PMID" : "21383281", "abstract" : "PURPOSE: To perform a meta-analysis of all published studies of sentinel lymph node (SLN) biopsy for staging patients with melanoma.\n\nMETHODS: Published literature in all languages between 1990 and 2009 was critically appraised. Primary outcomes evaluated included the proportion successfully mapped (PSM) and test performance including false-negative rate (FNR), post-test probability negative (PTPN), and positive predictive value in the same nodal basin recurrence.\n\nRESULTS: A total of 71 studies including 25,240 patients met full eligibility criteria. The average PSM was 98.1% (95% CI, 97.3% to 98.6%) and increased with the year of publication, female sex, ulceration, age, and the quality score of the studies. The FNR ranged from 0.0% to 34.0%, averaging 12.5% overall (95% CI, 11% to 14.2%). FNR increased with the length of follow-up (P = .002) but decreased with greater PSM (P = .001). PTPN averaged 3.4% (95% CI, 3.0% to 3.8%), which also increased in studies with longer follow-up, younger age, female sex, deeper Breslow thickness, and with tumor ulceration while decreasing with greater PSM (P &lt; .001). Approximately 20% of the patients with a positive SLN had additional lymph nodes in the complete lymph node dissection and 7.5% of the patients with positive SLN developed recurrence in the same nodal basin which was greater in studies that also reported higher FNR (P = .01).\n\nCONCLUSION: The estimated risk of nodal recurrence after a negative SLN biopsy was \u2264 5% supporting the use of this technology for staging patients with melanoma.", "author" : [ { "dropping-particle" : "", "family" : "Valsecchi", "given" : "Matias E", "non-dropping-particle" : "", "parse-names" : false, "suffix" : "" }, { "dropping-particle" : "", "family" : "Silbermins", "given" : "Damian", "non-dropping-particle" : "", "parse-names" : false, "suffix" : "" }, { "dropping-particle" : "", "family" : "Rosa", "given" : "Nicole", "non-dropping-particle" : "de", "parse-names" : false, "suffix" : "" }, { "dropping-particle" : "", "family" : "Wong", "given" : "Sandra L", "non-dropping-particle" : "", "parse-names" : false, "suffix" : "" }, { "dropping-particle" : "", "family" : "Lyman", "given" : "Gary H", "non-dropping-particle" : "", "parse-names" : false, "suffix" : "" } ], "container-title" : "Journal of clinical oncology : official journal of the American Society of Clinical Oncology", "id" : "ITEM-1", "issue" : "11", "issued" : { "date-parts" : [ [ "2011", "4", "10" ] ] }, "page" : "1479-87", "title" : "Lymphatic mapping and sentinel lymph node biopsy in patients with melanoma: a meta-analysis.", "type" : "article-journal", "volume" : "29" }, "uris" : [ "http://www.mendeley.com/documents/?uuid=7fa691c0-9976-43d3-84dc-62f15e78d9fb" ] } ], "mendeley" : { "formattedCitation" : "&lt;sup&gt;118&lt;/sup&gt;", "plainTextFormattedCitation" : "118", "previouslyFormattedCitation" : "&lt;sup&gt;118&lt;/sup&gt;" }, "properties" : { "noteIndex" : 0 }, "schema" : "https://github.com/citation-style-language/schema/raw/master/csl-citation.json" }</w:instrText>
      </w:r>
      <w:r w:rsidR="00C03DEB">
        <w:rPr>
          <w:sz w:val="22"/>
          <w:szCs w:val="22"/>
        </w:rPr>
        <w:fldChar w:fldCharType="separate"/>
      </w:r>
      <w:r w:rsidR="00CE2A17" w:rsidRPr="00CE2A17">
        <w:rPr>
          <w:noProof/>
          <w:sz w:val="22"/>
          <w:szCs w:val="22"/>
          <w:vertAlign w:val="superscript"/>
        </w:rPr>
        <w:t>118</w:t>
      </w:r>
      <w:r w:rsidR="00C03DEB">
        <w:rPr>
          <w:sz w:val="22"/>
          <w:szCs w:val="22"/>
        </w:rPr>
        <w:fldChar w:fldCharType="end"/>
      </w:r>
      <w:proofErr w:type="gramStart"/>
      <w:r w:rsidR="006D497A">
        <w:rPr>
          <w:sz w:val="22"/>
          <w:szCs w:val="22"/>
        </w:rPr>
        <w:t xml:space="preserve">  The</w:t>
      </w:r>
      <w:proofErr w:type="gramEnd"/>
      <w:r w:rsidR="006D497A">
        <w:rPr>
          <w:sz w:val="22"/>
          <w:szCs w:val="22"/>
        </w:rPr>
        <w:t xml:space="preserve"> average false negative rate was 12.5% </w:t>
      </w:r>
      <w:r w:rsidR="00C03DEB">
        <w:rPr>
          <w:sz w:val="22"/>
          <w:szCs w:val="22"/>
        </w:rPr>
        <w:t>(95% CI: 11-14.2%).</w:t>
      </w:r>
    </w:p>
    <w:p w14:paraId="26079181" w14:textId="77777777" w:rsidR="0061482C" w:rsidRPr="003E73CD" w:rsidRDefault="0061482C" w:rsidP="0061482C">
      <w:pPr>
        <w:widowControl w:val="0"/>
        <w:autoSpaceDE w:val="0"/>
        <w:autoSpaceDN w:val="0"/>
        <w:adjustRightInd w:val="0"/>
        <w:spacing w:line="480" w:lineRule="auto"/>
        <w:ind w:right="-389"/>
        <w:rPr>
          <w:sz w:val="22"/>
          <w:szCs w:val="22"/>
        </w:rPr>
      </w:pPr>
      <w:r w:rsidRPr="003E73CD">
        <w:rPr>
          <w:sz w:val="22"/>
          <w:szCs w:val="22"/>
        </w:rPr>
        <w:t xml:space="preserve">   </w:t>
      </w:r>
    </w:p>
    <w:p w14:paraId="0B65C1EE" w14:textId="77777777" w:rsidR="0061482C" w:rsidRPr="003E73CD" w:rsidRDefault="0061482C" w:rsidP="0061482C">
      <w:pPr>
        <w:widowControl w:val="0"/>
        <w:autoSpaceDE w:val="0"/>
        <w:autoSpaceDN w:val="0"/>
        <w:adjustRightInd w:val="0"/>
        <w:spacing w:line="480" w:lineRule="auto"/>
        <w:ind w:right="-389"/>
        <w:rPr>
          <w:b/>
          <w:bCs/>
          <w:sz w:val="22"/>
          <w:szCs w:val="22"/>
        </w:rPr>
      </w:pPr>
      <w:r w:rsidRPr="003E73CD">
        <w:rPr>
          <w:b/>
          <w:bCs/>
          <w:sz w:val="22"/>
          <w:szCs w:val="22"/>
        </w:rPr>
        <w:t>IMPLICATIONS OF OCCULT NODAL METASTASIS</w:t>
      </w:r>
    </w:p>
    <w:p w14:paraId="59CD868D" w14:textId="5BDA320E" w:rsidR="0061482C" w:rsidRPr="003E73CD" w:rsidRDefault="0061482C" w:rsidP="0061482C">
      <w:pPr>
        <w:widowControl w:val="0"/>
        <w:autoSpaceDE w:val="0"/>
        <w:autoSpaceDN w:val="0"/>
        <w:adjustRightInd w:val="0"/>
        <w:spacing w:line="480" w:lineRule="auto"/>
        <w:ind w:right="-389" w:firstLine="720"/>
        <w:rPr>
          <w:sz w:val="22"/>
          <w:szCs w:val="22"/>
        </w:rPr>
      </w:pPr>
      <w:r w:rsidRPr="003E73CD">
        <w:rPr>
          <w:sz w:val="22"/>
          <w:szCs w:val="22"/>
        </w:rPr>
        <w:t>For the patient with a primary melanoma and no clinical evidence of metastasis, there are a number of characteristics that have been proven to provide prognostic information.</w:t>
      </w:r>
      <w:r w:rsidRPr="003E73CD">
        <w:rPr>
          <w:sz w:val="22"/>
          <w:szCs w:val="22"/>
        </w:rPr>
        <w:fldChar w:fldCharType="begin" w:fldLock="1"/>
      </w:r>
      <w:r w:rsidR="00217FAC">
        <w:rPr>
          <w:sz w:val="22"/>
          <w:szCs w:val="22"/>
        </w:rPr>
        <w:instrText>ADDIN CSL_CITATION { "citationItems" : [ { "id" : "ITEM-1", "itemData" : { "abstract" : "seminal article describing the Clark's levels Mentions 'radial growth' and 'vertical growth'", "author" : [ { "dropping-particle" : "", "family" : "Clark", "given" : "W", "non-dropping-particle" : "", "parse-names" : false, "suffix" : "" }, { "dropping-particle" : "", "family" : "From", "given" : "l", "non-dropping-particle" : "", "parse-names" : false, "suffix" : "" }, { "dropping-particle" : "", "family" : "Bernandino", "given" : "E", "non-dropping-particle" : "", "parse-names" : false, "suffix" : "" }, { "dropping-particle" : "", "family" : "Mihm", "given" : "M", "non-dropping-particle" : "", "parse-names" : false, "suffix" : "" } ], "container-title" : "Cancer Res", "id" : "ITEM-1", "issued" : { "date-parts" : [ [ "1969" ] ] }, "page" : "705-727", "title" : "The histogenesis and biologic behaviour of primary human malignant melanoma of the skin", "type" : "article-journal", "volume" : "29" }, "uris" : [ "http://www.mendeley.com/documents/?uuid=b7cc4849-0a36-4cfa-b94e-843f7b35d8f7" ] }, { "id" : "ITEM-2", "itemData" : { "ISSN" : "0003-4932", "PMID" : "5477666", "author" : [ { "dropping-particle" : "", "family" : "Breslow", "given" : "A", "non-dropping-particle" : "", "parse-names" : false, "suffix" : "" } ], "container-title" : "Annals of surgery", "id" : "ITEM-2", "issue" : "5", "issued" : { "date-parts" : [ [ "1970", "11" ] ] }, "page" : "902-8", "title" : "Thickness, cross-sectional areas and depth of invasion in the prognosis of cutaneous melanoma.", "type" : "article-journal", "volume" : "172" }, "uris" : [ "http://www.mendeley.com/documents/?uuid=b6a59b86-21da-43a8-828c-cfc0a44e1caa" ] }, { "id" : "ITEM-3", "itemData" : { "ISBN" : "0732-183X (Print)\\r0732-183X (Linking)", "ISSN" : "0732183X", "PMID" : "11504744", "abstract" : "PURPOSE: The American Joint Committee on Cancer (AJCC) recently proposed major revisions of the tumor-node-metastases (TNM) categories and stage groupings for cutaneous melanoma. Thirteen cancer centers and cancer cooperative groups contributed staging and survival data from a total of 30,450 melanoma patients from their databases in order to validate this staging proposal. PATIENTS AND METHODS: There were 17,600 melanoma patients with complete clinical, pathologic, and follow-up information. Factors predicting melanoma-specific survival rates were analyzed using the Cox proportional hazards regression model. Follow-up survival data for 5 years or longer were available for 73% of the patients. RESULTS: This analysis demonstrated that (1) in the T category, tumor thickness and ulceration were the most powerful predictors of survival, and the level of invasion had a significant impact only within the subgroup of thin (&lt; or = 1 mm) melanomas; (2) in the N category, the following three independent factors were identified: the number of metastatic nodes, whether nodal metastases were clinically occult or clinically apparent, and the presence or absence of primary tumor ulceration; and (3) in the M category, nonvisceral metastases was associated with a better survival compared with visceral metastases. A marked diversity in the natural history of pathologic stage III melanoma was demonstrated by five-fold differences in 5-year survival rates for defined subgroups. This analysis also demonstrated that large and complex data sets could be used effectively to examine prognosis and survival outcome in melanoma patients. CONCLUSION: The results of this evidence-based methodology were incorporated into the AJCC melanoma staging as described in the companion publication.", "author" : [ { "dropping-particle" : "", "family" : "Balch", "given" : "C. M.", "non-dropping-particle" : "", "parse-names" : false, "suffix" : "" }, { "dropping-particle" : "", "family" : "Soong", "given" : "S. J.", "non-dropping-particle" : "", "parse-names" : false, "suffix" : "" }, { "dropping-particle" : "", "family" : "Gershenwald", "given" : "J. E.", "non-dropping-particle" : "", "parse-names" : false, "suffix" : "" }, { "dropping-particle" : "", "family" : "Thompson", "given" : "J. F.", "non-dropping-particle" : "", "parse-names" : false, "suffix" : "" }, { "dropping-particle" : "", "family" : "Reintgen", "given" : "D. S.", "non-dropping-particle" : "", "parse-names" : false, "suffix" : "" }, { "dropping-particle" : "", "family" : "Cascinelli", "given" : "N.", "non-dropping-particle" : "", "parse-names" : false, "suffix" : "" }, { "dropping-particle" : "", "family" : "Urist", "given" : "M.", "non-dropping-particle" : "", "parse-names" : false, "suffix" : "" }, { "dropping-particle" : "", "family" : "McMasters", "given" : "K. M.", "non-dropping-particle" : "", "parse-names" : false, "suffix" : "" }, { "dropping-particle" : "", "family" : "Ross", "given" : "M. I.", "non-dropping-particle" : "", "parse-names" : false, "suffix" : "" }, { "dropping-particle" : "", "family" : "Kirkwood", "given" : "J. M.", "non-dropping-particle" : "", "parse-names" : false, "suffix" : "" }, { "dropping-particle" : "", "family" : "Atkins", "given" : "M. B.", "non-dropping-particle" : "", "parse-names" : false, "suffix" : "" }, { "dropping-particle" : "", "family" : "Thompson", "given" : "J. A.", "non-dropping-particle" : "", "parse-names" : false, "suffix" : "" }, { "dropping-particle" : "", "family" : "Coit", "given" : "D. G.", "non-dropping-particle" : "", "parse-names" : false, "suffix" : "" }, { "dropping-particle" : "", "family" : "Byrd", "given" : "D.", "non-dropping-particle" : "", "parse-names" : false, "suffix" : "" }, { "dropping-particle" : "", "family" : "Desmond", "given" : "R.", "non-dropping-particle" : "", "parse-names" : false, "suffix" : "" }, { "dropping-particle" : "", "family" : "Zhang", "given" : "Y.", "non-dropping-particle" : "", "parse-names" : false, "suffix" : "" }, { "dropping-particle" : "", "family" : "Liu", "given" : "P. Y.", "non-dropping-particle" : "", "parse-names" : false, "suffix" : "" }, { "dropping-particle" : "", "family" : "Lyman", "given" : "G. H.", "non-dropping-particle" : "", "parse-names" : false, "suffix" : "" }, { "dropping-particle" : "", "family" : "Morabito", "given" : "A.", "non-dropping-particle" : "", "parse-names" : false, "suffix" : "" } ], "container-title" : "Journal of Clinical Oncology", "id" : "ITEM-3", "issue" : "16", "issued" : { "date-parts" : [ [ "2001" ] ] }, "page" : "3622-3634", "title" : "Prognostic factors analysis of 17,600 melanoma patients: Validation of the American Joint Committee on Cancer melanoma staging system", "type" : "article-journal", "volume" : "19" }, "uris" : [ "http://www.mendeley.com/documents/?uuid=a1eeb010-de29-49d0-a0b8-a73d7424858d" ] }, { "id" : "ITEM-4", "itemData" : { "DOI" : "10.1002/cncr.11196", "ISBN" : "0008-543X (Print)\\r0008-543X (Linking)", "ISSN" : "0008543X", "PMID" : "12627514", "abstract" : "BACKGROUND: The current study was performed to determine whether tumor mitotic rate (TMR) is a useful, independent prognostic factor in patients with localized cutaneous melanoma. METHODS: From the Sydney Melanoma Unit database, 3661 patients with complete clinical information and details of primary tumor thickness, ulcerative state, and TMR were studied. TMR was expressed as mitoses per mm(2) in the dermal part of the tumor in which most mitoses were seen, as recommended in the 1982 revision of the 1972 Sydney classification of malignant melanoma. To determine which was the more prognostically useful method of grouping TMR, two separate methods (A and B) were used. Factors predicting melanoma-specific survival were analyzed using the Cox proportional hazards regression model. RESULTS: Patients with a TMR of 0 mitoses/mm(2) had a significantly better survival than those with 1 mitosis/mm(2) (P &lt; 0.0001) but no significant survival differences were recorded for the stepwise increases from 1-2, 2-3, 3-4, and 4-5/mm(2). Tumor thickness, ulceration, and TMR were closely correlated, whether TMR was grouped using Method A (0, 1-4, 5-10, and &gt;/= 11 mitoses/mm(2)) or Method B (0-1, 2-4, and &gt;/= 5 mitoses/mm(2)). However, Cox regression analysis indicated that the TMR was a highly significant independent prognostic factor, particularly when grouped according to Method A, in which it was second only to tumor thickness as the most powerful predictor of survival (P &lt; 0.0001). CONCLUSIONS: TMR is an important independent predictor of survival for melanoma patients. If confirmed by studies from other centers, it has the potential to further improve the accuracy of melanoma staging, as well as to define more rigidly the risk categories for patients entering clinical trials.", "author" : [ { "dropping-particle" : "", "family" : "Azzola", "given" : "Manuela F.", "non-dropping-particle" : "", "parse-names" : false, "suffix" : "" }, { "dropping-particle" : "", "family" : "Shaw", "given" : "Helen M.", "non-dropping-particle" : "", "parse-names" : false, "suffix" : "" }, { "dropping-particle" : "", "family" : "Thompson", "given" : "John F.", "non-dropping-particle" : "", "parse-names" : false, "suffix" : "" }, { "dropping-particle" : "", "family" : "Soong", "given" : "Seng jaw", "non-dropping-particle" : "", "parse-names" : false, "suffix" : "" }, { "dropping-particle" : "", "family" : "Scolyer", "given" : "Richard A.", "non-dropping-particle" : "", "parse-names" : false, "suffix" : "" }, { "dropping-particle" : "", "family" : "Watson", "given" : "Geoffrey F.", "non-dropping-particle" : "", "parse-names" : false, "suffix" : "" }, { "dropping-particle" : "", "family" : "Colman", "given" : "Marjorie H.", "non-dropping-particle" : "", "parse-names" : false, "suffix" : "" }, { "dropping-particle" : "", "family" : "Zhang", "given" : "Yuting", "non-dropping-particle" : "", "parse-names" : false, "suffix" : "" } ], "container-title" : "Cancer", "id" : "ITEM-4", "issue" : "6", "issued" : { "date-parts" : [ [ "2003" ] ] }, "page" : "1488-1498", "title" : "Tumor mitotic rate is a more powerful prognostic indicator than ulceration in patients with primary cutaneous melanoma: An analysis of 3661 patients from a single center", "type" : "article-journal", "volume" : "97" }, "uris" : [ "http://www.mendeley.com/documents/?uuid=70e67fdc-f282-474a-bafc-6f3023cd2308" ] }, { "id" : "ITEM-5", "itemData" : { "DOI" : "10.1097/01.sla.0000216771.81362.6b", "ISSN" : "0003-4932", "PMID" : "16633005", "abstract" : "OBJECTIVE: To better understand the factors associated with the well-established gender difference in survival for patients with melanoma.\n\nSUMMARY BACKGROUND DATA: Gender is an important factor in patients with cutaneous melanoma. Male patients have a worse outcome when compared with females. The reasons for this difference are poorly understood.\n\nMETHODS: This prospective multi-institutional study included patients aged 18 to 70 years with melanomas &gt; or =1.0 mm Breslow thickness. Wide excision and sentinel lymph node (SLN) biopsy was performed in all patients. Clinicopathologic factors, including gender, were assessed and correlated with disease-free survival (DFS), distant disease-free survival (DDFS), and overall survival (OS).\n\nRESULTS: A total of 3324 patients were included in the covariate analyses; 1829 patients had follow-up data available and were included in the survival analyses. Median follow-up was 30 months. On univariate analysis, men (n = 1906) were more likely than women to be older than 60 years (P &lt; 0.0001), have thicker melanomas (P &lt; 0.0001), have primary tumor regression (P = 0.0054), ulceration (P &lt; 0.0001), and axial primary tumor location (P &lt; 0.0001). On multivariate analysis, age (P = 0.0002), thickness (P &lt; 0.0001), ulceration (P = 0.015), and location (P &lt; 0.0001) remained significant in the model. There was no difference in the rate of SLN metastasis between men and women (P = 0.37) on multivariate analysis. When factors affecting survival were considered, the prognosis was worse for men as validated by lower DFS (P = 0.0005), DDFS (P &lt; 0.0001), and OS (P &lt; 0.0001).\n\nCONCLUSIONS: Male gender is associated with a greater incidence of unfavorable primary tumor characteristics without an increased risk for nodal metastasis. Nonetheless, gender is an independent factor affecting survival.", "author" : [ { "dropping-particle" : "", "family" : "Scoggins", "given" : "Charles R", "non-dropping-particle" : "", "parse-names" : false, "suffix" : "" }, { "dropping-particle" : "", "family" : "Ross", "given" : "Merrick I", "non-dropping-particle" : "", "parse-names" : false, "suffix" : "" }, { "dropping-particle" : "", "family" : "Reintgen", "given" : "Douglas S", "non-dropping-particle" : "", "parse-names" : false, "suffix" : "" }, { "dropping-particle" : "", "family" : "Noyes", "given" : "R Dirk", "non-dropping-particle" : "", "parse-names" : false, "suffix" : "" }, { "dropping-particle" : "", "family" : "Goydos", "given" : "James S", "non-dropping-particle" : "", "parse-names" : false, "suffix" : "" }, { "dropping-particle" : "", "family" : "Beitsch", "given" : "Peter D", "non-dropping-particle" : "", "parse-names" : false, "suffix" : "" }, { "dropping-particle" : "", "family" : "Urist", "given" : "Marshall M", "non-dropping-particle" : "", "parse-names" : false, "suffix" : "" }, { "dropping-particle" : "", "family" : "Ariyan", "given" : "Stephan", "non-dropping-particle" : "", "parse-names" : false, "suffix" : "" }, { "dropping-particle" : "", "family" : "Sussman", "given" : "Jeffrey J", "non-dropping-particle" : "", "parse-names" : false, "suffix" : "" }, { "dropping-particle" : "", "family" : "Edwards", "given" : "Michael J", "non-dropping-particle" : "", "parse-names" : false, "suffix" : "" }, { "dropping-particle" : "", "family" : "Chagpar", "given" : "Anees B", "non-dropping-particle" : "", "parse-names" : false, "suffix" : "" }, { "dropping-particle" : "", "family" : "Martin", "given" : "Robert C G", "non-dropping-particle" : "", "parse-names" : false, "suffix" : "" }, { "dropping-particle" : "", "family" : "Stromberg", "given" : "Arnold J", "non-dropping-particle" : "", "parse-names" : false, "suffix" : "" }, { "dropping-particle" : "", "family" : "Hagendoorn", "given" : "Lee", "non-dropping-particle" : "", "parse-names" : false, "suffix" : "" }, { "dropping-particle" : "", "family" : "McMasters", "given" : "Kelly M", "non-dropping-particle" : "", "parse-names" : false, "suffix" : "" } ], "container-title" : "Annals of surgery", "id" : "ITEM-5", "issue" : "5", "issued" : { "date-parts" : [ [ "2006", "5" ] ] }, "page" : "693-8; discussion 698-700", "title" : "Gender-related differences in outcome for melanoma patients.", "type" : "article-journal", "volume" : "243" }, "uris" : [ "http://www.mendeley.com/documents/?uuid=a44a1e42-6cdd-4031-9ac9-f8aac53be754" ] } ], "mendeley" : { "formattedCitation" : "&lt;sup&gt;18,19,21,22,119&lt;/sup&gt;", "plainTextFormattedCitation" : "18,19,21,22,119", "previouslyFormattedCitation" : "&lt;sup&gt;18,19,21,22,119&lt;/sup&gt;" }, "properties" : { "noteIndex" : 0 }, "schema" : "https://github.com/citation-style-language/schema/raw/master/csl-citation.json" }</w:instrText>
      </w:r>
      <w:r w:rsidRPr="003E73CD">
        <w:rPr>
          <w:sz w:val="22"/>
          <w:szCs w:val="22"/>
        </w:rPr>
        <w:fldChar w:fldCharType="separate"/>
      </w:r>
      <w:r w:rsidR="00CE2A17" w:rsidRPr="00CE2A17">
        <w:rPr>
          <w:noProof/>
          <w:sz w:val="22"/>
          <w:szCs w:val="22"/>
          <w:vertAlign w:val="superscript"/>
        </w:rPr>
        <w:t>18,19,21,22,119</w:t>
      </w:r>
      <w:r w:rsidRPr="003E73CD">
        <w:rPr>
          <w:sz w:val="22"/>
          <w:szCs w:val="22"/>
        </w:rPr>
        <w:fldChar w:fldCharType="end"/>
      </w:r>
      <w:proofErr w:type="gramStart"/>
      <w:r w:rsidRPr="003E73CD">
        <w:rPr>
          <w:sz w:val="22"/>
          <w:szCs w:val="22"/>
        </w:rPr>
        <w:t xml:space="preserve">  These</w:t>
      </w:r>
      <w:proofErr w:type="gramEnd"/>
      <w:r w:rsidRPr="003E73CD">
        <w:rPr>
          <w:sz w:val="22"/>
          <w:szCs w:val="22"/>
        </w:rPr>
        <w:t xml:space="preserve"> include patient factors, such as age and sex, and features of the primary melanoma, such as primary tumour thickness, ulceration and mitotic rate.  Some of these characteristics can be used to predict the risk of occult nodal metastasis.</w:t>
      </w:r>
      <w:r w:rsidRPr="003E73CD">
        <w:rPr>
          <w:sz w:val="22"/>
          <w:szCs w:val="22"/>
        </w:rPr>
        <w:fldChar w:fldCharType="begin" w:fldLock="1"/>
      </w:r>
      <w:r w:rsidR="00217FAC">
        <w:rPr>
          <w:sz w:val="22"/>
          <w:szCs w:val="22"/>
        </w:rPr>
        <w:instrText>ADDIN CSL_CITATION { "citationItems" : [ { "id" : "ITEM-1", "itemData" : { "DOI" : "10.1067/msy.2001.115830", "ISSN" : "0039-6060", "PMID" : "11490343", "abstract" : "BACKGROUND: This analysis was performed to identify prognostic factors that are predictive of sentinel lymph node (SLN) metastasis in melanoma.\n\nMETHODS: Analysis was performed of a multi-institutional, prospective, randomized trial of SLN biopsy for melanoma. Eligibility criteria included age 18 to 70 years, Breslow thickness of 1.0 mm or more, and clinically negative regional lymph nodes. SLNs were evaluated by serial sectioning and immunohistochemistry for S100. Univariate chi-square and multivariate logistic regression analyses were performed to assess factors predictive of the presence of a positive SLN. Probability values of less than.05 were considered significant.\n\nRESULTS: SLNs were identified in 99.7% of patients. A total of 1058 patients were evaluated; 961 patients had complete data and were included in the statistical analysis. SLNs were positive for tumor in 208 of 961 patients (22%). Breslow thickness, Clark level, ulceration, and patient age were factors that were found to be independently predictive of the presence of SLN metastasis.\n\nCONCLUSIONS: Increasing Breslow thickness, Clark level of more than III, the presence of ulceration, and patient age of 60 years or less are the most important independent prognostic factors associated with the finding of positive SLN in patients with melanoma.", "author" : [ { "dropping-particle" : "", "family" : "McMasters", "given" : "K M", "non-dropping-particle" : "", "parse-names" : false, "suffix" : "" }, { "dropping-particle" : "", "family" : "Wong", "given" : "S L", "non-dropping-particle" : "", "parse-names" : false, "suffix" : "" }, { "dropping-particle" : "", "family" : "Edwards", "given" : "M J", "non-dropping-particle" : "", "parse-names" : false, "suffix" : "" }, { "dropping-particle" : "", "family" : "Ross", "given" : "M I", "non-dropping-particle" : "", "parse-names" : false, "suffix" : "" }, { "dropping-particle" : "", "family" : "Chao", "given" : "C", "non-dropping-particle" : "", "parse-names" : false, "suffix" : "" }, { "dropping-particle" : "", "family" : "Noyes", "given" : "R D", "non-dropping-particle" : "", "parse-names" : false, "suffix" : "" }, { "dropping-particle" : "", "family" : "Viar", "given" : "V", "non-dropping-particle" : "", "parse-names" : false, "suffix" : "" }, { "dropping-particle" : "", "family" : "Cerrito", "given" : "P B", "non-dropping-particle" : "", "parse-names" : false, "suffix" : "" }, { "dropping-particle" : "", "family" : "Reintgen", "given" : "D S", "non-dropping-particle" : "", "parse-names" : false, "suffix" : "" } ], "container-title" : "Surgery", "id" : "ITEM-1", "issue" : "2", "issued" : { "date-parts" : [ [ "2001", "8" ] ] }, "page" : "151-6", "title" : "Factors that predict the presence of sentinel lymph node metastasis in patients with melanoma.", "type" : "article-journal", "volume" : "130" }, "uris" : [ "http://www.mendeley.com/documents/?uuid=9aa133e3-7510-4a50-9717-ba347f513cea" ] }, { "id" : "ITEM-2", "itemData" : { "DOI" : "10.1002/cncr.22295", "ISSN" : "0008-543X", "PMID" : "17058288", "abstract" : "BACKGROUND: Sentinel lymph node (SLN) status is an important prognostic factor for survival for patients with primary cutaneous melanoma. To address the issue of selecting patients at high and low risk for a positive SLN, prognostic factors were sought that predict SLN involvement by examining characteristics of both the primary tumor and the patient within the context of a biological model of melanoma progression.\n\nMETHODS: The study included 682 patients with primary vertical growth phase (VGP) melanoma and no clinical evidence of metastatic disease who underwent SLN biopsy (1995-2003). Logistic regression and classification tree analyses were used to investigate the association between SLN positivity and Breslow thickness, Clark level, tumor infiltrating lymphocytes (TIL), ulceration, mitotic rate (MR), lesion site, gender, and age. RESULTS.: In all, 88 of the 682 patients had &gt; or =1 positive SLN (12.9%). In the multivariate analysis, MR, TIL, and thickness were found to be independent prognostic factors for SLN positivity. In the classification tree, four different risk groups were defined, ranging from minimal risk (2.1%) to high risk (40.4%). In lesions &lt; r =2.0 mm, MR was important in risk-stratifying patients, and in lesions &gt;2.0 mm TIL was important.\n\nCONCLUSIONS: By incorporating biologically based variables such as VGP, TIL, and MR along with thickness into a prognostic model, both patients at high risk and minimal risk for SLN positivity can be identified. If validated, this model can be used in patient management and trial design to select patients to undergo or be spared SLN biopsy.", "author" : [ { "dropping-particle" : "", "family" : "Kruper", "given" : "Laura L", "non-dropping-particle" : "", "parse-names" : false, "suffix" : "" }, { "dropping-particle" : "", "family" : "Spitz", "given" : "Francis R", "non-dropping-particle" : "", "parse-names" : false, "suffix" : "" }, { "dropping-particle" : "", "family" : "Czerniecki", "given" : "Brian J", "non-dropping-particle" : "", "parse-names" : false, "suffix" : "" }, { "dropping-particle" : "", "family" : "Fraker", "given" : "Douglas L", "non-dropping-particle" : "", "parse-names" : false, "suffix" : "" }, { "dropping-particle" : "", "family" : "Blackwood-Chirchir", "given" : "Anne", "non-dropping-particle" : "", "parse-names" : false, "suffix" : "" }, { "dropping-particle" : "", "family" : "Ming", "given" : "Michael E", "non-dropping-particle" : "", "parse-names" : false, "suffix" : "" }, { "dropping-particle" : "", "family" : "Elder", "given" : "David E", "non-dropping-particle" : "", "parse-names" : false, "suffix" : "" }, { "dropping-particle" : "", "family" : "Elenitsas", "given" : "Rosalie", "non-dropping-particle" : "", "parse-names" : false, "suffix" : "" }, { "dropping-particle" : "", "family" : "Guerry", "given" : "Dupont", "non-dropping-particle" : "", "parse-names" : false, "suffix" : "" }, { "dropping-particle" : "", "family" : "Gimotty", "given" : "Phyllis A", "non-dropping-particle" : "", "parse-names" : false, "suffix" : "" } ], "container-title" : "Cancer", "id" : "ITEM-2", "issue" : "10", "issued" : { "date-parts" : [ [ "2006", "11", "15" ] ] }, "page" : "2436-45", "title" : "Predicting sentinel node status in AJCC stage I/II primary cutaneous melanoma.", "type" : "article-journal", "volume" : "107" }, "uris" : [ "http://www.mendeley.com/documents/?uuid=b055ff9d-2d9d-47fd-a594-a14e60a0c942" ] }, { "id" : "ITEM-3", "itemData" : { "DOI" : "10.1002/cncr.22382", "ISSN" : "0008-543X", "PMID" : "17146784", "abstract" : "BACKGROUND: In addition to Breslow depth, the authors previously described how increasing mitotic rate and decreasing age predicted sentinel lymph node (SLN) metastases in patients with melanoma. The objectives of the current study were to verify those previous results and to create a prediction model for the better selection of which patients with melanoma should undergo SLN biopsy.\n\nMETHODS: The authors reviewed 1130 consecutive patients with melanoma in a prospective database who underwent successful SLN biopsy. After eliminating patients aged &lt;16 years and patients who had melanomas that measured &lt;1 mm, 910 remaining patients were reviewed for clinical and pathologic features and positive SLN status. Univariate association of patient and tumor characteristics with positive SLN status was explored by using standard logistic regression techniques, and the best multivariate model that predicted lymph node metastases was constructed by using a backward stepwise-elimination technique.\n\nRESULTS: The characteristics that were associated significantly with lymph node metastasis were angiolymphatic invasion, the absence of regression, increasing mitotic rate, satellitosis, ulceration, increasing Breslow depth, decreasing age, and location (trunk or lower extremity compared with upper extremity or head/neck). Previously reported interactions between mitotic rate and age and between Breslow depth and age were confirmed. The best multivariate model included patient age (linear), angiolymphatic invasion, the number of mitoses (linear), the interaction between patient age and the number of mitoses, Breslow depth (linear), the interaction between patient age and Breslow depth, and primary tumor location.\n\nCONCLUSIONS: Younger age, increasing mitotic rate (especially in younger patients), increasing Breslow depth (especially in older patients), angiolymphatic invasion, and trunk or lower extremity location of the primary tumor were associated with a greater likelihood of positive SLN status. The current results support the use of factors beyond Breslow depth to determine the risk of positive SLN status in patients with cutaneous melanoma.", "author" : [ { "dropping-particle" : "", "family" : "Paek", "given" : "Sandra C", "non-dropping-particle" : "", "parse-names" : false, "suffix" : "" }, { "dropping-particle" : "", "family" : "Griffith", "given" : "Kent A", "non-dropping-particle" : "", "parse-names" : false, "suffix" : "" }, { "dropping-particle" : "", "family" : "Johnson", "given" : "Timothy M", "non-dropping-particle" : "", "parse-names" : false, "suffix" : "" }, { "dropping-particle" : "", "family" : "Sondak", "given" : "Vernon K", "non-dropping-particle" : "", "parse-names" : false, "suffix" : "" }, { "dropping-particle" : "", "family" : "Wong", "given" : "Sandra L", "non-dropping-particle" : "", "parse-names" : false, "suffix" : "" }, { "dropping-particle" : "", "family" : "Chang", "given" : "Alfred E", "non-dropping-particle" : "", "parse-names" : false, "suffix" : "" }, { "dropping-particle" : "", "family" : "Cimmino", "given" : "Vincent M", "non-dropping-particle" : "", "parse-names" : false, "suffix" : "" }, { "dropping-particle" : "", "family" : "Lowe", "given" : "Lori", "non-dropping-particle" : "", "parse-names" : false, "suffix" : "" }, { "dropping-particle" : "", "family" : "Bradford", "given" : "Carol R", "non-dropping-particle" : "", "parse-names" : false, "suffix" : "" }, { "dropping-particle" : "", "family" : "Rees", "given" : "Riley S", "non-dropping-particle" : "", "parse-names" : false, "suffix" : "" }, { "dropping-particle" : "", "family" : "Sabel", "given" : "Michael S", "non-dropping-particle" : "", "parse-names" : false, "suffix" : "" } ], "container-title" : "Cancer", "id" : "ITEM-3", "issue" : "1", "issued" : { "date-parts" : [ [ "2007", "1", "1" ] ] }, "page" : "100-8", "title" : "The impact of factors beyond Breslow depth on predicting sentinel lymph node positivity in melanoma.", "type" : "article-journal", "volume" : "109" }, "uris" : [ "http://www.mendeley.com/documents/?uuid=b9bca096-022c-412a-a552-4de39797a286" ] } ], "mendeley" : { "formattedCitation" : "&lt;sup&gt;120\u2013122&lt;/sup&gt;", "plainTextFormattedCitation" : "120\u2013122", "previouslyFormattedCitation" : "&lt;sup&gt;120\u2013122&lt;/sup&gt;" }, "properties" : { "noteIndex" : 0 }, "schema" : "https://github.com/citation-style-language/schema/raw/master/csl-citation.json" }</w:instrText>
      </w:r>
      <w:r w:rsidRPr="003E73CD">
        <w:rPr>
          <w:sz w:val="22"/>
          <w:szCs w:val="22"/>
        </w:rPr>
        <w:fldChar w:fldCharType="separate"/>
      </w:r>
      <w:r w:rsidR="00CE2A17" w:rsidRPr="00CE2A17">
        <w:rPr>
          <w:noProof/>
          <w:sz w:val="22"/>
          <w:szCs w:val="22"/>
          <w:vertAlign w:val="superscript"/>
        </w:rPr>
        <w:t>120–122</w:t>
      </w:r>
      <w:r w:rsidRPr="003E73CD">
        <w:rPr>
          <w:sz w:val="22"/>
          <w:szCs w:val="22"/>
        </w:rPr>
        <w:fldChar w:fldCharType="end"/>
      </w:r>
      <w:proofErr w:type="gramStart"/>
      <w:r w:rsidRPr="003E73CD">
        <w:rPr>
          <w:sz w:val="22"/>
          <w:szCs w:val="22"/>
        </w:rPr>
        <w:t xml:space="preserve">  However</w:t>
      </w:r>
      <w:proofErr w:type="gramEnd"/>
      <w:r w:rsidRPr="003E73CD">
        <w:rPr>
          <w:sz w:val="22"/>
          <w:szCs w:val="22"/>
        </w:rPr>
        <w:t>, their sensitivity to detect occult nodal metastasis is not comparable to that of sentinel node biopsy and, once sentinel node biopsy has been performed, it is the result of this: positive or negative, that provides the most powerful prognostic information.</w:t>
      </w:r>
      <w:r w:rsidRPr="003E73CD">
        <w:rPr>
          <w:sz w:val="22"/>
          <w:szCs w:val="22"/>
        </w:rPr>
        <w:fldChar w:fldCharType="begin" w:fldLock="1"/>
      </w:r>
      <w:r w:rsidR="00217FAC">
        <w:rPr>
          <w:sz w:val="22"/>
          <w:szCs w:val="22"/>
        </w:rPr>
        <w:instrText>ADDIN CSL_CITATION { "citationItems" : [ { "id" : "ITEM-1", "itemData" : { "DOI" : "10.1200/JCO.2007.15.4179", "ISSN" : "1527-7755", "PMID" : "18606982", "abstract" : "PURPOSE: We and others have demonstrated that additional positive lymph nodes (LNs) are identified in only 8% to 33% of patients with melanoma who have positive sentinel LNs (SLNs) and undergo complete therapeutic LN dissection (cTLND). We sought to determine predictors of additional regional LN involvement in patients with positive SLNs.\n\nPATIENTS AND METHODS: Patients with clinically node-negative melanoma who underwent SLN biopsy (1991 to 2003) and had positive SLNs were identified. Clinicopathologic factors, including extent of microscopic disease within SLNs, were evaluated as potential predictors of positive non-SLNs.\n\nRESULTS: Overall, 359 (16.3%) of the 2,203 patients identified had a positive SLN. Positive non-SLNs were identified in 48 (14.0%) of the 343 patients with positive SLNs who underwent cTLND. On univariate analysis, several measures of SLN microscopic tumor burden, one versus three or more SLNs harvested, tumor thickness more than 2 mm, age older than 50 years, and Clark level higher than III were predictive of positive non-SLNs; primary tumor ulceration and number of positive SLNs had no apparent impact. On multivariable logistic regression analysis, measures of SLN microscopic tumor burden were the most significant independent predictors of positive non-SLNs; tumor thickness more than 2 mm and number of SLNs harvested also predicted additional disease. A model was developed that stratified patients according to their risk for non-SLN involvement.\n\nCONCLUSION: In melanoma patients with positive SLNs, SLN tumor burden, primary tumor thickness, and number of SLNs harvested may be useful in identifying a group at low risk for positive non-SLNs and be spared the potential morbidity of a cTLND.", "author" : [ { "dropping-particle" : "", "family" : "Gershenwald", "given" : "Jeffrey E", "non-dropping-particle" : "", "parse-names" : false, "suffix" : "" }, { "dropping-particle" : "", "family" : "Andtbacka", "given" : "Robert H I", "non-dropping-particle" : "", "parse-names" : false, "suffix" : "" }, { "dropping-particle" : "", "family" : "Prieto", "given" : "Victor G", "non-dropping-particle" : "", "parse-names" : false, "suffix" : "" }, { "dropping-particle" : "", "family" : "Johnson", "given" : "Marcella M", "non-dropping-particle" : "", "parse-names" : false, "suffix" : "" }, { "dropping-particle" : "", "family" : "Diwan", "given" : "A Hafeez", "non-dropping-particle" : "", "parse-names" : false, "suffix" : "" }, { "dropping-particle" : "", "family" : "Lee", "given" : "Jeffrey E", "non-dropping-particle" : "", "parse-names" : false, "suffix" : "" }, { "dropping-particle" : "", "family" : "Mansfield", "given" : "Paul F", "non-dropping-particle" : "", "parse-names" : false, "suffix" : "" }, { "dropping-particle" : "", "family" : "Cormier", "given" : "Janice N", "non-dropping-particle" : "", "parse-names" : false, "suffix" : "" }, { "dropping-particle" : "", "family" : "Schacherer", "given" : "Christopher W", "non-dropping-particle" : "", "parse-names" : false, "suffix" : "" }, { "dropping-particle" : "", "family" : "Ross", "given" : "Merrick I", "non-dropping-particle" : "", "parse-names" : false, "suffix" : "" } ], "container-title" : "Journal of clinical oncology : official journal of the American Society of Clinical Oncology", "id" : "ITEM-1", "issue" : "26", "issued" : { "date-parts" : [ [ "2008", "9", "10" ] ] }, "page" : "4296-303", "title" : "Microscopic tumor burden in sentinel lymph nodes predicts synchronous nonsentinel lymph node involvement in patients with melanoma.", "type" : "article-journal", "volume" : "26" }, "uris" : [ "http://www.mendeley.com/documents/?uuid=123e0a9a-4b3c-4a5f-8e41-9b53cd07a69f" ] }, { "id" : "ITEM-2", "itemData" : { "ISBN" : "0732-183X (Print)\\r0732-183X (Linking)", "ISSN" : "0732183X", "PMID" : "11504744", "abstract" : "PURPOSE: The American Joint Committee on Cancer (AJCC) recently proposed major revisions of the tumor-node-metastases (TNM) categories and stage groupings for cutaneous melanoma. Thirteen cancer centers and cancer cooperative groups contributed staging and survival data from a total of 30,450 melanoma patients from their databases in order to validate this staging proposal. PATIENTS AND METHODS: There were 17,600 melanoma patients with complete clinical, pathologic, and follow-up information. Factors predicting melanoma-specific survival rates were analyzed using the Cox proportional hazards regression model. Follow-up survival data for 5 years or longer were available for 73% of the patients. RESULTS: This analysis demonstrated that (1) in the T category, tumor thickness and ulceration were the most powerful predictors of survival, and the level of invasion had a significant impact only within the subgroup of thin (&lt; or = 1 mm) melanomas; (2) in the N category, the following three independent factors were identified: the number of metastatic nodes, whether nodal metastases were clinically occult or clinically apparent, and the presence or absence of primary tumor ulceration; and (3) in the M category, nonvisceral metastases was associated with a better survival compared with visceral metastases. A marked diversity in the natural history of pathologic stage III melanoma was demonstrated by five-fold differences in 5-year survival rates for defined subgroups. This analysis also demonstrated that large and complex data sets could be used effectively to examine prognosis and survival outcome in melanoma patients. CONCLUSION: The results of this evidence-based methodology were incorporated into the AJCC melanoma staging as described in the companion publication.", "author" : [ { "dropping-particle" : "", "family" : "Balch", "given" : "C. M.", "non-dropping-particle" : "", "parse-names" : false, "suffix" : "" }, { "dropping-particle" : "", "family" : "Soong", "given" : "S. J.", "non-dropping-particle" : "", "parse-names" : false, "suffix" : "" }, { "dropping-particle" : "", "family" : "Gershenwald", "given" : "J. E.", "non-dropping-particle" : "", "parse-names" : false, "suffix" : "" }, { "dropping-particle" : "", "family" : "Thompson", "given" : "J. F.", "non-dropping-particle" : "", "parse-names" : false, "suffix" : "" }, { "dropping-particle" : "", "family" : "Reintgen", "given" : "D. S.", "non-dropping-particle" : "", "parse-names" : false, "suffix" : "" }, { "dropping-particle" : "", "family" : "Cascinelli", "given" : "N.", "non-dropping-particle" : "", "parse-names" : false, "suffix" : "" }, { "dropping-particle" : "", "family" : "Urist", "given" : "M.", "non-dropping-particle" : "", "parse-names" : false, "suffix" : "" }, { "dropping-particle" : "", "family" : "McMasters", "given" : "K. M.", "non-dropping-particle" : "", "parse-names" : false, "suffix" : "" }, { "dropping-particle" : "", "family" : "Ross", "given" : "M. I.", "non-dropping-particle" : "", "parse-names" : false, "suffix" : "" }, { "dropping-particle" : "", "family" : "Kirkwood", "given" : "J. M.", "non-dropping-particle" : "", "parse-names" : false, "suffix" : "" }, { "dropping-particle" : "", "family" : "Atkins", "given" : "M. B.", "non-dropping-particle" : "", "parse-names" : false, "suffix" : "" }, { "dropping-particle" : "", "family" : "Thompson", "given" : "J. A.", "non-dropping-particle" : "", "parse-names" : false, "suffix" : "" }, { "dropping-particle" : "", "family" : "Coit", "given" : "D. G.", "non-dropping-particle" : "", "parse-names" : false, "suffix" : "" }, { "dropping-particle" : "", "family" : "Byrd", "given" : "D.", "non-dropping-particle" : "", "parse-names" : false, "suffix" : "" }, { "dropping-particle" : "", "family" : "Desmond", "given" : "R.", "non-dropping-particle" : "", "parse-names" : false, "suffix" : "" }, { "dropping-particle" : "", "family" : "Zhang", "given" : "Y.", "non-dropping-particle" : "", "parse-names" : false, "suffix" : "" }, { "dropping-particle" : "", "family" : "Liu", "given" : "P. Y.", "non-dropping-particle" : "", "parse-names" : false, "suffix" : "" }, { "dropping-particle" : "", "family" : "Lyman", "given" : "G. H.", "non-dropping-particle" : "", "parse-names" : false, "suffix" : "" }, { "dropping-particle" : "", "family" : "Morabito", "given" : "A.", "non-dropping-particle" : "", "parse-names" : false, "suffix" : "" } ], "container-title" : "Journal of Clinical Oncology", "id" : "ITEM-2", "issue" : "16", "issued" : { "date-parts" : [ [ "2001" ] ] }, "page" : "3622-3634", "title" : "Prognostic factors analysis of 17,600 melanoma patients: Validation of the American Joint Committee on Cancer melanoma staging system", "type" : "article-journal", "volume" : "19" }, "uris" : [ "http://www.mendeley.com/documents/?uuid=a1eeb010-de29-49d0-a0b8-a73d7424858d" ] }, { "id" : "ITEM-3", "itemData" : { "DOI" : "10.1056/NEJMoa060992", "ISSN" : "1533-4406", "PMID" : "17005948", "abstract" : "BACKGROUND: We evaluated the contribution of sentinel-node biopsy to outcomes in patients with newly diagnosed melanoma.\n\nMETHODS: Patients with a primary cutaneous melanoma were randomly assigned to wide excision and postoperative observation of regional lymph nodes with lymphadenectomy if nodal relapse occurred, or to wide excision and sentinel-node biopsy with immediate lymphadenectomy if nodal micrometastases were detected on biopsy.\n\nRESULTS: Among 1269 patients with an intermediate-thickness primary melanoma, the mean (+/-SE) estimated 5-year disease-free survival rate for the population was 78.3+/-1.6% in the biopsy group and 73.1+/-2.1% in the observation group (hazard ratio for recurrence[corrected], 0.74; 95% confidence interval [CI], 0.59 to 0.93; P=0.009). Five-year melanoma-specific survival rates were similar in the two groups (87.1+/-1.3% and 86.6+/-1.6%, respectively). In the biopsy group, the presence of metastases in the sentinel node was the most important prognostic factor; the 5-year survival rate was 72.3+/-4.6% among patients with tumor-positive sentinel nodes and 90.2+/-1.3% among those with tumor-negative sentinel nodes (hazard ratio for death, 2.48; 95% CI, 1.54 to 3.98; P&lt;0.001). The incidence of sentinel-node micrometastases was 16.0% (122 of 764 patients), and the rate of nodal relapse in the observation group was 15.6% (78 of 500 patients). The corresponding mean number of tumor-involved nodes was 1.4 in the biopsy group and 3.3 in the observation group (P&lt;0.001), indicating disease progression during observation. Among patients with nodal metastases, the 5-year survival rate was higher among those who underwent immediate lymphadenectomy than among those in whom lymphadenectomy was delayed (72.3+/-4.6% vs. 52.4+/-5.9%; hazard ratio for death, 0.51; 95% CI, 0.32 to 0.81; P=0.004).\n\nCONCLUSIONS: The staging of intermediate-thickness (1.2 to 3.5 mm) primary melanomas according to the results of sentinel-node biopsy provides important prognostic information and identifies patients with nodal metastases whose survival can be prolonged by immediate lymphadenectomy. (ClinicalTrials.gov number, NCT00275496 [ClinicalTrials.gov].).", "author" : [ { "dropping-particle" : "", "family" : "Morton", "given" : "Donald L", "non-dropping-particle" : "", "parse-names" : false, "suffix" : "" }, { "dropping-particle" : "", "family" : "Thompson", "given" : "John F", "non-dropping-particle" : "", "parse-names" : false, "suffix" : "" }, { "dropping-particle" : "", "family" : "Cochran", "given" : "Alistair J", "non-dropping-particle" : "", "parse-names" : false, "suffix" : "" }, { "dropping-particle" : "", "family" : "Mozzillo", "given" : "Nicola", "non-dropping-particle" : "", "parse-names" : false, "suffix" : "" }, { "dropping-particle" : "", "family" : "Elashoff", "given" : "Robert", "non-dropping-particle" : "", "parse-names" : false, "suffix" : "" }, { "dropping-particle" : "", "family" : "Essner", "given" : "Richard", "non-dropping-particle" : "", "parse-names" : false, "suffix" : "" }, { "dropping-particle" : "", "family" : "Nieweg", "given" : "Omgo E", "non-dropping-particle" : "", "parse-names" : false, "suffix" : "" }, { "dropping-particle" : "", "family" : "Roses", "given" : "Daniel F", "non-dropping-particle" : "", "parse-names" : false, "suffix" : "" }, { "dropping-particle" : "", "family" : "Hoekstra", "given" : "Harald J", "non-dropping-particle" : "", "parse-names" : false, "suffix" : "" }, { "dropping-particle" : "", "family" : "Karakousis", "given" : "Constantine P", "non-dropping-particle" : "", "parse-names" : false, "suffix" : "" }, { "dropping-particle" : "", "family" : "Reintgen", "given" : "Douglas S", "non-dropping-particle" : "", "parse-names" : false, "suffix" : "" }, { "dropping-particle" : "", "family" : "Coventry", "given" : "Brendon J", "non-dropping-particle" : "", "parse-names" : false, "suffix" : "" }, { "dropping-particle" : "", "family" : "Glass", "given" : "Edwin C", "non-dropping-particle" : "", "parse-names" : false, "suffix" : "" }, { "dropping-particle" : "", "family" : "Wang", "given" : "He-Jing", "non-dropping-particle" : "", "parse-names" : false, "suffix" : "" } ], "container-title" : "The New England journal of medicine", "id" : "ITEM-3", "issue" : "13", "issued" : { "date-parts" : [ [ "2006", "9", "28" ] ] }, "page" : "1307-17", "title" : "Sentinel-node biopsy or nodal observation in melanoma.", "type" : "article-journal", "volume" : "355" }, "uris" : [ "http://www.mendeley.com/documents/?uuid=67a6140a-03c4-49a0-8a19-c5ddadc66872" ] }, { "id" : "ITEM-4", "itemData" : { "DOI" : "10.1056/NEJMoa1310460", "ISSN" : "1533-4406", "PMID" : "24521106", "abstract" : "BACKGROUND: Sentinel-node biopsy, a minimally invasive procedure for regional melanoma staging, was evaluated in a phase 3 trial.\n\nMETHODS: We evaluated outcomes in 2001 patients with primary cutaneous melanomas randomly assigned to undergo wide excision and nodal observation, with lymphadenectomy for nodal relapse (observation group), or wide excision and sentinel-node biopsy, with immediate lymphadenectomy for nodal metastases detected on biopsy (biopsy group). Results No significant treatment-related difference in the 10-year melanoma-specific survival rate was seen in the overall study population (20.8% with and 79.2% without nodal metastases). Mean (\u00b1 SE) 10-year disease-free survival rates were significantly improved in the biopsy group, as compared with the observation group, among patients with intermediate-thickness melanomas, defined as 1.20 to 3.50 mm (71.3 \u00b1 1.8% vs. 64.7 \u00b1 2.3%; hazard ratio for recurrence or metastasis, 0.76; P=0.01), and those with thick melanomas, defined as &gt;3.50 mm (50.7 \u00b1 4.0% vs. 40.5 \u00b1 4.7%; hazard ratio, 0.70; P=0.03). Among patients with intermediate-thickness melanomas, the 10-year melanoma-specific survival rate was 62.1 \u00b1 4.8% among those with metastasis versus 85.1 \u00b1 1.5% for those without metastasis (hazard ratio for death from melanoma, 3.09; P&lt;0.001); among patients with thick melanomas, the respective rates were 48.0 \u00b1 7.0% and 64.6 \u00b1 4.9% (hazard ratio, 1.75; P=0.03). Biopsy-based management improved the 10-year rate of distant disease-free survival (hazard ratio for distant metastasis, 0.62; P=0.02) and the 10-year rate of melanoma-specific survival (hazard ratio for death from melanoma, 0.56; P=0.006) for patients with intermediate-thickness melanomas and nodal metastases. Accelerated-failure-time latent-subgroup analysis was performed to account for the fact that nodal status was initially known only in the biopsy group, and a significant treatment benefit persisted.\n\nCONCLUSIONS: Biopsy-based staging of intermediate-thickness or thick primary melanomas provides important prognostic information and identifies patients with nodal metastases who may benefit from immediate complete lymphadenectomy. Biopsy-based management prolongs disease-free survival for all patients and prolongs distant disease-free survival and melanoma-specific survival for patients with nodal metastases from intermediate-thickness melanomas. (Funded by the National Cancer Institute, National Institutes of Health, and the Australia a\u2026", "author" : [ { "dropping-particle" : "", "family" : "Morton", "given" : "Donald L", "non-dropping-particle" : "", "parse-names" : false, "suffix" : "" }, { "dropping-particle" : "", "family" : "Thompson", "given" : "John F", "non-dropping-particle" : "", "parse-names" : false, "suffix" : "" }, { "dropping-particle" : "", "family" : "Cochran", "given" : "Alistair J", "non-dropping-particle" : "", "parse-names" : false, "suffix" : "" }, { "dropping-particle" : "", "family" : "Mozzillo", "given" : "Nicola", "non-dropping-particle" : "", "parse-names" : false, "suffix" : "" }, { "dropping-particle" : "", "family" : "Nieweg", "given" : "Omgo E", "non-dropping-particle" : "", "parse-names" : false, "suffix" : "" }, { "dropping-particle" : "", "family" : "Roses", "given" : "Daniel F", "non-dropping-particle" : "", "parse-names" : false, "suffix" : "" }, { "dropping-particle" : "", "family" : "Hoekstra", "given" : "Harold J", "non-dropping-particle" : "", "parse-names" : false, "suffix" : "" }, { "dropping-particle" : "", "family" : "Karakousis", "given" : "Constantine P", "non-dropping-particle" : "", "parse-names" : false, "suffix" : "" }, { "dropping-particle" : "", "family" : "Puleo", "given" : "Christopher A", "non-dropping-particle" : "", "parse-names" : false, "suffix" : "" }, { "dropping-particle" : "", "family" : "Coventry", "given" : "Brendon J", "non-dropping-particle" : "", "parse-names" : false, "suffix" : "" }, { "dropping-particle" : "", "family" : "Kashani-Sabet", "given" : "Mohammed", "non-dropping-particle" : "", "parse-names" : false, "suffix" : "" }, { "dropping-particle" : "", "family" : "Smithers", "given" : "B Mark", "non-dropping-particle" : "", "parse-names" : false, "suffix" : "" }, { "dropping-particle" : "", "family" : "Paul", "given" : "Eberhard", "non-dropping-particle" : "", "parse-names" : false, "suffix" : "" }, { "dropping-particle" : "", "family" : "Kraybill", "given" : "William G", "non-dropping-particle" : "", "parse-names" : false, "suffix" : "" }, { "dropping-particle" : "", "family" : "McKinnon", "given" : "J Gregory", "non-dropping-particle" : "", "parse-names" : false, "suffix" : "" }, { "dropping-particle" : "", "family" : "Wang", "given" : "He-Jing", "non-dropping-particle" : "", "parse-names" : false, "suffix" : "" }, { "dropping-particle" : "", "family" : "Elashoff", "given" : "Robert", "non-dropping-particle" : "", "parse-names" : false, "suffix" : "" }, { "dropping-particle" : "", "family" : "Faries", "given" : "Mark B", "non-dropping-particle" : "", "parse-names" : false, "suffix" : "" } ], "container-title" : "The New England journal of medicine", "id" : "ITEM-4", "issue" : "7", "issued" : { "date-parts" : [ [ "2014", "2", "13" ] ] }, "page" : "599-609", "title" : "Final trial report of sentinel-node biopsy versus nodal observation in melanoma.", "type" : "article-journal", "volume" : "370" }, "uris" : [ "http://www.mendeley.com/documents/?uuid=0154af1a-a1d9-42e8-9d9e-a8830777181a" ] } ], "mendeley" : { "formattedCitation" : "&lt;sup&gt;22,123\u2013125&lt;/sup&gt;", "plainTextFormattedCitation" : "22,123\u2013125", "previouslyFormattedCitation" : "&lt;sup&gt;22,123\u2013125&lt;/sup&gt;" }, "properties" : { "noteIndex" : 0 }, "schema" : "https://github.com/citation-style-language/schema/raw/master/csl-citation.json" }</w:instrText>
      </w:r>
      <w:r w:rsidRPr="003E73CD">
        <w:rPr>
          <w:sz w:val="22"/>
          <w:szCs w:val="22"/>
        </w:rPr>
        <w:fldChar w:fldCharType="separate"/>
      </w:r>
      <w:r w:rsidR="00CE2A17" w:rsidRPr="00CE2A17">
        <w:rPr>
          <w:noProof/>
          <w:sz w:val="22"/>
          <w:szCs w:val="22"/>
          <w:vertAlign w:val="superscript"/>
        </w:rPr>
        <w:t>22,123–125</w:t>
      </w:r>
      <w:r w:rsidRPr="003E73CD">
        <w:rPr>
          <w:sz w:val="22"/>
          <w:szCs w:val="22"/>
        </w:rPr>
        <w:fldChar w:fldCharType="end"/>
      </w:r>
      <w:proofErr w:type="gramStart"/>
      <w:r w:rsidRPr="003E73CD">
        <w:rPr>
          <w:sz w:val="22"/>
          <w:szCs w:val="22"/>
        </w:rPr>
        <w:t xml:space="preserve">  The</w:t>
      </w:r>
      <w:proofErr w:type="gramEnd"/>
      <w:r w:rsidRPr="003E73CD">
        <w:rPr>
          <w:sz w:val="22"/>
          <w:szCs w:val="22"/>
        </w:rPr>
        <w:t xml:space="preserve"> rate of sentinel node positivity has varied from 9% to 33.8% and is influenced </w:t>
      </w:r>
      <w:r w:rsidR="00C50385" w:rsidRPr="003E73CD">
        <w:rPr>
          <w:sz w:val="22"/>
          <w:szCs w:val="22"/>
        </w:rPr>
        <w:t>by the technique used to localis</w:t>
      </w:r>
      <w:r w:rsidRPr="003E73CD">
        <w:rPr>
          <w:sz w:val="22"/>
          <w:szCs w:val="22"/>
        </w:rPr>
        <w:t>e the sentinel nodes and by the methods used to examine the nodes for metastatic melanoma cells.</w:t>
      </w:r>
      <w:r w:rsidRPr="003E73CD">
        <w:rPr>
          <w:sz w:val="22"/>
          <w:szCs w:val="22"/>
        </w:rPr>
        <w:fldChar w:fldCharType="begin" w:fldLock="1"/>
      </w:r>
      <w:r w:rsidR="00217FAC">
        <w:rPr>
          <w:sz w:val="22"/>
          <w:szCs w:val="22"/>
        </w:rPr>
        <w:instrText>ADDIN CSL_CITATION { "citationItems" : [ { "id" : "ITEM-1", "itemData" : { "DOI" : "10.1002/path.1365", "ISSN" : "0022-3417", "PMID" : "12845627", "abstract" : "1158 sentinel lymph nodes (SLNs), excised from patients with primary cutaneous melanoma, were assessed pathologically using histology with immunohistochemistry (IHC) on all nodes, and RT-PCR for Mart-1 and tyrosinase on 55 nodes. RT-PCR was compared with the histology and IHC assessed on the same nodes. The evaluation of progressively more detailed protocols for histology and IHC modulated by the RT-PCR results led to a procedure that consistently detects metastases in 34% of patients submitted to SLN biopsy for cutaneous melanomas with a vertical growth phase and a mean thickness of 2.02 mm (range 0.25, with regression, to 19 mm). As this technique is virtually free of false positives and produces only a marginally lower detection rate than RT-PCR, which was subject to false positives of 7% in our study, it is suggested that this extended protocol should be the basis on which further evaluation of the place of RT-PCR in SLN assessment takes place. The evolved protocol described here has been adopted by the EORTC as the standard procedure for pathological handling of sentinel lymph nodes for melanoma when SLN status is a criterion in their clinical trials or studies.", "author" : [ { "dropping-particle" : "", "family" : "Cook", "given" : "Martin G", "non-dropping-particle" : "", "parse-names" : false, "suffix" : "" }, { "dropping-particle" : "", "family" : "Green", "given" : "Margaret A", "non-dropping-particle" : "", "parse-names" : false, "suffix" : "" }, { "dropping-particle" : "", "family" : "Anderson", "given" : "Brian", "non-dropping-particle" : "", "parse-names" : false, "suffix" : "" }, { "dropping-particle" : "", "family" : "Eggermont", "given" : "Alexander M M", "non-dropping-particle" : "", "parse-names" : false, "suffix" : "" }, { "dropping-particle" : "", "family" : "Ruiter", "given" : "Dirk J", "non-dropping-particle" : "", "parse-names" : false, "suffix" : "" }, { "dropping-particle" : "", "family" : "Spatz", "given" : "Alain", "non-dropping-particle" : "", "parse-names" : false, "suffix" : "" }, { "dropping-particle" : "", "family" : "Kissin", "given" : "Mark W", "non-dropping-particle" : "", "parse-names" : false, "suffix" : "" }, { "dropping-particle" : "", "family" : "Powell", "given" : "Barry W E M", "non-dropping-particle" : "", "parse-names" : false, "suffix" : "" } ], "container-title" : "The Journal of pathology", "id" : "ITEM-1", "issue" : "3", "issued" : { "date-parts" : [ [ "2003", "7" ] ] }, "page" : "314-9", "title" : "The development of optimal pathological assessment of sentinel lymph nodes for melanoma.", "type" : "article-journal", "volume" : "200" }, "uris" : [ "http://www.mendeley.com/documents/?uuid=7069b6b9-8cb0-451d-82d5-0cf0af412717" ] }, { "id" : "ITEM-2", "itemData" : { "ISSN" : "0002-9610", "PMID" : "9926787", "abstract" : "BACKGROUND: The most powerful predictor of survival for patients with melanoma is the status of the regional lymph nodes. Sentinel lymph node biopsy may provide improved staging accuracy without the morbidity of elective lymph node dissection (ELND).\n\nMETHODS: Sixty-eight patients with intermediate thickness melanoma underwent gamma probe guided sentinel node biopsy without ELND and were followed up over a mean of 22 months.\n\nRESULTS: A sentinel node was found in all patients. Six patients (9%) had positive sentinel nodes; all underwent complete lymphadenectomy. Two patients (3%) with negative sentinel nodes developed nodal recurrence; 1 of these patients was found to have microscopic disease on reexamination of the sentinel node. Two patients (3%) developed systemic disease.\n\nCONCLUSION: Gamma probe guided sentinel node biopsy can be performed with a high rate of technical success. It provides accurate pathological staging with a low incidence of nodal basin failure.", "author" : [ { "dropping-particle" : "", "family" : "Gogel", "given" : "B M", "non-dropping-particle" : "", "parse-names" : false, "suffix" : "" }, { "dropping-particle" : "", "family" : "Kuhn", "given" : "J A", "non-dropping-particle" : "", "parse-names" : false, "suffix" : "" }, { "dropping-particle" : "", "family" : "Ferry", "given" : "K M", "non-dropping-particle" : "", "parse-names" : false, "suffix" : "" }, { "dropping-particle" : "", "family" : "Fisher", "given" : "T L", "non-dropping-particle" : "", "parse-names" : false, "suffix" : "" }, { "dropping-particle" : "", "family" : "Preskitt", "given" : "J T", "non-dropping-particle" : "", "parse-names" : false, "suffix" : "" }, { "dropping-particle" : "", "family" : "O'Brien", "given" : "J C", "non-dropping-particle" : "", "parse-names" : false, "suffix" : "" }, { "dropping-particle" : "", "family" : "Lieberman", "given" : "Z H", "non-dropping-particle" : "", "parse-names" : false, "suffix" : "" }, { "dropping-particle" : "", "family" : "Stephens", "given" : "J S", "non-dropping-particle" : "", "parse-names" : false, "suffix" : "" }, { "dropping-particle" : "", "family" : "Krag", "given" : "D N", "non-dropping-particle" : "", "parse-names" : false, "suffix" : "" } ], "container-title" : "American journal of surgery", "id" : "ITEM-2", "issue" : "6", "issued" : { "date-parts" : [ [ "1998", "12" ] ] }, "page" : "544-7", "title" : "Sentinel lymph node biopsy for melanoma.", "type" : "article-journal", "volume" : "176" }, "uris" : [ "http://www.mendeley.com/documents/?uuid=97348bb1-6539-4ffc-b94f-a09edcef351a" ] } ], "mendeley" : { "formattedCitation" : "&lt;sup&gt;126,127&lt;/sup&gt;", "plainTextFormattedCitation" : "126,127", "previouslyFormattedCitation" : "&lt;sup&gt;126,127&lt;/sup&gt;" }, "properties" : { "noteIndex" : 0 }, "schema" : "https://github.com/citation-style-language/schema/raw/master/csl-citation.json" }</w:instrText>
      </w:r>
      <w:r w:rsidRPr="003E73CD">
        <w:rPr>
          <w:sz w:val="22"/>
          <w:szCs w:val="22"/>
        </w:rPr>
        <w:fldChar w:fldCharType="separate"/>
      </w:r>
      <w:r w:rsidR="00CE2A17" w:rsidRPr="00CE2A17">
        <w:rPr>
          <w:noProof/>
          <w:sz w:val="22"/>
          <w:szCs w:val="22"/>
          <w:vertAlign w:val="superscript"/>
        </w:rPr>
        <w:t>126,127</w:t>
      </w:r>
      <w:r w:rsidRPr="003E73CD">
        <w:rPr>
          <w:sz w:val="22"/>
          <w:szCs w:val="22"/>
        </w:rPr>
        <w:fldChar w:fldCharType="end"/>
      </w:r>
      <w:proofErr w:type="gramStart"/>
      <w:r w:rsidRPr="003E73CD">
        <w:rPr>
          <w:sz w:val="22"/>
          <w:szCs w:val="22"/>
        </w:rPr>
        <w:t xml:space="preserve">  However</w:t>
      </w:r>
      <w:proofErr w:type="gramEnd"/>
      <w:r w:rsidRPr="003E73CD">
        <w:rPr>
          <w:sz w:val="22"/>
          <w:szCs w:val="22"/>
        </w:rPr>
        <w:t>, a rate of sentinel node positivity between 16% and 22% is typical.</w:t>
      </w:r>
      <w:r w:rsidRPr="003E73CD">
        <w:rPr>
          <w:sz w:val="22"/>
          <w:szCs w:val="22"/>
        </w:rPr>
        <w:fldChar w:fldCharType="begin" w:fldLock="1"/>
      </w:r>
      <w:r w:rsidR="005676A9">
        <w:rPr>
          <w:sz w:val="22"/>
          <w:szCs w:val="22"/>
        </w:rPr>
        <w:instrText>ADDIN CSL_CITATION { "citationItems" : [ { "id" : "ITEM-1", "itemData" : { "ISSN" : "0004-0010", "PMID" : "1558490", "abstract" : "The initial route of metastases in most patients with melanoma is via the lymphatics to the regional nodes. However, routine lymphadenectomy for patients with clinical stage I melanoma remains controversial because most of these patients do not have nodal metastases, are unlikely to benefit from the operation, and may suffer troublesome postoperative edema of the limbs. A new procedure was developed using vital dyes that permits intraoperative identification of the sentinel lymph node, the lymph node nearest the site of the primary melanoma, on the direct drainage pathway. The most likely site of early metastases, the sentinel node can be removed for immediate intraoperative study to identify clinically occult melanoma cells. We successfully identified the sentinel node(s) in 194 of 237 lymphatic basins and detected metastases in 40 specimens (21%) on examination of routine hematoxylin-eosin-stained slides (12%) or exclusively in immunohistochemically stained preparations (9%). Metastases were present in 47 (18%) of 259 sentinel nodes, while nonsentinel nodes were the sole site of metastasis in only two of 3079 nodes from 194 lymphadenectomy specimens that had an identifiable sentinel node, a false-negative rate of less than 1%. Thus, this technique identifies, with a high degree of accuracy, patients with early stage melanoma who have nodal metastases and are likely to benefit from radical lymphadenectomy.", "author" : [ { "dropping-particle" : "", "family" : "Morton", "given" : "D L", "non-dropping-particle" : "", "parse-names" : false, "suffix" : "" }, { "dropping-particle" : "", "family" : "Wen", "given" : "D R", "non-dropping-particle" : "", "parse-names" : false, "suffix" : "" }, { "dropping-particle" : "", "family" : "Wong", "given" : "J H", "non-dropping-particle" : "", "parse-names" : false, "suffix" : "" }, { "dropping-particle" : "", "family" : "Economou", "given" : "J S", "non-dropping-particle" : "", "parse-names" : false, "suffix" : "" }, { "dropping-particle" : "", "family" : "Cagle", "given" : "L A", "non-dropping-particle" : "", "parse-names" : false, "suffix" : "" }, { "dropping-particle" : "", "family" : "Storm", "given" : "F K", "non-dropping-particle" : "", "parse-names" : false, "suffix" : "" }, { "dropping-particle" : "", "family" : "Foshag", "given" : "L J", "non-dropping-particle" : "", "parse-names" : false, "suffix" : "" }, { "dropping-particle" : "", "family" : "Cochran", "given" : "A J", "non-dropping-particle" : "", "parse-names" : false, "suffix" : "" } ], "container-title" : "Archives of surgery (Chicago, Ill. : 1960)", "id" : "ITEM-1", "issue" : "4", "issued" : { "date-parts" : [ [ "1992", "4" ] ] }, "page" : "392-9", "title" : "Technical details of intraoperative lymphatic mapping for early stage melanoma.", "type" : "article-journal", "volume" : "127" }, "uris" : [ "http://www.mendeley.com/documents/?uuid=7401ee58-b336-4659-b9d3-95737609b89d" ] }, { "id" : "ITEM-2", "itemData" : { "ISSN" : "0161-5505", "PMID" : "16455628", "abstract" : "UNLABELLED: An observational multicentric Italian trial on sentinel node biopsy (SNB) in melanoma patients was performed to diffuse a common SNB protocol nationwide (Italy). We report herein the results of this trial. The influence of some technical aspects on the outcome of SNB was also investigated, because a certain degree of variability was accepted in performing lymphoscintigraphy.\n\nMETHODS: From January 2000 to December 2002, 1,313 consecutive patients with primary cutaneous melanoma (Breslow thickness, &gt;1.0 mm or &lt;1.0 mm but with ulceration, Clark level IV-V, presence of regression) were enrolled by 23 centers. One half to 1 mL of 99mTc-labeled human albumin colloid, at a suggested dosage of 5-15 or 30-70 MBq, was injected intradermally, closely around the scar, the same day or the day before SNB. Intraoperatively, Patent blue was associated when a definitive wide excision of the primary was required. A positive sentinel node (SN) was defined when containing melanoma cells detected by either hematoxylin-eosin or immunohistochemistry (S100 and HMB45 antibodies). All patients underwent regular follow-up. False-negative cases were considered when lymph node metastases occurred in the same lymphatic basin of SN biopsy (SNB) during follow-up. A quality control program has been performed for the surgical procedure and for the histologic diagnosis.\n\nRESULTS: The SN identification rate was 99.3%. The axilla was the site of the SN in 52.5% of the cases. The mean number of SNs was 2.0 (range, 1-17) and only 1 node was removed in 45.4%. The positivity and false-negative rates were 16.9% and 14.7%, respectively (median follow-up, 31 mo). On multivariate analysis (logistic and linear regression) only the number of peritumor injections was inversely associated with the number of excised SNs (P = 0.002), whereas none of the technical variables showed an independent impact on SN status when Breslow thickness was included as a control variable.\n\nCONCLUSION: The number of peritumor injections seems to influence the outcome of lymphoscintigrapy in melanoma patients undergoing SNB. If these results are confirmed in a controlled trial, 3 injections at least should be recommended.", "author" : [ { "dropping-particle" : "", "family" : "Rossi", "given" : "Carlo Riccardo", "non-dropping-particle" : "", "parse-names" : false, "suffix" : "" }, { "dropping-particle" : "", "family" : "Salvo", "given" : "Gian Luca", "non-dropping-particle" : "De", "parse-names" : false, "suffix" : "" }, { "dropping-particle" : "", "family" : "Trifir\u00f2", "given" : "Giuseppe", "non-dropping-particle" : "", "parse-names" : false, "suffix" : "" }, { "dropping-particle" : "", "family" : "Mocellin", "given" : "Simone", "non-dropping-particle" : "", "parse-names" : false, "suffix" : "" }, { "dropping-particle" : "", "family" : "Landi", "given" : "Giorgio", "non-dropping-particle" : "", "parse-names" : false, "suffix" : "" }, { "dropping-particle" : "", "family" : "Macrip\u00f2", "given" : "Giuseppe", "non-dropping-particle" : "", "parse-names" : false, "suffix" : "" }, { "dropping-particle" : "", "family" : "Carcoforo", "given" : "Paolo", "non-dropping-particle" : "", "parse-names" : false, "suffix" : "" }, { "dropping-particle" : "", "family" : "Ricotti", "given" : "Giuseppe", "non-dropping-particle" : "", "parse-names" : false, "suffix" : "" }, { "dropping-particle" : "", "family" : "Giudice", "given" : "Giuseppe", "non-dropping-particle" : "", "parse-names" : false, "suffix" : "" }, { "dropping-particle" : "", "family" : "Picciotto", "given" : "Franco", "non-dropping-particle" : "", "parse-names" : false, "suffix" : "" }, { "dropping-particle" : "", "family" : "Donner", "given" : "Davide", "non-dropping-particle" : "", "parse-names" : false, "suffix" : "" }, { "dropping-particle" : "", "family" : "Filippo", "given" : "Franco", "non-dropping-particle" : "Di", "parse-names" : false, "suffix" : "" }, { "dropping-particle" : "", "family" : "Montesco", "given" : "Maria Cristina", "non-dropping-particle" : "", "parse-names" : false, "suffix" : "" }, { "dropping-particle" : "", "family" : "Casara", "given" : "Dario", "non-dropping-particle" : "", "parse-names" : false, "suffix" : "" }, { "dropping-particle" : "", "family" : "Schiavon", "given" : "Mauro", "non-dropping-particle" : "", "parse-names" : false, "suffix" : "" }, { "dropping-particle" : "", "family" : "Foletto", "given" : "Mirto", "non-dropping-particle" : "", "parse-names" : false, "suffix" : "" }, { "dropping-particle" : "", "family" : "Baldini", "given" : "Federica", "non-dropping-particle" : "", "parse-names" : false, "suffix" : "" }, { "dropping-particle" : "", "family" : "Testori", "given" : "Alessandro", "non-dropping-particle" : "", "parse-names" : false, "suffix" : "" } ], "container-title" : "Journal of nuclear medicine : official publication, Society of Nuclear Medicine", "id" : "ITEM-2", "issue" : "2", "issued" : { "date-parts" : [ [ "2006", "2" ] ] }, "page" : "234-41", "title" : "The impact of lymphoscintigraphy technique on the outcome of sentinel node biopsy in 1,313 patients with cutaneous melanoma: an Italian Multicentric Study (SOLISM-IMI).", "type" : "article-journal", "volume" : "47" }, "uris" : [ "http://www.mendeley.com/documents/?uuid=bfbd9b14-bdef-4aa8-9492-8e58eb8d3469" ] }, { "id" : "ITEM-3", "itemData" : { "ISSN" : "1068-9265", "PMID" : "12839854", "abstract" : "BACKGROUND: The aim of this study was to evaluate the results of sentinel node biopsy in cutaneous melanoma at our institute.\n\nMETHODS: A total of 250 patients with cutaneous melanoma were studied prospectively. Preoperative lymphoscintigraphy was performed after injection of (99m)Tc-nanocolloid intradermally around the primary tumor or biopsy site (.32 mL, 65.5 MBq [1.8 mCi]). The sentinel node was surgically identified with the aid of patent blue dye and a gamma ray detection probe. The median follow-up was 72 months.\n\nRESULTS: Lymphoscintigraphic visualization was 100%, and surgical identification was 99.6%. In 60 patients (24%), 1 or more sentinel nodes were tumor positive at initial pathology evaluation. Late complications after sentinel node biopsy of the remaining 190 patients were seen in 35 patients (18%). The false-negative rate was 9%. In-transit metastases were seen in 7% of sentinel node-negative and 23% of sentinel node-positive patients. The estimated 5-year overall survival rates were 89% and 64%, respectively (P &lt;.001).\n\nCONCLUSIONS: This study confirms that the status of the sentinel node is a strong independent prognostic factor. The false-negative rate and the incidence of in-transit metastases in sentinel node-positive patients are high and have to be weighed against the possible survival benefit of early removal of nodal metastases.", "author" : [ { "dropping-particle" : "", "family" : "Estourgie", "given" : "Susanne H", "non-dropping-particle" : "", "parse-names" : false, "suffix" : "" }, { "dropping-particle" : "", "family" : "Nieweg", "given" : "Omgo E", "non-dropping-particle" : "", "parse-names" : false, "suffix" : "" }, { "dropping-particle" : "", "family" : "Vald\u00e9s Olmos", "given" : "Renato A", "non-dropping-particle" : "", "parse-names" : false, "suffix" : "" }, { "dropping-particle" : "", "family" : "Hoefnagel", "given" : "Cornelis A", "non-dropping-particle" : "", "parse-names" : false, "suffix" : "" }, { "dropping-particle" : "", "family" : "Kroon", "given" : "Bin B R", "non-dropping-particle" : "", "parse-names" : false, "suffix" : "" } ], "container-title" : "Annals of surgical oncology", "id" : "ITEM-3", "issue" : "6", "issued" : { "date-parts" : [ [ "2003", "7" ] ] }, "page" : "681-8", "title" : "Review and evaluation of sentinel node procedures in 250 melanoma patients with a median follow-up of 6 years.", "type" : "article-journal", "volume" : "10" }, "uris" : [ "http://www.mendeley.com/documents/?uuid=0c3bd8f2-271c-4230-9010-0e6019ced1fb" ] }, { "id" : "ITEM-4", "itemData" : { "ISSN" : "1068-9265", "PMID" : "10894144", "abstract" : "BACKGROUND: We report the experience of the World Health Organization (WHO) Melanoma Program concerning sentinel lymph node (SLN) biopsy for detecting patients with occult regional nodal metastases to submit to selective regional node dissection. METHODS: From February 1994 to August 1998, in 12 centers of the WHO Melanoma Program, 892 SLN biopsies were performed in 829 patients with clinical stage I melanoma (male: 370; female: 459; median age: 50 years old). The location of the primary melanoma was acascus follows: trunk 35%; lower limbs, 45%; upper limbs, 18%; and head and neck, 2%. Blue dye injection for SLN identification was performed in all cases; preoperative lymphoscintigraphy was done in 440 patients, and an intra-operative probe for a radio-guided biopsy was used in 141 cases. Overall, the SLN identification rate was 88%. In 68% of the patients, only one SLN was identified, whereas two and three or more SLN were detected in 24% and 8% of the remaining cases, respectively. RESULTS: Overall SLN positivity rate was 18%. Intra-operative frozen section examination was performed in 39% of the cases and was helpful in detecting occult localizations only in 47% of the positive SLNs. Distribution of positive cases by primary thickness was as follows: &lt; 1mm: 2%; 1-1.99 mm: 7%; 2-2.99 mm: 13%; and &gt; or = 3 mm: 31%. Positive nonsentinel lymph nodes were found in 22% of cases with positive SLN submitted for selective dissection. No complications due to the procedure were registered. Of 710 patients who were evaluated, 40 (6%) presented a regional nodal relapse after a negative SLN biopsy and underwent a delayed therapeutic dissection. From the 710 enrolled cases, 638 (88.5%) were alive without evidence of disease at the time of this writing. A multivariate analysis showed SLN status as one of the most significant prognostic factors (P = .000) along with thickness (P = .001) and ulceration (P = .015) of primary tumor. CONCLUSIONS: These data confirm the feasibility and safety of the SLN technique for selecting patients to submit to a radical node dissection. The data represent the basis for a future trial by the WHO Melanoma Program in this field to evaluate the most appropriate surgical approach for treating patients with occult regional nodal metastases.", "author" : [ { "dropping-particle" : "", "family" : "Cascinelli", "given" : "N", "non-dropping-particle" : "", "parse-names" : false, "suffix" : "" }, { "dropping-particle" : "", "family" : "Belli", "given" : "F", "non-dropping-particle" : "", "parse-names" : false, "suffix" : "" }, { "dropping-particle" : "", "family" : "Santinami", "given" : "M", "non-dropping-particle" : "", "parse-names" : false, "suffix" : "" }, { "dropping-particle" : "", "family" : "Fait", "given" : "V", "non-dropping-particle" : "", "parse-names" : false, "suffix" : "" }, { "dropping-particle" : "", "family" : "Testori", "given" : "A", "non-dropping-particle" : "", "parse-names" : false, "suffix" : "" }, { "dropping-particle" : "", "family" : "Ruka", "given" : "W", "non-dropping-particle" : "", "parse-names" : false, "suffix" : "" }, { "dropping-particle" : "", "family" : "Cavaliere", "given" : "R", "non-dropping-particle" : "", "parse-names" : false, "suffix" : "" }, { "dropping-particle" : "", "family" : "Mozzillo", "given" : "N", "non-dropping-particle" : "", "parse-names" : false, "suffix" : "" }, { "dropping-particle" : "", "family" : "Rossi", "given" : "C R", "non-dropping-particle" : "", "parse-names" : false, "suffix" : "" }, { "dropping-particle" : "", "family" : "MacKie", "given" : "R M", "non-dropping-particle" : "", "parse-names" : false, "suffix" : "" }, { "dropping-particle" : "", "family" : "Nieweg", "given" : "O", "non-dropping-particle" : "", "parse-names" : false, "suffix" : "" }, { "dropping-particle" : "", "family" : "Pace", "given" : "M", "non-dropping-particle" : "", "parse-names" : false, "suffix" : "" }, { "dropping-particle" : "", "family" : "Kirov", "given" : "K", "non-dropping-particle" : "", "parse-names" : false, "suffix" : "" } ], "container-title" : "Annals of surgical oncology", "id" : "ITEM-4", "issue" : "6", "issued" : { "date-parts" : [ [ "2000", "7" ] ] }, "page" : "469-74", "title" : "Sentinel lymph node biopsy in cutaneous melanoma: the WHO Melanoma Program experience.", "type" : "article-journal", "volume" : "7" }, "uris" : [ "http://www.mendeley.com/documents/?uuid=4e04293f-feb8-4152-86eb-68b9040c725e" ] }, { "id" : "ITEM-5", "itemData" : { "DOI" : "10.1097/01.cmr.0000056207.78713.8b", "ISSN" : "0960-8931", "PMID" : "12569283", "abstract" : "The purpose of this prospective study of sentinel lymph node (SLN) biopsy in a large series of melanoma patients with clinically negative regional lymph nodes from one cancer centre was to analyse the reliability of the procedure, the pattern of failures during follow-up and the factors affecting the clinical outcome of patients. Between April 1995 and November 2001, 726 consecutive patients with primary cutaneous malignant melanoma underwent SLN biopsy with preoperative lymphoscintigraphy. The vital blue dye technique was used in 170 patients, and the blue dye technique combined with intraoperative lymphoscintigrapahy in 556 patients. The primary melanoma sites were head and neck in nine patients, the extremities in 419 patients, and the trunk in 298 patients. The median Breslow thickness was 3.0 mm. All patients were followed closely, the median follow-up time being 34 months. The sentinel node(s) were successfully identified in 96% of patients. Intraoperative lymphoscintigraphy combined with the blue dye technique improved the SLN identification rate (technical success in 97.3% of cases) compared with the blue dye technique alone (technical success in 91.6%). The rate of failed SLN procedures was significantly (P = 0.007) lower in inguinal basins (3.1%) compared with axillary basins (7.9%). SLN metastases were detected in 147 patients (20.2%). The presence of SLN metastases correlated significantly with primary tumour thickness and ulceration (P &lt; 0.001). The false-negative SLN biopsy rate was 4.66% (27 out of 579 SLN-negative patients). All but two node-positive patients underwent complete lymphadenectomy. Lymph nodes other than SLNs were found to contain metastases in 26.9% of patients (39 out of 145). The 5 year overall survival (OS) rate was 84% for SLN-negative patients and 40% for SLN-positive patients. Five variables showed a strong, statistically significant negative independent prognostic association with OS: positive SLN status (P = 0.000001), primary melanoma thickness &gt; 4 mm (P = 0.0009), male gender (P = 0.001), more than one lymph node involvement (P = 0.02) and lymph node extracapsular extension (P = 0.03). SLN biopsy is currently a valuable and effective diagnostic procedure for the precise staging of patients with clinically N0 cutaneous melanoma. So far SLN biopsy seems to be the only accessible method for consciously oriented detection of nodal micrometastases in melanoma that would otherwise go undetected. SLN status is the most i\u2026", "author" : [ { "dropping-particle" : "", "family" : "Nowecki", "given" : "Zbigniew I", "non-dropping-particle" : "", "parse-names" : false, "suffix" : "" }, { "dropping-particle" : "", "family" : "Rutkowski", "given" : "Piotr", "non-dropping-particle" : "", "parse-names" : false, "suffix" : "" }, { "dropping-particle" : "", "family" : "Nasierowska-Guttmejer", "given" : "Anna", "non-dropping-particle" : "", "parse-names" : false, "suffix" : "" }, { "dropping-particle" : "", "family" : "Ruka", "given" : "Wlodzimierz", "non-dropping-particle" : "", "parse-names" : false, "suffix" : "" } ], "container-title" : "Melanoma research", "id" : "ITEM-5", "issue" : "1", "issued" : { "date-parts" : [ [ "2003", "2" ] ] }, "page" : "35-43", "title" : "Sentinel lymph node biopsy in melanoma patients with clinically negative regional lymph nodes--one institution's experience.", "type" : "article-journal", "volume" : "13" }, "uris" : [ "http://www.mendeley.com/documents/?uuid=cead276a-9106-48f9-9711-95d950d5803c" ] }, { "id" : "ITEM-6", "itemData" : { "ISSN" : "0926-9959", "PMID" : "10877250", "abstract" : "BACKGROUND: The role of elective lymph node dissection in the treatment of patients with primary melanoma is a debated topic in surgical oncology. However, recent data assure a survival improvement with this technique only for patients harbouring nodal metastases. The emergence of a new procedure of lymphatic mapping permits the identification of the sentinel lymph node (SLN), the first draining node from the site of cutaneous melanoma, which has demonstrated to be predictive of staging of the entire regional lymphatic basin and useful in selecting for lymph node dissection only those patients who have early micrometastases.\n\nOBJECTIVES: To verify in a large series of cases whether a combination of preoperative lymphoscintigraphy and intraoperative mapping with both vital blue dye and a hand-held gamma probe would permit an increase of the rate of successful SLN localization up to 100%; to check the utility of a wider application of SLN biopsy in patients with thin melanomas owing to a favourable risk-benefit ratio; to determine the predictive value of SLN biopsy by performing regional lymphadenectomy in patients who have pathological evidence of metastases in the SLN; to observe whether the use of SLN technique and selective lymphadenectomy might improve the clinical evolution of patients and favour low rates of recurrence.\n\nMETHODS: In 425 AJCC stage I or II melanoma patients, preoperative lymphoscintigraphy by intracutaneous injection of Tc99m-labelled albumin nanocolloids around the tumour or the tumour's excision scar was combined with the intraoperative use of a hand-held gamma probe and patent blue V mapping technique, in order to identify and harvest the SLN. In five cases the blue dye was voluntarily not used because of previous allergic reactions. In other 25 preliminary cases the procedure was performed using the blue dye alone (10 cases) or combined with a preoperative lymphoscintigraphy (15 cases). A wide excision of the primary site was then undertaken in all cases. SLNs were sent to the pathologist for serial sectioning and permanent preparations with histological and immunohistochemical examination. Patients with pathological evidence of metastatic disease in SLN returned for regional lymphadenectomy.\n\nRESULTS: The combined use of lymphoscintigraphy, blue dye and gamma probe allowed us to identify one or more SLNs in all cases except for two (99.5% rate of success). In 70 melanomas less than 0.76 mm thick, SLNs were negative for metastas\u2026", "author" : [ { "dropping-particle" : "", "family" : "Landi", "given" : "G", "non-dropping-particle" : "", "parse-names" : false, "suffix" : "" }, { "dropping-particle" : "", "family" : "Polverelli", "given" : "M", "non-dropping-particle" : "", "parse-names" : false, "suffix" : "" }, { "dropping-particle" : "", "family" : "Moscatelli", "given" : "G", "non-dropping-particle" : "", "parse-names" : false, "suffix" : "" }, { "dropping-particle" : "", "family" : "Morelli", "given" : "R", "non-dropping-particle" : "", "parse-names" : false, "suffix" : "" }, { "dropping-particle" : "", "family" : "Landi", "given" : "C", "non-dropping-particle" : "", "parse-names" : false, "suffix" : "" }, { "dropping-particle" : "", "family" : "Fiscelli", "given" : "O", "non-dropping-particle" : "", "parse-names" : false, "suffix" : "" }, { "dropping-particle" : "", "family" : "Erbazzi", "given" : "A", "non-dropping-particle" : "", "parse-names" : false, "suffix" : "" } ], "container-title" : "Journal of the European Academy of Dermatology and Venereology : JEADV", "id" : "ITEM-6", "issue" : "1", "issued" : { "date-parts" : [ [ "2000", "1" ] ] }, "page" : "35-45", "title" : "Sentinel lymph node biopsy in patients with primary cutaneous melanoma: study of 455 cases.", "type" : "article-journal", "volume" : "14" }, "uris" : [ "http://www.mendeley.com/documents/?uuid=fb731071-521b-48d0-ac20-d7d090501284" ] }, { "id" : "ITEM-7", "itemData" : { "DOI" : "10.1186/1471-5945-12-21", "ISSN" : "1471-5945", "PMID" : "23228015", "abstract" : "BACKGROUND: Since the introduction of sentinel lymph node biopsy (SLNB), its use as a standard of care for patients with clinically node-negative cutaneous melanoma remains controversial. We wished to evaluate our experience of SLNB for melanoma.\n\nMETHODS: A single center observational cohort of 203 melanoma patients with a primary cutaneous melanoma (tumour thickness\u2009&gt;\u20091 mm) and without clinical evidence of metastasis was investigated from 2002 to 2009. Head and neck melanoma were excluded. SLN was identified following preoperative lymphoscintigraphy and intraoperative gamma probe interrogation.\n\nRESULTS: The SLN identification rate was 97%. The SLN was tumor positive in 44 patients (22%). Positive SLN was significantly associated with primary tumor thickness and microscopic ulceration. The median follow-up was 39.5 (5-97) months. Disease progression was significantly more frequent in SLN positive patients (32% vs 13%, p\u2009=\u20090.002). Five-year DFS and OS of the entire cohort were 79.6% and 84.6%, respectively, with a statistical significant difference between SLN positive (58.7% and 69.7%) and SLN negative (85% and 90.3%) patients (p\u2009=\u20090.0006 and p\u2009=\u20090.0096 respectively). Postoperative complications after SLNB were observed in 12% of patients.\n\nCONCLUSION: Our data confirm previous studies and support the clinical usefulness of SLNB as a reliable and accurate staging method in patients with cutaneous melanoma. However, the benefit of additional CLND in patients with positive SLN remains to be demonstrated.", "author" : [ { "dropping-particle" : "", "family" : "Biver-Dalle", "given" : "Caroline", "non-dropping-particle" : "", "parse-names" : false, "suffix" : "" }, { "dropping-particle" : "", "family" : "Puzenat", "given" : "Eve", "non-dropping-particle" : "", "parse-names" : false, "suffix" : "" }, { "dropping-particle" : "", "family" : "Puyraveau", "given" : "Marc", "non-dropping-particle" : "", "parse-names" : false, "suffix" : "" }, { "dropping-particle" : "", "family" : "Delroeux", "given" : "Delphine", "non-dropping-particle" : "", "parse-names" : false, "suffix" : "" }, { "dropping-particle" : "", "family" : "Boulahdour", "given" : "Hatem", "non-dropping-particle" : "", "parse-names" : false, "suffix" : "" }, { "dropping-particle" : "", "family" : "Sheppard", "given" : "Frances", "non-dropping-particle" : "", "parse-names" : false, "suffix" : "" }, { "dropping-particle" : "", "family" : "Pelletier", "given" : "Fabien", "non-dropping-particle" : "", "parse-names" : false, "suffix" : "" }, { "dropping-particle" : "", "family" : "Humbert", "given" : "Philippe", "non-dropping-particle" : "", "parse-names" : false, "suffix" : "" }, { "dropping-particle" : "", "family" : "Aubin", "given" : "Fran\u00e7ois", "non-dropping-particle" : "", "parse-names" : false, "suffix" : "" } ], "container-title" : "BMC dermatology", "id" : "ITEM-7", "issued" : { "date-parts" : [ [ "2012", "1" ] ] }, "page" : "21", "title" : "Sentinel lymph node biopsy in melanoma: our 8-year clinical experience in a single French institute (2002-2009).", "type" : "article-journal", "volume" : "12" }, "uris" : [ "http://www.mendeley.com/documents/?uuid=e4dcff80-a15d-4182-bc5d-460889c502ec" ] }, { "id" : "ITEM-8", "itemData" : { "ISSN" : "0732-183X", "PMID" : "10071292", "abstract" : "PURPOSE: To compare the effect of pathologic sentinel lymph node (SLN) status with that of other known prognostic factors on recurrence and survival in patients with stage I or II cutaneous melanoma.\n\nPATIENTS AND METHODS: We reviewed the records of 612 patients with primary cutaneous melanoma who underwent lymphatic mapping and SLN biopsy between January 1991 and May 1995 to determine the effects of tumor thickness, ulceration, Clark level, location, sex, and SLN pathologic status on disease-free and disease-specific survival.\n\nRESULTS: In the 580 patients in whom lymphatic mapping and SLN biopsy were successful, the SLN was positive by conventional histology in 85 patients (15%) but negative in 495 patients (85%). SLN status was the most significant prognostic factor with respect to disease-free and disease-specific survival by univariate and multiple covariate analyses. Although tumor thickness and ulceration influenced survival in SLN-negative patients, they provided no additional prognostic information in SLN-positive patients.\n\nCONCLUSION: Lymphatic mapping and SLN biopsy is highly accurate in staging nodal basins at risk for regional metastases in primary melanoma patients and identifies those who may benefit from earlier lymphadenectomy. Furthermore, pathologic status of the SLN in these patients with clinically negative nodes is the most important prognostic factor for recurrence. The information from SLN biopsy is particularly helpful in establishing stratification criteria for future adjuvant trials.", "author" : [ { "dropping-particle" : "", "family" : "Gershenwald", "given" : "J E", "non-dropping-particle" : "", "parse-names" : false, "suffix" : "" }, { "dropping-particle" : "", "family" : "Thompson", "given" : "W", "non-dropping-particle" : "", "parse-names" : false, "suffix" : "" }, { "dropping-particle" : "", "family" : "Mansfield", "given" : "P F", "non-dropping-particle" : "", "parse-names" : false, "suffix" : "" }, { "dropping-particle" : "", "family" : "Lee", "given" : "J E", "non-dropping-particle" : "", "parse-names" : false, "suffix" : "" }, { "dropping-particle" : "", "family" : "Colome", "given" : "M I", "non-dropping-particle" : "", "parse-names" : false, "suffix" : "" }, { "dropping-particle" : "", "family" : "Tseng", "given" : "C H", "non-dropping-particle" : "", "parse-names" : false, "suffix" : "" }, { "dropping-particle" : "", "family" : "Lee", "given" : "J J", "non-dropping-particle" : "", "parse-names" : false, "suffix" : "" }, { "dropping-particle" : "", "family" : "Balch", "given" : "C M", "non-dropping-particle" : "", "parse-names" : false, "suffix" : "" }, { "dropping-particle" : "", "family" : "Reintgen", "given" : "D S", "non-dropping-particle" : "", "parse-names" : false, "suffix" : "" }, { "dropping-particle" : "", "family" : "Ross", "given" : "M I", "non-dropping-particle" : "", "parse-names" : false, "suffix" : "" } ], "container-title" : "Journal of clinical oncology : official journal of the American Society of Clinical Oncology", "id" : "ITEM-8", "issue" : "3", "issued" : { "date-parts" : [ [ "1999", "3" ] ] }, "page" : "976-83", "title" : "Multi-institutional melanoma lymphatic mapping experience: the prognostic value of sentinel lymph node status in 612 stage I or II melanoma patients.", "type" : "article-journal", "volume" : "17" }, "uris" : [ "http://www.mendeley.com/documents/?uuid=80c505c8-485d-4096-98fc-dfbf8544368d" ] }, { "id" : "ITEM-9", "itemData" : { "ISSN" : "0732-183X", "PMID" : "12637471", "abstract" : "PURPOSE: Although sentinel lymph node (SLN) status is part of the new American Joint Committee on Cancer staging system, there is no final proof that the SLN procedure in melanoma patients influences outcome of disease. This study investigated the accuracy of the SLN procedure and clinical outcome in melanoma patients after at least 60 months of follow-up. PATIENTS AND METHODS: Between 1993 and 1996, 209 patients with stage I/II cutaneous melanoma underwent selective SLN dissection by the triple technique. If the SLN contained metastatic disease, a completion lymphadenectomy was performed. Survival analyses wevuyre performed using the Kaplan-Meier approach. Factors associated with survival were analyzed using the Cox proportional hazards regression model. RESULTS: The success rate was 99.5%. Median follow-up was 72 months. Forty patients (19%) had a positive SLN. The false-negative rate was 9%. Five-year overall survival was 87% for the entire group and 92% and 67% for SLN-negative and SLN-positive patients (P &lt;.0001), respectively. All patients with a positive SLN and a Breslow thickness &lt; or = 1.00 mm survived, and SLN-positive patients with a Breslow thickness less than 2.00 mm tend to have a better prognosis compared with SLN-negative patients with a Breslow thickness greater than 2.00 mm. SLN status (P =.002), Breslow thickness (P =.002), and lymphatic invasion (P =.0009) were all found to be independent prognostic factors for overall survival. CONCLUSION: With a success rate of 99.5% and a false-negative rate of 9% after long-term follow-up, the triple-technique SLN procedure is a reliable and accurate method. Survival data seem promising, although a therapeutic effect is still questionable. As shown in this study, not all SLN-positive patients have a poor prognosis.", "author" : [ { "dropping-particle" : "", "family" : "Vuylsteke", "given" : "R J C L M", "non-dropping-particle" : "", "parse-names" : false, "suffix" : "" }, { "dropping-particle" : "", "family" : "Leeuwen", "given" : "P A M", "non-dropping-particle" : "van", "parse-names" : false, "suffix" : "" }, { "dropping-particle" : "", "family" : "Statius Muller", "given" : "M G", "non-dropping-particle" : "", "parse-names" : false, "suffix" : "" }, { "dropping-particle" : "", "family" : "Gietema", "given" : "H A", "non-dropping-particle" : "", "parse-names" : false, "suffix" : "" }, { "dropping-particle" : "", "family" : "Kragt", "given" : "D R", "non-dropping-particle" : "", "parse-names" : false, "suffix" : "" }, { "dropping-particle" : "", "family" : "Meijer", "given" : "S", "non-dropping-particle" : "", "parse-names" : false, "suffix" : "" } ], "container-title" : "Journal of clinical oncology : official journal of the American Society of Clinical Oncology", "id" : "ITEM-9", "issue" : "6", "issued" : { "date-parts" : [ [ "2003", "3", "15" ] ] }, "page" : "1057-65", "title" : "Clinical outcome of stage I/II melanoma patients after selective sentinel lymph node dissection: long-term follow-up results.", "type" : "article-journal", "volume" : "21" }, "uris" : [ "http://www.mendeley.com/documents/?uuid=866972d2-bab1-4704-8146-15494c93d9a6" ] }, { "id" : "ITEM-10", "itemData" : { "DOI" : "10.1056/NEJMoa1310460", "ISSN" : "1533-4406", "PMID" : "24521106", "abstract" : "BACKGROUND: Sentinel-node biopsy, a minimally invasive procedure for regional melanoma staging, was evaluated in a phase 3 trial.\n\nMETHODS: We evaluated outcomes in 2001 patients with primary cutaneous melanomas randomly assigned to undergo wide excision and nodal observation, with lymphadenectomy for nodal relapse (observation group), or wide excision and sentinel-node biopsy, with immediate lymphadenectomy for nodal metastases detected on biopsy (biopsy group). Results No significant treatment-related difference in the 10-year melanoma-specific survival rate was seen in the overall study population (20.8% with and 79.2% without nodal metastases). Mean (\u00b1 SE) 10-year disease-free survival rates were significantly improved in the biopsy group, as compared with the observation group, among patients with intermediate-thickness melanomas, defined as 1.20 to 3.50 mm (71.3 \u00b1 1.8% vs. 64.7 \u00b1 2.3%; hazard ratio for recurrence or metastasis, 0.76; P=0.01), and those with thick melanomas, defined as &gt;3.50 mm (50.7 \u00b1 4.0% vs. 40.5 \u00b1 4.7%; hazard ratio, 0.70; P=0.03). Among patients with intermediate-thickness melanomas, the 10-year melanoma-specific survival rate was 62.1 \u00b1 4.8% among those with metastasis versus 85.1 \u00b1 1.5% for those without metastasis (hazard ratio for death from melanoma, 3.09; P&lt;0.001); among patients with thick melanomas, the respective rates were 48.0 \u00b1 7.0% and 64.6 \u00b1 4.9% (hazard ratio, 1.75; P=0.03). Biopsy-based management improved the 10-year rate of distant disease-free survival (hazard ratio for distant metastasis, 0.62; P=0.02) and the 10-year rate of melanoma-specific survival (hazard ratio for death from melanoma, 0.56; P=0.006) for patients with intermediate-thickness melanomas and nodal metastases. Accelerated-failure-time latent-subgroup analysis was performed to account for the fact that nodal status was initially known only in the biopsy group, and a significant treatment benefit persisted.\n\nCONCLUSIONS: Biopsy-based staging of intermediate-thickness or thick primary melanomas provides important prognostic information and identifies patients with nodal metastases who may benefit from immediate complete lymphadenectomy. Biopsy-based management prolongs disease-free survival for all patients and prolongs distant disease-free survival and melanoma-specific survival for patients with nodal metastases from intermediate-thickness melanomas. (Funded by the National Cancer Institute, National Institutes of Health, and the Australia a\u2026", "author" : [ { "dropping-particle" : "", "family" : "Morton", "given" : "Donald L", "non-dropping-particle" : "", "parse-names" : false, "suffix" : "" }, { "dropping-particle" : "", "family" : "Thompson", "given" : "John F", "non-dropping-particle" : "", "parse-names" : false, "suffix" : "" }, { "dropping-particle" : "", "family" : "Cochran", "given" : "Alistair J", "non-dropping-particle" : "", "parse-names" : false, "suffix" : "" }, { "dropping-particle" : "", "family" : "Mozzillo", "given" : "Nicola", "non-dropping-particle" : "", "parse-names" : false, "suffix" : "" }, { "dropping-particle" : "", "family" : "Nieweg", "given" : "Omgo E", "non-dropping-particle" : "", "parse-names" : false, "suffix" : "" }, { "dropping-particle" : "", "family" : "Roses", "given" : "Daniel F", "non-dropping-particle" : "", "parse-names" : false, "suffix" : "" }, { "dropping-particle" : "", "family" : "Hoekstra", "given" : "Harold J", "non-dropping-particle" : "", "parse-names" : false, "suffix" : "" }, { "dropping-particle" : "", "family" : "Karakousis", "given" : "Constantine P", "non-dropping-particle" : "", "parse-names" : false, "suffix" : "" }, { "dropping-particle" : "", "family" : "Puleo", "given" : "Christopher A", "non-dropping-particle" : "", "parse-names" : false, "suffix" : "" }, { "dropping-particle" : "", "family" : "Coventry", "given" : "Brendon J", "non-dropping-particle" : "", "parse-names" : false, "suffix" : "" }, { "dropping-particle" : "", "family" : "Kashani-Sabet", "given" : "Mohammed", "non-dropping-particle" : "", "parse-names" : false, "suffix" : "" }, { "dropping-particle" : "", "family" : "Smithers", "given" : "B Mark", "non-dropping-particle" : "", "parse-names" : false, "suffix" : "" }, { "dropping-particle" : "", "family" : "Paul", "given" : "Eberhard", "non-dropping-particle" : "", "parse-names" : false, "suffix" : "" }, { "dropping-particle" : "", "family" : "Kraybill", "given" : "William G", "non-dropping-particle" : "", "parse-names" : false, "suffix" : "" }, { "dropping-particle" : "", "family" : "McKinnon", "given" : "J Gregory", "non-dropping-particle" : "", "parse-names" : false, "suffix" : "" }, { "dropping-particle" : "", "family" : "Wang", "given" : "He-Jing", "non-dropping-particle" : "", "parse-names" : false, "suffix" : "" }, { "dropping-particle" : "", "family" : "Elashoff", "given" : "Robert", "non-dropping-particle" : "", "parse-names" : false, "suffix" : "" }, { "dropping-particle" : "", "family" : "Faries", "given" : "Mark B", "non-dropping-particle" : "", "parse-names" : false, "suffix" : "" } ], "container-title" : "The New England journal of medicine", "id" : "ITEM-10", "issue" : "7", "issued" : { "date-parts" : [ [ "2014", "2", "13" ] ] }, "page" : "599-609", "title" : "Final trial report of sentinel-node biopsy versus nodal observation in melanoma.", "type" : "article-journal", "volume" : "370" }, "uris" : [ "http://www.mendeley.com/documents/?uuid=0154af1a-a1d9-42e8-9d9e-a8830777181a" ] }, { "id" : "ITEM-11", "itemData" : { "DOI" : "10.1067/msy.2001.115830", "ISSN" : "0039-6060", "PMID" : "11490343", "abstract" : "BACKGROUND: This analysis was performed to identify prognostic factors that are predictive of sentinel lymph node (SLN) metastasis in melanoma.\n\nMETHODS: Analysis was performed of a multi-institutional, prospective, randomized trial of SLN biopsy for melanoma. Eligibility criteria included age 18 to 70 years, Breslow thickness of 1.0 mm or more, and clinically negative regional lymph nodes. SLNs were evaluated by serial sectioning and immunohistochemistry for S100. Univariate chi-square and multivariate logistic regression analyses were performed to assess factors predictive of the presence of a positive SLN. Probability values of less than.05 were considered significant.\n\nRESULTS: SLNs were identified in 99.7% of patients. A total of 1058 patients were evaluated; 961 patients had complete data and were included in the statistical analysis. SLNs were positive for tumor in 208 of 961 patients (22%). Breslow thickness, Clark level, ulceration, and patient age were factors that were found to be independently predictive of the presence of SLN metastasis.\n\nCONCLUSIONS: Increasing Breslow thickness, Clark level of more than III, the presence of ulceration, and patient age of 60 years or less are the most important independent prognostic factors associated with the finding of positive SLN in patients with melanoma.", "author" : [ { "dropping-particle" : "", "family" : "McMasters", "given" : "K M", "non-dropping-particle" : "", "parse-names" : false, "suffix" : "" }, { "dropping-particle" : "", "family" : "Wong", "given" : "S L", "non-dropping-particle" : "", "parse-names" : false, "suffix" : "" }, { "dropping-particle" : "", "family" : "Edwards", "given" : "M J", "non-dropping-particle" : "", "parse-names" : false, "suffix" : "" }, { "dropping-particle" : "", "family" : "Ross", "given" : "M I", "non-dropping-particle" : "", "parse-names" : false, "suffix" : "" }, { "dropping-particle" : "", "family" : "Chao", "given" : "C", "non-dropping-particle" : "", "parse-names" : false, "suffix" : "" }, { "dropping-particle" : "", "family" : "Noyes", "given" : "R D", "non-dropping-particle" : "", "parse-names" : false, "suffix" : "" }, { "dropping-particle" : "", "family" : "Viar", "given" : "V", "non-dropping-particle" : "", "parse-names" : false, "suffix" : "" }, { "dropping-particle" : "", "family" : "Cerrito", "given" : "P B", "non-dropping-particle" : "", "parse-names" : false, "suffix" : "" }, { "dropping-particle" : "", "family" : "Reintgen", "given" : "D S", "non-dropping-particle" : "", "parse-names" : false, "suffix" : "" } ], "container-title" : "Surgery", "id" : "ITEM-11", "issue" : "2", "issued" : { "date-parts" : [ [ "2001", "8" ] ] }, "page" : "151-6", "title" : "Factors that predict the presence of sentinel lymph node metastasis in patients with melanoma.", "type" : "article-journal", "volume" : "130" }, "uris" : [ "http://www.mendeley.com/documents/?uuid=9aa133e3-7510-4a50-9717-ba347f513cea" ] }, { "id" : "ITEM-12", "itemData" : { "DOI" : "10.1200/JCO.2010.33.1884", "ISSN" : "1527-7755", "PMID" : "21383281", "abstract" : "PURPOSE: To perform a meta-analysis of all published studies of sentinel lymph node (SLN) biopsy for staging patients with melanoma.\n\nMETHODS: Published literature in all languages between 1990 and 2009 was critically appraised. Primary outcomes evaluated included the proportion successfully mapped (PSM) and test performance including false-negative rate (FNR), post-test probability negative (PTPN), and positive predictive value in the same nodal basin recurrence.\n\nRESULTS: A total of 71 studies including 25,240 patients met full eligibility criteria. The average PSM was 98.1% (95% CI, 97.3% to 98.6%) and increased with the year of publication, female sex, ulceration, age, and the quality score of the studies. The FNR ranged from 0.0% to 34.0%, averaging 12.5% overall (95% CI, 11% to 14.2%). FNR increased with the length of follow-up (P = .002) but decreased with greater PSM (P = .001). PTPN averaged 3.4% (95% CI, 3.0% to 3.8%), which also increased in studies with longer follow-up, younger age, female sex, deeper Breslow thickness, and with tumor ulceration while decreasing with greater PSM (P &lt; .001). Approximately 20% of the patients with a positive SLN had additional lymph nodes in the complete lymph node dissection and 7.5% of the patients with positive SLN developed recurrence in the same nodal basin which was greater in studies that also reported higher FNR (P = .01).\n\nCONCLUSION: The estimated risk of nodal recurrence after a negative SLN biopsy was \u2264 5% supporting the use of this technology for staging patients with melanoma.", "author" : [ { "dropping-particle" : "", "family" : "Valsecchi", "given" : "Matias E", "non-dropping-particle" : "", "parse-names" : false, "suffix" : "" }, { "dropping-particle" : "", "family" : "Silbermins", "given" : "Damian", "non-dropping-particle" : "", "parse-names" : false, "suffix" : "" }, { "dropping-particle" : "", "family" : "Rosa", "given" : "Nicole", "non-dropping-particle" : "de", "parse-names" : false, "suffix" : "" }, { "dropping-particle" : "", "family" : "Wong", "given" : "Sandra L", "non-dropping-particle" : "", "parse-names" : false, "suffix" : "" }, { "dropping-particle" : "", "family" : "Lyman", "given" : "Gary H", "non-dropping-particle" : "", "parse-names" : false, "suffix" : "" } ], "container-title" : "Journal of clinical oncology : official journal of the American Society of Clinical Oncology", "id" : "ITEM-12", "issue" : "11", "issued" : { "date-parts" : [ [ "2011", "4", "10" ] ] }, "page" : "1479-87", "title" : "Lymphatic mapping and sentinel lymph node biopsy in patients with melanoma: a meta-analysis.", "type" : "article-journal", "volume" : "29" }, "uris" : [ "http://www.mendeley.com/documents/?uuid=7fa691c0-9976-43d3-84dc-62f15e78d9fb" ] } ], "mendeley" : { "formattedCitation" : "&lt;sup&gt;67,118,120,125,128\u2013135&lt;/sup&gt;", "plainTextFormattedCitation" : "67,118,120,125,128\u2013135", "previouslyFormattedCitation" : "&lt;sup&gt;67,118,120,125,128\u2013135&lt;/sup&gt;" }, "properties" : { "noteIndex" : 0 }, "schema" : "https://github.com/citation-style-language/schema/raw/master/csl-citation.json" }</w:instrText>
      </w:r>
      <w:r w:rsidRPr="003E73CD">
        <w:rPr>
          <w:sz w:val="22"/>
          <w:szCs w:val="22"/>
        </w:rPr>
        <w:fldChar w:fldCharType="separate"/>
      </w:r>
      <w:r w:rsidR="00217FAC" w:rsidRPr="00217FAC">
        <w:rPr>
          <w:noProof/>
          <w:sz w:val="22"/>
          <w:szCs w:val="22"/>
          <w:vertAlign w:val="superscript"/>
        </w:rPr>
        <w:t>67,118,120,125,128–135</w:t>
      </w:r>
      <w:r w:rsidRPr="003E73CD">
        <w:rPr>
          <w:sz w:val="22"/>
          <w:szCs w:val="22"/>
        </w:rPr>
        <w:fldChar w:fldCharType="end"/>
      </w:r>
      <w:proofErr w:type="gramStart"/>
      <w:r w:rsidRPr="003E73CD">
        <w:rPr>
          <w:sz w:val="22"/>
          <w:szCs w:val="22"/>
        </w:rPr>
        <w:t xml:space="preserve">  The</w:t>
      </w:r>
      <w:proofErr w:type="gramEnd"/>
      <w:r w:rsidRPr="003E73CD">
        <w:rPr>
          <w:sz w:val="22"/>
          <w:szCs w:val="22"/>
        </w:rPr>
        <w:t xml:space="preserve"> five-year survival rate for sentinel node positive patients is 72% versus 90% for their sentinel node negative counterparts.</w:t>
      </w:r>
      <w:r w:rsidRPr="003E73CD">
        <w:rPr>
          <w:sz w:val="22"/>
          <w:szCs w:val="22"/>
        </w:rPr>
        <w:fldChar w:fldCharType="begin" w:fldLock="1"/>
      </w:r>
      <w:r w:rsidR="00217FAC">
        <w:rPr>
          <w:sz w:val="22"/>
          <w:szCs w:val="22"/>
        </w:rPr>
        <w:instrText>ADDIN CSL_CITATION { "citationItems" : [ { "id" : "ITEM-1", "itemData" : { "DOI" : "10.1056/NEJMoa060992", "ISSN" : "1533-4406", "PMID" : "17005948", "abstract" : "BACKGROUND: We evaluated the contribution of sentinel-node biopsy to outcomes in patients with newly diagnosed melanoma.\n\nMETHODS: Patients with a primary cutaneous melanoma were randomly assigned to wide excision and postoperative observation of regional lymph nodes with lymphadenectomy if nodal relapse occurred, or to wide excision and sentinel-node biopsy with immediate lymphadenectomy if nodal micrometastases were detected on biopsy.\n\nRESULTS: Among 1269 patients with an intermediate-thickness primary melanoma, the mean (+/-SE) estimated 5-year disease-free survival rate for the population was 78.3+/-1.6% in the biopsy group and 73.1+/-2.1% in the observation group (hazard ratio for recurrence[corrected], 0.74; 95% confidence interval [CI], 0.59 to 0.93; P=0.009). Five-year melanoma-specific survival rates were similar in the two groups (87.1+/-1.3% and 86.6+/-1.6%, respectively). In the biopsy group, the presence of metastases in the sentinel node was the most important prognostic factor; the 5-year survival rate was 72.3+/-4.6% among patients with tumor-positive sentinel nodes and 90.2+/-1.3% among those with tumor-negative sentinel nodes (hazard ratio for death, 2.48; 95% CI, 1.54 to 3.98; P&lt;0.001). The incidence of sentinel-node micrometastases was 16.0% (122 of 764 patients), and the rate of nodal relapse in the observation group was 15.6% (78 of 500 patients). The corresponding mean number of tumor-involved nodes was 1.4 in the biopsy group and 3.3 in the observation group (P&lt;0.001), indicating disease progression during observation. Among patients with nodal metastases, the 5-year survival rate was higher among those who underwent immediate lymphadenectomy than among those in whom lymphadenectomy was delayed (72.3+/-4.6% vs. 52.4+/-5.9%; hazard ratio for death, 0.51; 95% CI, 0.32 to 0.81; P=0.004).\n\nCONCLUSIONS: The staging of intermediate-thickness (1.2 to 3.5 mm) primary melanomas according to the results of sentinel-node biopsy provides important prognostic information and identifies patients with nodal metastases whose survival can be prolonged by immediate lymphadenectomy. (ClinicalTrials.gov number, NCT00275496 [ClinicalTrials.gov].).", "author" : [ { "dropping-particle" : "", "family" : "Morton", "given" : "Donald L", "non-dropping-particle" : "", "parse-names" : false, "suffix" : "" }, { "dropping-particle" : "", "family" : "Thompson", "given" : "John F", "non-dropping-particle" : "", "parse-names" : false, "suffix" : "" }, { "dropping-particle" : "", "family" : "Cochran", "given" : "Alistair J", "non-dropping-particle" : "", "parse-names" : false, "suffix" : "" }, { "dropping-particle" : "", "family" : "Mozzillo", "given" : "Nicola", "non-dropping-particle" : "", "parse-names" : false, "suffix" : "" }, { "dropping-particle" : "", "family" : "Elashoff", "given" : "Robert", "non-dropping-particle" : "", "parse-names" : false, "suffix" : "" }, { "dropping-particle" : "", "family" : "Essner", "given" : "Richard", "non-dropping-particle" : "", "parse-names" : false, "suffix" : "" }, { "dropping-particle" : "", "family" : "Nieweg", "given" : "Omgo E", "non-dropping-particle" : "", "parse-names" : false, "suffix" : "" }, { "dropping-particle" : "", "family" : "Roses", "given" : "Daniel F", "non-dropping-particle" : "", "parse-names" : false, "suffix" : "" }, { "dropping-particle" : "", "family" : "Hoekstra", "given" : "Harald J", "non-dropping-particle" : "", "parse-names" : false, "suffix" : "" }, { "dropping-particle" : "", "family" : "Karakousis", "given" : "Constantine P", "non-dropping-particle" : "", "parse-names" : false, "suffix" : "" }, { "dropping-particle" : "", "family" : "Reintgen", "given" : "Douglas S", "non-dropping-particle" : "", "parse-names" : false, "suffix" : "" }, { "dropping-particle" : "", "family" : "Coventry", "given" : "Brendon J", "non-dropping-particle" : "", "parse-names" : false, "suffix" : "" }, { "dropping-particle" : "", "family" : "Glass", "given" : "Edwin C", "non-dropping-particle" : "", "parse-names" : false, "suffix" : "" }, { "dropping-particle" : "", "family" : "Wang", "given" : "He-Jing", "non-dropping-particle" : "", "parse-names" : false, "suffix" : "" } ], "container-title" : "The New England journal of medicine", "id" : "ITEM-1", "issue" : "13", "issued" : { "date-parts" : [ [ "2006", "9", "28" ] ] }, "page" : "1307-17", "title" : "Sentinel-node biopsy or nodal observation in melanoma.", "type" : "article-journal", "volume" : "355" }, "uris" : [ "http://www.mendeley.com/documents/?uuid=67a6140a-03c4-49a0-8a19-c5ddadc66872" ] } ], "mendeley" : { "formattedCitation" : "&lt;sup&gt;124&lt;/sup&gt;", "plainTextFormattedCitation" : "124", "previouslyFormattedCitation" : "&lt;sup&gt;124&lt;/sup&gt;" }, "properties" : { "noteIndex" : 0 }, "schema" : "https://github.com/citation-style-language/schema/raw/master/csl-citation.json" }</w:instrText>
      </w:r>
      <w:r w:rsidRPr="003E73CD">
        <w:rPr>
          <w:sz w:val="22"/>
          <w:szCs w:val="22"/>
        </w:rPr>
        <w:fldChar w:fldCharType="separate"/>
      </w:r>
      <w:r w:rsidR="00CE2A17" w:rsidRPr="00CE2A17">
        <w:rPr>
          <w:noProof/>
          <w:sz w:val="22"/>
          <w:szCs w:val="22"/>
          <w:vertAlign w:val="superscript"/>
        </w:rPr>
        <w:t>124</w:t>
      </w:r>
      <w:r w:rsidRPr="003E73CD">
        <w:rPr>
          <w:sz w:val="22"/>
          <w:szCs w:val="22"/>
        </w:rPr>
        <w:fldChar w:fldCharType="end"/>
      </w:r>
      <w:proofErr w:type="gramStart"/>
      <w:r w:rsidRPr="003E73CD">
        <w:rPr>
          <w:sz w:val="22"/>
          <w:szCs w:val="22"/>
        </w:rPr>
        <w:t xml:space="preserve">  Both</w:t>
      </w:r>
      <w:proofErr w:type="gramEnd"/>
      <w:r w:rsidRPr="003E73CD">
        <w:rPr>
          <w:sz w:val="22"/>
          <w:szCs w:val="22"/>
        </w:rPr>
        <w:t xml:space="preserve"> sentinel node negative and sentinel node positive patients will have had their sentinel nodes, and hence the metastasis-containing tissue, removed and so the difference in prognosis must relate to a higher likelihood, in sentinel node positive patients, of further occult metastasis having occurred in non-sentinel nodes or at other sites.  The question of how to manage such patients then arises.  Completion lymph node dissection involves excision of the remaining lymph nodes (non-sentinel nodes) within the nodal basin that was sentinel node positive, and this would seem logical as a next step.  Using sentinel node biopsy to identify sentinel node negative patients allows this group to be spared a completion lymph node dissection as they are unlikely to have metastases in non-sentinel nodes.   This approach to management was the focus of the First MultiCentre Selective Lymphadenectomy Trial, which began in 1994.</w:t>
      </w:r>
      <w:r w:rsidRPr="003E73CD">
        <w:rPr>
          <w:sz w:val="22"/>
          <w:szCs w:val="22"/>
        </w:rPr>
        <w:fldChar w:fldCharType="begin" w:fldLock="1"/>
      </w:r>
      <w:r w:rsidR="00217FAC">
        <w:rPr>
          <w:sz w:val="22"/>
          <w:szCs w:val="22"/>
        </w:rPr>
        <w:instrText>ADDIN CSL_CITATION { "citationItems" : [ { "id" : "ITEM-1", "itemData" : { "DOI" : "10.1056/NEJMoa1310460", "ISSN" : "1533-4406", "PMID" : "24521106", "abstract" : "BACKGROUND: Sentinel-node biopsy, a minimally invasive procedure for regional melanoma staging, was evaluated in a phase 3 trial.\n\nMETHODS: We evaluated outcomes in 2001 patients with primary cutaneous melanomas randomly assigned to undergo wide excision and nodal observation, with lymphadenectomy for nodal relapse (observation group), or wide excision and sentinel-node biopsy, with immediate lymphadenectomy for nodal metastases detected on biopsy (biopsy group). Results No significant treatment-related difference in the 10-year melanoma-specific survival rate was seen in the overall study population (20.8% with and 79.2% without nodal metastases). Mean (\u00b1 SE) 10-year disease-free survival rates were significantly improved in the biopsy group, as compared with the observation group, among patients with intermediate-thickness melanomas, defined as 1.20 to 3.50 mm (71.3 \u00b1 1.8% vs. 64.7 \u00b1 2.3%; hazard ratio for recurrence or metastasis, 0.76; P=0.01), and those with thick melanomas, defined as &gt;3.50 mm (50.7 \u00b1 4.0% vs. 40.5 \u00b1 4.7%; hazard ratio, 0.70; P=0.03). Among patients with intermediate-thickness melanomas, the 10-year melanoma-specific survival rate was 62.1 \u00b1 4.8% among those with metastasis versus 85.1 \u00b1 1.5% for those without metastasis (hazard ratio for death from melanoma, 3.09; P&lt;0.001); among patients with thick melanomas, the respective rates were 48.0 \u00b1 7.0% and 64.6 \u00b1 4.9% (hazard ratio, 1.75; P=0.03). Biopsy-based management improved the 10-year rate of distant disease-free survival (hazard ratio for distant metastasis, 0.62; P=0.02) and the 10-year rate of melanoma-specific survival (hazard ratio for death from melanoma, 0.56; P=0.006) for patients with intermediate-thickness melanomas and nodal metastases. Accelerated-failure-time latent-subgroup analysis was performed to account for the fact that nodal status was initially known only in the biopsy group, and a significant treatment benefit persisted.\n\nCONCLUSIONS: Biopsy-based staging of intermediate-thickness or thick primary melanomas provides important prognostic information and identifies patients with nodal metastases who may benefit from immediate complete lymphadenectomy. Biopsy-based management prolongs disease-free survival for all patients and prolongs distant disease-free survival and melanoma-specific survival for patients with nodal metastases from intermediate-thickness melanomas. (Funded by the National Cancer Institute, National Institutes of Health, and the Australia a\u2026", "author" : [ { "dropping-particle" : "", "family" : "Morton", "given" : "Donald L", "non-dropping-particle" : "", "parse-names" : false, "suffix" : "" }, { "dropping-particle" : "", "family" : "Thompson", "given" : "John F", "non-dropping-particle" : "", "parse-names" : false, "suffix" : "" }, { "dropping-particle" : "", "family" : "Cochran", "given" : "Alistair J", "non-dropping-particle" : "", "parse-names" : false, "suffix" : "" }, { "dropping-particle" : "", "family" : "Mozzillo", "given" : "Nicola", "non-dropping-particle" : "", "parse-names" : false, "suffix" : "" }, { "dropping-particle" : "", "family" : "Nieweg", "given" : "Omgo E", "non-dropping-particle" : "", "parse-names" : false, "suffix" : "" }, { "dropping-particle" : "", "family" : "Roses", "given" : "Daniel F", "non-dropping-particle" : "", "parse-names" : false, "suffix" : "" }, { "dropping-particle" : "", "family" : "Hoekstra", "given" : "Harold J", "non-dropping-particle" : "", "parse-names" : false, "suffix" : "" }, { "dropping-particle" : "", "family" : "Karakousis", "given" : "Constantine P", "non-dropping-particle" : "", "parse-names" : false, "suffix" : "" }, { "dropping-particle" : "", "family" : "Puleo", "given" : "Christopher A", "non-dropping-particle" : "", "parse-names" : false, "suffix" : "" }, { "dropping-particle" : "", "family" : "Coventry", "given" : "Brendon J", "non-dropping-particle" : "", "parse-names" : false, "suffix" : "" }, { "dropping-particle" : "", "family" : "Kashani-Sabet", "given" : "Mohammed", "non-dropping-particle" : "", "parse-names" : false, "suffix" : "" }, { "dropping-particle" : "", "family" : "Smithers", "given" : "B Mark", "non-dropping-particle" : "", "parse-names" : false, "suffix" : "" }, { "dropping-particle" : "", "family" : "Paul", "given" : "Eberhard", "non-dropping-particle" : "", "parse-names" : false, "suffix" : "" }, { "dropping-particle" : "", "family" : "Kraybill", "given" : "William G", "non-dropping-particle" : "", "parse-names" : false, "suffix" : "" }, { "dropping-particle" : "", "family" : "McKinnon", "given" : "J Gregory", "non-dropping-particle" : "", "parse-names" : false, "suffix" : "" }, { "dropping-particle" : "", "family" : "Wang", "given" : "He-Jing", "non-dropping-particle" : "", "parse-names" : false, "suffix" : "" }, { "dropping-particle" : "", "family" : "Elashoff", "given" : "Robert", "non-dropping-particle" : "", "parse-names" : false, "suffix" : "" }, { "dropping-particle" : "", "family" : "Faries", "given" : "Mark B", "non-dropping-particle" : "", "parse-names" : false, "suffix" : "" } ], "container-title" : "The New England journal of medicine", "id" : "ITEM-1", "issue" : "7", "issued" : { "date-parts" : [ [ "2014", "2", "13" ] ] }, "page" : "599-609", "title" : "Final trial report of sentinel-node biopsy versus nodal observation in melanoma.", "type" : "article-journal", "volume" : "370" }, "uris" : [ "http://www.mendeley.com/documents/?uuid=0154af1a-a1d9-42e8-9d9e-a8830777181a" ] } ], "mendeley" : { "formattedCitation" : "&lt;sup&gt;125&lt;/sup&gt;", "plainTextFormattedCitation" : "125", "previouslyFormattedCitation" : "&lt;sup&gt;125&lt;/sup&gt;" }, "properties" : { "noteIndex" : 0 }, "schema" : "https://github.com/citation-style-language/schema/raw/master/csl-citation.json" }</w:instrText>
      </w:r>
      <w:r w:rsidRPr="003E73CD">
        <w:rPr>
          <w:sz w:val="22"/>
          <w:szCs w:val="22"/>
        </w:rPr>
        <w:fldChar w:fldCharType="separate"/>
      </w:r>
      <w:r w:rsidR="00CE2A17" w:rsidRPr="00CE2A17">
        <w:rPr>
          <w:noProof/>
          <w:sz w:val="22"/>
          <w:szCs w:val="22"/>
          <w:vertAlign w:val="superscript"/>
        </w:rPr>
        <w:t>125</w:t>
      </w:r>
      <w:r w:rsidRPr="003E73CD">
        <w:rPr>
          <w:sz w:val="22"/>
          <w:szCs w:val="22"/>
        </w:rPr>
        <w:fldChar w:fldCharType="end"/>
      </w:r>
      <w:proofErr w:type="gramStart"/>
      <w:r w:rsidR="00C50385" w:rsidRPr="003E73CD">
        <w:rPr>
          <w:sz w:val="22"/>
          <w:szCs w:val="22"/>
        </w:rPr>
        <w:t xml:space="preserve">  This</w:t>
      </w:r>
      <w:proofErr w:type="gramEnd"/>
      <w:r w:rsidR="00C50385" w:rsidRPr="003E73CD">
        <w:rPr>
          <w:sz w:val="22"/>
          <w:szCs w:val="22"/>
        </w:rPr>
        <w:t xml:space="preserve"> randomis</w:t>
      </w:r>
      <w:r w:rsidRPr="003E73CD">
        <w:rPr>
          <w:sz w:val="22"/>
          <w:szCs w:val="22"/>
        </w:rPr>
        <w:t xml:space="preserve">ed trial aimed to determine melanoma-specific survival in a group of patients treated by wide excision and sentinel node biopsy and, for those who were found to be sentinel node positive, completion lymph node dissection, versus wide excision and nodal observation with therapeutic lymph node dissection for those patients who developed subsequent nodal recurrence during observation.  Patients </w:t>
      </w:r>
      <w:r w:rsidR="00C50385" w:rsidRPr="003E73CD">
        <w:rPr>
          <w:sz w:val="22"/>
          <w:szCs w:val="22"/>
        </w:rPr>
        <w:t xml:space="preserve">with a primary melanoma with </w:t>
      </w:r>
      <w:r w:rsidRPr="003E73CD">
        <w:rPr>
          <w:sz w:val="22"/>
          <w:szCs w:val="22"/>
        </w:rPr>
        <w:t xml:space="preserve">Breslow thickness of 1.00mm or more or of Clark level IV or V with any Breslow thickness were eligible for inclusion, but patients with intermediate thickness melanoma (1.20 to 3.50mm) were the primary study group.  Two thousand and one patients were registered and enrollment closed in 2002. </w:t>
      </w:r>
      <w:r w:rsidR="004E51BA">
        <w:rPr>
          <w:sz w:val="22"/>
          <w:szCs w:val="22"/>
        </w:rPr>
        <w:t xml:space="preserve"> The randomis</w:t>
      </w:r>
      <w:r w:rsidRPr="003E73CD">
        <w:rPr>
          <w:sz w:val="22"/>
          <w:szCs w:val="22"/>
        </w:rPr>
        <w:t>ation process assigned 60% of patients to the wide excision and sentinel node biopsy group and 40% of patients to the wide excision and nodal observation group.  In the intermediate thickness group there were 1347 patients with 814 in the sentinel node biopsy group and 533 in the nodal observation group.  There was just over 4% cross over from each arm with 35 patients in the sentinel node biopsy group actually undergoing observation and 22 patients in the nodal observation group actually having sentinel node biopsy.   Sentinel node biopsy was shown to accurately detect occult nodal disease in 96% of cases and sentinel node status was confirmed as the most powerful predictor of survival in the study population.  The 10-year melanoma-specific survival rate (mean +/- standard error) for the biopsy group was 81.4+/-1.5% versus 78.3+/-2.0% for the observation group.  This difference was not statistically significant.  One of the problems with this trial was that the ideal comparison groups (sentinel node positive patients versus patients who develop nodal recurrence in the observation group) could not be identifie</w:t>
      </w:r>
      <w:r w:rsidR="00C50385" w:rsidRPr="003E73CD">
        <w:rPr>
          <w:sz w:val="22"/>
          <w:szCs w:val="22"/>
        </w:rPr>
        <w:t>d prior to the point of randomis</w:t>
      </w:r>
      <w:r w:rsidRPr="003E73CD">
        <w:rPr>
          <w:sz w:val="22"/>
          <w:szCs w:val="22"/>
        </w:rPr>
        <w:t>ation and so statistical comparison of melanoma-specific survival for these two groups could be affected by bias.  In order to compare these two groups and to account for potential bias the authors employed a statistical method called latent subgroup analysis and found that the melanoma-specific survival time for sentinel node positive patients in the sentinel node biopsy group was double that of patients who developed nodal recurrence in the nodal observation group.  This finding was the case only in the intermediate thickness melanoma group.  In the thick melanoma group (&gt;3.50mm) there was no significant difference in survival and in the thin melanoma group (&lt;1.20mm) there were relatively few cases with nodal disease and so statistical analysis was not reported.</w:t>
      </w:r>
    </w:p>
    <w:p w14:paraId="3CAFA6D0" w14:textId="77777777" w:rsidR="0061482C" w:rsidRPr="003E73CD" w:rsidRDefault="0061482C" w:rsidP="0061482C">
      <w:pPr>
        <w:widowControl w:val="0"/>
        <w:autoSpaceDE w:val="0"/>
        <w:autoSpaceDN w:val="0"/>
        <w:adjustRightInd w:val="0"/>
        <w:spacing w:line="480" w:lineRule="auto"/>
        <w:ind w:right="-389"/>
        <w:rPr>
          <w:sz w:val="22"/>
          <w:szCs w:val="22"/>
        </w:rPr>
      </w:pPr>
    </w:p>
    <w:p w14:paraId="399F605D" w14:textId="77777777" w:rsidR="0061482C" w:rsidRPr="003E73CD" w:rsidRDefault="0061482C" w:rsidP="0061482C">
      <w:pPr>
        <w:widowControl w:val="0"/>
        <w:autoSpaceDE w:val="0"/>
        <w:autoSpaceDN w:val="0"/>
        <w:adjustRightInd w:val="0"/>
        <w:spacing w:line="480" w:lineRule="auto"/>
        <w:ind w:right="-389"/>
        <w:rPr>
          <w:b/>
          <w:bCs/>
          <w:sz w:val="22"/>
          <w:szCs w:val="22"/>
        </w:rPr>
      </w:pPr>
      <w:r w:rsidRPr="003E73CD">
        <w:rPr>
          <w:b/>
          <w:bCs/>
          <w:sz w:val="22"/>
          <w:szCs w:val="22"/>
        </w:rPr>
        <w:t>THE SIGNIFICANCE OF NODAL METASTASIS BEYOND SENTINEL NODES</w:t>
      </w:r>
    </w:p>
    <w:p w14:paraId="3240B1B8" w14:textId="5259F5D9" w:rsidR="0061482C" w:rsidRPr="003E73CD" w:rsidRDefault="003C71CC" w:rsidP="002C4E13">
      <w:pPr>
        <w:widowControl w:val="0"/>
        <w:autoSpaceDE w:val="0"/>
        <w:autoSpaceDN w:val="0"/>
        <w:adjustRightInd w:val="0"/>
        <w:spacing w:line="480" w:lineRule="auto"/>
        <w:ind w:firstLine="720"/>
        <w:rPr>
          <w:rFonts w:asciiTheme="minorHAnsi" w:eastAsiaTheme="minorEastAsia" w:hAnsiTheme="minorHAnsi" w:cs="Arial"/>
          <w:b/>
          <w:bCs/>
          <w:color w:val="6D6D6D"/>
          <w:sz w:val="22"/>
          <w:szCs w:val="22"/>
        </w:rPr>
      </w:pPr>
      <w:r>
        <w:rPr>
          <w:sz w:val="22"/>
          <w:szCs w:val="22"/>
        </w:rPr>
        <w:t>A non-sentinel node can be defined as any node that does not receive direct lymphatic drainage from the primary tumour site.  Non-sentinel nodes would not normally be removed at the time of sen</w:t>
      </w:r>
      <w:r w:rsidR="00FD10DE">
        <w:rPr>
          <w:sz w:val="22"/>
          <w:szCs w:val="22"/>
        </w:rPr>
        <w:t>tinel node biopsy unless there wa</w:t>
      </w:r>
      <w:r>
        <w:rPr>
          <w:sz w:val="22"/>
          <w:szCs w:val="22"/>
        </w:rPr>
        <w:t xml:space="preserve">s a clinical suspicion of metastatic disease within such a node or nodes.  </w:t>
      </w:r>
      <w:r w:rsidR="0061482C" w:rsidRPr="003E73CD">
        <w:rPr>
          <w:sz w:val="22"/>
          <w:szCs w:val="22"/>
        </w:rPr>
        <w:t xml:space="preserve">Patients who are </w:t>
      </w:r>
      <w:r>
        <w:rPr>
          <w:sz w:val="22"/>
          <w:szCs w:val="22"/>
        </w:rPr>
        <w:t xml:space="preserve">sentinel node positive i.e. </w:t>
      </w:r>
      <w:r w:rsidR="0061482C" w:rsidRPr="003E73CD">
        <w:rPr>
          <w:sz w:val="22"/>
          <w:szCs w:val="22"/>
        </w:rPr>
        <w:t xml:space="preserve">found to have occult metastases within </w:t>
      </w:r>
      <w:r w:rsidR="00FD10DE">
        <w:rPr>
          <w:sz w:val="22"/>
          <w:szCs w:val="22"/>
        </w:rPr>
        <w:t xml:space="preserve">a </w:t>
      </w:r>
      <w:r w:rsidR="0061482C" w:rsidRPr="003E73CD">
        <w:rPr>
          <w:sz w:val="22"/>
          <w:szCs w:val="22"/>
        </w:rPr>
        <w:t>sentinel node</w:t>
      </w:r>
      <w:r w:rsidR="00FD10DE">
        <w:rPr>
          <w:sz w:val="22"/>
          <w:szCs w:val="22"/>
        </w:rPr>
        <w:t>(</w:t>
      </w:r>
      <w:r w:rsidR="0061482C" w:rsidRPr="003E73CD">
        <w:rPr>
          <w:sz w:val="22"/>
          <w:szCs w:val="22"/>
        </w:rPr>
        <w:t>s</w:t>
      </w:r>
      <w:r w:rsidR="00FD10DE">
        <w:rPr>
          <w:sz w:val="22"/>
          <w:szCs w:val="22"/>
        </w:rPr>
        <w:t xml:space="preserve">) </w:t>
      </w:r>
      <w:r>
        <w:rPr>
          <w:sz w:val="22"/>
          <w:szCs w:val="22"/>
        </w:rPr>
        <w:t>removed at sentinel node biopsy,</w:t>
      </w:r>
      <w:r w:rsidR="0061482C" w:rsidRPr="003E73CD">
        <w:rPr>
          <w:sz w:val="22"/>
          <w:szCs w:val="22"/>
        </w:rPr>
        <w:t xml:space="preserve"> will have additional metasta</w:t>
      </w:r>
      <w:r w:rsidR="00FD10DE">
        <w:rPr>
          <w:sz w:val="22"/>
          <w:szCs w:val="22"/>
        </w:rPr>
        <w:t>ses in non-sentinel nodes, removed</w:t>
      </w:r>
      <w:r w:rsidR="0061482C" w:rsidRPr="003E73CD">
        <w:rPr>
          <w:sz w:val="22"/>
          <w:szCs w:val="22"/>
        </w:rPr>
        <w:t xml:space="preserve"> at completion lymph node dissection, in only 7-33% of cases.</w:t>
      </w:r>
      <w:r w:rsidR="0061482C" w:rsidRPr="003E73CD">
        <w:rPr>
          <w:sz w:val="22"/>
          <w:szCs w:val="22"/>
        </w:rPr>
        <w:fldChar w:fldCharType="begin" w:fldLock="1"/>
      </w:r>
      <w:r w:rsidR="00217FAC">
        <w:rPr>
          <w:sz w:val="22"/>
          <w:szCs w:val="22"/>
        </w:rPr>
        <w:instrText>ADDIN CSL_CITATION { "citationItems" : [ { "id" : "ITEM-1", "itemData" : { "ISSN" : "0008-543X", "PMID" : "10918179", "abstract" : "BACKGROUND: The selection of patients for sentinel lymph node biopsy (SNB) and selective lymphadenectomy for histologically positive sentinel lymph nodes (SLND) are areas of debate. The authors of the current study attempted to identify predictors of metastases to the sentinel and residual nonsentinel lymph nodes in patients with melanoma.\n\nMETHODS: The Indiana University Interdisciplinary Melanoma Program computerized database was queried to identify all patients who underwent SNB for clinically localized cutaneous melanoma. Demographic, surgical, and histopathologic data were recorded. Univariate and multivariate logistic regression analyses were performed to identify associations with SNB and nonsentinel lymph node positivity. Classification tree and logistic procedures were performed to identify the ideal tumor thickness cutpoint at which to perform SNB.\n\nRESULTS: Two hundred seventy-five SNB procedures were performed to stage 348 regional lymph node basins for occult metastases from melanoma. Of the 275 melanomas, 54 (19.6%) had a positive SNB, as did 58 of 348 basins (16.7%). Classification and logistic regression analysis identified a Breslow depth of 1.25 mm to be the most significant cutpoint for SNB positivity (odds ratio 8. 8:1; P = 0.0001). By multivariate analyses, a Breslow thickness cutpoint &gt;/= 1.25 mm (P = 0.0002), ulceration (P = 0.005), and high mitotic index (&gt; 5 mitoses/high-power field; P = 0.04) were significant predictors of SNB results. SLND was performed in 53 SNB positive patients, 15 of whom (28.3%) had at least 1 additional positive lymph node. SLND positivity was noted across a wide range of primary tumor characteristics and was associated significantly with multiple positive SN, but not with any other variable. SNB result correlated significantly with disease free and overall survival.\n\nCONCLUSIONS: Patients with a Breslow tumor thickness &gt;/= 1. 25 mm, ulceration, and high mitotic index are most likely to have positive SNB results. SLND is recommended for all patients after positive SNB because it is difficult to identify patients with residual lymph node disease.", "author" : [ { "dropping-particle" : "", "family" : "Wagner", "given" : "J D", "non-dropping-particle" : "", "parse-names" : false, "suffix" : "" }, { "dropping-particle" : "", "family" : "Gordon", "given" : "M S", "non-dropping-particle" : "", "parse-names" : false, "suffix" : "" }, { "dropping-particle" : "", "family" : "Chuang", "given" : "T Y", "non-dropping-particle" : "", "parse-names" : false, "suffix" : "" }, { "dropping-particle" : "", "family" : "Coleman", "given" : "J J", "non-dropping-particle" : "", "parse-names" : false, "suffix" : "" }, { "dropping-particle" : "", "family" : "Hayes", "given" : "J T", "non-dropping-particle" : "", "parse-names" : false, "suffix" : "" }, { "dropping-particle" : "", "family" : "Jung", "given" : "S H", "non-dropping-particle" : "", "parse-names" : false, "suffix" : "" }, { "dropping-particle" : "", "family" : "Love", "given" : "C", "non-dropping-particle" : "", "parse-names" : false, "suffix" : "" } ], "container-title" : "Cancer", "id" : "ITEM-1", "issue" : "2", "issued" : { "date-parts" : [ [ "2000", "7", "15" ] ] }, "page" : "453-62", "title" : "Predicting sentinel and residual lymph node basin disease after sentinel lymph node biopsy for melanoma.", "type" : "article-journal", "volume" : "89" }, "uris" : [ "http://www.mendeley.com/documents/?uuid=ed565e24-aaa1-45dc-a6b5-8cd38080200d" ] }, { "id" : "ITEM-2", "itemData" : { "ISSN" : "1068-9265", "PMID" : "11888869", "abstract" : "BACKGROUND: Completion lymph node dissection (CLND) may not be necessary for some patients because nodal metastasis is rarely detected beyond the sentinel lymph nodes (SLNs). This analysis was performed to determine, among patients with positive SLNs, the rate of nodal metastasis found in nonsentinel nodes (NSNs).\n\nMETHODS: This analysis includes patients with positive sentinel nodes, detected by hematoxylin and eosin (H&amp;E) staining or immunohistochemistry (IHC), who then underwent CLND.\n\nRESULTS: This analysis included 274 patients with at least one positive SLN who underwent CLND of 282 involved regional nodal basins. Of the 282 SLN-positive nodal basins, 45 (16%) were found to have positive NSNs in the CLND specimen. Breslow thickness, Clark level, presence of ulceration, histological subtype, presence of vertical growth phase, evidence of regression, presence of lymphovascular invasion, number of positive SLNs, age, sex, and presence of multiple draining nodal basins were not predictive of positive nodes in the CLND specimen. Patients with SLN metastases detected only by IHC had an equal likelihood of having positive NSNs as those patients with positive SLNs on H&amp;E examination.\n\nCONCLUSIONS: No patient population could be identified with minimal risk of non-SLN metastasis. When a positive SLN is identified on either H&amp;E staining or IHC, CLND should be performed routinely.", "author" : [ { "dropping-particle" : "", "family" : "McMasters", "given" : "Kelly M", "non-dropping-particle" : "", "parse-names" : false, "suffix" : "" }, { "dropping-particle" : "", "family" : "Wong", "given" : "Sandra L", "non-dropping-particle" : "", "parse-names" : false, "suffix" : "" }, { "dropping-particle" : "", "family" : "Edwards", "given" : "Michael J", "non-dropping-particle" : "", "parse-names" : false, "suffix" : "" }, { "dropping-particle" : "", "family" : "Chao", "given" : "Celia", "non-dropping-particle" : "", "parse-names" : false, "suffix" : "" }, { "dropping-particle" : "", "family" : "Ross", "given" : "Merrick I", "non-dropping-particle" : "", "parse-names" : false, "suffix" : "" }, { "dropping-particle" : "", "family" : "Noyes", "given" : "R Dirk", "non-dropping-particle" : "", "parse-names" : false, "suffix" : "" }, { "dropping-particle" : "", "family" : "Viar", "given" : "Vicki", "non-dropping-particle" : "", "parse-names" : false, "suffix" : "" }, { "dropping-particle" : "", "family" : "Cerrito", "given" : "Patricia B", "non-dropping-particle" : "", "parse-names" : false, "suffix" : "" }, { "dropping-particle" : "", "family" : "Reintgen", "given" : "Douglas S", "non-dropping-particle" : "", "parse-names" : false, "suffix" : "" } ], "container-title" : "Annals of surgical oncology", "id" : "ITEM-2", "issue" : "2", "issued" : { "date-parts" : [ [ "2002", "3" ] ] }, "page" : "137-41", "title" : "Frequency of nonsentinel lymph node metastasis in melanoma.", "type" : "article-journal", "volume" : "9" }, "uris" : [ "http://www.mendeley.com/documents/?uuid=b500c2b9-f2c6-482b-840c-42fe86a3becc" ] }, { "id" : "ITEM-3", "itemData" : { "ISSN" : "0002-9610", "PMID" : "12885597", "abstract" : "BACKGROUND: The incidence of residual occult disease in nonsentinel lymph nodes (NSLN) after a positive sentinel lymph node (SLN) biopsy in patients with melanoma is relatively low. The purpose of this study is to identify factors that may be predictive of occult NSLN metastases after positive SLN biopsy.\n\nMETHODS: Fifty-six consecutive melanoma patients with positive sentinel nodes who subsequently underwent complete lymph node dissection (CLND) were evaluated.\n\nRESULTS: Only the number of positive SLN predicted the status on NSLN by univariate (P = 0.008) and multivariate (P = 0.028) analyses. None of the other variables (characteristics of SLN metastases, number of draining nodal basins, age, sex, thickness, Clark level, ulceration, number of mitoses/mm(2), histological subtype, and location of the primary) significantly predicted CLND results.\n\nCONCLUSIONS: Identifying patients with residual lymph node basin disease remains difficult. Thus, lymph node dissection should be performed in all patients after positive sentinel node biopsy.", "author" : [ { "dropping-particle" : "", "family" : "Salti", "given" : "George I", "non-dropping-particle" : "", "parse-names" : false, "suffix" : "" }, { "dropping-particle" : "", "family" : "Gupta", "given" : "Tapas K", "non-dropping-particle" : "Das", "parse-names" : false, "suffix" : "" } ], "container-title" : "American journal of surgery", "id" : "ITEM-3", "issue" : "2", "issued" : { "date-parts" : [ [ "2003", "8" ] ] }, "page" : "98-101", "title" : "Predicting residual lymph node basin disease in melanoma patients with sentinel lymph node metastases.", "type" : "article-journal", "volume" : "186" }, "uris" : [ "http://www.mendeley.com/documents/?uuid=cd89c604-45f2-4f9d-ac9c-d81ed5254b9f" ] }, { "id" : "ITEM-4", "itemData" : { "ISSN" : "1068-9265", "PMID" : "12513956", "abstract" : "BACKGROUND: Most melanoma patients with a positive sentinel lymph node dissection (SLND) undergo a completion lymph node dissection (CLND) that does not yield additional positive nonsentinel lymph nodes (NSLN). This study was designed to determine if NSLN status can be predicted using patient, primary tumor, and sentinel lymph node (SLN) characteristics. METHODS: The study population includes melanoma patients who had a positive SLND and subsequently underwent CLND retrieved from our prospective institutional melanoma database. The primary tumor and SLN pathologies were prospectively determined. An Size/Ulceration (SU) score was derived by assigning 1 point for primary tumor ulceration and 1 point for SLN tumor size &gt;2 mm. RESULTS: Ninety-eight patients had a positive SLND and underwent CLND. Sixteen of these patients had a positive NSLN. On univariate analysis, primary tumor characteristics (thickness, ulceration, no regression), SLN metastasis characteristics (size &gt;2 mm, location nonsubcapsular), and SU score were all significantly associated with positive NSLN status. However, on multivariate analysis, only the SU score was a significant independent predictor of NSLN status. No patient with an SU score of 0 had a positive NSLN. CONCLUSIONS: The SU score is predictive of NSLN status in patients with a positive SLND. Patients with an SU score of 0 are very unlikely to have positive NSLNs at CLND.", "author" : [ { "dropping-particle" : "", "family" : "Reeves", "given" : "Mark E", "non-dropping-particle" : "", "parse-names" : false, "suffix" : "" }, { "dropping-particle" : "", "family" : "Delgado", "given" : "Ruby", "non-dropping-particle" : "", "parse-names" : false, "suffix" : "" }, { "dropping-particle" : "", "family" : "Busam", "given" : "Klaus J", "non-dropping-particle" : "", "parse-names" : false, "suffix" : "" }, { "dropping-particle" : "", "family" : "Brady", "given" : "Mary S", "non-dropping-particle" : "", "parse-names" : false, "suffix" : "" }, { "dropping-particle" : "", "family" : "Coit", "given" : "Daniel G", "non-dropping-particle" : "", "parse-names" : false, "suffix" : "" } ], "container-title" : "Annals of surgical oncology", "id" : "ITEM-4", "issue" : "1", "issued" : { "date-parts" : [ [ "2003", "1" ] ] }, "page" : "27-31", "title" : "Prediction of nonsentinel lymph node status in melanoma.", "type" : "article-journal", "volume" : "10" }, "uris" : [ "http://www.mendeley.com/documents/?uuid=dd075209-8de4-4cf7-82ea-21bc5154931f" ] }, { "id" : "ITEM-5", "itemData" : { "DOI" : "10.1038/modpathol.3800117", "ISSN" : "0893-3952", "PMID" : "15098011", "abstract" : "Lymphatic mapping and sentinel node biopsy are well-established techniques for staging and managing patients with melanoma, breast cancer and other malignancies that spread initially to the regional lymph nodes. Identification of tumor in the sentinel node is the most precise staging technique currently available. The sentinel node is the site of metastatic melanoma in approximately 20% of melanoma patients and if tumor is present in the sentinel node it is customary to perform a complete dissection of the lymph nodes of the affected nodal basin. This may be overtreatment for some patients as tumor is identified in the nonsentinel nodes of only one-third of sentinel node-positive melanoma patients treated by completion lymphadenectomy. If it were possible accurately to identify the minority of patients with tumor in the nonsentinel nodes, the patients most likely to benefit from lymphadenectomy, the remaining patients could be spared a potentially morbid operation that is unlikely to confer clinical advantage. In 90 patients with a melanoma-positive sentinel node, who subsequently had a completion lymphadenectomy, we evaluated and compared the capacity of characteristics of the primary melanoma and of the sentinel node to predict individuals likely to have tumor in nonsentinel nodes. We assessed the Breslow thickness of the primary, the amount of tumor in the sentinel node (relative tumor area) and, as an index of immune modulation of the sentinel node, the density of dendritic leukocytes in the nodal paracortex. The relative area of tumor in the sentinel node and Breslow thickness of the primary melanoma most accurately predicted the presence of tumor in the nonsentinel nodes (P=0.0001 in both cases-Wilcoxon rank sums). The presence of melanoma in the nonsentinel nodes was also predicted by the density of dendritic leukocytes in the paracortex (P=0.008-Wilcoxon rank sums). These three observations assessed alone and in combination predict the presence of tumor in the nonsentinel nodes with high accuracy. The same characteristics also significantly correlated with tumor recurrence (tumor burden, P=0.0001, Breslow, P=0.0001 and dendritic cell density, P=0.0007) and death from melanoma (tumor burden, P=0.0001, Breslow, P=0.0001 and dendritic cell density, P=0.0026).", "author" : [ { "dropping-particle" : "", "family" : "Cochran", "given" : "Alistair J", "non-dropping-particle" : "", "parse-names" : false, "suffix" : "" }, { "dropping-particle" : "", "family" : "Wen", "given" : "Duan-Ren", "non-dropping-particle" : "", "parse-names" : false, "suffix" : "" }, { "dropping-particle" : "", "family" : "Huang", "given" : "Rong-Rong", "non-dropping-particle" : "", "parse-names" : false, "suffix" : "" }, { "dropping-particle" : "", "family" : "Wang", "given" : "Hei-Jing", "non-dropping-particle" : "", "parse-names" : false, "suffix" : "" }, { "dropping-particle" : "", "family" : "Elashoff", "given" : "Robert", "non-dropping-particle" : "", "parse-names" : false, "suffix" : "" }, { "dropping-particle" : "", "family" : "Morton", "given" : "Donald L", "non-dropping-particle" : "", "parse-names" : false, "suffix" : "" } ], "container-title" : "Modern pathology : an official journal of the United States and Canadian Academy of Pathology, Inc", "id" : "ITEM-5", "issue" : "7", "issued" : { "date-parts" : [ [ "2004", "7" ] ] }, "page" : "747-55", "title" : "Prediction of metastatic melanoma in nonsentinel nodes and clinical outcome based on the primary melanoma and the sentinel node.", "type" : "article-journal", "volume" : "17" }, "uris" : [ "http://www.mendeley.com/documents/?uuid=d0752a8e-70d4-4d94-987d-117669bd61d2" ] }, { "id" : "ITEM-6", "itemData" : { "DOI" : "10.1200/JCO.2004.01.012", "ISSN" : "0732-183X", "PMID" : "15365064", "abstract" : "PURPOSE: Approximately 20% of sentinel node (SN) positive melanoma patients have additional non-SN (NSN) metastasis. The rationale for this study was to identify the factors associated with additional nodal disease, as a method to determine which patients may most benefit from completion lymph node dissection (CLND).\n\nPATIENTS AND METHODS: During 1990 to 2002, 1,599 patients have undergone SN biopsy at our institute. 19.5% underwent CLND for tumor-positive SN. One hundred ninety-one of these patients had clinicopathologic information available for review. Univariate analyses used chi2 test, Wilcoxson rank sum test, and chi2 test for trend. Multivariate analyses used logistic regression and Wald test.\n\nRESULTS: Forty-six (24%) patients had tumor-positive NSN. Univariate analyses showed that primary thickness (Breslow and Clark), primary site, SN tumor size, and number of tumor-positive SNs were significantly associated with tumor-positive NSN. Multivariate analysis (167 patients), confirmed that Breslow and SN tumor size were independently predictive. Sex, histology, ulceration, mitotic index, and SN basin location were not predictive. Risk stratification by the number of prognostic factors present (Breslow &gt; or = 3 mm and SN tumor size &gt; or = 2 mm) showed that probability of finding tumor-positive NSN was 12.3% in the low-risk group (0 factors), 30.9% in the intermediate-risk group (1 factor), and 41.9% in the high-risk group (2 factors).\n\nCONCLUSION: Thicker primary and larger SN tumor size are factors that correlate best with tumor-positive NSN. Although none of these factors are absolutely predictive of residual nodal disease, these factors must be strongly considered if the SN contains metastasis, as they provide enhanced risk assessment for NSN tumor-positivity.", "author" : [ { "dropping-particle" : "", "family" : "Lee", "given" : "J. H.", "non-dropping-particle" : "", "parse-names" : false, "suffix" : "" } ], "container-title" : "Journal of Clinical Oncology", "id" : "ITEM-6", "issue" : "18", "issued" : { "date-parts" : [ [ "2004", "8", "9" ] ] }, "page" : "3677-3684", "title" : "Factors Predictive of Tumor-Positive Nonsentinel Lymph Nodes After Tumor-Positive Sentinel Lymph Node Dissection for Melanoma", "type" : "article-journal", "volume" : "22" }, "uris" : [ "http://www.mendeley.com/documents/?uuid=143cecc4-6e2c-4cf1-b264-d26ab3e23368" ] }, { "id" : "ITEM-7", "itemData" : { "DOI" : "10.1309/TDWJ-TR15-TDM1-TG7Q", "ISSN" : "0002-9173", "PMID" : "15487450", "abstract" : "The aim of the present study was to determine whether micromorphometric features of positive sentinel lymph nodes (SLNs) from patients with melanoma are useful for predicting further nodal involvement in completion lymph node dissection (CLND) specimens. Of 986 patients with melanoma undergoing SLN biopsy between March 1992 and February 2001, 175 (17.7%) had at least 1 positive SLN and 140 had subsequent CLND specimens available for review. Further nodal involvement in CLND specimens was present in 24 (17.1%) of 140 patients. Of 8 micromorphometric features of the SLNs that were assessed, the presence of metastases in CLND specimens was correlated significantly with a tumor penetrative depth (maximum distance of melanoma cells from the inner margin of the SLN capsule) of more than 2 mm (P &lt; .05), a deposit size of more than 10 mm2 (P &lt; .01), the presence of melanoma cells in perinodal lymphatic vessels (P &lt; .01), and the effacement of nodal architecture by metastatic melanoma cells (P &lt; .05). Our results indicate that some morphologic features of melanoma metastases in SLNs predict the likelihood of further nodal involvement in CLND specimens.", "author" : [ { "dropping-particle" : "", "family" : "Scolyer", "given" : "Richard A.", "non-dropping-particle" : "", "parse-names" : false, "suffix" : "" }, { "dropping-particle" : "", "family" : "Li", "given" : "Ling-Xi L.", "non-dropping-particle" : "", "parse-names" : false, "suffix" : "" }, { "dropping-particle" : "", "family" : "McCarthy", "given" : "Stanley W.", "non-dropping-particle" : "", "parse-names" : false, "suffix" : "" }, { "dropping-particle" : "", "family" : "Shaw", "given" : "Helen M.", "non-dropping-particle" : "", "parse-names" : false, "suffix" : "" }, { "dropping-particle" : "", "family" : "Stretch", "given" : "Jonathan R.", "non-dropping-particle" : "", "parse-names" : false, "suffix" : "" }, { "dropping-particle" : "", "family" : "Sharma", "given" : "Raghwa", "non-dropping-particle" : "", "parse-names" : false, "suffix" : "" }, { "dropping-particle" : "", "family" : "Thompson", "given" : "John F.", "non-dropping-particle" : "", "parse-names" : false, "suffix" : "" } ], "container-title" : "American Journal of Clinical Pathology", "id" : "ITEM-7", "issue" : "4", "issued" : { "date-parts" : [ [ "2004", "1", "1" ] ] }, "page" : "532-539", "title" : "Micromorphometric Features of Positive Sentinel Lymph Nodes Predict Involvement of Nonsentinel Nodes in Patients With Melanoma", "type" : "article-journal", "volume" : "122" }, "uris" : [ "http://www.mendeley.com/documents/?uuid=01d47762-5d11-4c90-8aea-5d384b9c7a56" ] }, { "id" : "ITEM-8", "itemData" : { "ISSN" : "1068-9265", "PMID" : "15023745", "abstract" : "The most successful strategies in the management of melanoma have always been based on early diagnosis and timely surgical removal. Sentinel lymphonodectomy (SLNE) is the most reliable technique for the detection of melanoma micrometastases in regional lymph nodes. The micromorphometric S-classification, a routinely determinable surrogate of tumor burden in the sentinel lymph node (SLN), has high prognostic relevance. SIII metastases, defined by a depth of invasion (d) greater than 1 mm below the capsular level, imply a risk of more than 50% for the presence of nonsentinel lymph node metastases in the same basin and for the emergence of distant metastases within 5 years of follow-up. Corresponding risks with SI metastases (d &lt;/= 0.3 mm) and SII metastases (0.3 mm &lt; d &lt;/= 1 mm) do not exceed 15%. The survival curve for patients with SIII metastases approaches that of patients in the pre-SLNE era who underwent delayed lymph node dissection for subsequently detected nodal macrometastases. The survival of patients with initially removed SI and SII metastases is much better, similar to that of patients with S0 metastases. This explains the significant survival benefit of SLN-guided surgery in the entire population of patients with melanomas thicker than 0.75 mm, although the outcome of the subgroup without nodal metastases is not influenced by SLNE.", "author" : [ { "dropping-particle" : "", "family" : "Starz", "given" : "Hans", "non-dropping-particle" : "", "parse-names" : false, "suffix" : "" }, { "dropping-particle" : "", "family" : "Siedlecki", "given" : "Katharina", "non-dropping-particle" : "", "parse-names" : false, "suffix" : "" }, { "dropping-particle" : "", "family" : "Balda", "given" : "Bernd-R\u00fcdiger", "non-dropping-particle" : "", "parse-names" : false, "suffix" : "" } ], "container-title" : "Annals of surgical oncology", "id" : "ITEM-8", "issue" : "3 Suppl", "issued" : { "date-parts" : [ [ "2004", "3" ] ] }, "page" : "162S-8S", "title" : "Sentinel lymphonodectomy and s-classification: a successful strategy for better prediction and improvement of outcome of melanoma.", "type" : "article-journal", "volume" : "11" }, "uris" : [ "http://www.mendeley.com/documents/?uuid=a13a8b9a-f140-4674-8fb0-453c2e6a863a" ] }, { "id" : "ITEM-9", "itemData" : { "DOI" : "10.1200/JCO.2004.12.177", "ISSN" : "0732-183X", "PMID" : "15310779", "abstract" : "PURPOSE: Sentinel node biopsy is now widely accepted as the most accurate prognostic indicator in melanoma, and is important in guiding management of patients with clinical stage I or II disease. Patients with a positive sentinel node have conventionally undergone completion lymphadenectomy (CLND) of the involved basin, but only 20% have involvement beyond the sentinel node, suggesting that CLND may be unnecessary for the other 80% of patients. This study seeks to identify criteria that might be used to be more restrictive in selecting those who should undergo CLND.\n\nMETHODS: A total of 146 patients were identified who had had a positive sentinel node biopsy for malignant melanoma. Their sentinel nodes and lymphadenectomy specimens were re-evaluated pathologically. The metastatic melanoma in each sentinel node was assessed according to its microanatomic location within the node (subcapsular, combined subcapsular and parenchymal, parenchymal, multifocal, or extensive), and this was correlated with the presence of involved nonsentinel nodes in the CLND. The depth of the metastases from the sentinel node capsule was also recorded.\n\nRESULTS: The metastatic deposits in the sentinel node were subcapsular in 26.0% of patients. None of these patients had any nonsentinel nodes involved on CLND. In the patients whose sentinel node metastases had a different microanatomic location, the rate of nonsentinel node involvement was 22.2% overall.\n\nCONCLUSION: The microanatomic location of metastases within sentinel nodes predicts nonsentinel lymph node involvement. In patients with only subcapsular deposits in the sentinel node, it is possible that CLND could safely be avoided.", "author" : [ { "dropping-particle" : "", "family" : "Dewar", "given" : "D J", "non-dropping-particle" : "", "parse-names" : false, "suffix" : "" }, { "dropping-particle" : "", "family" : "Newell", "given" : "B", "non-dropping-particle" : "", "parse-names" : false, "suffix" : "" }, { "dropping-particle" : "", "family" : "Green", "given" : "M A", "non-dropping-particle" : "", "parse-names" : false, "suffix" : "" }, { "dropping-particle" : "", "family" : "Topping", "given" : "A P", "non-dropping-particle" : "", "parse-names" : false, "suffix" : "" }, { "dropping-particle" : "", "family" : "Powell", "given" : "B W E M", "non-dropping-particle" : "", "parse-names" : false, "suffix" : "" }, { "dropping-particle" : "", "family" : "Cook", "given" : "M G", "non-dropping-particle" : "", "parse-names" : false, "suffix" : "" } ], "container-title" : "Journal of clinical oncology : official journal of the American Society of Clinical Oncology", "id" : "ITEM-9", "issue" : "16", "issued" : { "date-parts" : [ [ "2004", "8", "15" ] ] }, "page" : "3345-9", "title" : "The microanatomic location of metastatic melanoma in sentinel lymph nodes predicts nonsentinel lymph node involvement.", "type" : "article-journal", "volume" : "22" }, "uris" : [ "http://www.mendeley.com/documents/?uuid=4506cae2-267b-47ed-99e3-fa46fed76ab8" ] }, { "id" : "ITEM-10", "itemData" : { "ISSN" : "0960-8931", "PMID" : "16034304", "abstract" : "The purpose of this study was to identify melanoma patients with positive sentinel lymph nodes (SLNs) at increased risk for further metastases in this specific lymph node basin. A series of consecutive patients with primary malignant melanoma stage I and II were evaluated retrospectively. The results of SLN biopsy in 26 patients with positive SLNs were compared with those of complete regional lymph node dissection (RLND) using the recently published S-classification of SLNs. The results of S-classification of SLNs were correlated with the outcome of complete RLND. There was a significant correlation between the S stage of positive SLNs and the results of complete RLND (P=0.02). Only patients with SIII stage (n=4) SLNs were found to have further metastases in the residual lymph node basin. The present study indicates that patients with SI stage and SII stage SLNs rarely have further metastases in the specific lymph node basin.", "author" : [ { "dropping-particle" : "", "family" : "Fink", "given" : "Astrid M", "non-dropping-particle" : "", "parse-names" : false, "suffix" : "" }, { "dropping-particle" : "", "family" : "Weihsengruber", "given" : "Felix", "non-dropping-particle" : "", "parse-names" : false, "suffix" : "" }, { "dropping-particle" : "", "family" : "Spangl", "given" : "Bernhard", "non-dropping-particle" : "", "parse-names" : false, "suffix" : "" }, { "dropping-particle" : "", "family" : "Feichtinger", "given" : "Hans", "non-dropping-particle" : "", "parse-names" : false, "suffix" : "" }, { "dropping-particle" : "", "family" : "Lilgenau", "given" : "Nikolaus", "non-dropping-particle" : "", "parse-names" : false, "suffix" : "" }, { "dropping-particle" : "", "family" : "Rappersberger", "given" : "Klemens", "non-dropping-particle" : "", "parse-names" : false, "suffix" : "" }, { "dropping-particle" : "", "family" : "Jurecka", "given" : "Wolfgang", "non-dropping-particle" : "", "parse-names" : false, "suffix" : "" }, { "dropping-particle" : "", "family" : "Steiner", "given" : "Andreas", "non-dropping-particle" : "", "parse-names" : false, "suffix" : "" } ], "container-title" : "Melanoma research", "id" : "ITEM-10", "issue" : "4", "issued" : { "date-parts" : [ [ "2005", "8" ] ] }, "page" : "267-71", "title" : "S-classification of sentinel lymph node biopsy predicts the results of complete regional lymph node dissection.", "type" : "article-journal", "volume" : "15" }, "uris" : [ "http://www.mendeley.com/documents/?uuid=06d1b817-430a-43de-bb2e-a318041dcac1" ] }, { "id" : "ITEM-11", "itemData" : { "abstract" : "BACKGROUND: Patients found to harbor melanoma micrometastases in the sentinel lymph node (SLN) are recommended to proceed to complete lymph node dissection (CLND), although the majority of patients will have no additional disease identified in the nonsentinel lymph nodes (NSLNs). We sought to assess predictive factors associated with finding positive NSLNs, and identify a subset of patients with low likelihood of finding additional disease on CLND. STUDY DESIGN: We queried our prospective melanoma database for patients from January 1996 to August 2003 with a positive SLN. Univariable logistic regression models were fit for multiple factors and a positive NSLN. To derive a probabilistic model for occurrence of one or more positive NSLN(s), a multivariable logistic model was fit using a stepwise variable selection method. RESULTS: Of 980 patients who underwent SLN biopsy for cutaneous melanoma, 232 (24%) had a positive SLN; 221 (23%) followed by CLND. Of these patients, 34 (15%) had one or more positive NSLN(s). In multivariable analysis, male gender (odds ratio [OR] 3.6 [95% CI 1.33, 9.71]; p = 0.01), Breslow thickness (OR 4.58 [95% CI 1.28, 16.36]; p = 0.019), extranodal extension (OR 3.2 [95% CI 1.0, 10.5]; p = 0.05), and three or more positive sentinel nodes (OR 65.81 [95% CI 5.2, 825.7]; p = 0.001) were all associated with the likelihood of finding additional positive nodes on CLND. Of 47 patients with minimal tumor burden in the SLN, only 1 (2%) had additional disease in the NSLN. CONCLUSIONS: These results provide additional data to plan clinical trials to answer the question of who can safely avoid CLND after a positive SLN. Patients with minimal tumor burden in the SLN might be the most likely group, although defining \"minimal tumor burden\" must be standardized. Serial sectioning and immunohistochemistry on the NSLN in any \"low-risk\" group must be performed in a clinical trial to confirm that residual disease is unlikely before avoiding CLND can be recommended. \u00a9 2005 by the American College of Surgeons.", "author" : [ { "dropping-particle" : "", "family" : "Sabel", "given" : "Michael S.", "non-dropping-particle" : "", "parse-names" : false, "suffix" : "" }, { "dropping-particle" : "", "family" : "Griffith", "given" : "Kent", "non-dropping-particle" : "", "parse-names" : false, "suffix" : "" }, { "dropping-particle" : "", "family" : "Sondak", "given" : "Vernon K.", "non-dropping-particle" : "", "parse-names" : false, "suffix" : "" }, { "dropping-particle" : "", "family" : "Lowe", "given" : "Lori", "non-dropping-particle" : "", "parse-names" : false, "suffix" : "" }, { "dropping-particle" : "", "family" : "Schwartz", "given" : "Jennifer L.", "non-dropping-particle" : "", "parse-names" : false, "suffix" : "" }, { "dropping-particle" : "", "family" : "Cimmino", "given" : "Vincent M.", "non-dropping-particle" : "", "parse-names" : false, "suffix" : "" }, { "dropping-particle" : "", "family" : "Chang", "given" : "Alfred E.", "non-dropping-particle" : "", "parse-names" : false, "suffix" : "" }, { "dropping-particle" : "", "family" : "Rees", "given" : "Riley S.", "non-dropping-particle" : "", "parse-names" : false, "suffix" : "" }, { "dropping-particle" : "", "family" : "Bradford", "given" : "Carol R.", "non-dropping-particle" : "", "parse-names" : false, "suffix" : "" }, { "dropping-particle" : "", "family" : "Johnson", "given" : "Timothy M.", "non-dropping-particle" : "", "parse-names" : false, "suffix" : "" } ], "container-title" : "Journal of the American College of Surgeons", "id" : "ITEM-11", "issue" : "1", "issued" : { "date-parts" : [ [ "2005" ] ] }, "page" : "37-47", "title" : "Predictors of nonsentinel lymph node positivity in patients with a positive sentinel node for melanoma", "type" : "article-journal", "volume" : "201" }, "uris" : [ "http://www.mendeley.com/documents/?uuid=ba42c37e-0beb-4757-b901-754a60fc6450" ] }, { "id" : "ITEM-12", "itemData" : { "DOI" : "10.1245/ASO.2005.06.013", "ISSN" : "1068-9265", "PMID" : "15864481", "abstract" : "BACKGROUND: Even though 60% to 80% of melanoma patients with a positive sentinel lymph node (SLN) have no positive additional lymph nodes (ALNs), all these patients are subjected to an ALN dissection (ALND) with its associated morbidity. The aim of this study was to predict the absence of ALN metastases in patients with a positive SLN by using features of the primary melanoma and SLN tumor load.\n\nMETHODS: Of 71 SLN-positive patients, 52 had metastasis limited to the SLN (group 1), and 19 had &gt; or =1 positive ALN after ALND (group 2). The tumor load of the SLN was assessed by measuring the total surface area by computerized morphometry. Breslow thickness, ulceration and lymphatic invasion of the primary tumor, and total SLN metastatic area were tested as covariates predicting the absence of positive ALNs.\n\nRESULTS: The mean SLN metastatic area was 1.18 mm(2) (group 1) and 3.39 mm(2) (group 2) (P = .003) and was the only significant and independent factor after multivariate analysis (P = .02). None of the patients with both a Breslow thickness &lt;2.5 mm and an SLN metastatic area &lt;.3 mm(2) had a positive ALN.\n\nCONCLUSIONS: SLN metastatic area can be used to predict the absence of positive ALNs in melanoma patients. In this study, patients with a Breslow thickness &lt;2.5 mm and an SLN tumor load &lt;.3 mm(2 )seemed to have no positive ALN and had excellent survival. We hypothesize that this subgroup might not benefit from ALND. Prospective larger trials, using this model and randomizing between ALND and no ALND, should confirm this hypothesis.", "author" : [ { "dropping-particle" : "", "family" : "Vuylsteke", "given" : "Ronald J C L M", "non-dropping-particle" : "", "parse-names" : false, "suffix" : "" }, { "dropping-particle" : "", "family" : "Borgstein", "given" : "Paul J", "non-dropping-particle" : "", "parse-names" : false, "suffix" : "" }, { "dropping-particle" : "", "family" : "Leeuwen", "given" : "Paul A M", "non-dropping-particle" : "van", "parse-names" : false, "suffix" : "" }, { "dropping-particle" : "", "family" : "Gietema", "given" : "Hester A", "non-dropping-particle" : "", "parse-names" : false, "suffix" : "" }, { "dropping-particle" : "", "family" : "Molenkamp", "given" : "Barbara G", "non-dropping-particle" : "", "parse-names" : false, "suffix" : "" }, { "dropping-particle" : "", "family" : "Statius Muller", "given" : "Markwin G", "non-dropping-particle" : "", "parse-names" : false, "suffix" : "" }, { "dropping-particle" : "", "family" : "Diest", "given" : "Paul J", "non-dropping-particle" : "van", "parse-names" : false, "suffix" : "" }, { "dropping-particle" : "", "family" : "Sijp", "given" : "Joost R M", "non-dropping-particle" : "van der", "parse-names" : false, "suffix" : "" }, { "dropping-particle" : "", "family" : "Meijer", "given" : "Sybren", "non-dropping-particle" : "", "parse-names" : false, "suffix" : "" } ], "container-title" : "Annals of surgical oncology", "id" : "ITEM-12", "issue" : "6", "issued" : { "date-parts" : [ [ "2005", "6" ] ] }, "page" : "440-8", "title" : "Sentinel lymph node tumor load: an independent predictor of additional lymph node involvement and survival in melanoma.", "type" : "article-journal", "volume" : "12" }, "uris" : [ "http://www.mendeley.com/documents/?uuid=f4008c8d-246b-45be-954c-bbd5d8af0390" ] }, { "id" : "ITEM-13", "itemData" : { "DOI" : "10.1016/j.amjsurg.2006.08.062", "ISSN" : "1879-1883", "PMID" : "17161112", "abstract" : "BACKGROUND: A positive sentinel lymph node (SLN) biopsy is an indication for completion lymph node dissection (CLND) in malignant melanoma; however, most CLNDs are negative. We hypothesized SLN metastatic size of &lt; or =2 mm would predict CLND status and prognosis.\n\nMETHODS: We evaluated 80 consecutive patients undergoing CLND for positive SLNs over a 10-year period. Incidence of positive nonsentinel nodes and survival were compared for patients with SLN metastases &lt; or =2 mm and &gt;2 mm.\n\nRESULTS: Of 504 patients undergoing SLN biopsy, 49 patients had SLN deposits &lt; or =2 mm and a 6% incidence of positive CLNDs. Five-year survival was 85%, essentially the same as negative SLN biopsies. In contrast, 31 had SLN metastases &gt;2 mm, a 45% incidence of addition disease at CLND, and 5-year survival of 47% (P &lt; .0001).\n\nCONCLUSION: An SLN metastatic cut point of 2 mm is an efficient predictor of CLND status and survival in malignant melanoma.", "author" : [ { "dropping-particle" : "", "family" : "Pearlman", "given" : "Nathan W", "non-dropping-particle" : "", "parse-names" : false, "suffix" : "" }, { "dropping-particle" : "", "family" : "McCarter", "given" : "Martin D", "non-dropping-particle" : "", "parse-names" : false, "suffix" : "" }, { "dropping-particle" : "", "family" : "Frank", "given" : "Matthew", "non-dropping-particle" : "", "parse-names" : false, "suffix" : "" }, { "dropping-particle" : "", "family" : "Hurtubis", "given" : "Cheryl", "non-dropping-particle" : "", "parse-names" : false, "suffix" : "" }, { "dropping-particle" : "", "family" : "Merkow", "given" : "Ryan P", "non-dropping-particle" : "", "parse-names" : false, "suffix" : "" }, { "dropping-particle" : "", "family" : "Franklin", "given" : "Wilbur A", "non-dropping-particle" : "", "parse-names" : false, "suffix" : "" }, { "dropping-particle" : "", "family" : "Gonzalez", "given" : "Rene", "non-dropping-particle" : "", "parse-names" : false, "suffix" : "" }, { "dropping-particle" : "", "family" : "Lewis", "given" : "Karl", "non-dropping-particle" : "", "parse-names" : false, "suffix" : "" }, { "dropping-particle" : "", "family" : "Roaten", "given" : "J Brent", "non-dropping-particle" : "", "parse-names" : false, "suffix" : "" }, { "dropping-particle" : "", "family" : "Robinson", "given" : "William A", "non-dropping-particle" : "", "parse-names" : false, "suffix" : "" } ], "container-title" : "American journal of surgery", "id" : "ITEM-13", "issue" : "6", "issued" : { "date-parts" : [ [ "2006", "12" ] ] }, "page" : "878-81", "title" : "Size of sentinel node metastases predicts other nodal disease and survival in malignant melanoma.", "type" : "article-journal", "volume" : "192" }, "uris" : [ "http://www.mendeley.com/documents/?uuid=8b561a6b-e631-4cc0-9a77-6864402b5a97" ] }, { "id" : "ITEM-14", "itemData" : { "DOI" : "10.1200/JCO.2006.06.3198", "ISSN" : "1527-7755", "PMID" : "16983115", "abstract" : "PURPOSE: To evaluate the prognostic significance of sentinel node biopsy in the management of stage IB and II melanoma patients, and to evaluate the status of nonsentinel nodes as a \"second step key factor\" to assess the prognosis of these patients.\n\nPATIENTS AND METHODS: We conducted an analysis of data collected in a prospective database.\n\nRESULTS: From February 1994 to June 2005, 1,108 consecutive patients with stage IB and II melanoma were submitted to sentinel node biopsy; 176 patients (15.9%) had occult node metastases. The frequency of positive nodes increased with increasing Breslow's thickness. The largest diameter of metastatic foci and their localization within the lymph node were associated with the risk of nonsentinel node metastases only. The 5-year survival of patients with positive sentinel nodes was 81.4% in patients with one positive node and 39.6% in patients with two positive nodes (P = .056). Multivariate analysis indicated that status of sentinel nodes is a key factor and that sex and Breslow's thickness maintain statistically significant relevance. Ulceration, which was associated with survival when considered as single factor (P &lt; .001) had no impact on survival in the multivariate analysis (P = .10). To evaluate the relevance of metastases to nonsentinel nodes, we identified four groups of patients.\n\nCONCLUSION: Evaluation of the sentinel node is a useful procedure to identify patients to be submitted for complete lymph node dissection. The procedure makes it possible to assess the best prognosis of patients.", "author" : [ { "dropping-particle" : "", "family" : "Cascinelli", "given" : "Natale", "non-dropping-particle" : "", "parse-names" : false, "suffix" : "" }, { "dropping-particle" : "", "family" : "Bombardieri", "given" : "Emilio", "non-dropping-particle" : "", "parse-names" : false, "suffix" : "" }, { "dropping-particle" : "", "family" : "Bufalino", "given" : "Rosaria", "non-dropping-particle" : "", "parse-names" : false, "suffix" : "" }, { "dropping-particle" : "", "family" : "Camerini", "given" : "Tiziana", "non-dropping-particle" : "", "parse-names" : false, "suffix" : "" }, { "dropping-particle" : "", "family" : "Carbone", "given" : "Antonino", "non-dropping-particle" : "", "parse-names" : false, "suffix" : "" }, { "dropping-particle" : "", "family" : "Clemente", "given" : "Claudio", "non-dropping-particle" : "", "parse-names" : false, "suffix" : "" }, { "dropping-particle" : "", "family" : "Lenisa", "given" : "Leonardo", "non-dropping-particle" : "", "parse-names" : false, "suffix" : "" }, { "dropping-particle" : "", "family" : "Mascheroni", "given" : "Luigi", "non-dropping-particle" : "", "parse-names" : false, "suffix" : "" }, { "dropping-particle" : "", "family" : "Maurichi", "given" : "Andrea", "non-dropping-particle" : "", "parse-names" : false, "suffix" : "" }, { "dropping-particle" : "", "family" : "Pennacchioli", "given" : "Elisabetta", "non-dropping-particle" : "", "parse-names" : false, "suffix" : "" }, { "dropping-particle" : "", "family" : "Patuzzo", "given" : "Roberto", "non-dropping-particle" : "", "parse-names" : false, "suffix" : "" }, { "dropping-particle" : "", "family" : "Santinami", "given" : "Mario", "non-dropping-particle" : "", "parse-names" : false, "suffix" : "" }, { "dropping-particle" : "", "family" : "Tragni", "given" : "Gabrina", "non-dropping-particle" : "", "parse-names" : false, "suffix" : "" } ], "container-title" : "Journal of clinical oncology : official journal of the American Society of Clinical Oncology", "id" : "ITEM-14", "issue" : "27", "issued" : { "date-parts" : [ [ "2006", "9", "20" ] ] }, "page" : "4464-71", "title" : "Sentinel and nonsentinel node status in stage IB and II melanoma patients: two-step prognostic indicators of survival.", "type" : "article-journal", "volume" : "24" }, "uris" : [ "http://www.mendeley.com/documents/?uuid=87a2810c-0f27-4812-8c91-b5fcb57b53ff" ] }, { "id" : "ITEM-15", "itemData" : { "DOI" : "10.1111/j.1365-2133.2007.07937.x", "ISSN" : "0007-0963", "PMID" : "17501957", "abstract" : "BACKGROUND: Sentinel lymph node (SLN) positivity has been found to be strongly associated with a poor prognosis in melanoma.\n\nOBJECTIVES: This large referral centre study was conducted: (i) to confirm the powerful prognostic value of SLN biopsy (SLNB); (ii) to correlate patient prognosis to the micromorphometric features of SLN metastasis in SLN-positive patients; and (iii) to correlate these micromorphometric features to the likelihood of positive completion lymph node dissection (CLND).\n\nPATIENTS AND METHODS: SLNB was performed in 455 cases of primary melanoma between January 1999 and December 2004; for patients with positive SLN, the following micromorphometric features were registered: size of the largest metastasis (two diameters), depth of metastasis, number of millimetric slices involved, maximum number of metastases on a single section, presence of intracapsular lymphatic invasion and extracapsular spread. Kaplan-Meier survival curves were compared with the log-rank test; multivariate analysis was performed using a Cox regression model. Dependence of CLND status on micromorphometric features of SLN was assessed by the chi(2) test and predictive values of the different features were evaluated by multivariate analysis using a logistic regression model.\n\nRESULTS: A positive SLN was identified in 98 of our 455 cases. Survival was significantly shorter in SLN-positive patients than in SLN-negative patients. Extracapsular invasion was found to be an independent prognostic factor of disease-free survival; ulceration of the primary and the maximum diameter of the largest metastasis were identified as independent predictive factors of disease-specific survival. Age and the lowest diameter of the largest metastasis were identified as independent predictive criteria of positive CLND, whereas depth of metastasis was not. Positivity of CLND was not significantly associated with a worse prognosis.\n\nCONCLUSIONS: Our study confirms the previously demonstrated strong prognostic value of SLNB. It also confirms the relationship between tumour burden in the SLN (evaluated by the maximum diameter of the largest metastasis) and clinical outcome. We point out a new micromorphometric feature of SLN, which seems to be predictive of CLND status: the lowest diameter of the largest metastasis.", "author" : [ { "dropping-particle" : "", "family" : "Debarbieux", "given" : "S", "non-dropping-particle" : "", "parse-names" : false, "suffix" : "" }, { "dropping-particle" : "", "family" : "Duru", "given" : "G", "non-dropping-particle" : "", "parse-names" : false, "suffix" : "" }, { "dropping-particle" : "", "family" : "Dalle", "given" : "S", "non-dropping-particle" : "", "parse-names" : false, "suffix" : "" }, { "dropping-particle" : "", "family" : "B\u00e9atrix", "given" : "O", "non-dropping-particle" : "", "parse-names" : false, "suffix" : "" }, { "dropping-particle" : "", "family" : "Balme", "given" : "B", "non-dropping-particle" : "", "parse-names" : false, "suffix" : "" }, { "dropping-particle" : "", "family" : "Thomas", "given" : "L", "non-dropping-particle" : "", "parse-names" : false, "suffix" : "" } ], "container-title" : "The British journal of dermatology", "id" : "ITEM-15", "issue" : "1", "issued" : { "date-parts" : [ [ "2007", "7" ] ] }, "page" : "58-67", "title" : "Sentinel lymph node biopsy in melanoma: a micromorphometric study relating to prognosis and completion lymph node dissection.", "type" : "article-journal", "volume" : "157" }, "uris" : [ "http://www.mendeley.com/documents/?uuid=21e3987a-d610-454e-98d8-9ef8eb629ad1" ] }, { "id" : "ITEM-16", "itemData" : { "ISSN" : "0003-1348", "PMID" : "17674939", "abstract" : "Completion lymph node dissection (CLND) is routinely performed after metastatic melanoma is detected at sentinel lymph node (SLN) biopsy. Nonsentinel lymph node (NSLN) involvement is found in less than one-third of the cases. Possible predictors of NSLN involvement are examined. A retrospective review of 70 patients with a positive SLN biopsy for melanoma and drainage to one lymphatic basin was performed. The size of metastatic deposits was defined as macrometastases (&gt;2 mm), micrometastases (&lt; or =2 mm), a cluster of cells (10-30 grouped cells) in the subcapsular space or interfollicular zone, or isolated melanoma cells (1-20 or more individual cells) in subcapsular sinuses. Tumor stage, ulceration, SLN tumor burden, mitoses, number of positive SLNs, and total number of lymph nodes removed were examined as predictors of NSLN involvement after CLND. Two additional models based on SLN tumor burden and the number of nodes biopsied were designed. Nineteen patients (24.3%) were found to have NSLN metastases after CLND. Tumor stage, ulceration, SLN tumor burden, mitoses, number of positive SLN, and number of lymph nodes removed were not statistically significant. Residual disease at CLND stratified by SLN tumor burden was: isolated melanoma cells, 0; cluster of cells, 8 (38.1%); &lt; or =2 mm, 5 (20.8%); and &gt;2 mm, 6 (27.3%). A comparison of the means for the models was not predictive of NSLN involvement. None of the risk factors or models examined could predict nonsentinel lymph node involvement with melanoma. The SLN sample and minimal SLN metastatic disease when defined as isolated clusters of cells warrant further study as a potential indicator against CLND after positive SLN.", "author" : [ { "dropping-particle" : "", "family" : "Page", "given" : "Andrew J", "non-dropping-particle" : "", "parse-names" : false, "suffix" : "" }, { "dropping-particle" : "", "family" : "Carlson", "given" : "Grant W", "non-dropping-particle" : "", "parse-names" : false, "suffix" : "" }, { "dropping-particle" : "", "family" : "Delman", "given" : "Keith A", "non-dropping-particle" : "", "parse-names" : false, "suffix" : "" }, { "dropping-particle" : "", "family" : "Murray", "given" : "Douglas", "non-dropping-particle" : "", "parse-names" : false, "suffix" : "" }, { "dropping-particle" : "", "family" : "Hestley", "given" : "Andrea", "non-dropping-particle" : "", "parse-names" : false, "suffix" : "" }, { "dropping-particle" : "", "family" : "Cohen", "given" : "Cynthia", "non-dropping-particle" : "", "parse-names" : false, "suffix" : "" } ], "container-title" : "The American surgeon", "id" : "ITEM-16", "issue" : "7", "issued" : { "date-parts" : [ [ "2007", "7" ] ] }, "page" : "674-8; discussion 678-9", "title" : "Prediction of nonsentinel lymph node involvement in patients with a positive sentinel lymph node in malignant melanoma.", "type" : "article-journal", "volume" : "73" }, "uris" : [ "http://www.mendeley.com/documents/?uuid=fbc4895b-4b30-4cf2-93e9-c881a9f56cd1" ] }, { "id" : "ITEM-17", "itemData" : { "DOI" : "10.1245/s10434-007-9734-8", "ISSN" : "1534-4681", "PMID" : "18165880", "abstract" : "BACKGROUND: Identification of melanoma patients who need completion lymphadenectomy and adjuvant treatment after positive sentinel lymph node (SLN) biopsy would be a fundamental step forward toward personalized medicine. This study tested the hypothesis that the microscopic features of metastatic SLNs might predict not only nonsentinel lymph node (NSLN) status, but also patients' clinical outcomes.\n\nMETHODS: A retrospective analysis was performed on 96 consecutive melanoma patients who underwent completion lymphadenectomy after positive SLN biopsy. Patients' age and sex, primary tumor Breslow thickness, number of positive SLNs, the largest diameter and depth of invasion of metastatic deposits in the SLN, S stage, and pattern of nodal involvement were correlated with the presence of metastatic disease in NSLNs as well as with the likelihood of tumor recurrence and patient death.\n\nRESULTS: At pathological examination, 20 patients (20.8%) had metastatic melanoma in the NSLN. Pattern of nodal involvement, depth of invasion of SLN by metastatic disease, and S stage were statistically significantly associated with the presence of metastatic disease in NSLN. Multivariate analysis revealed that only the SLN depth of invasion was an independent predictor of NSLN status (P = .0035). This parameter was also significantly associated with disease-free and overall survival, both by univariate (P &lt; .0001 and P = .0006, respectively) and multivariate (P &lt; .0001 and P = .0013, respectively) survival analysis.\n\nCONCLUSIONS: These findings support further investigation of SLN depth of invasion as a predictive factor of potential clinical use to select patients as candidates for completion lymphadenectomy and adjuvant treatment.", "author" : [ { "dropping-particle" : "", "family" : "Rossi", "given" : "Carlo Riccardo", "non-dropping-particle" : "", "parse-names" : false, "suffix" : "" }, { "dropping-particle" : "", "family" : "Salvo", "given" : "Gian Luca", "non-dropping-particle" : "De", "parse-names" : false, "suffix" : "" }, { "dropping-particle" : "", "family" : "Bonandini", "given" : "Elena", "non-dropping-particle" : "", "parse-names" : false, "suffix" : "" }, { "dropping-particle" : "", "family" : "Mocellin", "given" : "Simone", "non-dropping-particle" : "", "parse-names" : false, "suffix" : "" }, { "dropping-particle" : "", "family" : "Foletto", "given" : "Mirto", "non-dropping-particle" : "", "parse-names" : false, "suffix" : "" }, { "dropping-particle" : "", "family" : "Pasquali", "given" : "Sandro", "non-dropping-particle" : "", "parse-names" : false, "suffix" : "" }, { "dropping-particle" : "", "family" : "Pilati", "given" : "Pierluigi", "non-dropping-particle" : "", "parse-names" : false, "suffix" : "" }, { "dropping-particle" : "", "family" : "Lise", "given" : "Mario", "non-dropping-particle" : "", "parse-names" : false, "suffix" : "" }, { "dropping-particle" : "", "family" : "Nitti", "given" : "Donato", "non-dropping-particle" : "", "parse-names" : false, "suffix" : "" }, { "dropping-particle" : "", "family" : "Rizzo", "given" : "Elisa", "non-dropping-particle" : "", "parse-names" : false, "suffix" : "" }, { "dropping-particle" : "", "family" : "Montesco", "given" : "Maria Cristina", "non-dropping-particle" : "", "parse-names" : false, "suffix" : "" } ], "container-title" : "Annals of surgical oncology", "id" : "ITEM-17", "issue" : "4", "issued" : { "date-parts" : [ [ "2008", "4" ] ] }, "page" : "1202-10", "title" : "Factors predictive of nonsentinel lymph node involvement and clinical outcome in melanoma patients with metastatic sentinel lymph node.", "type" : "article-journal", "volume" : "15" }, "uris" : [ "http://www.mendeley.com/documents/?uuid=1eae11c2-e4cc-4656-8016-e49758758783" ] }, { "id" : "ITEM-18", "itemData" : { "DOI" : "10.1245/s10434-008-9888-z", "ISSN" : "1534-4681", "PMID" : "18389323", "abstract" : "BACKGROUND: Previous studies described various criteria in sentinel lymph nodes (SLN) of melanoma patients that predict the involvement of further, nonsentinel lymph nodes (NSLN). Such criteria may facilitate the selection of patients who might benefit from a completion lymph node dissection (CLND). However, it is currently unclear which parameters are most important.\n\nMETHODS: A total of 180 melanoma patients with positive SLNB and subsequent CLND were investigated. Histopathologic parameters in the SLN were systematically evaluated and compared with regard to NSLN positivity. Twenty-eight of these patients (16.0%) had positive NSLN.\n\nRESULTS: By univariate analysis several criteria with regard to tumor burden and location of melanoma cells in the SLN correlated with NSLN involvement, such as positivity by hematoxylin-eosin (H&amp;E) staining (P &lt; .001), largest diameter of clusters (P &lt; .001), capsular involvement (P = .001), extranodal extension (P &lt; .001), and tumor penetrative depth (P &lt; .001). Multivariate analysis revealed three independent parameters: (1) positivity of the SLN by H&amp;E staining (versus by immunohistochemistry alone), (2) relative tumor burden &gt; 10% of total lymph node tissue, and (3) perinodal intralymphatic tumor. In 23 of 28 patients with positive NSLN the SLN was positive by H&amp;E staining, in 15 of 28 patients the relative tumor burden was &gt; 10%, and 13 of 28 showed perinodal intralymphatic tumor. In 5 of 28 patients with NSLN involvement, these three parameters were negative.\n\nCONCLUSIONS: Histopathologic examination of the SLN can identify patients at risk for NSLN positivity.", "author" : [ { "dropping-particle" : "", "family" : "Satzger", "given" : "Imke", "non-dropping-particle" : "", "parse-names" : false, "suffix" : "" }, { "dropping-particle" : "", "family" : "V\u00f6lker", "given" : "Bernward", "non-dropping-particle" : "", "parse-names" : false, "suffix" : "" }, { "dropping-particle" : "", "family" : "Meier", "given" : "Andre", "non-dropping-particle" : "", "parse-names" : false, "suffix" : "" }, { "dropping-particle" : "", "family" : "Kapp", "given" : "Alexander", "non-dropping-particle" : "", "parse-names" : false, "suffix" : "" }, { "dropping-particle" : "", "family" : "Gutzmer", "given" : "Ralf", "non-dropping-particle" : "", "parse-names" : false, "suffix" : "" } ], "container-title" : "Annals of surgical oncology", "id" : "ITEM-18", "issue" : "6", "issued" : { "date-parts" : [ [ "2008", "6" ] ] }, "page" : "1723-32", "title" : "Criteria in sentinel lymph nodes of melanoma patients that predict involvement of nonsentinel lymph nodes.", "type" : "article-journal", "volume" : "15" }, "uris" : [ "http://www.mendeley.com/documents/?uuid=a8f6bd8b-14f6-4b65-a100-7171b12ba9ba" ] }, { "id" : "ITEM-19", "itemData" : { "DOI" : "10.1200/JCO.2007.15.4179", "ISSN" : "1527-7755", "PMID" : "18606982", "abstract" : "PURPOSE: We and others have demonstrated that additional positive lymph nodes (LNs) are identified in only 8% to 33% of patients with melanoma who have positive sentinel LNs (SLNs) and undergo complete therapeutic LN dissection (cTLND). We sought to determine predictors of additional regional LN involvement in patients with positive SLNs.\n\nPATIENTS AND METHODS: Patients with clinically node-negative melanoma who underwent SLN biopsy (1991 to 2003) and had positive SLNs were identified. Clinicopathologic factors, including extent of microscopic disease within SLNs, were evaluated as potential predictors of positive non-SLNs.\n\nRESULTS: Overall, 359 (16.3%) of the 2,203 patients identified had a positive SLN. Positive non-SLNs were identified in 48 (14.0%) of the 343 patients with positive SLNs who underwent cTLND. On univariate analysis, several measures of SLN microscopic tumor burden, one versus three or more SLNs harvested, tumor thickness more than 2 mm, age older than 50 years, and Clark level higher than III were predictive of positive non-SLNs; primary tumor ulceration and number of positive SLNs had no apparent impact. On multivariable logistic regression analysis, measures of SLN microscopic tumor burden were the most significant independent predictors of positive non-SLNs; tumor thickness more than 2 mm and number of SLNs harvested also predicted additional disease. A model was developed that stratified patients according to their risk for non-SLN involvement.\n\nCONCLUSION: In melanoma patients with positive SLNs, SLN tumor burden, primary tumor thickness, and number of SLNs harvested may be useful in identifying a group at low risk for positive non-SLNs and be spared the potential morbidity of a cTLND.", "author" : [ { "dropping-particle" : "", "family" : "Gershenwald", "given" : "Jeffrey E", "non-dropping-particle" : "", "parse-names" : false, "suffix" : "" }, { "dropping-particle" : "", "family" : "Andtbacka", "given" : "Robert H I", "non-dropping-particle" : "", "parse-names" : false, "suffix" : "" }, { "dropping-particle" : "", "family" : "Prieto", "given" : "Victor G", "non-dropping-particle" : "", "parse-names" : false, "suffix" : "" }, { "dropping-particle" : "", "family" : "Johnson", "given" : "Marcella M", "non-dropping-particle" : "", "parse-names" : false, "suffix" : "" }, { "dropping-particle" : "", "family" : "Diwan", "given" : "A Hafeez", "non-dropping-particle" : "", "parse-names" : false, "suffix" : "" }, { "dropping-particle" : "", "family" : "Lee", "given" : "Jeffrey E", "non-dropping-particle" : "", "parse-names" : false, "suffix" : "" }, { "dropping-particle" : "", "family" : "Mansfield", "given" : "Paul F", "non-dropping-particle" : "", "parse-names" : false, "suffix" : "" }, { "dropping-particle" : "", "family" : "Cormier", "given" : "Janice N", "non-dropping-particle" : "", "parse-names" : false, "suffix" : "" }, { "dropping-particle" : "", "family" : "Schacherer", "given" : "Christopher W", "non-dropping-particle" : "", "parse-names" : false, "suffix" : "" }, { "dropping-particle" : "", "family" : "Ross", "given" : "Merrick I", "non-dropping-particle" : "", "parse-names" : false, "suffix" : "" } ], "container-title" : "Journal of clinical oncology : official journal of the American Society of Clinical Oncology", "id" : "ITEM-19", "issue" : "26", "issued" : { "date-parts" : [ [ "2008", "9", "10" ] ] }, "page" : "4296-303", "title" : "Microscopic tumor burden in sentinel lymph nodes predicts synchronous nonsentinel lymph node involvement in patients with melanoma.", "type" : "article-journal", "volume" : "26" }, "uris" : [ "http://www.mendeley.com/documents/?uuid=123e0a9a-4b3c-4a5f-8e41-9b53cd07a69f" ] }, { "id" : "ITEM-20", "itemData" : { "DOI" : "10.1093/annonc/mdl176", "ISSN" : "0923-7534", "PMID" : "16968875", "abstract" : "As only about 20% of sentinel node (SN) positive melanoma patients have additional non-SN lymph node involvement in the Completion Lymph Node Dissection (CLND) specimen, we tried to identify a SN positive patient group, which can be spared CLND. Micro anatomic analyses of metastatic SNs were performed to identify patient/tumor and/or SN factors predicting additional non-SN positivity as well as disease-free and overall survival. SN positivity was found in 77 of 262 stage I/II patients, included into a prospective database (10/97-5/04). Of 74 patients pathology material was available for re-evaluation. Micro anatomic analyses categorized topography of SN-metastases, Starz classification and amount of SN tumor burden. Additional non-SN positivity, DFS, OS and was calculated for all analyses. Mean Breslow thickness was 3.5 mm (0.8-12.0); mean FU was 35 (6-81) months. There was no additional non-SN positivity for SN-micrometastases &lt;0.1 mm. Topography of SN involvement had no impact on OS. Estimated 5-year OS rates for the different groups of &lt;0.1 mm, 0.1-1.0 mm and &gt;1.0 mm SN tumor burden were 100%, 63% and 35% respectively. Distant metastases were exceedingly rare (1/16 = 6.3%) in &lt;0.1 mm SN-positive patients. On multivariate analysis the SN tumor burden was the most important prognostic factor for DFS (P = 0.005) and OS (P = 0.03). Distant metastasis-free survival was identical (91%) to the 5-yr OS of SN negative patients, the estimated 5-yr OS was 100% for these patients and additional non-SN positivity was not observed. Therefore, our data suggest that patients with sub-micrometastases (&lt;0.1 mm) in the SN may be judged as SN negative, as non-stage III, and are highly unlikely to benefit from CLND, which we no longer recommend.", "author" : [ { "dropping-particle" : "", "family" : "Akkooi", "given" : "A C J", "non-dropping-particle" : "van", "parse-names" : false, "suffix" : "" }, { "dropping-particle" : "", "family" : "Wilt", "given" : "J H W", "non-dropping-particle" : "de", "parse-names" : false, "suffix" : "" }, { "dropping-particle" : "", "family" : "Verhoef", "given" : "C", "non-dropping-particle" : "", "parse-names" : false, "suffix" : "" }, { "dropping-particle" : "", "family" : "Schmitz", "given" : "P I M", "non-dropping-particle" : "", "parse-names" : false, "suffix" : "" }, { "dropping-particle" : "", "family" : "Geel", "given" : "A N", "non-dropping-particle" : "van", "parse-names" : false, "suffix" : "" }, { "dropping-particle" : "", "family" : "Eggermont", "given" : "A M M", "non-dropping-particle" : "", "parse-names" : false, "suffix" : "" }, { "dropping-particle" : "", "family" : "Kliffen", "given" : "M", "non-dropping-particle" : "", "parse-names" : false, "suffix" : "" } ], "container-title" : "Annals of oncology : official journal of the European Society for Medical Oncology / ESMO", "id" : "ITEM-20", "issue" : "10", "issued" : { "date-parts" : [ [ "2006", "10" ] ] }, "page" : "1578-85", "title" : "Clinical relevance of melanoma micrometastases (&lt;0.1 mm) in sentinel nodes: are these nodes to be considered negative?", "type" : "article-journal", "volume" : "17" }, "uris" : [ "http://www.mendeley.com/documents/?uuid=e3711798-85d5-422c-b79d-c94fe0973202" ] }, { "id" : "ITEM-21", "itemData" : { "abstract" : "Aims: Sentinel lymph node (SLN) -positive melanoma patients are usually recommended completion lymph node dissection (CLND) with the aim to provide regional disease control and improve survival. Nevertheless, only 20% these patients have additional metastases in non-sentinel lymph nodes (NSLN), indicating that CLND may be unnecessary in the majority of patients. In this retrospective study, we (i) sought to identify clinico-pathological features predicting NSLN status, as well as disease-free (DFS) and -specific (DSS) survival and (ii) evaluated the applicability of previously published algorithms, which were able to define a group of patients at zero-risk for NSLN-metastasis. Methods: This analysis included 504 consecutive melanoma patients stage I and II who underwent successful SLN-biopsy (SLNB) at our institute between 1998 and 2005. Metastatic SLN were re-evaluated for tumor burden and categorized according to two different micro-anatomic classifications and the S/U-score (Size of the sentinel node metastasis &gt;2 mm/Ulceration of the primary melanoma) was assessed. DFS and DSS were calculated for all analyses. Results: Out of 504 melanoma patients stage I or II, 85 (17%) were SLN-positive and 18 of 85 (21%) were found with positive NSLN in the CLND specimen. Median follow-up was 31 months. Neither primary tumor characteristics (age, gender, Clark level, Breslow thickness, ulceration of the primary melanoma, site and histological subtype of the primary melanoma), nor features of the sentinel node tumor (number and site of draining lymph node basins, number of positive sentinel nodes and size of sentinel node tumor (&lt;2 mm vs. \u22652 mm) were able to predict additional positive lymph nodes in the CLND specimen. Likewise the implementation of published algorithms was not able to identify patients at negligible risk for harboring NSLN metastases. Upon univariate analysis, disease-free survival in SLN-positive patients was correlated with Breslow thickness, sentinel node tumor size &gt;2 mm and S/U score. In respect to disease-specific survival the significant prognostic parameters were Breslow thickness, ulceration, sentinel node tumor size &gt;2 mm and the S/U score. After a median follow-up of 31 months recurrence rates (37% vs. 78%, p = 0.02) and death from disease (24% vs. 50%, p &lt; 0.01) were significantly different in patients with SLN-metastasis only as compared to patients with NSLN-metastasis. Conclusion: NSLN status cannot be predicted in this data analys\u2026", "author" : [ { "dropping-particle" : "", "family" : "Roka", "given" : "F.", "non-dropping-particle" : "", "parse-names" : false, "suffix" : "" }, { "dropping-particle" : "", "family" : "Mastan", "given" : "P.", "non-dropping-particle" : "", "parse-names" : false, "suffix" : "" }, { "dropping-particle" : "", "family" : "Binder", "given" : "M.", "non-dropping-particle" : "", "parse-names" : false, "suffix" : "" }, { "dropping-particle" : "", "family" : "Okamoto", "given" : "I.", "non-dropping-particle" : "", "parse-names" : false, "suffix" : "" }, { "dropping-particle" : "", "family" : "Mittlboeck", "given" : "M.", "non-dropping-particle" : "", "parse-names" : false, "suffix" : "" }, { "dropping-particle" : "", "family" : "Horvat", "given" : "R.", "non-dropping-particle" : "", "parse-names" : false, "suffix" : "" }, { "dropping-particle" : "", "family" : "Pehamberger", "given" : "H.", "non-dropping-particle" : "", "parse-names" : false, "suffix" : "" }, { "dropping-particle" : "", "family" : "Diem", "given" : "E.", "non-dropping-particle" : "", "parse-names" : false, "suffix" : "" } ], "container-title" : "European Journal of Surgical Oncology", "id" : "ITEM-21", "issue" : "1", "issued" : { "date-parts" : [ [ "2008" ] ] }, "page" : "82-88", "title" : "Prediction of non-sentinel node status and outcome in sentinel node-positive melanoma patients", "type" : "article-journal", "volume" : "34" }, "uris" : [ "http://www.mendeley.com/documents/?uuid=d5930a2d-7bb7-4c4a-a437-72ecc437a08e" ] } ], "mendeley" : { "formattedCitation" : "&lt;sup&gt;123,136\u2013155&lt;/sup&gt;", "plainTextFormattedCitation" : "123,136\u2013155", "previouslyFormattedCitation" : "&lt;sup&gt;123,136\u2013155&lt;/sup&gt;" }, "properties" : { "noteIndex" : 0 }, "schema" : "https://github.com/citation-style-language/schema/raw/master/csl-citation.json" }</w:instrText>
      </w:r>
      <w:r w:rsidR="0061482C" w:rsidRPr="003E73CD">
        <w:rPr>
          <w:sz w:val="22"/>
          <w:szCs w:val="22"/>
        </w:rPr>
        <w:fldChar w:fldCharType="separate"/>
      </w:r>
      <w:r w:rsidR="00CE2A17" w:rsidRPr="00CE2A17">
        <w:rPr>
          <w:noProof/>
          <w:sz w:val="22"/>
          <w:szCs w:val="22"/>
          <w:vertAlign w:val="superscript"/>
        </w:rPr>
        <w:t>123,136–155</w:t>
      </w:r>
      <w:r w:rsidR="0061482C" w:rsidRPr="003E73CD">
        <w:rPr>
          <w:sz w:val="22"/>
          <w:szCs w:val="22"/>
        </w:rPr>
        <w:fldChar w:fldCharType="end"/>
      </w:r>
      <w:r w:rsidR="0061482C" w:rsidRPr="003E73CD">
        <w:rPr>
          <w:sz w:val="22"/>
          <w:szCs w:val="22"/>
        </w:rPr>
        <w:t xml:space="preserve">   </w:t>
      </w:r>
      <w:proofErr w:type="gramStart"/>
      <w:r w:rsidR="0061482C" w:rsidRPr="003E73CD">
        <w:rPr>
          <w:sz w:val="22"/>
          <w:szCs w:val="22"/>
        </w:rPr>
        <w:t>It</w:t>
      </w:r>
      <w:proofErr w:type="gramEnd"/>
      <w:r w:rsidR="0061482C" w:rsidRPr="003E73CD">
        <w:rPr>
          <w:sz w:val="22"/>
          <w:szCs w:val="22"/>
        </w:rPr>
        <w:t xml:space="preserve"> would seem logical to assume that completion lymph node dissection could only benefit those patients who have non-sentinel node metastases, as only normal lymph nodes would be removed in the remainder.  This would mean that the procedure would be unnecessary for 67-93% of sentinel node positive patients. </w:t>
      </w:r>
      <w:r w:rsidR="00C50385" w:rsidRPr="003E73CD">
        <w:rPr>
          <w:sz w:val="22"/>
          <w:szCs w:val="22"/>
        </w:rPr>
        <w:t xml:space="preserve"> </w:t>
      </w:r>
      <w:r w:rsidR="0061482C" w:rsidRPr="003E73CD">
        <w:rPr>
          <w:sz w:val="22"/>
          <w:szCs w:val="22"/>
        </w:rPr>
        <w:t xml:space="preserve"> </w:t>
      </w:r>
      <w:r w:rsidR="00C50385" w:rsidRPr="003E73CD">
        <w:rPr>
          <w:sz w:val="22"/>
          <w:szCs w:val="22"/>
        </w:rPr>
        <w:t>Making the assumption that only non-sentinel node positive patients would benefit from completion lymph node dissection is not necessarily valid because there may be pati</w:t>
      </w:r>
      <w:r w:rsidR="0091545E" w:rsidRPr="003E73CD">
        <w:rPr>
          <w:sz w:val="22"/>
          <w:szCs w:val="22"/>
        </w:rPr>
        <w:t xml:space="preserve">ents who have undetected metastases that are removed by the procedure, and hence may receive a survival benefit.  </w:t>
      </w:r>
      <w:r w:rsidR="0061482C" w:rsidRPr="003E73CD">
        <w:rPr>
          <w:sz w:val="22"/>
          <w:szCs w:val="22"/>
        </w:rPr>
        <w:t>Completion lymph node dissection is a major surgical procedure with significant risks of both short and longer-term morbidity when compared with sentinel node biopsy alone.</w:t>
      </w:r>
      <w:r w:rsidR="0061482C" w:rsidRPr="003E73CD">
        <w:rPr>
          <w:sz w:val="22"/>
          <w:szCs w:val="22"/>
        </w:rPr>
        <w:fldChar w:fldCharType="begin" w:fldLock="1"/>
      </w:r>
      <w:r w:rsidR="00217FAC">
        <w:rPr>
          <w:sz w:val="22"/>
          <w:szCs w:val="22"/>
        </w:rPr>
        <w:instrText>ADDIN CSL_CITATION { "citationItems" : [ { "id" : "ITEM-1", "itemData" : { "ISSN" : "1068-9265", "PMID" : "12839853", "abstract" : "BACKGROUND: Sentinel lymph node (SLN) biopsy has become widely accepted as a method of staging the regional lymph nodes for patients with melanoma. Although it is often stated that SLN biopsy is a minimally invasive procedure associated with few complications, a paucity of data exists to specifically determine the morbidity associated with this procedure. This analysis was performed to evaluate the morbidity associated with SLN biopsy compared with completion lymph node dissection (CLND).\n\nMETHODS: Patients were enrolled in the Sunbelt Melanoma Trial, a prospective multi-institutional study of SLN biopsy for melanoma. Patients underwent SLN biopsy and were prospectively followed up for the development of complications associated with this technique. Patients who had evidence of nodal metastasis in the SLN underwent CLND. Complications associated with SLN biopsy alone were compared with those associated with SLN biopsy plus CLND.\n\nRESULTS: A total of 2120 patients were evaluated, with a median follow-up of 16 months. Overall, 96 (4.6%) of 2120 patients developed major or minor complications associated with SLN biopsy, whereas 103 (23.2%) of 444 patients experienced complications associated with SLN biopsy plus CLND. There were no deaths associated with either procedure.\n\nCONCLUSIONS: SLN biopsy alone is associated with significantly less morbidity compared with SLN biopsy plus CLND.", "author" : [ { "dropping-particle" : "", "family" : "Wrightson", "given" : "William R", "non-dropping-particle" : "", "parse-names" : false, "suffix" : "" }, { "dropping-particle" : "", "family" : "Wong", "given" : "Sandra L", "non-dropping-particle" : "", "parse-names" : false, "suffix" : "" }, { "dropping-particle" : "", "family" : "Edwards", "given" : "Michael J", "non-dropping-particle" : "", "parse-names" : false, "suffix" : "" }, { "dropping-particle" : "", "family" : "Chao", "given" : "Celia", "non-dropping-particle" : "", "parse-names" : false, "suffix" : "" }, { "dropping-particle" : "", "family" : "Reintgen", "given" : "Douglas S", "non-dropping-particle" : "", "parse-names" : false, "suffix" : "" }, { "dropping-particle" : "", "family" : "Ross", "given" : "Merrick I", "non-dropping-particle" : "", "parse-names" : false, "suffix" : "" }, { "dropping-particle" : "", "family" : "Noyes", "given" : "R Dirk", "non-dropping-particle" : "", "parse-names" : false, "suffix" : "" }, { "dropping-particle" : "", "family" : "Viar", "given" : "Vicki", "non-dropping-particle" : "", "parse-names" : false, "suffix" : "" }, { "dropping-particle" : "", "family" : "Cerrito", "given" : "Patricia B", "non-dropping-particle" : "", "parse-names" : false, "suffix" : "" }, { "dropping-particle" : "", "family" : "McMasters", "given" : "Kelly M", "non-dropping-particle" : "", "parse-names" : false, "suffix" : "" } ], "container-title" : "Annals of surgical oncology", "id" : "ITEM-1", "issue" : "6", "issued" : { "date-parts" : [ [ "2003", "7" ] ] }, "page" : "676-80", "title" : "Complications associated with sentinel lymph node biopsy for melanoma.", "type" : "article-journal", "volume" : "10" }, "uris" : [ "http://www.mendeley.com/documents/?uuid=83f5748f-d4ab-4593-95e1-37b237bc7c41" ] }, { "id" : "ITEM-2", "itemData" : { "ISSN" : "0003-4932", "PMID" : "16135917", "abstract" : "OBJECTIVE: The objective of this study was to evaluate, in an international multicenter phase III trial, the accuracy, use, and morbidity of intraoperative lymphatic mapping and sentinel node biopsy (LM/SNB) for staging the regional nodal basin of patients with early-stage melanoma.\n\nSUMMARY BACKGROUND DATA: Since our introduction of LM/SNB in 1990, this technique has been widely adopted and has become part of the American Joint Committee on Cancer (AJCC) staging system. Eleven years ago, the authors began the international Multicenter Selective Lymphadenectomy Trial (MSLT-I) to compare 2 treatment approaches: wide excision (WE) plus LM/SNB with immediate complete lymphadenectomy (CLND) for sentinel node (SN) metastases, and WE plus postoperative observation with CLND delayed until the subsequent development of clinically evident nodal metastases.\n\nMETHODS: After each center achieved 85% accuracy of SN identification during a 30-case learning phase, patients with primary cutaneous melanoma (&gt; or =1 mm with Clark level &gt; or =III, or any thickness with Clark level &gt; or =IV) were randomly assigned in a 4:6 ratio to WE plus observation (WEO) with delayed CLND for nodal recurrence, or to WE plus LM/SNB with immediate CLND for SN metastasis. The accuracy of LM/SNB was determined by comparing the rates of SN identification and the incidence of SN metastases in the LM/SNB group versus the subsequent development of nodal metastases in the regional nodal basin of those patients with tumor-negative SNs. Early morbidity of LM/SNB was evaluated by comparing complication rates between the 2 treatment groups. Trial accrual was completed on March 31, 2002, after enrollment of 2001 patients.\n\nRESULTS: Initial SN identification rate was 95.3% overall: 99.3% for the groin, 95.3% for the axilla, and 84.5% for the neck basins. The rate of false-negative LM/SNB during the trial phase, as measured by nodal recurrence in a tumor-negative dissected SN basin, decreased with increasing case volume at each center: 10.3% for the first 25 cases versus 5.2% after 25 cases. There were no operative mortalities. The low (10.1%) complication rate after LM/SNB increased to 37.2% with the addition of CLND; CLND also increased the severity of complications.\n\nCONCLUSIONS: LM/SNB is a safe, low-morbidity procedure for staging the regional nodal basin in early melanoma. Even after a 30-case learning phase and 25 additional LM/SNB cases, the accuracy of LM/SNB continues to increase with a cente\u2026", "author" : [ { "dropping-particle" : "", "family" : "Morton", "given" : "Donald L", "non-dropping-particle" : "", "parse-names" : false, "suffix" : "" }, { "dropping-particle" : "", "family" : "Cochran", "given" : "Alistair J", "non-dropping-particle" : "", "parse-names" : false, "suffix" : "" }, { "dropping-particle" : "", "family" : "Thompson", "given" : "John F", "non-dropping-particle" : "", "parse-names" : false, "suffix" : "" }, { "dropping-particle" : "", "family" : "Elashoff", "given" : "Robert", "non-dropping-particle" : "", "parse-names" : false, "suffix" : "" }, { "dropping-particle" : "", "family" : "Essner", "given" : "Richard", "non-dropping-particle" : "", "parse-names" : false, "suffix" : "" }, { "dropping-particle" : "", "family" : "Glass", "given" : "Edwin C", "non-dropping-particle" : "", "parse-names" : false, "suffix" : "" }, { "dropping-particle" : "", "family" : "Mozzillo", "given" : "Nicola", "non-dropping-particle" : "", "parse-names" : false, "suffix" : "" }, { "dropping-particle" : "", "family" : "Nieweg", "given" : "Omgo E", "non-dropping-particle" : "", "parse-names" : false, "suffix" : "" }, { "dropping-particle" : "", "family" : "Roses", "given" : "Daniel F", "non-dropping-particle" : "", "parse-names" : false, "suffix" : "" }, { "dropping-particle" : "", "family" : "Hoekstra", "given" : "Harald J", "non-dropping-particle" : "", "parse-names" : false, "suffix" : "" }, { "dropping-particle" : "", "family" : "Karakousis", "given" : "Constantine P", "non-dropping-particle" : "", "parse-names" : false, "suffix" : "" }, { "dropping-particle" : "", "family" : "Reintgen", "given" : "Douglas S", "non-dropping-particle" : "", "parse-names" : false, "suffix" : "" }, { "dropping-particle" : "", "family" : "Coventry", "given" : "Brendon J", "non-dropping-particle" : "", "parse-names" : false, "suffix" : "" }, { "dropping-particle" : "", "family" : "Wang", "given" : "He-jing", "non-dropping-particle" : "", "parse-names" : false, "suffix" : "" } ], "container-title" : "Annals of surgery", "id" : "ITEM-2", "issue" : "3", "issued" : { "date-parts" : [ [ "2005", "9" ] ] }, "page" : "302-11; discussion 311-3", "title" : "Sentinel node biopsy for early-stage melanoma: accuracy and morbidity in MSLT-I, an international multicenter trial.", "type" : "article-journal", "volume" : "242" }, "uris" : [ "http://www.mendeley.com/documents/?uuid=d90aa4b1-5a30-4e2d-8433-22b2b1fc2291" ] }, { "id" : "ITEM-3", "itemData" : { "DOI" : "10.1016/j.ejso.2006.05.003", "ISSN" : "0748-7983", "PMID" : "16806794", "abstract" : "BACKGROUND: Aim of the study was to assess the short-term and long-term morbidity after inguinal sentinel lymph node biopsy (SLNB) with or without completion groin dissection (GD) in patients with cutaneous melanoma.\n\nMETHODS: Between 1995 and 2003, 127 inguinal SLNBs were performed for cutaneous melanoma. Sixty-six patients, median age 50 (18-77) years, met the inclusion criteria and were studied. Short-term complications were analysed retrospectively, while long-term complications were evaluated using volume measurement and range of motion measurement of the lower extremities.\n\nRESULTS: Fifty-two patients underwent SLNB alone (SLNB group) and 14 patients underwent completion groin dissection after tumour-positive SLNB (SLNB/GD group). Morbidity after SLNB alone: wound infections (n=1), seroma (n=1), postoperative bleeding (n=1), erysipelas (n=1), and slight lymphedema 6% (n=3). Morbidity after SLNB/GD: wound infections (n=4), seroma (n=1), wound necrosis (n=1), postoperative bleeding (n=1), and slight lymphedema 64% (n=9). There were differences between the two groups in the total number of short-term complications (p&lt;0.001), volume difference (p&lt;0.001), flexion (p=0.009), and abduction (p=0.011) limitation of the hip joint.\n\nCONCLUSION: Inguinal SLNB is accompanied with a low complication rate. However, SLNB followed by groin dissection is associated with an increased risk of wound infection and slight lymphedema.", "author" : [ { "dropping-particle" : "", "family" : "Vries", "given" : "M", "non-dropping-particle" : "de", "parse-names" : false, "suffix" : "" }, { "dropping-particle" : "", "family" : "Vonkeman", "given" : "W G", "non-dropping-particle" : "", "parse-names" : false, "suffix" : "" }, { "dropping-particle" : "", "family" : "Ginkel", "given" : "R J", "non-dropping-particle" : "van", "parse-names" : false, "suffix" : "" }, { "dropping-particle" : "", "family" : "Hoekstra", "given" : "H J", "non-dropping-particle" : "", "parse-names" : false, "suffix" : "" } ], "container-title" : "European journal of surgical oncology : the journal of the European Society of Surgical Oncology and the British Association of Surgical Oncology", "id" : "ITEM-3", "issue" : "7", "issued" : { "date-parts" : [ [ "2006", "9" ] ] }, "page" : "785-9", "title" : "Morbidity after inguinal sentinel lymph node biopsy and completion lymph node dissection in patients with cutaneous melanoma.", "type" : "article-journal", "volume" : "32" }, "uris" : [ "http://www.mendeley.com/documents/?uuid=8bb514de-93b2-4fff-bc9f-497eaf7b9291" ] } ], "mendeley" : { "formattedCitation" : "&lt;sup&gt;156\u2013158&lt;/sup&gt;", "plainTextFormattedCitation" : "156\u2013158", "previouslyFormattedCitation" : "&lt;sup&gt;156\u2013158&lt;/sup&gt;" }, "properties" : { "noteIndex" : 0 }, "schema" : "https://github.com/citation-style-language/schema/raw/master/csl-citation.json" }</w:instrText>
      </w:r>
      <w:r w:rsidR="0061482C" w:rsidRPr="003E73CD">
        <w:rPr>
          <w:sz w:val="22"/>
          <w:szCs w:val="22"/>
        </w:rPr>
        <w:fldChar w:fldCharType="separate"/>
      </w:r>
      <w:r w:rsidR="00CE2A17" w:rsidRPr="00CE2A17">
        <w:rPr>
          <w:noProof/>
          <w:sz w:val="22"/>
          <w:szCs w:val="22"/>
          <w:vertAlign w:val="superscript"/>
        </w:rPr>
        <w:t>156–158</w:t>
      </w:r>
      <w:r w:rsidR="0061482C" w:rsidRPr="003E73CD">
        <w:rPr>
          <w:sz w:val="22"/>
          <w:szCs w:val="22"/>
        </w:rPr>
        <w:fldChar w:fldCharType="end"/>
      </w:r>
      <w:proofErr w:type="gramStart"/>
      <w:r w:rsidR="0061482C" w:rsidRPr="003E73CD">
        <w:rPr>
          <w:sz w:val="22"/>
          <w:szCs w:val="22"/>
        </w:rPr>
        <w:t xml:space="preserve">  If</w:t>
      </w:r>
      <w:proofErr w:type="gramEnd"/>
      <w:r w:rsidR="0061482C" w:rsidRPr="003E73CD">
        <w:rPr>
          <w:sz w:val="22"/>
          <w:szCs w:val="22"/>
        </w:rPr>
        <w:t xml:space="preserve"> patients who have non-sentinel node metastases, or are at highest risk for having them, could be identified prior to performing completion lymph node dissection then unnecessary morbidity could be avoided for those at low risk of non-sentinel node metastasis.  However, there is also a need to determine whether or not completion lymph node dissection provides any survival advantage over therapeutic lymph node dissection if metastases become apparent in sentinel node positive </w:t>
      </w:r>
      <w:r w:rsidR="0091545E" w:rsidRPr="003E73CD">
        <w:rPr>
          <w:sz w:val="22"/>
          <w:szCs w:val="22"/>
        </w:rPr>
        <w:t>patients.  A further multicentre</w:t>
      </w:r>
      <w:r w:rsidR="0061482C" w:rsidRPr="003E73CD">
        <w:rPr>
          <w:sz w:val="22"/>
          <w:szCs w:val="22"/>
        </w:rPr>
        <w:t xml:space="preserve"> trial has been set up in order to address this question.</w:t>
      </w:r>
      <w:r w:rsidR="0061482C" w:rsidRPr="003E73CD">
        <w:rPr>
          <w:sz w:val="22"/>
          <w:szCs w:val="22"/>
        </w:rPr>
        <w:fldChar w:fldCharType="begin" w:fldLock="1"/>
      </w:r>
      <w:r w:rsidR="00217FAC">
        <w:rPr>
          <w:sz w:val="22"/>
          <w:szCs w:val="22"/>
        </w:rPr>
        <w:instrText>ADDIN CSL_CITATION { "citationItems" : [ { "id" : "ITEM-1", "itemData" : { "ISSN" : "1068-9265", "PMID" : "15023740", "author" : [ { "dropping-particle" : "", "family" : "Morton", "given" : "Donald L", "non-dropping-particle" : "", "parse-names" : false, "suffix" : "" } ], "container-title" : "Annals of surgical oncology", "id" : "ITEM-1", "issue" : "3 Suppl", "issued" : { "date-parts" : [ [ "2004", "3" ] ] }, "page" : "137S-43S", "title" : "Sentinel node mapping and an International Sentinel Node Society: current issues and future directions.", "type" : "article-journal", "volume" : "11" }, "uris" : [ "http://www.mendeley.com/documents/?uuid=ee2ad31d-b686-44d3-8ad0-dccbc246b048" ] } ], "mendeley" : { "formattedCitation" : "&lt;sup&gt;159&lt;/sup&gt;", "plainTextFormattedCitation" : "159", "previouslyFormattedCitation" : "&lt;sup&gt;159&lt;/sup&gt;" }, "properties" : { "noteIndex" : 0 }, "schema" : "https://github.com/citation-style-language/schema/raw/master/csl-citation.json" }</w:instrText>
      </w:r>
      <w:r w:rsidR="0061482C" w:rsidRPr="003E73CD">
        <w:rPr>
          <w:sz w:val="22"/>
          <w:szCs w:val="22"/>
        </w:rPr>
        <w:fldChar w:fldCharType="separate"/>
      </w:r>
      <w:r w:rsidR="00CE2A17" w:rsidRPr="00CE2A17">
        <w:rPr>
          <w:noProof/>
          <w:sz w:val="22"/>
          <w:szCs w:val="22"/>
          <w:vertAlign w:val="superscript"/>
        </w:rPr>
        <w:t>159</w:t>
      </w:r>
      <w:r w:rsidR="0061482C" w:rsidRPr="003E73CD">
        <w:rPr>
          <w:sz w:val="22"/>
          <w:szCs w:val="22"/>
        </w:rPr>
        <w:fldChar w:fldCharType="end"/>
      </w:r>
      <w:proofErr w:type="gramStart"/>
      <w:r w:rsidR="0061482C" w:rsidRPr="003E73CD">
        <w:rPr>
          <w:sz w:val="22"/>
          <w:szCs w:val="22"/>
        </w:rPr>
        <w:t xml:space="preserve">  The</w:t>
      </w:r>
      <w:proofErr w:type="gramEnd"/>
      <w:r w:rsidR="0061482C" w:rsidRPr="003E73CD">
        <w:rPr>
          <w:sz w:val="22"/>
          <w:szCs w:val="22"/>
        </w:rPr>
        <w:t xml:space="preserve"> Second Multicentre Selective Lymphadenectomy Trial (MSLT II) began in 2005, has completed enrollment with approximately 1925 patients and is due to be completed in 2022.</w:t>
      </w:r>
      <w:r w:rsidR="0061482C" w:rsidRPr="003E73CD">
        <w:rPr>
          <w:sz w:val="22"/>
          <w:szCs w:val="22"/>
        </w:rPr>
        <w:fldChar w:fldCharType="begin" w:fldLock="1"/>
      </w:r>
      <w:r w:rsidR="00217FAC">
        <w:rPr>
          <w:sz w:val="22"/>
          <w:szCs w:val="22"/>
        </w:rPr>
        <w:instrText>ADDIN CSL_CITATION { "citationItems" : [ { "id" : "ITEM-1", "itemData" : { "DOI" : "10.1007/s10585-012-9503-3", "ISSN" : "1573-7276", "PMID" : "22729520", "abstract" : "This short review offers an update on the first and second Multicenter Selective Lymphadenectomy Trials (MSLT-I and MSLT-II) for patients with melanoma, and briefly traces the development of intraoperative lymphatic mapping and sentinel node biopsy.", "author" : [ { "dropping-particle" : "", "family" : "Morton", "given" : "Donald L", "non-dropping-particle" : "", "parse-names" : false, "suffix" : "" } ], "container-title" : "Clinical &amp; experimental metastasis", "id" : "ITEM-1", "issue" : "7", "issued" : { "date-parts" : [ [ "2012", "10" ] ] }, "page" : "699-706", "title" : "Overview and update of the phase III Multicenter Selective Lymphadenectomy Trials (MSLT-I and MSLT-II) in melanoma.", "type" : "article-journal", "volume" : "29" }, "uris" : [ "http://www.mendeley.com/documents/?uuid=54c7e43f-a454-4d53-b2ae-b63c5993cfbb" ] } ], "mendeley" : { "formattedCitation" : "&lt;sup&gt;160&lt;/sup&gt;", "plainTextFormattedCitation" : "160", "previouslyFormattedCitation" : "&lt;sup&gt;160&lt;/sup&gt;" }, "properties" : { "noteIndex" : 0 }, "schema" : "https://github.com/citation-style-language/schema/raw/master/csl-citation.json" }</w:instrText>
      </w:r>
      <w:r w:rsidR="0061482C" w:rsidRPr="003E73CD">
        <w:rPr>
          <w:sz w:val="22"/>
          <w:szCs w:val="22"/>
        </w:rPr>
        <w:fldChar w:fldCharType="separate"/>
      </w:r>
      <w:r w:rsidR="00CE2A17" w:rsidRPr="00CE2A17">
        <w:rPr>
          <w:noProof/>
          <w:sz w:val="22"/>
          <w:szCs w:val="22"/>
          <w:vertAlign w:val="superscript"/>
        </w:rPr>
        <w:t>160</w:t>
      </w:r>
      <w:r w:rsidR="0061482C" w:rsidRPr="003E73CD">
        <w:rPr>
          <w:sz w:val="22"/>
          <w:szCs w:val="22"/>
        </w:rPr>
        <w:fldChar w:fldCharType="end"/>
      </w:r>
      <w:proofErr w:type="gramStart"/>
      <w:r w:rsidR="0061482C" w:rsidRPr="003E73CD">
        <w:rPr>
          <w:sz w:val="22"/>
          <w:szCs w:val="22"/>
        </w:rPr>
        <w:t xml:space="preserve">  In</w:t>
      </w:r>
      <w:proofErr w:type="gramEnd"/>
      <w:r w:rsidR="0061482C" w:rsidRPr="003E73CD">
        <w:rPr>
          <w:sz w:val="22"/>
          <w:szCs w:val="22"/>
        </w:rPr>
        <w:t xml:space="preserve"> general, patients aged between 18 and 75 years of age were eligible for inclusion in the trial if they had a primary cutaneous melanoma with clear margins following wide local excision, were found to be sentinel node positive and did not meet any of the exclusion criteria (</w:t>
      </w:r>
      <w:r w:rsidR="00BE2BB5" w:rsidRPr="003E73CD">
        <w:rPr>
          <w:sz w:val="22"/>
          <w:szCs w:val="22"/>
        </w:rPr>
        <w:t xml:space="preserve">see </w:t>
      </w:r>
      <w:r w:rsidR="00814075" w:rsidRPr="003E73CD">
        <w:rPr>
          <w:rFonts w:asciiTheme="minorHAnsi" w:eastAsiaTheme="minorEastAsia" w:hAnsiTheme="minorHAnsi" w:cs="Arial"/>
          <w:color w:val="045616"/>
          <w:sz w:val="22"/>
          <w:szCs w:val="22"/>
        </w:rPr>
        <w:t>https://clinicaltrials.gov/ct2/show/NCT00297895</w:t>
      </w:r>
      <w:r w:rsidR="0061482C" w:rsidRPr="003E73CD">
        <w:rPr>
          <w:sz w:val="22"/>
          <w:szCs w:val="22"/>
        </w:rPr>
        <w:t>).  The primary outcome measure is melanoma-specific survival</w:t>
      </w:r>
      <w:r w:rsidR="0091545E" w:rsidRPr="003E73CD">
        <w:rPr>
          <w:sz w:val="22"/>
          <w:szCs w:val="22"/>
        </w:rPr>
        <w:t xml:space="preserve"> and patients have been randomis</w:t>
      </w:r>
      <w:r w:rsidR="0061482C" w:rsidRPr="003E73CD">
        <w:rPr>
          <w:sz w:val="22"/>
          <w:szCs w:val="22"/>
        </w:rPr>
        <w:t>ed to receive either completion lymph node dissection or monitoring with serial ultrasound scans and completion lymph node dissection if recurrence is detected.  If no survival advantage or improvement in quality of life is demonstrated from completion lymph node dissection, then the procedure is likely to be abandoned in favour of follow-up and therapeutic lymph node dissection as required.  However, if the results from MSLT II do demonstrate a survival advantage for completion lymph node dissection then the ability to identify patients with a high likelihood of non-sentinel node metastases, prior to them undergoing completion lymph node dissection, would be highly desirable.  A number of studies have examined various characteristics related to the patient, the primary tumour pathology and the sentinel node.</w:t>
      </w:r>
      <w:r w:rsidR="0091545E" w:rsidRPr="003E73CD">
        <w:rPr>
          <w:sz w:val="22"/>
          <w:szCs w:val="22"/>
        </w:rPr>
        <w:fldChar w:fldCharType="begin" w:fldLock="1"/>
      </w:r>
      <w:r w:rsidR="00217FAC">
        <w:rPr>
          <w:sz w:val="22"/>
          <w:szCs w:val="22"/>
        </w:rPr>
        <w:instrText>ADDIN CSL_CITATION { "citationItems" : [ { "id" : "ITEM-1", "itemData" : { "ISSN" : "0008-543X", "PMID" : "10918179", "abstract" : "BACKGROUND: The selection of patients for sentinel lymph node biopsy (SNB) and selective lymphadenectomy for histologically positive sentinel lymph nodes (SLND) are areas of debate. The authors of the current study attempted to identify predictors of metastases to the sentinel and residual nonsentinel lymph nodes in patients with melanoma.\n\nMETHODS: The Indiana University Interdisciplinary Melanoma Program computerized database was queried to identify all patients who underwent SNB for clinically localized cutaneous melanoma. Demographic, surgical, and histopathologic data were recorded. Univariate and multivariate logistic regression analyses were performed to identify associations with SNB and nonsentinel lymph node positivity. Classification tree and logistic procedures were performed to identify the ideal tumor thickness cutpoint at which to perform SNB.\n\nRESULTS: Two hundred seventy-five SNB procedures were performed to stage 348 regional lymph node basins for occult metastases from melanoma. Of the 275 melanomas, 54 (19.6%) had a positive SNB, as did 58 of 348 basins (16.7%). Classification and logistic regression analysis identified a Breslow depth of 1.25 mm to be the most significant cutpoint for SNB positivity (odds ratio 8. 8:1; P = 0.0001). By multivariate analyses, a Breslow thickness cutpoint &gt;/= 1.25 mm (P = 0.0002), ulceration (P = 0.005), and high mitotic index (&gt; 5 mitoses/high-power field; P = 0.04) were significant predictors of SNB results. SLND was performed in 53 SNB positive patients, 15 of whom (28.3%) had at least 1 additional positive lymph node. SLND positivity was noted across a wide range of primary tumor characteristics and was associated significantly with multiple positive SN, but not with any other variable. SNB result correlated significantly with disease free and overall survival.\n\nCONCLUSIONS: Patients with a Breslow tumor thickness &gt;/= 1. 25 mm, ulceration, and high mitotic index are most likely to have positive SNB results. SLND is recommended for all patients after positive SNB because it is difficult to identify patients with residual lymph node disease.", "author" : [ { "dropping-particle" : "", "family" : "Wagner", "given" : "J D", "non-dropping-particle" : "", "parse-names" : false, "suffix" : "" }, { "dropping-particle" : "", "family" : "Gordon", "given" : "M S", "non-dropping-particle" : "", "parse-names" : false, "suffix" : "" }, { "dropping-particle" : "", "family" : "Chuang", "given" : "T Y", "non-dropping-particle" : "", "parse-names" : false, "suffix" : "" }, { "dropping-particle" : "", "family" : "Coleman", "given" : "J J", "non-dropping-particle" : "", "parse-names" : false, "suffix" : "" }, { "dropping-particle" : "", "family" : "Hayes", "given" : "J T", "non-dropping-particle" : "", "parse-names" : false, "suffix" : "" }, { "dropping-particle" : "", "family" : "Jung", "given" : "S H", "non-dropping-particle" : "", "parse-names" : false, "suffix" : "" }, { "dropping-particle" : "", "family" : "Love", "given" : "C", "non-dropping-particle" : "", "parse-names" : false, "suffix" : "" } ], "container-title" : "Cancer", "id" : "ITEM-1", "issue" : "2", "issued" : { "date-parts" : [ [ "2000", "7", "15" ] ] }, "page" : "453-62", "title" : "Predicting sentinel and residual lymph node basin disease after sentinel lymph node biopsy for melanoma.", "type" : "article-journal", "volume" : "89" }, "uris" : [ "http://www.mendeley.com/documents/?uuid=ed565e24-aaa1-45dc-a6b5-8cd38080200d" ] }, { "id" : "ITEM-2", "itemData" : { "ISSN" : "1068-9265", "PMID" : "11888869", "abstract" : "BACKGROUND: Completion lymph node dissection (CLND) may not be necessary for some patients because nodal metastasis is rarely detected beyond the sentinel lymph nodes (SLNs). This analysis was performed to determine, among patients with positive SLNs, the rate of nodal metastasis found in nonsentinel nodes (NSNs).\n\nMETHODS: This analysis includes patients with positive sentinel nodes, detected by hematoxylin and eosin (H&amp;E) staining or immunohistochemistry (IHC), who then underwent CLND.\n\nRESULTS: This analysis included 274 patients with at least one positive SLN who underwent CLND of 282 involved regional nodal basins. Of the 282 SLN-positive nodal basins, 45 (16%) were found to have positive NSNs in the CLND specimen. Breslow thickness, Clark level, presence of ulceration, histological subtype, presence of vertical growth phase, evidence of regression, presence of lymphovascular invasion, number of positive SLNs, age, sex, and presence of multiple draining nodal basins were not predictive of positive nodes in the CLND specimen. Patients with SLN metastases detected only by IHC had an equal likelihood of having positive NSNs as those patients with positive SLNs on H&amp;E examination.\n\nCONCLUSIONS: No patient population could be identified with minimal risk of non-SLN metastasis. When a positive SLN is identified on either H&amp;E staining or IHC, CLND should be performed routinely.", "author" : [ { "dropping-particle" : "", "family" : "McMasters", "given" : "Kelly M", "non-dropping-particle" : "", "parse-names" : false, "suffix" : "" }, { "dropping-particle" : "", "family" : "Wong", "given" : "Sandra L", "non-dropping-particle" : "", "parse-names" : false, "suffix" : "" }, { "dropping-particle" : "", "family" : "Edwards", "given" : "Michael J", "non-dropping-particle" : "", "parse-names" : false, "suffix" : "" }, { "dropping-particle" : "", "family" : "Chao", "given" : "Celia", "non-dropping-particle" : "", "parse-names" : false, "suffix" : "" }, { "dropping-particle" : "", "family" : "Ross", "given" : "Merrick I", "non-dropping-particle" : "", "parse-names" : false, "suffix" : "" }, { "dropping-particle" : "", "family" : "Noyes", "given" : "R Dirk", "non-dropping-particle" : "", "parse-names" : false, "suffix" : "" }, { "dropping-particle" : "", "family" : "Viar", "given" : "Vicki", "non-dropping-particle" : "", "parse-names" : false, "suffix" : "" }, { "dropping-particle" : "", "family" : "Cerrito", "given" : "Patricia B", "non-dropping-particle" : "", "parse-names" : false, "suffix" : "" }, { "dropping-particle" : "", "family" : "Reintgen", "given" : "Douglas S", "non-dropping-particle" : "", "parse-names" : false, "suffix" : "" } ], "container-title" : "Annals of surgical oncology", "id" : "ITEM-2", "issue" : "2", "issued" : { "date-parts" : [ [ "2002", "3" ] ] }, "page" : "137-41", "title" : "Frequency of nonsentinel lymph node metastasis in melanoma.", "type" : "article-journal", "volume" : "9" }, "uris" : [ "http://www.mendeley.com/documents/?uuid=b500c2b9-f2c6-482b-840c-42fe86a3becc" ] }, { "id" : "ITEM-3", "itemData" : { "ISSN" : "0002-9610", "PMID" : "12885597", "abstract" : "BACKGROUND: The incidence of residual occult disease in nonsentinel lymph nodes (NSLN) after a positive sentinel lymph node (SLN) biopsy in patients with melanoma is relatively low. The purpose of this study is to identify factors that may be predictive of occult NSLN metastases after positive SLN biopsy.\n\nMETHODS: Fifty-six consecutive melanoma patients with positive sentinel nodes who subsequently underwent complete lymph node dissection (CLND) were evaluated.\n\nRESULTS: Only the number of positive SLN predicted the status on NSLN by univariate (P = 0.008) and multivariate (P = 0.028) analyses. None of the other variables (characteristics of SLN metastases, number of draining nodal basins, age, sex, thickness, Clark level, ulceration, number of mitoses/mm(2), histological subtype, and location of the primary) significantly predicted CLND results.\n\nCONCLUSIONS: Identifying patients with residual lymph node basin disease remains difficult. Thus, lymph node dissection should be performed in all patients after positive sentinel node biopsy.", "author" : [ { "dropping-particle" : "", "family" : "Salti", "given" : "George I", "non-dropping-particle" : "", "parse-names" : false, "suffix" : "" }, { "dropping-particle" : "", "family" : "Gupta", "given" : "Tapas K", "non-dropping-particle" : "Das", "parse-names" : false, "suffix" : "" } ], "container-title" : "American journal of surgery", "id" : "ITEM-3", "issue" : "2", "issued" : { "date-parts" : [ [ "2003", "8" ] ] }, "page" : "98-101", "title" : "Predicting residual lymph node basin disease in melanoma patients with sentinel lymph node metastases.", "type" : "article-journal", "volume" : "186" }, "uris" : [ "http://www.mendeley.com/documents/?uuid=cd89c604-45f2-4f9d-ac9c-d81ed5254b9f" ] }, { "id" : "ITEM-4", "itemData" : { "ISSN" : "1068-9265", "PMID" : "12513956", "abstract" : "BACKGROUND: Most melanoma patients with a positive sentinel lymph node dissection (SLND) undergo a completion lymph node dissection (CLND) that does not yield additional positive nonsentinel lymph nodes (NSLN). This study was designed to determine if NSLN status can be predicted using patient, primary tumor, and sentinel lymph node (SLN) characteristics. METHODS: The study population includes melanoma patients who had a positive SLND and subsequently underwent CLND retrieved from our prospective institutional melanoma database. The primary tumor and SLN pathologies were prospectively determined. An Size/Ulceration (SU) score was derived by assigning 1 point for primary tumor ulceration and 1 point for SLN tumor size &gt;2 mm. RESULTS: Ninety-eight patients had a positive SLND and underwent CLND. Sixteen of these patients had a positive NSLN. On univariate analysis, primary tumor characteristics (thickness, ulceration, no regression), SLN metastasis characteristics (size &gt;2 mm, location nonsubcapsular), and SU score were all significantly associated with positive NSLN status. However, on multivariate analysis, only the SU score was a significant independent predictor of NSLN status. No patient with an SU score of 0 had a positive NSLN. CONCLUSIONS: The SU score is predictive of NSLN status in patients with a positive SLND. Patients with an SU score of 0 are very unlikely to have positive NSLNs at CLND.", "author" : [ { "dropping-particle" : "", "family" : "Reeves", "given" : "Mark E", "non-dropping-particle" : "", "parse-names" : false, "suffix" : "" }, { "dropping-particle" : "", "family" : "Delgado", "given" : "Ruby", "non-dropping-particle" : "", "parse-names" : false, "suffix" : "" }, { "dropping-particle" : "", "family" : "Busam", "given" : "Klaus J", "non-dropping-particle" : "", "parse-names" : false, "suffix" : "" }, { "dropping-particle" : "", "family" : "Brady", "given" : "Mary S", "non-dropping-particle" : "", "parse-names" : false, "suffix" : "" }, { "dropping-particle" : "", "family" : "Coit", "given" : "Daniel G", "non-dropping-particle" : "", "parse-names" : false, "suffix" : "" } ], "container-title" : "Annals of surgical oncology", "id" : "ITEM-4", "issue" : "1", "issued" : { "date-parts" : [ [ "2003", "1" ] ] }, "page" : "27-31", "title" : "Prediction of nonsentinel lymph node status in melanoma.", "type" : "article-journal", "volume" : "10" }, "uris" : [ "http://www.mendeley.com/documents/?uuid=dd075209-8de4-4cf7-82ea-21bc5154931f" ] }, { "id" : "ITEM-5", "itemData" : { "DOI" : "10.1038/modpathol.3800117", "ISSN" : "0893-3952", "PMID" : "15098011", "abstract" : "Lymphatic mapping and sentinel node biopsy are well-established techniques for staging and managing patients with melanoma, breast cancer and other malignancies that spread initially to the regional lymph nodes. Identification of tumor in the sentinel node is the most precise staging technique currently available. The sentinel node is the site of metastatic melanoma in approximately 20% of melanoma patients and if tumor is present in the sentinel node it is customary to perform a complete dissection of the lymph nodes of the affected nodal basin. This may be overtreatment for some patients as tumor is identified in the nonsentinel nodes of only one-third of sentinel node-positive melanoma patients treated by completion lymphadenectomy. If it were possible accurately to identify the minority of patients with tumor in the nonsentinel nodes, the patients most likely to benefit from lymphadenectomy, the remaining patients could be spared a potentially morbid operation that is unlikely to confer clinical advantage. In 90 patients with a melanoma-positive sentinel node, who subsequently had a completion lymphadenectomy, we evaluated and compared the capacity of characteristics of the primary melanoma and of the sentinel node to predict individuals likely to have tumor in nonsentinel nodes. We assessed the Breslow thickness of the primary, the amount of tumor in the sentinel node (relative tumor area) and, as an index of immune modulation of the sentinel node, the density of dendritic leukocytes in the nodal paracortex. The relative area of tumor in the sentinel node and Breslow thickness of the primary melanoma most accurately predicted the presence of tumor in the nonsentinel nodes (P=0.0001 in both cases-Wilcoxon rank sums). The presence of melanoma in the nonsentinel nodes was also predicted by the density of dendritic leukocytes in the paracortex (P=0.008-Wilcoxon rank sums). These three observations assessed alone and in combination predict the presence of tumor in the nonsentinel nodes with high accuracy. The same characteristics also significantly correlated with tumor recurrence (tumor burden, P=0.0001, Breslow, P=0.0001 and dendritic cell density, P=0.0007) and death from melanoma (tumor burden, P=0.0001, Breslow, P=0.0001 and dendritic cell density, P=0.0026).", "author" : [ { "dropping-particle" : "", "family" : "Cochran", "given" : "Alistair J", "non-dropping-particle" : "", "parse-names" : false, "suffix" : "" }, { "dropping-particle" : "", "family" : "Wen", "given" : "Duan-Ren", "non-dropping-particle" : "", "parse-names" : false, "suffix" : "" }, { "dropping-particle" : "", "family" : "Huang", "given" : "Rong-Rong", "non-dropping-particle" : "", "parse-names" : false, "suffix" : "" }, { "dropping-particle" : "", "family" : "Wang", "given" : "Hei-Jing", "non-dropping-particle" : "", "parse-names" : false, "suffix" : "" }, { "dropping-particle" : "", "family" : "Elashoff", "given" : "Robert", "non-dropping-particle" : "", "parse-names" : false, "suffix" : "" }, { "dropping-particle" : "", "family" : "Morton", "given" : "Donald L", "non-dropping-particle" : "", "parse-names" : false, "suffix" : "" } ], "container-title" : "Modern pathology : an official journal of the United States and Canadian Academy of Pathology, Inc", "id" : "ITEM-5", "issue" : "7", "issued" : { "date-parts" : [ [ "2004", "7" ] ] }, "page" : "747-55", "title" : "Prediction of metastatic melanoma in nonsentinel nodes and clinical outcome based on the primary melanoma and the sentinel node.", "type" : "article-journal", "volume" : "17" }, "uris" : [ "http://www.mendeley.com/documents/?uuid=d0752a8e-70d4-4d94-987d-117669bd61d2" ] }, { "id" : "ITEM-6", "itemData" : { "DOI" : "10.1200/JCO.2004.01.012", "ISSN" : "0732-183X", "PMID" : "15365064", "abstract" : "PURPOSE: Approximately 20% of sentinel node (SN) positive melanoma patients have additional non-SN (NSN) metastasis. The rationale for this study was to identify the factors associated with additional nodal disease, as a method to determine which patients may most benefit from completion lymph node dissection (CLND).\n\nPATIENTS AND METHODS: During 1990 to 2002, 1,599 patients have undergone SN biopsy at our institute. 19.5% underwent CLND for tumor-positive SN. One hundred ninety-one of these patients had clinicopathologic information available for review. Univariate analyses used chi2 test, Wilcoxson rank sum test, and chi2 test for trend. Multivariate analyses used logistic regression and Wald test.\n\nRESULTS: Forty-six (24%) patients had tumor-positive NSN. Univariate analyses showed that primary thickness (Breslow and Clark), primary site, SN tumor size, and number of tumor-positive SNs were significantly associated with tumor-positive NSN. Multivariate analysis (167 patients), confirmed that Breslow and SN tumor size were independently predictive. Sex, histology, ulceration, mitotic index, and SN basin location were not predictive. Risk stratification by the number of prognostic factors present (Breslow &gt; or = 3 mm and SN tumor size &gt; or = 2 mm) showed that probability of finding tumor-positive NSN was 12.3% in the low-risk group (0 factors), 30.9% in the intermediate-risk group (1 factor), and 41.9% in the high-risk group (2 factors).\n\nCONCLUSION: Thicker primary and larger SN tumor size are factors that correlate best with tumor-positive NSN. Although none of these factors are absolutely predictive of residual nodal disease, these factors must be strongly considered if the SN contains metastasis, as they provide enhanced risk assessment for NSN tumor-positivity.", "author" : [ { "dropping-particle" : "", "family" : "Lee", "given" : "J. H.", "non-dropping-particle" : "", "parse-names" : false, "suffix" : "" } ], "container-title" : "Journal of Clinical Oncology", "id" : "ITEM-6", "issue" : "18", "issued" : { "date-parts" : [ [ "2004", "8", "9" ] ] }, "page" : "3677-3684", "title" : "Factors Predictive of Tumor-Positive Nonsentinel Lymph Nodes After Tumor-Positive Sentinel Lymph Node Dissection for Melanoma", "type" : "article-journal", "volume" : "22" }, "uris" : [ "http://www.mendeley.com/documents/?uuid=143cecc4-6e2c-4cf1-b264-d26ab3e23368" ] }, { "id" : "ITEM-7", "itemData" : { "DOI" : "10.1309/TDWJ-TR15-TDM1-TG7Q", "ISSN" : "0002-9173", "PMID" : "15487450", "abstract" : "The aim of the present study was to determine whether micromorphometric features of positive sentinel lymph nodes (SLNs) from patients with melanoma are useful for predicting further nodal involvement in completion lymph node dissection (CLND) specimens. Of 986 patients with melanoma undergoing SLN biopsy between March 1992 and February 2001, 175 (17.7%) had at least 1 positive SLN and 140 had subsequent CLND specimens available for review. Further nodal involvement in CLND specimens was present in 24 (17.1%) of 140 patients. Of 8 micromorphometric features of the SLNs that were assessed, the presence of metastases in CLND specimens was correlated significantly with a tumor penetrative depth (maximum distance of melanoma cells from the inner margin of the SLN capsule) of more than 2 mm (P &lt; .05), a deposit size of more than 10 mm2 (P &lt; .01), the presence of melanoma cells in perinodal lymphatic vessels (P &lt; .01), and the effacement of nodal architecture by metastatic melanoma cells (P &lt; .05). Our results indicate that some morphologic features of melanoma metastases in SLNs predict the likelihood of further nodal involvement in CLND specimens.", "author" : [ { "dropping-particle" : "", "family" : "Scolyer", "given" : "Richard A.", "non-dropping-particle" : "", "parse-names" : false, "suffix" : "" }, { "dropping-particle" : "", "family" : "Li", "given" : "Ling-Xi L.", "non-dropping-particle" : "", "parse-names" : false, "suffix" : "" }, { "dropping-particle" : "", "family" : "McCarthy", "given" : "Stanley W.", "non-dropping-particle" : "", "parse-names" : false, "suffix" : "" }, { "dropping-particle" : "", "family" : "Shaw", "given" : "Helen M.", "non-dropping-particle" : "", "parse-names" : false, "suffix" : "" }, { "dropping-particle" : "", "family" : "Stretch", "given" : "Jonathan R.", "non-dropping-particle" : "", "parse-names" : false, "suffix" : "" }, { "dropping-particle" : "", "family" : "Sharma", "given" : "Raghwa", "non-dropping-particle" : "", "parse-names" : false, "suffix" : "" }, { "dropping-particle" : "", "family" : "Thompson", "given" : "John F.", "non-dropping-particle" : "", "parse-names" : false, "suffix" : "" } ], "container-title" : "American Journal of Clinical Pathology", "id" : "ITEM-7", "issue" : "4", "issued" : { "date-parts" : [ [ "2004", "1", "1" ] ] }, "page" : "532-539", "title" : "Micromorphometric Features of Positive Sentinel Lymph Nodes Predict Involvement of Nonsentinel Nodes in Patients With Melanoma", "type" : "article-journal", "volume" : "122" }, "uris" : [ "http://www.mendeley.com/documents/?uuid=01d47762-5d11-4c90-8aea-5d384b9c7a56" ] }, { "id" : "ITEM-8", "itemData" : { "ISSN" : "1068-9265", "PMID" : "15023745", "abstract" : "The most successful strategies in the management of melanoma have always been based on early diagnosis and timely surgical removal. Sentinel lymphonodectomy (SLNE) is the most reliable technique for the detection of melanoma micrometastases in regional lymph nodes. The micromorphometric S-classification, a routinely determinable surrogate of tumor burden in the sentinel lymph node (SLN), has high prognostic relevance. SIII metastases, defined by a depth of invasion (d) greater than 1 mm below the capsular level, imply a risk of more than 50% for the presence of nonsentinel lymph node metastases in the same basin and for the emergence of distant metastases within 5 years of follow-up. Corresponding risks with SI metastases (d &lt;/= 0.3 mm) and SII metastases (0.3 mm &lt; d &lt;/= 1 mm) do not exceed 15%. The survival curve for patients with SIII metastases approaches that of patients in the pre-SLNE era who underwent delayed lymph node dissection for subsequently detected nodal macrometastases. The survival of patients with initially removed SI and SII metastases is much better, similar to that of patients with S0 metastases. This explains the significant survival benefit of SLN-guided surgery in the entire population of patients with melanomas thicker than 0.75 mm, although the outcome of the subgroup without nodal metastases is not influenced by SLNE.", "author" : [ { "dropping-particle" : "", "family" : "Starz", "given" : "Hans", "non-dropping-particle" : "", "parse-names" : false, "suffix" : "" }, { "dropping-particle" : "", "family" : "Siedlecki", "given" : "Katharina", "non-dropping-particle" : "", "parse-names" : false, "suffix" : "" }, { "dropping-particle" : "", "family" : "Balda", "given" : "Bernd-R\u00fcdiger", "non-dropping-particle" : "", "parse-names" : false, "suffix" : "" } ], "container-title" : "Annals of surgical oncology", "id" : "ITEM-8", "issue" : "3 Suppl", "issued" : { "date-parts" : [ [ "2004", "3" ] ] }, "page" : "162S-8S", "title" : "Sentinel lymphonodectomy and s-classification: a successful strategy for better prediction and improvement of outcome of melanoma.", "type" : "article-journal", "volume" : "11" }, "uris" : [ "http://www.mendeley.com/documents/?uuid=a13a8b9a-f140-4674-8fb0-453c2e6a863a" ] }, { "id" : "ITEM-9", "itemData" : { "DOI" : "10.1200/JCO.2004.12.177", "ISSN" : "0732-183X", "PMID" : "15310779", "abstract" : "PURPOSE: Sentinel node biopsy is now widely accepted as the most accurate prognostic indicator in melanoma, and is important in guiding management of patients with clinical stage I or II disease. Patients with a positive sentinel node have conventionally undergone completion lymphadenectomy (CLND) of the involved basin, but only 20% have involvement beyond the sentinel node, suggesting that CLND may be unnecessary for the other 80% of patients. This study seeks to identify criteria that might be used to be more restrictive in selecting those who should undergo CLND.\n\nMETHODS: A total of 146 patients were identified who had had a positive sentinel node biopsy for malignant melanoma. Their sentinel nodes and lymphadenectomy specimens were re-evaluated pathologically. The metastatic melanoma in each sentinel node was assessed according to its microanatomic location within the node (subcapsular, combined subcapsular and parenchymal, parenchymal, multifocal, or extensive), and this was correlated with the presence of involved nonsentinel nodes in the CLND. The depth of the metastases from the sentinel node capsule was also recorded.\n\nRESULTS: The metastatic deposits in the sentinel node were subcapsular in 26.0% of patients. None of these patients had any nonsentinel nodes involved on CLND. In the patients whose sentinel node metastases had a different microanatomic location, the rate of nonsentinel node involvement was 22.2% overall.\n\nCONCLUSION: The microanatomic location of metastases within sentinel nodes predicts nonsentinel lymph node involvement. In patients with only subcapsular deposits in the sentinel node, it is possible that CLND could safely be avoided.", "author" : [ { "dropping-particle" : "", "family" : "Dewar", "given" : "D J", "non-dropping-particle" : "", "parse-names" : false, "suffix" : "" }, { "dropping-particle" : "", "family" : "Newell", "given" : "B", "non-dropping-particle" : "", "parse-names" : false, "suffix" : "" }, { "dropping-particle" : "", "family" : "Green", "given" : "M A", "non-dropping-particle" : "", "parse-names" : false, "suffix" : "" }, { "dropping-particle" : "", "family" : "Topping", "given" : "A P", "non-dropping-particle" : "", "parse-names" : false, "suffix" : "" }, { "dropping-particle" : "", "family" : "Powell", "given" : "B W E M", "non-dropping-particle" : "", "parse-names" : false, "suffix" : "" }, { "dropping-particle" : "", "family" : "Cook", "given" : "M G", "non-dropping-particle" : "", "parse-names" : false, "suffix" : "" } ], "container-title" : "Journal of clinical oncology : official journal of the American Society of Clinical Oncology", "id" : "ITEM-9", "issue" : "16", "issued" : { "date-parts" : [ [ "2004", "8", "15" ] ] }, "page" : "3345-9", "title" : "The microanatomic location of metastatic melanoma in sentinel lymph nodes predicts nonsentinel lymph node involvement.", "type" : "article-journal", "volume" : "22" }, "uris" : [ "http://www.mendeley.com/documents/?uuid=4506cae2-267b-47ed-99e3-fa46fed76ab8" ] }, { "id" : "ITEM-10", "itemData" : { "ISSN" : "0960-8931", "PMID" : "16034304", "abstract" : "The purpose of this study was to identify melanoma patients with positive sentinel lymph nodes (SLNs) at increased risk for further metastases in this specific lymph node basin. A series of consecutive patients with primary malignant melanoma stage I and II were evaluated retrospectively. The results of SLN biopsy in 26 patients with positive SLNs were compared with those of complete regional lymph node dissection (RLND) using the recently published S-classification of SLNs. The results of S-classification of SLNs were correlated with the outcome of complete RLND. There was a significant correlation between the S stage of positive SLNs and the results of complete RLND (P=0.02). Only patients with SIII stage (n=4) SLNs were found to have further metastases in the residual lymph node basin. The present study indicates that patients with SI stage and SII stage SLNs rarely have further metastases in the specific lymph node basin.", "author" : [ { "dropping-particle" : "", "family" : "Fink", "given" : "Astrid M", "non-dropping-particle" : "", "parse-names" : false, "suffix" : "" }, { "dropping-particle" : "", "family" : "Weihsengruber", "given" : "Felix", "non-dropping-particle" : "", "parse-names" : false, "suffix" : "" }, { "dropping-particle" : "", "family" : "Spangl", "given" : "Bernhard", "non-dropping-particle" : "", "parse-names" : false, "suffix" : "" }, { "dropping-particle" : "", "family" : "Feichtinger", "given" : "Hans", "non-dropping-particle" : "", "parse-names" : false, "suffix" : "" }, { "dropping-particle" : "", "family" : "Lilgenau", "given" : "Nikolaus", "non-dropping-particle" : "", "parse-names" : false, "suffix" : "" }, { "dropping-particle" : "", "family" : "Rappersberger", "given" : "Klemens", "non-dropping-particle" : "", "parse-names" : false, "suffix" : "" }, { "dropping-particle" : "", "family" : "Jurecka", "given" : "Wolfgang", "non-dropping-particle" : "", "parse-names" : false, "suffix" : "" }, { "dropping-particle" : "", "family" : "Steiner", "given" : "Andreas", "non-dropping-particle" : "", "parse-names" : false, "suffix" : "" } ], "container-title" : "Melanoma research", "id" : "ITEM-10", "issue" : "4", "issued" : { "date-parts" : [ [ "2005", "8" ] ] }, "page" : "267-71", "title" : "S-classification of sentinel lymph node biopsy predicts the results of complete regional lymph node dissection.", "type" : "article-journal", "volume" : "15" }, "uris" : [ "http://www.mendeley.com/documents/?uuid=06d1b817-430a-43de-bb2e-a318041dcac1" ] }, { "id" : "ITEM-11", "itemData" : { "abstract" : "BACKGROUND: Patients found to harbor melanoma micrometastases in the sentinel lymph node (SLN) are recommended to proceed to complete lymph node dissection (CLND), although the majority of patients will have no additional disease identified in the nonsentinel lymph nodes (NSLNs). We sought to assess predictive factors associated with finding positive NSLNs, and identify a subset of patients with low likelihood of finding additional disease on CLND. STUDY DESIGN: We queried our prospective melanoma database for patients from January 1996 to August 2003 with a positive SLN. Univariable logistic regression models were fit for multiple factors and a positive NSLN. To derive a probabilistic model for occurrence of one or more positive NSLN(s), a multivariable logistic model was fit using a stepwise variable selection method. RESULTS: Of 980 patients who underwent SLN biopsy for cutaneous melanoma, 232 (24%) had a positive SLN; 221 (23%) followed by CLND. Of these patients, 34 (15%) had one or more positive NSLN(s). In multivariable analysis, male gender (odds ratio [OR] 3.6 [95% CI 1.33, 9.71]; p = 0.01), Breslow thickness (OR 4.58 [95% CI 1.28, 16.36]; p = 0.019), extranodal extension (OR 3.2 [95% CI 1.0, 10.5]; p = 0.05), and three or more positive sentinel nodes (OR 65.81 [95% CI 5.2, 825.7]; p = 0.001) were all associated with the likelihood of finding additional positive nodes on CLND. Of 47 patients with minimal tumor burden in the SLN, only 1 (2%) had additional disease in the NSLN. CONCLUSIONS: These results provide additional data to plan clinical trials to answer the question of who can safely avoid CLND after a positive SLN. Patients with minimal tumor burden in the SLN might be the most likely group, although defining \"minimal tumor burden\" must be standardized. Serial sectioning and immunohistochemistry on the NSLN in any \"low-risk\" group must be performed in a clinical trial to confirm that residual disease is unlikely before avoiding CLND can be recommended. \u00a9 2005 by the American College of Surgeons.", "author" : [ { "dropping-particle" : "", "family" : "Sabel", "given" : "Michael S.", "non-dropping-particle" : "", "parse-names" : false, "suffix" : "" }, { "dropping-particle" : "", "family" : "Griffith", "given" : "Kent", "non-dropping-particle" : "", "parse-names" : false, "suffix" : "" }, { "dropping-particle" : "", "family" : "Sondak", "given" : "Vernon K.", "non-dropping-particle" : "", "parse-names" : false, "suffix" : "" }, { "dropping-particle" : "", "family" : "Lowe", "given" : "Lori", "non-dropping-particle" : "", "parse-names" : false, "suffix" : "" }, { "dropping-particle" : "", "family" : "Schwartz", "given" : "Jennifer L.", "non-dropping-particle" : "", "parse-names" : false, "suffix" : "" }, { "dropping-particle" : "", "family" : "Cimmino", "given" : "Vincent M.", "non-dropping-particle" : "", "parse-names" : false, "suffix" : "" }, { "dropping-particle" : "", "family" : "Chang", "given" : "Alfred E.", "non-dropping-particle" : "", "parse-names" : false, "suffix" : "" }, { "dropping-particle" : "", "family" : "Rees", "given" : "Riley S.", "non-dropping-particle" : "", "parse-names" : false, "suffix" : "" }, { "dropping-particle" : "", "family" : "Bradford", "given" : "Carol R.", "non-dropping-particle" : "", "parse-names" : false, "suffix" : "" }, { "dropping-particle" : "", "family" : "Johnson", "given" : "Timothy M.", "non-dropping-particle" : "", "parse-names" : false, "suffix" : "" } ], "container-title" : "Journal of the American College of Surgeons", "id" : "ITEM-11", "issue" : "1", "issued" : { "date-parts" : [ [ "2005" ] ] }, "page" : "37-47", "title" : "Predictors of nonsentinel lymph node positivity in patients with a positive sentinel node for melanoma", "type" : "article-journal", "volume" : "201" }, "uris" : [ "http://www.mendeley.com/documents/?uuid=ba42c37e-0beb-4757-b901-754a60fc6450" ] }, { "id" : "ITEM-12", "itemData" : { "DOI" : "10.1245/ASO.2005.06.013", "ISSN" : "1068-9265", "PMID" : "15864481", "abstract" : "BACKGROUND: Even though 60% to 80% of melanoma patients with a positive sentinel lymph node (SLN) have no positive additional lymph nodes (ALNs), all these patients are subjected to an ALN dissection (ALND) with its associated morbidity. The aim of this study was to predict the absence of ALN metastases in patients with a positive SLN by using features of the primary melanoma and SLN tumor load.\n\nMETHODS: Of 71 SLN-positive patients, 52 had metastasis limited to the SLN (group 1), and 19 had &gt; or =1 positive ALN after ALND (group 2). The tumor load of the SLN was assessed by measuring the total surface area by computerized morphometry. Breslow thickness, ulceration and lymphatic invasion of the primary tumor, and total SLN metastatic area were tested as covariates predicting the absence of positive ALNs.\n\nRESULTS: The mean SLN metastatic area was 1.18 mm(2) (group 1) and 3.39 mm(2) (group 2) (P = .003) and was the only significant and independent factor after multivariate analysis (P = .02). None of the patients with both a Breslow thickness &lt;2.5 mm and an SLN metastatic area &lt;.3 mm(2) had a positive ALN.\n\nCONCLUSIONS: SLN metastatic area can be used to predict the absence of positive ALNs in melanoma patients. In this study, patients with a Breslow thickness &lt;2.5 mm and an SLN tumor load &lt;.3 mm(2 )seemed to have no positive ALN and had excellent survival. We hypothesize that this subgroup might not benefit from ALND. Prospective larger trials, using this model and randomizing between ALND and no ALND, should confirm this hypothesis.", "author" : [ { "dropping-particle" : "", "family" : "Vuylsteke", "given" : "Ronald J C L M", "non-dropping-particle" : "", "parse-names" : false, "suffix" : "" }, { "dropping-particle" : "", "family" : "Borgstein", "given" : "Paul J", "non-dropping-particle" : "", "parse-names" : false, "suffix" : "" }, { "dropping-particle" : "", "family" : "Leeuwen", "given" : "Paul A M", "non-dropping-particle" : "van", "parse-names" : false, "suffix" : "" }, { "dropping-particle" : "", "family" : "Gietema", "given" : "Hester A", "non-dropping-particle" : "", "parse-names" : false, "suffix" : "" }, { "dropping-particle" : "", "family" : "Molenkamp", "given" : "Barbara G", "non-dropping-particle" : "", "parse-names" : false, "suffix" : "" }, { "dropping-particle" : "", "family" : "Statius Muller", "given" : "Markwin G", "non-dropping-particle" : "", "parse-names" : false, "suffix" : "" }, { "dropping-particle" : "", "family" : "Diest", "given" : "Paul J", "non-dropping-particle" : "van", "parse-names" : false, "suffix" : "" }, { "dropping-particle" : "", "family" : "Sijp", "given" : "Joost R M", "non-dropping-particle" : "van der", "parse-names" : false, "suffix" : "" }, { "dropping-particle" : "", "family" : "Meijer", "given" : "Sybren", "non-dropping-particle" : "", "parse-names" : false, "suffix" : "" } ], "container-title" : "Annals of surgical oncology", "id" : "ITEM-12", "issue" : "6", "issued" : { "date-parts" : [ [ "2005", "6" ] ] }, "page" : "440-8", "title" : "Sentinel lymph node tumor load: an independent predictor of additional lymph node involvement and survival in melanoma.", "type" : "article-journal", "volume" : "12" }, "uris" : [ "http://www.mendeley.com/documents/?uuid=f4008c8d-246b-45be-954c-bbd5d8af0390" ] }, { "id" : "ITEM-13", "itemData" : { "DOI" : "10.1016/j.amjsurg.2006.08.062", "ISSN" : "1879-1883", "PMID" : "17161112", "abstract" : "BACKGROUND: A positive sentinel lymph node (SLN) biopsy is an indication for completion lymph node dissection (CLND) in malignant melanoma; however, most CLNDs are negative. We hypothesized SLN metastatic size of &lt; or =2 mm would predict CLND status and prognosis.\n\nMETHODS: We evaluated 80 consecutive patients undergoing CLND for positive SLNs over a 10-year period. Incidence of positive nonsentinel nodes and survival were compared for patients with SLN metastases &lt; or =2 mm and &gt;2 mm.\n\nRESULTS: Of 504 patients undergoing SLN biopsy, 49 patients had SLN deposits &lt; or =2 mm and a 6% incidence of positive CLNDs. Five-year survival was 85%, essentially the same as negative SLN biopsies. In contrast, 31 had SLN metastases &gt;2 mm, a 45% incidence of addition disease at CLND, and 5-year survival of 47% (P &lt; .0001).\n\nCONCLUSION: An SLN metastatic cut point of 2 mm is an efficient predictor of CLND status and survival in malignant melanoma.", "author" : [ { "dropping-particle" : "", "family" : "Pearlman", "given" : "Nathan W", "non-dropping-particle" : "", "parse-names" : false, "suffix" : "" }, { "dropping-particle" : "", "family" : "McCarter", "given" : "Martin D", "non-dropping-particle" : "", "parse-names" : false, "suffix" : "" }, { "dropping-particle" : "", "family" : "Frank", "given" : "Matthew", "non-dropping-particle" : "", "parse-names" : false, "suffix" : "" }, { "dropping-particle" : "", "family" : "Hurtubis", "given" : "Cheryl", "non-dropping-particle" : "", "parse-names" : false, "suffix" : "" }, { "dropping-particle" : "", "family" : "Merkow", "given" : "Ryan P", "non-dropping-particle" : "", "parse-names" : false, "suffix" : "" }, { "dropping-particle" : "", "family" : "Franklin", "given" : "Wilbur A", "non-dropping-particle" : "", "parse-names" : false, "suffix" : "" }, { "dropping-particle" : "", "family" : "Gonzalez", "given" : "Rene", "non-dropping-particle" : "", "parse-names" : false, "suffix" : "" }, { "dropping-particle" : "", "family" : "Lewis", "given" : "Karl", "non-dropping-particle" : "", "parse-names" : false, "suffix" : "" }, { "dropping-particle" : "", "family" : "Roaten", "given" : "J Brent", "non-dropping-particle" : "", "parse-names" : false, "suffix" : "" }, { "dropping-particle" : "", "family" : "Robinson", "given" : "William A", "non-dropping-particle" : "", "parse-names" : false, "suffix" : "" } ], "container-title" : "American journal of surgery", "id" : "ITEM-13", "issue" : "6", "issued" : { "date-parts" : [ [ "2006", "12" ] ] }, "page" : "878-81", "title" : "Size of sentinel node metastases predicts other nodal disease and survival in malignant melanoma.", "type" : "article-journal", "volume" : "192" }, "uris" : [ "http://www.mendeley.com/documents/?uuid=8b561a6b-e631-4cc0-9a77-6864402b5a97" ] }, { "id" : "ITEM-14", "itemData" : { "DOI" : "10.1200/JCO.2006.06.3198", "ISSN" : "1527-7755", "PMID" : "16983115", "abstract" : "PURPOSE: To evaluate the prognostic significance of sentinel node biopsy in the management of stage IB and II melanoma patients, and to evaluate the status of nonsentinel nodes as a \"second step key factor\" to assess the prognosis of these patients.\n\nPATIENTS AND METHODS: We conducted an analysis of data collected in a prospective database.\n\nRESULTS: From February 1994 to June 2005, 1,108 consecutive patients with stage IB and II melanoma were submitted to sentinel node biopsy; 176 patients (15.9%) had occult node metastases. The frequency of positive nodes increased with increasing Breslow's thickness. The largest diameter of metastatic foci and their localization within the lymph node were associated with the risk of nonsentinel node metastases only. The 5-year survival of patients with positive sentinel nodes was 81.4% in patients with one positive node and 39.6% in patients with two positive nodes (P = .056). Multivariate analysis indicated that status of sentinel nodes is a key factor and that sex and Breslow's thickness maintain statistically significant relevance. Ulceration, which was associated with survival when considered as single factor (P &lt; .001) had no impact on survival in the multivariate analysis (P = .10). To evaluate the relevance of metastases to nonsentinel nodes, we identified four groups of patients.\n\nCONCLUSION: Evaluation of the sentinel node is a useful procedure to identify patients to be submitted for complete lymph node dissection. The procedure makes it possible to assess the best prognosis of patients.", "author" : [ { "dropping-particle" : "", "family" : "Cascinelli", "given" : "Natale", "non-dropping-particle" : "", "parse-names" : false, "suffix" : "" }, { "dropping-particle" : "", "family" : "Bombardieri", "given" : "Emilio", "non-dropping-particle" : "", "parse-names" : false, "suffix" : "" }, { "dropping-particle" : "", "family" : "Bufalino", "given" : "Rosaria", "non-dropping-particle" : "", "parse-names" : false, "suffix" : "" }, { "dropping-particle" : "", "family" : "Camerini", "given" : "Tiziana", "non-dropping-particle" : "", "parse-names" : false, "suffix" : "" }, { "dropping-particle" : "", "family" : "Carbone", "given" : "Antonino", "non-dropping-particle" : "", "parse-names" : false, "suffix" : "" }, { "dropping-particle" : "", "family" : "Clemente", "given" : "Claudio", "non-dropping-particle" : "", "parse-names" : false, "suffix" : "" }, { "dropping-particle" : "", "family" : "Lenisa", "given" : "Leonardo", "non-dropping-particle" : "", "parse-names" : false, "suffix" : "" }, { "dropping-particle" : "", "family" : "Mascheroni", "given" : "Luigi", "non-dropping-particle" : "", "parse-names" : false, "suffix" : "" }, { "dropping-particle" : "", "family" : "Maurichi", "given" : "Andrea", "non-dropping-particle" : "", "parse-names" : false, "suffix" : "" }, { "dropping-particle" : "", "family" : "Pennacchioli", "given" : "Elisabetta", "non-dropping-particle" : "", "parse-names" : false, "suffix" : "" }, { "dropping-particle" : "", "family" : "Patuzzo", "given" : "Roberto", "non-dropping-particle" : "", "parse-names" : false, "suffix" : "" }, { "dropping-particle" : "", "family" : "Santinami", "given" : "Mario", "non-dropping-particle" : "", "parse-names" : false, "suffix" : "" }, { "dropping-particle" : "", "family" : "Tragni", "given" : "Gabrina", "non-dropping-particle" : "", "parse-names" : false, "suffix" : "" } ], "container-title" : "Journal of clinical oncology : official journal of the American Society of Clinical Oncology", "id" : "ITEM-14", "issue" : "27", "issued" : { "date-parts" : [ [ "2006", "9", "20" ] ] }, "page" : "4464-71", "title" : "Sentinel and nonsentinel node status in stage IB and II melanoma patients: two-step prognostic indicators of survival.", "type" : "article-journal", "volume" : "24" }, "uris" : [ "http://www.mendeley.com/documents/?uuid=87a2810c-0f27-4812-8c91-b5fcb57b53ff" ] }, { "id" : "ITEM-15", "itemData" : { "DOI" : "10.1111/j.1365-2133.2007.07937.x", "ISSN" : "0007-0963", "PMID" : "17501957", "abstract" : "BACKGROUND: Sentinel lymph node (SLN) positivity has been found to be strongly associated with a poor prognosis in melanoma.\n\nOBJECTIVES: This large referral centre study was conducted: (i) to confirm the powerful prognostic value of SLN biopsy (SLNB); (ii) to correlate patient prognosis to the micromorphometric features of SLN metastasis in SLN-positive patients; and (iii) to correlate these micromorphometric features to the likelihood of positive completion lymph node dissection (CLND).\n\nPATIENTS AND METHODS: SLNB was performed in 455 cases of primary melanoma between January 1999 and December 2004; for patients with positive SLN, the following micromorphometric features were registered: size of the largest metastasis (two diameters), depth of metastasis, number of millimetric slices involved, maximum number of metastases on a single section, presence of intracapsular lymphatic invasion and extracapsular spread. Kaplan-Meier survival curves were compared with the log-rank test; multivariate analysis was performed using a Cox regression model. Dependence of CLND status on micromorphometric features of SLN was assessed by the chi(2) test and predictive values of the different features were evaluated by multivariate analysis using a logistic regression model.\n\nRESULTS: A positive SLN was identified in 98 of our 455 cases. Survival was significantly shorter in SLN-positive patients than in SLN-negative patients. Extracapsular invasion was found to be an independent prognostic factor of disease-free survival; ulceration of the primary and the maximum diameter of the largest metastasis were identified as independent predictive factors of disease-specific survival. Age and the lowest diameter of the largest metastasis were identified as independent predictive criteria of positive CLND, whereas depth of metastasis was not. Positivity of CLND was not significantly associated with a worse prognosis.\n\nCONCLUSIONS: Our study confirms the previously demonstrated strong prognostic value of SLNB. It also confirms the relationship between tumour burden in the SLN (evaluated by the maximum diameter of the largest metastasis) and clinical outcome. We point out a new micromorphometric feature of SLN, which seems to be predictive of CLND status: the lowest diameter of the largest metastasis.", "author" : [ { "dropping-particle" : "", "family" : "Debarbieux", "given" : "S", "non-dropping-particle" : "", "parse-names" : false, "suffix" : "" }, { "dropping-particle" : "", "family" : "Duru", "given" : "G", "non-dropping-particle" : "", "parse-names" : false, "suffix" : "" }, { "dropping-particle" : "", "family" : "Dalle", "given" : "S", "non-dropping-particle" : "", "parse-names" : false, "suffix" : "" }, { "dropping-particle" : "", "family" : "B\u00e9atrix", "given" : "O", "non-dropping-particle" : "", "parse-names" : false, "suffix" : "" }, { "dropping-particle" : "", "family" : "Balme", "given" : "B", "non-dropping-particle" : "", "parse-names" : false, "suffix" : "" }, { "dropping-particle" : "", "family" : "Thomas", "given" : "L", "non-dropping-particle" : "", "parse-names" : false, "suffix" : "" } ], "container-title" : "The British journal of dermatology", "id" : "ITEM-15", "issue" : "1", "issued" : { "date-parts" : [ [ "2007", "7" ] ] }, "page" : "58-67", "title" : "Sentinel lymph node biopsy in melanoma: a micromorphometric study relating to prognosis and completion lymph node dissection.", "type" : "article-journal", "volume" : "157" }, "uris" : [ "http://www.mendeley.com/documents/?uuid=21e3987a-d610-454e-98d8-9ef8eb629ad1" ] }, { "id" : "ITEM-16", "itemData" : { "ISSN" : "0003-1348", "PMID" : "17674939", "abstract" : "Completion lymph node dissection (CLND) is routinely performed after metastatic melanoma is detected at sentinel lymph node (SLN) biopsy. Nonsentinel lymph node (NSLN) involvement is found in less than one-third of the cases. Possible predictors of NSLN involvement are examined. A retrospective review of 70 patients with a positive SLN biopsy for melanoma and drainage to one lymphatic basin was performed. The size of metastatic deposits was defined as macrometastases (&gt;2 mm), micrometastases (&lt; or =2 mm), a cluster of cells (10-30 grouped cells) in the subcapsular space or interfollicular zone, or isolated melanoma cells (1-20 or more individual cells) in subcapsular sinuses. Tumor stage, ulceration, SLN tumor burden, mitoses, number of positive SLNs, and total number of lymph nodes removed were examined as predictors of NSLN involvement after CLND. Two additional models based on SLN tumor burden and the number of nodes biopsied were designed. Nineteen patients (24.3%) were found to have NSLN metastases after CLND. Tumor stage, ulceration, SLN tumor burden, mitoses, number of positive SLN, and number of lymph nodes removed were not statistically significant. Residual disease at CLND stratified by SLN tumor burden was: isolated melanoma cells, 0; cluster of cells, 8 (38.1%); &lt; or =2 mm, 5 (20.8%); and &gt;2 mm, 6 (27.3%). A comparison of the means for the models was not predictive of NSLN involvement. None of the risk factors or models examined could predict nonsentinel lymph node involvement with melanoma. The SLN sample and minimal SLN metastatic disease when defined as isolated clusters of cells warrant further study as a potential indicator against CLND after positive SLN.", "author" : [ { "dropping-particle" : "", "family" : "Page", "given" : "Andrew J", "non-dropping-particle" : "", "parse-names" : false, "suffix" : "" }, { "dropping-particle" : "", "family" : "Carlson", "given" : "Grant W", "non-dropping-particle" : "", "parse-names" : false, "suffix" : "" }, { "dropping-particle" : "", "family" : "Delman", "given" : "Keith A", "non-dropping-particle" : "", "parse-names" : false, "suffix" : "" }, { "dropping-particle" : "", "family" : "Murray", "given" : "Douglas", "non-dropping-particle" : "", "parse-names" : false, "suffix" : "" }, { "dropping-particle" : "", "family" : "Hestley", "given" : "Andrea", "non-dropping-particle" : "", "parse-names" : false, "suffix" : "" }, { "dropping-particle" : "", "family" : "Cohen", "given" : "Cynthia", "non-dropping-particle" : "", "parse-names" : false, "suffix" : "" } ], "container-title" : "The American surgeon", "id" : "ITEM-16", "issue" : "7", "issued" : { "date-parts" : [ [ "2007", "7" ] ] }, "page" : "674-8; discussion 678-9", "title" : "Prediction of nonsentinel lymph node involvement in patients with a positive sentinel lymph node in malignant melanoma.", "type" : "article-journal", "volume" : "73" }, "uris" : [ "http://www.mendeley.com/documents/?uuid=fbc4895b-4b30-4cf2-93e9-c881a9f56cd1" ] }, { "id" : "ITEM-17", "itemData" : { "DOI" : "10.1245/s10434-007-9734-8", "ISSN" : "1534-4681", "PMID" : "18165880", "abstract" : "BACKGROUND: Identification of melanoma patients who need completion lymphadenectomy and adjuvant treatment after positive sentinel lymph node (SLN) biopsy would be a fundamental step forward toward personalized medicine. This study tested the hypothesis that the microscopic features of metastatic SLNs might predict not only nonsentinel lymph node (NSLN) status, but also patients' clinical outcomes.\n\nMETHODS: A retrospective analysis was performed on 96 consecutive melanoma patients who underwent completion lymphadenectomy after positive SLN biopsy. Patients' age and sex, primary tumor Breslow thickness, number of positive SLNs, the largest diameter and depth of invasion of metastatic deposits in the SLN, S stage, and pattern of nodal involvement were correlated with the presence of metastatic disease in NSLNs as well as with the likelihood of tumor recurrence and patient death.\n\nRESULTS: At pathological examination, 20 patients (20.8%) had metastatic melanoma in the NSLN. Pattern of nodal involvement, depth of invasion of SLN by metastatic disease, and S stage were statistically significantly associated with the presence of metastatic disease in NSLN. Multivariate analysis revealed that only the SLN depth of invasion was an independent predictor of NSLN status (P = .0035). This parameter was also significantly associated with disease-free and overall survival, both by univariate (P &lt; .0001 and P = .0006, respectively) and multivariate (P &lt; .0001 and P = .0013, respectively) survival analysis.\n\nCONCLUSIONS: These findings support further investigation of SLN depth of invasion as a predictive factor of potential clinical use to select patients as candidates for completion lymphadenectomy and adjuvant treatment.", "author" : [ { "dropping-particle" : "", "family" : "Rossi", "given" : "Carlo Riccardo", "non-dropping-particle" : "", "parse-names" : false, "suffix" : "" }, { "dropping-particle" : "", "family" : "Salvo", "given" : "Gian Luca", "non-dropping-particle" : "De", "parse-names" : false, "suffix" : "" }, { "dropping-particle" : "", "family" : "Bonandini", "given" : "Elena", "non-dropping-particle" : "", "parse-names" : false, "suffix" : "" }, { "dropping-particle" : "", "family" : "Mocellin", "given" : "Simone", "non-dropping-particle" : "", "parse-names" : false, "suffix" : "" }, { "dropping-particle" : "", "family" : "Foletto", "given" : "Mirto", "non-dropping-particle" : "", "parse-names" : false, "suffix" : "" }, { "dropping-particle" : "", "family" : "Pasquali", "given" : "Sandro", "non-dropping-particle" : "", "parse-names" : false, "suffix" : "" }, { "dropping-particle" : "", "family" : "Pilati", "given" : "Pierluigi", "non-dropping-particle" : "", "parse-names" : false, "suffix" : "" }, { "dropping-particle" : "", "family" : "Lise", "given" : "Mario", "non-dropping-particle" : "", "parse-names" : false, "suffix" : "" }, { "dropping-particle" : "", "family" : "Nitti", "given" : "Donato", "non-dropping-particle" : "", "parse-names" : false, "suffix" : "" }, { "dropping-particle" : "", "family" : "Rizzo", "given" : "Elisa", "non-dropping-particle" : "", "parse-names" : false, "suffix" : "" }, { "dropping-particle" : "", "family" : "Montesco", "given" : "Maria Cristina", "non-dropping-particle" : "", "parse-names" : false, "suffix" : "" } ], "container-title" : "Annals of surgical oncology", "id" : "ITEM-17", "issue" : "4", "issued" : { "date-parts" : [ [ "2008", "4" ] ] }, "page" : "1202-10", "title" : "Factors predictive of nonsentinel lymph node involvement and clinical outcome in melanoma patients with metastatic sentinel lymph node.", "type" : "article-journal", "volume" : "15" }, "uris" : [ "http://www.mendeley.com/documents/?uuid=1eae11c2-e4cc-4656-8016-e49758758783" ] }, { "id" : "ITEM-18", "itemData" : { "DOI" : "10.1245/s10434-008-9888-z", "ISSN" : "1534-4681", "PMID" : "18389323", "abstract" : "BACKGROUND: Previous studies described various criteria in sentinel lymph nodes (SLN) of melanoma patients that predict the involvement of further, nonsentinel lymph nodes (NSLN). Such criteria may facilitate the selection of patients who might benefit from a completion lymph node dissection (CLND). However, it is currently unclear which parameters are most important.\n\nMETHODS: A total of 180 melanoma patients with positive SLNB and subsequent CLND were investigated. Histopathologic parameters in the SLN were systematically evaluated and compared with regard to NSLN positivity. Twenty-eight of these patients (16.0%) had positive NSLN.\n\nRESULTS: By univariate analysis several criteria with regard to tumor burden and location of melanoma cells in the SLN correlated with NSLN involvement, such as positivity by hematoxylin-eosin (H&amp;E) staining (P &lt; .001), largest diameter of clusters (P &lt; .001), capsular involvement (P = .001), extranodal extension (P &lt; .001), and tumor penetrative depth (P &lt; .001). Multivariate analysis revealed three independent parameters: (1) positivity of the SLN by H&amp;E staining (versus by immunohistochemistry alone), (2) relative tumor burden &gt; 10% of total lymph node tissue, and (3) perinodal intralymphatic tumor. In 23 of 28 patients with positive NSLN the SLN was positive by H&amp;E staining, in 15 of 28 patients the relative tumor burden was &gt; 10%, and 13 of 28 showed perinodal intralymphatic tumor. In 5 of 28 patients with NSLN involvement, these three parameters were negative.\n\nCONCLUSIONS: Histopathologic examination of the SLN can identify patients at risk for NSLN positivity.", "author" : [ { "dropping-particle" : "", "family" : "Satzger", "given" : "Imke", "non-dropping-particle" : "", "parse-names" : false, "suffix" : "" }, { "dropping-particle" : "", "family" : "V\u00f6lker", "given" : "Bernward", "non-dropping-particle" : "", "parse-names" : false, "suffix" : "" }, { "dropping-particle" : "", "family" : "Meier", "given" : "Andre", "non-dropping-particle" : "", "parse-names" : false, "suffix" : "" }, { "dropping-particle" : "", "family" : "Kapp", "given" : "Alexander", "non-dropping-particle" : "", "parse-names" : false, "suffix" : "" }, { "dropping-particle" : "", "family" : "Gutzmer", "given" : "Ralf", "non-dropping-particle" : "", "parse-names" : false, "suffix" : "" } ], "container-title" : "Annals of surgical oncology", "id" : "ITEM-18", "issue" : "6", "issued" : { "date-parts" : [ [ "2008", "6" ] ] }, "page" : "1723-32", "title" : "Criteria in sentinel lymph nodes of melanoma patients that predict involvement of nonsentinel lymph nodes.", "type" : "article-journal", "volume" : "15" }, "uris" : [ "http://www.mendeley.com/documents/?uuid=a8f6bd8b-14f6-4b65-a100-7171b12ba9ba" ] }, { "id" : "ITEM-19", "itemData" : { "DOI" : "10.1200/JCO.2007.15.4179", "ISSN" : "1527-7755", "PMID" : "18606982", "abstract" : "PURPOSE: We and others have demonstrated that additional positive lymph nodes (LNs) are identified in only 8% to 33% of patients with melanoma who have positive sentinel LNs (SLNs) and undergo complete therapeutic LN dissection (cTLND). We sought to determine predictors of additional regional LN involvement in patients with positive SLNs.\n\nPATIENTS AND METHODS: Patients with clinically node-negative melanoma who underwent SLN biopsy (1991 to 2003) and had positive SLNs were identified. Clinicopathologic factors, including extent of microscopic disease within SLNs, were evaluated as potential predictors of positive non-SLNs.\n\nRESULTS: Overall, 359 (16.3%) of the 2,203 patients identified had a positive SLN. Positive non-SLNs were identified in 48 (14.0%) of the 343 patients with positive SLNs who underwent cTLND. On univariate analysis, several measures of SLN microscopic tumor burden, one versus three or more SLNs harvested, tumor thickness more than 2 mm, age older than 50 years, and Clark level higher than III were predictive of positive non-SLNs; primary tumor ulceration and number of positive SLNs had no apparent impact. On multivariable logistic regression analysis, measures of SLN microscopic tumor burden were the most significant independent predictors of positive non-SLNs; tumor thickness more than 2 mm and number of SLNs harvested also predicted additional disease. A model was developed that stratified patients according to their risk for non-SLN involvement.\n\nCONCLUSION: In melanoma patients with positive SLNs, SLN tumor burden, primary tumor thickness, and number of SLNs harvested may be useful in identifying a group at low risk for positive non-SLNs and be spared the potential morbidity of a cTLND.", "author" : [ { "dropping-particle" : "", "family" : "Gershenwald", "given" : "Jeffrey E", "non-dropping-particle" : "", "parse-names" : false, "suffix" : "" }, { "dropping-particle" : "", "family" : "Andtbacka", "given" : "Robert H I", "non-dropping-particle" : "", "parse-names" : false, "suffix" : "" }, { "dropping-particle" : "", "family" : "Prieto", "given" : "Victor G", "non-dropping-particle" : "", "parse-names" : false, "suffix" : "" }, { "dropping-particle" : "", "family" : "Johnson", "given" : "Marcella M", "non-dropping-particle" : "", "parse-names" : false, "suffix" : "" }, { "dropping-particle" : "", "family" : "Diwan", "given" : "A Hafeez", "non-dropping-particle" : "", "parse-names" : false, "suffix" : "" }, { "dropping-particle" : "", "family" : "Lee", "given" : "Jeffrey E", "non-dropping-particle" : "", "parse-names" : false, "suffix" : "" }, { "dropping-particle" : "", "family" : "Mansfield", "given" : "Paul F", "non-dropping-particle" : "", "parse-names" : false, "suffix" : "" }, { "dropping-particle" : "", "family" : "Cormier", "given" : "Janice N", "non-dropping-particle" : "", "parse-names" : false, "suffix" : "" }, { "dropping-particle" : "", "family" : "Schacherer", "given" : "Christopher W", "non-dropping-particle" : "", "parse-names" : false, "suffix" : "" }, { "dropping-particle" : "", "family" : "Ross", "given" : "Merrick I", "non-dropping-particle" : "", "parse-names" : false, "suffix" : "" } ], "container-title" : "Journal of clinical oncology : official journal of the American Society of Clinical Oncology", "id" : "ITEM-19", "issue" : "26", "issued" : { "date-parts" : [ [ "2008", "9", "10" ] ] }, "page" : "4296-303", "title" : "Microscopic tumor burden in sentinel lymph nodes predicts synchronous nonsentinel lymph node involvement in patients with melanoma.", "type" : "article-journal", "volume" : "26" }, "uris" : [ "http://www.mendeley.com/documents/?uuid=123e0a9a-4b3c-4a5f-8e41-9b53cd07a69f" ] }, { "id" : "ITEM-20", "itemData" : { "DOI" : "10.1093/annonc/mdl176", "ISSN" : "0923-7534", "PMID" : "16968875", "abstract" : "As only about 20% of sentinel node (SN) positive melanoma patients have additional non-SN lymph node involvement in the Completion Lymph Node Dissection (CLND) specimen, we tried to identify a SN positive patient group, which can be spared CLND. Micro anatomic analyses of metastatic SNs were performed to identify patient/tumor and/or SN factors predicting additional non-SN positivity as well as disease-free and overall survival. SN positivity was found in 77 of 262 stage I/II patients, included into a prospective database (10/97-5/04). Of 74 patients pathology material was available for re-evaluation. Micro anatomic analyses categorized topography of SN-metastases, Starz classification and amount of SN tumor burden. Additional non-SN positivity, DFS, OS and was calculated for all analyses. Mean Breslow thickness was 3.5 mm (0.8-12.0); mean FU was 35 (6-81) months. There was no additional non-SN positivity for SN-micrometastases &lt;0.1 mm. Topography of SN involvement had no impact on OS. Estimated 5-year OS rates for the different groups of &lt;0.1 mm, 0.1-1.0 mm and &gt;1.0 mm SN tumor burden were 100%, 63% and 35% respectively. Distant metastases were exceedingly rare (1/16 = 6.3%) in &lt;0.1 mm SN-positive patients. On multivariate analysis the SN tumor burden was the most important prognostic factor for DFS (P = 0.005) and OS (P = 0.03). Distant metastasis-free survival was identical (91%) to the 5-yr OS of SN negative patients, the estimated 5-yr OS was 100% for these patients and additional non-SN positivity was not observed. Therefore, our data suggest that patients with sub-micrometastases (&lt;0.1 mm) in the SN may be judged as SN negative, as non-stage III, and are highly unlikely to benefit from CLND, which we no longer recommend.", "author" : [ { "dropping-particle" : "", "family" : "Akkooi", "given" : "A C J", "non-dropping-particle" : "van", "parse-names" : false, "suffix" : "" }, { "dropping-particle" : "", "family" : "Wilt", "given" : "J H W", "non-dropping-particle" : "de", "parse-names" : false, "suffix" : "" }, { "dropping-particle" : "", "family" : "Verhoef", "given" : "C", "non-dropping-particle" : "", "parse-names" : false, "suffix" : "" }, { "dropping-particle" : "", "family" : "Schmitz", "given" : "P I M", "non-dropping-particle" : "", "parse-names" : false, "suffix" : "" }, { "dropping-particle" : "", "family" : "Geel", "given" : "A N", "non-dropping-particle" : "van", "parse-names" : false, "suffix" : "" }, { "dropping-particle" : "", "family" : "Eggermont", "given" : "A M M", "non-dropping-particle" : "", "parse-names" : false, "suffix" : "" }, { "dropping-particle" : "", "family" : "Kliffen", "given" : "M", "non-dropping-particle" : "", "parse-names" : false, "suffix" : "" } ], "container-title" : "Annals of oncology : official journal of the European Society for Medical Oncology / ESMO", "id" : "ITEM-20", "issue" : "10", "issued" : { "date-parts" : [ [ "2006", "10" ] ] }, "page" : "1578-85", "title" : "Clinical relevance of melanoma micrometastases (&lt;0.1 mm) in sentinel nodes: are these nodes to be considered negative?", "type" : "article-journal", "volume" : "17" }, "uris" : [ "http://www.mendeley.com/documents/?uuid=e3711798-85d5-422c-b79d-c94fe0973202" ] }, { "id" : "ITEM-21", "itemData" : { "abstract" : "Aims: Sentinel lymph node (SLN) -positive melanoma patients are usually recommended completion lymph node dissection (CLND) with the aim to provide regional disease control and improve survival. Nevertheless, only 20% these patients have additional metastases in non-sentinel lymph nodes (NSLN), indicating that CLND may be unnecessary in the majority of patients. In this retrospective study, we (i) sought to identify clinico-pathological features predicting NSLN status, as well as disease-free (DFS) and -specific (DSS) survival and (ii) evaluated the applicability of previously published algorithms, which were able to define a group of patients at zero-risk for NSLN-metastasis. Methods: This analysis included 504 consecutive melanoma patients stage I and II who underwent successful SLN-biopsy (SLNB) at our institute between 1998 and 2005. Metastatic SLN were re-evaluated for tumor burden and categorized according to two different micro-anatomic classifications and the S/U-score (Size of the sentinel node metastasis &gt;2 mm/Ulceration of the primary melanoma) was assessed. DFS and DSS were calculated for all analyses. Results: Out of 504 melanoma patients stage I or II, 85 (17%) were SLN-positive and 18 of 85 (21%) were found with positive NSLN in the CLND specimen. Median follow-up was 31 months. Neither primary tumor characteristics (age, gender, Clark level, Breslow thickness, ulceration of the primary melanoma, site and histological subtype of the primary melanoma), nor features of the sentinel node tumor (number and site of draining lymph node basins, number of positive sentinel nodes and size of sentinel node tumor (&lt;2 mm vs. \u22652 mm) were able to predict additional positive lymph nodes in the CLND specimen. Likewise the implementation of published algorithms was not able to identify patients at negligible risk for harboring NSLN metastases. Upon univariate analysis, disease-free survival in SLN-positive patients was correlated with Breslow thickness, sentinel node tumor size &gt;2 mm and S/U score. In respect to disease-specific survival the significant prognostic parameters were Breslow thickness, ulceration, sentinel node tumor size &gt;2 mm and the S/U score. After a median follow-up of 31 months recurrence rates (37% vs. 78%, p = 0.02) and death from disease (24% vs. 50%, p &lt; 0.01) were significantly different in patients with SLN-metastasis only as compared to patients with NSLN-metastasis. Conclusion: NSLN status cannot be predicted in this data analys\u2026", "author" : [ { "dropping-particle" : "", "family" : "Roka", "given" : "F.", "non-dropping-particle" : "", "parse-names" : false, "suffix" : "" }, { "dropping-particle" : "", "family" : "Mastan", "given" : "P.", "non-dropping-particle" : "", "parse-names" : false, "suffix" : "" }, { "dropping-particle" : "", "family" : "Binder", "given" : "M.", "non-dropping-particle" : "", "parse-names" : false, "suffix" : "" }, { "dropping-particle" : "", "family" : "Okamoto", "given" : "I.", "non-dropping-particle" : "", "parse-names" : false, "suffix" : "" }, { "dropping-particle" : "", "family" : "Mittlboeck", "given" : "M.", "non-dropping-particle" : "", "parse-names" : false, "suffix" : "" }, { "dropping-particle" : "", "family" : "Horvat", "given" : "R.", "non-dropping-particle" : "", "parse-names" : false, "suffix" : "" }, { "dropping-particle" : "", "family" : "Pehamberger", "given" : "H.", "non-dropping-particle" : "", "parse-names" : false, "suffix" : "" }, { "dropping-particle" : "", "family" : "Diem", "given" : "E.", "non-dropping-particle" : "", "parse-names" : false, "suffix" : "" } ], "container-title" : "European Journal of Surgical Oncology", "id" : "ITEM-21", "issue" : "1", "issued" : { "date-parts" : [ [ "2008" ] ] }, "page" : "82-88", "title" : "Prediction of non-sentinel node status and outcome in sentinel node-positive melanoma patients", "type" : "article-journal", "volume" : "34" }, "uris" : [ "http://www.mendeley.com/documents/?uuid=d5930a2d-7bb7-4c4a-a437-72ecc437a08e" ] }, { "id" : "ITEM-22", "itemData" : { "DOI" : "10.1245/s10434-010-1049-5", "ISSN" : "1534-4681", "PMID" : "20490699", "abstract" : "BACKGROUND: Completion lymph node dissection (CLND) following positive sentinel node biopsy (SNB) for melanoma detects additional nonsentinel node (NSN) metastases in approximately 20% of cases. This study aimed to establish whether NSN status can be predicted, to determine its effect on survival, and to develop survival tree models for the sentinel node (SN) positive population.\n\nMATERIALS AND METHODS: Sydney Melanoma Unit (SMU) patients with at least 1 positive SN, meeting inclusion criteria and treated between October 1992 and June 2005, were identified from the Unit database. Survival characteristics, potential predictors of survival, and NSN status were assessed using the Kaplan-Meier method, Cox regression model, and logistic regression analyses, respectively. Classification tree analysis was performed to identify groups with distinctly different survival characteristics.\n\nRESULTS: A total of 323 SN-positive melanoma patients met the inclusion criteria. On multivariate analysis, age, gender, primary tumor thickness, mitotic rate, number of positive NSNs, or total number of positive nodes were statistically significant predictors of survival. NSN metastasis, found at CLND in 19% of patients, was only predicted to a statistically significant degree by ulceration. Multivariate analyses demonstrated that survival was more closely related to number of positive NSNs than total number of positive nodes. Classification tree analysis revealed 4 prognostically distinct survival groups.\n\nCONCLUSIONS: Patients with NSN metastases could not be reliably identified prior to CLND. Prognosis following CLND was more closely related to number of positive NSNs than total number of positive nodes. Classification tree analysis defined distinctly different survival groups more accurately than use of single-factor analysis.", "author" : [ { "dropping-particle" : "", "family" : "Wiener", "given" : "Martin", "non-dropping-particle" : "", "parse-names" : false, "suffix" : "" }, { "dropping-particle" : "", "family" : "Acland", "given" : "Katharine M", "non-dropping-particle" : "", "parse-names" : false, "suffix" : "" }, { "dropping-particle" : "", "family" : "Shaw", "given" : "Helen M", "non-dropping-particle" : "", "parse-names" : false, "suffix" : "" }, { "dropping-particle" : "", "family" : "Soong", "given" : "Seng-Jaw", "non-dropping-particle" : "", "parse-names" : false, "suffix" : "" }, { "dropping-particle" : "", "family" : "Lin", "given" : "Hui-Yi", "non-dropping-particle" : "", "parse-names" : false, "suffix" : "" }, { "dropping-particle" : "", "family" : "Chen", "given" : "Dung-Tsa", "non-dropping-particle" : "", "parse-names" : false, "suffix" : "" }, { "dropping-particle" : "", "family" : "Scolyer", "given" : "Richard A", "non-dropping-particle" : "", "parse-names" : false, "suffix" : "" }, { "dropping-particle" : "", "family" : "Winstanley", "given" : "Julie B", "non-dropping-particle" : "", "parse-names" : false, "suffix" : "" }, { "dropping-particle" : "", "family" : "Thompson", "given" : "John F", "non-dropping-particle" : "", "parse-names" : false, "suffix" : "" } ], "container-title" : "Annals of surgical oncology", "id" : "ITEM-22", "issue" : "8", "issued" : { "date-parts" : [ [ "2010", "8" ] ] }, "page" : "1995-2005", "title" : "Sentinel node positive melanoma patients: prediction and prognostic significance of nonsentinel node metastases and development of a survival tree model.", "type" : "article-journal", "volume" : "17" }, "uris" : [ "http://www.mendeley.com/documents/?uuid=f4126b0e-1dfd-4ac9-a748-0e48d0c17c53" ] } ], "mendeley" : { "formattedCitation" : "&lt;sup&gt;123,136\u2013155,161&lt;/sup&gt;", "plainTextFormattedCitation" : "123,136\u2013155,161", "previouslyFormattedCitation" : "&lt;sup&gt;123,136\u2013155,161&lt;/sup&gt;" }, "properties" : { "noteIndex" : 0 }, "schema" : "https://github.com/citation-style-language/schema/raw/master/csl-citation.json" }</w:instrText>
      </w:r>
      <w:r w:rsidR="0091545E" w:rsidRPr="003E73CD">
        <w:rPr>
          <w:sz w:val="22"/>
          <w:szCs w:val="22"/>
        </w:rPr>
        <w:fldChar w:fldCharType="separate"/>
      </w:r>
      <w:r w:rsidR="00CE2A17" w:rsidRPr="00CE2A17">
        <w:rPr>
          <w:noProof/>
          <w:sz w:val="22"/>
          <w:szCs w:val="22"/>
          <w:vertAlign w:val="superscript"/>
        </w:rPr>
        <w:t>123,136–155,161</w:t>
      </w:r>
      <w:r w:rsidR="0091545E" w:rsidRPr="003E73CD">
        <w:rPr>
          <w:sz w:val="22"/>
          <w:szCs w:val="22"/>
        </w:rPr>
        <w:fldChar w:fldCharType="end"/>
      </w:r>
      <w:r w:rsidR="0061482C" w:rsidRPr="003E73CD">
        <w:rPr>
          <w:sz w:val="22"/>
          <w:szCs w:val="22"/>
        </w:rPr>
        <w:t xml:space="preserve"> </w:t>
      </w:r>
      <w:proofErr w:type="gramStart"/>
      <w:r w:rsidR="0061482C" w:rsidRPr="003E73CD">
        <w:rPr>
          <w:sz w:val="22"/>
          <w:szCs w:val="22"/>
        </w:rPr>
        <w:t>The</w:t>
      </w:r>
      <w:proofErr w:type="gramEnd"/>
      <w:r w:rsidR="0061482C" w:rsidRPr="003E73CD">
        <w:rPr>
          <w:sz w:val="22"/>
          <w:szCs w:val="22"/>
        </w:rPr>
        <w:t xml:space="preserve"> findings from these studies demonstrate a lack of any consistent predictors of non-sentinel node metastasis relating to patient or primary melanoma characteristics.  Tumour load and location within the SN have also been investigated and, despite some reports to the contrary, most studies have suggested that various measurements of tumour load and/or location are predictors of non-sentinel node positivity.</w:t>
      </w:r>
      <w:r w:rsidR="0061482C" w:rsidRPr="003E73CD">
        <w:rPr>
          <w:sz w:val="22"/>
          <w:szCs w:val="22"/>
        </w:rPr>
        <w:fldChar w:fldCharType="begin" w:fldLock="1"/>
      </w:r>
      <w:r w:rsidR="00217FAC">
        <w:rPr>
          <w:sz w:val="22"/>
          <w:szCs w:val="22"/>
        </w:rPr>
        <w:instrText>ADDIN CSL_CITATION { "citationItems" : [ { "id" : "ITEM-1", "itemData" : { "ISSN" : "0008-543X", "PMID" : "10918179", "abstract" : "BACKGROUND: The selection of patients for sentinel lymph node biopsy (SNB) and selective lymphadenectomy for histologically positive sentinel lymph nodes (SLND) are areas of debate. The authors of the current study attempted to identify predictors of metastases to the sentinel and residual nonsentinel lymph nodes in patients with melanoma.\n\nMETHODS: The Indiana University Interdisciplinary Melanoma Program computerized database was queried to identify all patients who underwent SNB for clinically localized cutaneous melanoma. Demographic, surgical, and histopathologic data were recorded. Univariate and multivariate logistic regression analyses were performed to identify associations with SNB and nonsentinel lymph node positivity. Classification tree and logistic procedures were performed to identify the ideal tumor thickness cutpoint at which to perform SNB.\n\nRESULTS: Two hundred seventy-five SNB procedures were performed to stage 348 regional lymph node basins for occult metastases from melanoma. Of the 275 melanomas, 54 (19.6%) had a positive SNB, as did 58 of 348 basins (16.7%). Classification and logistic regression analysis identified a Breslow depth of 1.25 mm to be the most significant cutpoint for SNB positivity (odds ratio 8. 8:1; P = 0.0001). By multivariate analyses, a Breslow thickness cutpoint &gt;/= 1.25 mm (P = 0.0002), ulceration (P = 0.005), and high mitotic index (&gt; 5 mitoses/high-power field; P = 0.04) were significant predictors of SNB results. SLND was performed in 53 SNB positive patients, 15 of whom (28.3%) had at least 1 additional positive lymph node. SLND positivity was noted across a wide range of primary tumor characteristics and was associated significantly with multiple positive SN, but not with any other variable. SNB result correlated significantly with disease free and overall survival.\n\nCONCLUSIONS: Patients with a Breslow tumor thickness &gt;/= 1. 25 mm, ulceration, and high mitotic index are most likely to have positive SNB results. SLND is recommended for all patients after positive SNB because it is difficult to identify patients with residual lymph node disease.", "author" : [ { "dropping-particle" : "", "family" : "Wagner", "given" : "J D", "non-dropping-particle" : "", "parse-names" : false, "suffix" : "" }, { "dropping-particle" : "", "family" : "Gordon", "given" : "M S", "non-dropping-particle" : "", "parse-names" : false, "suffix" : "" }, { "dropping-particle" : "", "family" : "Chuang", "given" : "T Y", "non-dropping-particle" : "", "parse-names" : false, "suffix" : "" }, { "dropping-particle" : "", "family" : "Coleman", "given" : "J J", "non-dropping-particle" : "", "parse-names" : false, "suffix" : "" }, { "dropping-particle" : "", "family" : "Hayes", "given" : "J T", "non-dropping-particle" : "", "parse-names" : false, "suffix" : "" }, { "dropping-particle" : "", "family" : "Jung", "given" : "S H", "non-dropping-particle" : "", "parse-names" : false, "suffix" : "" }, { "dropping-particle" : "", "family" : "Love", "given" : "C", "non-dropping-particle" : "", "parse-names" : false, "suffix" : "" } ], "container-title" : "Cancer", "id" : "ITEM-1", "issue" : "2", "issued" : { "date-parts" : [ [ "2000", "7", "15" ] ] }, "page" : "453-62", "title" : "Predicting sentinel and residual lymph node basin disease after sentinel lymph node biopsy for melanoma.", "type" : "article-journal", "volume" : "89" }, "uris" : [ "http://www.mendeley.com/documents/?uuid=ed565e24-aaa1-45dc-a6b5-8cd38080200d" ] }, { "id" : "ITEM-2", "itemData" : { "ISSN" : "1068-9265", "PMID" : "11888869", "abstract" : "BACKGROUND: Completion lymph node dissection (CLND) may not be necessary for some patients because nodal metastasis is rarely detected beyond the sentinel lymph nodes (SLNs). This analysis was performed to determine, among patients with positive SLNs, the rate of nodal metastasis found in nonsentinel nodes (NSNs).\n\nMETHODS: This analysis includes patients with positive sentinel nodes, detected by hematoxylin and eosin (H&amp;E) staining or immunohistochemistry (IHC), who then underwent CLND.\n\nRESULTS: This analysis included 274 patients with at least one positive SLN who underwent CLND of 282 involved regional nodal basins. Of the 282 SLN-positive nodal basins, 45 (16%) were found to have positive NSNs in the CLND specimen. Breslow thickness, Clark level, presence of ulceration, histological subtype, presence of vertical growth phase, evidence of regression, presence of lymphovascular invasion, number of positive SLNs, age, sex, and presence of multiple draining nodal basins were not predictive of positive nodes in the CLND specimen. Patients with SLN metastases detected only by IHC had an equal likelihood of having positive NSNs as those patients with positive SLNs on H&amp;E examination.\n\nCONCLUSIONS: No patient population could be identified with minimal risk of non-SLN metastasis. When a positive SLN is identified on either H&amp;E staining or IHC, CLND should be performed routinely.", "author" : [ { "dropping-particle" : "", "family" : "McMasters", "given" : "Kelly M", "non-dropping-particle" : "", "parse-names" : false, "suffix" : "" }, { "dropping-particle" : "", "family" : "Wong", "given" : "Sandra L", "non-dropping-particle" : "", "parse-names" : false, "suffix" : "" }, { "dropping-particle" : "", "family" : "Edwards", "given" : "Michael J", "non-dropping-particle" : "", "parse-names" : false, "suffix" : "" }, { "dropping-particle" : "", "family" : "Chao", "given" : "Celia", "non-dropping-particle" : "", "parse-names" : false, "suffix" : "" }, { "dropping-particle" : "", "family" : "Ross", "given" : "Merrick I", "non-dropping-particle" : "", "parse-names" : false, "suffix" : "" }, { "dropping-particle" : "", "family" : "Noyes", "given" : "R Dirk", "non-dropping-particle" : "", "parse-names" : false, "suffix" : "" }, { "dropping-particle" : "", "family" : "Viar", "given" : "Vicki", "non-dropping-particle" : "", "parse-names" : false, "suffix" : "" }, { "dropping-particle" : "", "family" : "Cerrito", "given" : "Patricia B", "non-dropping-particle" : "", "parse-names" : false, "suffix" : "" }, { "dropping-particle" : "", "family" : "Reintgen", "given" : "Douglas S", "non-dropping-particle" : "", "parse-names" : false, "suffix" : "" } ], "container-title" : "Annals of surgical oncology", "id" : "ITEM-2", "issue" : "2", "issued" : { "date-parts" : [ [ "2002", "3" ] ] }, "page" : "137-41", "title" : "Frequency of nonsentinel lymph node metastasis in melanoma.", "type" : "article-journal", "volume" : "9" }, "uris" : [ "http://www.mendeley.com/documents/?uuid=b500c2b9-f2c6-482b-840c-42fe86a3becc" ] }, { "id" : "ITEM-3", "itemData" : { "ISSN" : "0002-9610", "PMID" : "12885597", "abstract" : "BACKGROUND: The incidence of residual occult disease in nonsentinel lymph nodes (NSLN) after a positive sentinel lymph node (SLN) biopsy in patients with melanoma is relatively low. The purpose of this study is to identify factors that may be predictive of occult NSLN metastases after positive SLN biopsy.\n\nMETHODS: Fifty-six consecutive melanoma patients with positive sentinel nodes who subsequently underwent complete lymph node dissection (CLND) were evaluated.\n\nRESULTS: Only the number of positive SLN predicted the status on NSLN by univariate (P = 0.008) and multivariate (P = 0.028) analyses. None of the other variables (characteristics of SLN metastases, number of draining nodal basins, age, sex, thickness, Clark level, ulceration, number of mitoses/mm(2), histological subtype, and location of the primary) significantly predicted CLND results.\n\nCONCLUSIONS: Identifying patients with residual lymph node basin disease remains difficult. Thus, lymph node dissection should be performed in all patients after positive sentinel node biopsy.", "author" : [ { "dropping-particle" : "", "family" : "Salti", "given" : "George I", "non-dropping-particle" : "", "parse-names" : false, "suffix" : "" }, { "dropping-particle" : "", "family" : "Gupta", "given" : "Tapas K", "non-dropping-particle" : "Das", "parse-names" : false, "suffix" : "" } ], "container-title" : "American journal of surgery", "id" : "ITEM-3", "issue" : "2", "issued" : { "date-parts" : [ [ "2003", "8" ] ] }, "page" : "98-101", "title" : "Predicting residual lymph node basin disease in melanoma patients with sentinel lymph node metastases.", "type" : "article-journal", "volume" : "186" }, "uris" : [ "http://www.mendeley.com/documents/?uuid=cd89c604-45f2-4f9d-ac9c-d81ed5254b9f" ] }, { "id" : "ITEM-4", "itemData" : { "ISSN" : "1068-9265", "PMID" : "12513956", "abstract" : "BACKGROUND: Most melanoma patients with a positive sentinel lymph node dissection (SLND) undergo a completion lymph node dissection (CLND) that does not yield additional positive nonsentinel lymph nodes (NSLN). This study was designed to determine if NSLN status can be predicted using patient, primary tumor, and sentinel lymph node (SLN) characteristics. METHODS: The study population includes melanoma patients who had a positive SLND and subsequently underwent CLND retrieved from our prospective institutional melanoma database. The primary tumor and SLN pathologies were prospectively determined. An Size/Ulceration (SU) score was derived by assigning 1 point for primary tumor ulceration and 1 point for SLN tumor size &gt;2 mm. RESULTS: Ninety-eight patients had a positive SLND and underwent CLND. Sixteen of these patients had a positive NSLN. On univariate analysis, primary tumor characteristics (thickness, ulceration, no regression), SLN metastasis characteristics (size &gt;2 mm, location nonsubcapsular), and SU score were all significantly associated with positive NSLN status. However, on multivariate analysis, only the SU score was a significant independent predictor of NSLN status. No patient with an SU score of 0 had a positive NSLN. CONCLUSIONS: The SU score is predictive of NSLN status in patients with a positive SLND. Patients with an SU score of 0 are very unlikely to have positive NSLNs at CLND.", "author" : [ { "dropping-particle" : "", "family" : "Reeves", "given" : "Mark E", "non-dropping-particle" : "", "parse-names" : false, "suffix" : "" }, { "dropping-particle" : "", "family" : "Delgado", "given" : "Ruby", "non-dropping-particle" : "", "parse-names" : false, "suffix" : "" }, { "dropping-particle" : "", "family" : "Busam", "given" : "Klaus J", "non-dropping-particle" : "", "parse-names" : false, "suffix" : "" }, { "dropping-particle" : "", "family" : "Brady", "given" : "Mary S", "non-dropping-particle" : "", "parse-names" : false, "suffix" : "" }, { "dropping-particle" : "", "family" : "Coit", "given" : "Daniel G", "non-dropping-particle" : "", "parse-names" : false, "suffix" : "" } ], "container-title" : "Annals of surgical oncology", "id" : "ITEM-4", "issue" : "1", "issued" : { "date-parts" : [ [ "2003", "1" ] ] }, "page" : "27-31", "title" : "Prediction of nonsentinel lymph node status in melanoma.", "type" : "article-journal", "volume" : "10" }, "uris" : [ "http://www.mendeley.com/documents/?uuid=dd075209-8de4-4cf7-82ea-21bc5154931f" ] }, { "id" : "ITEM-5", "itemData" : { "DOI" : "10.1038/modpathol.3800117", "ISSN" : "0893-3952", "PMID" : "15098011", "abstract" : "Lymphatic mapping and sentinel node biopsy are well-established techniques for staging and managing patients with melanoma, breast cancer and other malignancies that spread initially to the regional lymph nodes. Identification of tumor in the sentinel node is the most precise staging technique currently available. The sentinel node is the site of metastatic melanoma in approximately 20% of melanoma patients and if tumor is present in the sentinel node it is customary to perform a complete dissection of the lymph nodes of the affected nodal basin. This may be overtreatment for some patients as tumor is identified in the nonsentinel nodes of only one-third of sentinel node-positive melanoma patients treated by completion lymphadenectomy. If it were possible accurately to identify the minority of patients with tumor in the nonsentinel nodes, the patients most likely to benefit from lymphadenectomy, the remaining patients could be spared a potentially morbid operation that is unlikely to confer clinical advantage. In 90 patients with a melanoma-positive sentinel node, who subsequently had a completion lymphadenectomy, we evaluated and compared the capacity of characteristics of the primary melanoma and of the sentinel node to predict individuals likely to have tumor in nonsentinel nodes. We assessed the Breslow thickness of the primary, the amount of tumor in the sentinel node (relative tumor area) and, as an index of immune modulation of the sentinel node, the density of dendritic leukocytes in the nodal paracortex. The relative area of tumor in the sentinel node and Breslow thickness of the primary melanoma most accurately predicted the presence of tumor in the nonsentinel nodes (P=0.0001 in both cases-Wilcoxon rank sums). The presence of melanoma in the nonsentinel nodes was also predicted by the density of dendritic leukocytes in the paracortex (P=0.008-Wilcoxon rank sums). These three observations assessed alone and in combination predict the presence of tumor in the nonsentinel nodes with high accuracy. The same characteristics also significantly correlated with tumor recurrence (tumor burden, P=0.0001, Breslow, P=0.0001 and dendritic cell density, P=0.0007) and death from melanoma (tumor burden, P=0.0001, Breslow, P=0.0001 and dendritic cell density, P=0.0026).", "author" : [ { "dropping-particle" : "", "family" : "Cochran", "given" : "Alistair J", "non-dropping-particle" : "", "parse-names" : false, "suffix" : "" }, { "dropping-particle" : "", "family" : "Wen", "given" : "Duan-Ren", "non-dropping-particle" : "", "parse-names" : false, "suffix" : "" }, { "dropping-particle" : "", "family" : "Huang", "given" : "Rong-Rong", "non-dropping-particle" : "", "parse-names" : false, "suffix" : "" }, { "dropping-particle" : "", "family" : "Wang", "given" : "Hei-Jing", "non-dropping-particle" : "", "parse-names" : false, "suffix" : "" }, { "dropping-particle" : "", "family" : "Elashoff", "given" : "Robert", "non-dropping-particle" : "", "parse-names" : false, "suffix" : "" }, { "dropping-particle" : "", "family" : "Morton", "given" : "Donald L", "non-dropping-particle" : "", "parse-names" : false, "suffix" : "" } ], "container-title" : "Modern pathology : an official journal of the United States and Canadian Academy of Pathology, Inc", "id" : "ITEM-5", "issue" : "7", "issued" : { "date-parts" : [ [ "2004", "7" ] ] }, "page" : "747-55", "title" : "Prediction of metastatic melanoma in nonsentinel nodes and clinical outcome based on the primary melanoma and the sentinel node.", "type" : "article-journal", "volume" : "17" }, "uris" : [ "http://www.mendeley.com/documents/?uuid=d0752a8e-70d4-4d94-987d-117669bd61d2" ] }, { "id" : "ITEM-6", "itemData" : { "DOI" : "10.1200/JCO.2004.01.012", "ISSN" : "0732-183X", "PMID" : "15365064", "abstract" : "PURPOSE: Approximately 20% of sentinel node (SN) positive melanoma patients have additional non-SN (NSN) metastasis. The rationale for this study was to identify the factors associated with additional nodal disease, as a method to determine which patients may most benefit from completion lymph node dissection (CLND).\n\nPATIENTS AND METHODS: During 1990 to 2002, 1,599 patients have undergone SN biopsy at our institute. 19.5% underwent CLND for tumor-positive SN. One hundred ninety-one of these patients had clinicopathologic information available for review. Univariate analyses used chi2 test, Wilcoxson rank sum test, and chi2 test for trend. Multivariate analyses used logistic regression and Wald test.\n\nRESULTS: Forty-six (24%) patients had tumor-positive NSN. Univariate analyses showed that primary thickness (Breslow and Clark), primary site, SN tumor size, and number of tumor-positive SNs were significantly associated with tumor-positive NSN. Multivariate analysis (167 patients), confirmed that Breslow and SN tumor size were independently predictive. Sex, histology, ulceration, mitotic index, and SN basin location were not predictive. Risk stratification by the number of prognostic factors present (Breslow &gt; or = 3 mm and SN tumor size &gt; or = 2 mm) showed that probability of finding tumor-positive NSN was 12.3% in the low-risk group (0 factors), 30.9% in the intermediate-risk group (1 factor), and 41.9% in the high-risk group (2 factors).\n\nCONCLUSION: Thicker primary and larger SN tumor size are factors that correlate best with tumor-positive NSN. Although none of these factors are absolutely predictive of residual nodal disease, these factors must be strongly considered if the SN contains metastasis, as they provide enhanced risk assessment for NSN tumor-positivity.", "author" : [ { "dropping-particle" : "", "family" : "Lee", "given" : "J. H.", "non-dropping-particle" : "", "parse-names" : false, "suffix" : "" } ], "container-title" : "Journal of Clinical Oncology", "id" : "ITEM-6", "issue" : "18", "issued" : { "date-parts" : [ [ "2004", "8", "9" ] ] }, "page" : "3677-3684", "title" : "Factors Predictive of Tumor-Positive Nonsentinel Lymph Nodes After Tumor-Positive Sentinel Lymph Node Dissection for Melanoma", "type" : "article-journal", "volume" : "22" }, "uris" : [ "http://www.mendeley.com/documents/?uuid=143cecc4-6e2c-4cf1-b264-d26ab3e23368" ] }, { "id" : "ITEM-7", "itemData" : { "DOI" : "10.1309/TDWJ-TR15-TDM1-TG7Q", "ISSN" : "0002-9173", "PMID" : "15487450", "abstract" : "The aim of the present study was to determine whether micromorphometric features of positive sentinel lymph nodes (SLNs) from patients with melanoma are useful for predicting further nodal involvement in completion lymph node dissection (CLND) specimens. Of 986 patients with melanoma undergoing SLN biopsy between March 1992 and February 2001, 175 (17.7%) had at least 1 positive SLN and 140 had subsequent CLND specimens available for review. Further nodal involvement in CLND specimens was present in 24 (17.1%) of 140 patients. Of 8 micromorphometric features of the SLNs that were assessed, the presence of metastases in CLND specimens was correlated significantly with a tumor penetrative depth (maximum distance of melanoma cells from the inner margin of the SLN capsule) of more than 2 mm (P &lt; .05), a deposit size of more than 10 mm2 (P &lt; .01), the presence of melanoma cells in perinodal lymphatic vessels (P &lt; .01), and the effacement of nodal architecture by metastatic melanoma cells (P &lt; .05). Our results indicate that some morphologic features of melanoma metastases in SLNs predict the likelihood of further nodal involvement in CLND specimens.", "author" : [ { "dropping-particle" : "", "family" : "Scolyer", "given" : "Richard A.", "non-dropping-particle" : "", "parse-names" : false, "suffix" : "" }, { "dropping-particle" : "", "family" : "Li", "given" : "Ling-Xi L.", "non-dropping-particle" : "", "parse-names" : false, "suffix" : "" }, { "dropping-particle" : "", "family" : "McCarthy", "given" : "Stanley W.", "non-dropping-particle" : "", "parse-names" : false, "suffix" : "" }, { "dropping-particle" : "", "family" : "Shaw", "given" : "Helen M.", "non-dropping-particle" : "", "parse-names" : false, "suffix" : "" }, { "dropping-particle" : "", "family" : "Stretch", "given" : "Jonathan R.", "non-dropping-particle" : "", "parse-names" : false, "suffix" : "" }, { "dropping-particle" : "", "family" : "Sharma", "given" : "Raghwa", "non-dropping-particle" : "", "parse-names" : false, "suffix" : "" }, { "dropping-particle" : "", "family" : "Thompson", "given" : "John F.", "non-dropping-particle" : "", "parse-names" : false, "suffix" : "" } ], "container-title" : "American Journal of Clinical Pathology", "id" : "ITEM-7", "issue" : "4", "issued" : { "date-parts" : [ [ "2004", "1", "1" ] ] }, "page" : "532-539", "title" : "Micromorphometric Features of Positive Sentinel Lymph Nodes Predict Involvement of Nonsentinel Nodes in Patients With Melanoma", "type" : "article-journal", "volume" : "122" }, "uris" : [ "http://www.mendeley.com/documents/?uuid=01d47762-5d11-4c90-8aea-5d384b9c7a56" ] }, { "id" : "ITEM-8", "itemData" : { "ISSN" : "1068-9265", "PMID" : "15023745", "abstract" : "The most successful strategies in the management of melanoma have always been based on early diagnosis and timely surgical removal. Sentinel lymphonodectomy (SLNE) is the most reliable technique for the detection of melanoma micrometastases in regional lymph nodes. The micromorphometric S-classification, a routinely determinable surrogate of tumor burden in the sentinel lymph node (SLN), has high prognostic relevance. SIII metastases, defined by a depth of invasion (d) greater than 1 mm below the capsular level, imply a risk of more than 50% for the presence of nonsentinel lymph node metastases in the same basin and for the emergence of distant metastases within 5 years of follow-up. Corresponding risks with SI metastases (d &lt;/= 0.3 mm) and SII metastases (0.3 mm &lt; d &lt;/= 1 mm) do not exceed 15%. The survival curve for patients with SIII metastases approaches that of patients in the pre-SLNE era who underwent delayed lymph node dissection for subsequently detected nodal macrometastases. The survival of patients with initially removed SI and SII metastases is much better, similar to that of patients with S0 metastases. This explains the significant survival benefit of SLN-guided surgery in the entire population of patients with melanomas thicker than 0.75 mm, although the outcome of the subgroup without nodal metastases is not influenced by SLNE.", "author" : [ { "dropping-particle" : "", "family" : "Starz", "given" : "Hans", "non-dropping-particle" : "", "parse-names" : false, "suffix" : "" }, { "dropping-particle" : "", "family" : "Siedlecki", "given" : "Katharina", "non-dropping-particle" : "", "parse-names" : false, "suffix" : "" }, { "dropping-particle" : "", "family" : "Balda", "given" : "Bernd-R\u00fcdiger", "non-dropping-particle" : "", "parse-names" : false, "suffix" : "" } ], "container-title" : "Annals of surgical oncology", "id" : "ITEM-8", "issue" : "3 Suppl", "issued" : { "date-parts" : [ [ "2004", "3" ] ] }, "page" : "162S-8S", "title" : "Sentinel lymphonodectomy and s-classification: a successful strategy for better prediction and improvement of outcome of melanoma.", "type" : "article-journal", "volume" : "11" }, "uris" : [ "http://www.mendeley.com/documents/?uuid=a13a8b9a-f140-4674-8fb0-453c2e6a863a" ] }, { "id" : "ITEM-9", "itemData" : { "DOI" : "10.1200/JCO.2004.12.177", "ISSN" : "0732-183X", "PMID" : "15310779", "abstract" : "PURPOSE: Sentinel node biopsy is now widely accepted as the most accurate prognostic indicator in melanoma, and is important in guiding management of patients with clinical stage I or II disease. Patients with a positive sentinel node have conventionally undergone completion lymphadenectomy (CLND) of the involved basin, but only 20% have involvement beyond the sentinel node, suggesting that CLND may be unnecessary for the other 80% of patients. This study seeks to identify criteria that might be used to be more restrictive in selecting those who should undergo CLND.\n\nMETHODS: A total of 146 patients were identified who had had a positive sentinel node biopsy for malignant melanoma. Their sentinel nodes and lymphadenectomy specimens were re-evaluated pathologically. The metastatic melanoma in each sentinel node was assessed according to its microanatomic location within the node (subcapsular, combined subcapsular and parenchymal, parenchymal, multifocal, or extensive), and this was correlated with the presence of involved nonsentinel nodes in the CLND. The depth of the metastases from the sentinel node capsule was also recorded.\n\nRESULTS: The metastatic deposits in the sentinel node were subcapsular in 26.0% of patients. None of these patients had any nonsentinel nodes involved on CLND. In the patients whose sentinel node metastases had a different microanatomic location, the rate of nonsentinel node involvement was 22.2% overall.\n\nCONCLUSION: The microanatomic location of metastases within sentinel nodes predicts nonsentinel lymph node involvement. In patients with only subcapsular deposits in the sentinel node, it is possible that CLND could safely be avoided.", "author" : [ { "dropping-particle" : "", "family" : "Dewar", "given" : "D J", "non-dropping-particle" : "", "parse-names" : false, "suffix" : "" }, { "dropping-particle" : "", "family" : "Newell", "given" : "B", "non-dropping-particle" : "", "parse-names" : false, "suffix" : "" }, { "dropping-particle" : "", "family" : "Green", "given" : "M A", "non-dropping-particle" : "", "parse-names" : false, "suffix" : "" }, { "dropping-particle" : "", "family" : "Topping", "given" : "A P", "non-dropping-particle" : "", "parse-names" : false, "suffix" : "" }, { "dropping-particle" : "", "family" : "Powell", "given" : "B W E M", "non-dropping-particle" : "", "parse-names" : false, "suffix" : "" }, { "dropping-particle" : "", "family" : "Cook", "given" : "M G", "non-dropping-particle" : "", "parse-names" : false, "suffix" : "" } ], "container-title" : "Journal of clinical oncology : official journal of the American Society of Clinical Oncology", "id" : "ITEM-9", "issue" : "16", "issued" : { "date-parts" : [ [ "2004", "8", "15" ] ] }, "page" : "3345-9", "title" : "The microanatomic location of metastatic melanoma in sentinel lymph nodes predicts nonsentinel lymph node involvement.", "type" : "article-journal", "volume" : "22" }, "uris" : [ "http://www.mendeley.com/documents/?uuid=4506cae2-267b-47ed-99e3-fa46fed76ab8" ] }, { "id" : "ITEM-10", "itemData" : { "ISSN" : "0960-8931", "PMID" : "16034304", "abstract" : "The purpose of this study was to identify melanoma patients with positive sentinel lymph nodes (SLNs) at increased risk for further metastases in this specific lymph node basin. A series of consecutive patients with primary malignant melanoma stage I and II were evaluated retrospectively. The results of SLN biopsy in 26 patients with positive SLNs were compared with those of complete regional lymph node dissection (RLND) using the recently published S-classification of SLNs. The results of S-classification of SLNs were correlated with the outcome of complete RLND. There was a significant correlation between the S stage of positive SLNs and the results of complete RLND (P=0.02). Only patients with SIII stage (n=4) SLNs were found to have further metastases in the residual lymph node basin. The present study indicates that patients with SI stage and SII stage SLNs rarely have further metastases in the specific lymph node basin.", "author" : [ { "dropping-particle" : "", "family" : "Fink", "given" : "Astrid M", "non-dropping-particle" : "", "parse-names" : false, "suffix" : "" }, { "dropping-particle" : "", "family" : "Weihsengruber", "given" : "Felix", "non-dropping-particle" : "", "parse-names" : false, "suffix" : "" }, { "dropping-particle" : "", "family" : "Spangl", "given" : "Bernhard", "non-dropping-particle" : "", "parse-names" : false, "suffix" : "" }, { "dropping-particle" : "", "family" : "Feichtinger", "given" : "Hans", "non-dropping-particle" : "", "parse-names" : false, "suffix" : "" }, { "dropping-particle" : "", "family" : "Lilgenau", "given" : "Nikolaus", "non-dropping-particle" : "", "parse-names" : false, "suffix" : "" }, { "dropping-particle" : "", "family" : "Rappersberger", "given" : "Klemens", "non-dropping-particle" : "", "parse-names" : false, "suffix" : "" }, { "dropping-particle" : "", "family" : "Jurecka", "given" : "Wolfgang", "non-dropping-particle" : "", "parse-names" : false, "suffix" : "" }, { "dropping-particle" : "", "family" : "Steiner", "given" : "Andreas", "non-dropping-particle" : "", "parse-names" : false, "suffix" : "" } ], "container-title" : "Melanoma research", "id" : "ITEM-10", "issue" : "4", "issued" : { "date-parts" : [ [ "2005", "8" ] ] }, "page" : "267-71", "title" : "S-classification of sentinel lymph node biopsy predicts the results of complete regional lymph node dissection.", "type" : "article-journal", "volume" : "15" }, "uris" : [ "http://www.mendeley.com/documents/?uuid=06d1b817-430a-43de-bb2e-a318041dcac1" ] }, { "id" : "ITEM-11", "itemData" : { "abstract" : "BACKGROUND: Patients found to harbor melanoma micrometastases in the sentinel lymph node (SLN) are recommended to proceed to complete lymph node dissection (CLND), although the majority of patients will have no additional disease identified in the nonsentinel lymph nodes (NSLNs). We sought to assess predictive factors associated with finding positive NSLNs, and identify a subset of patients with low likelihood of finding additional disease on CLND. STUDY DESIGN: We queried our prospective melanoma database for patients from January 1996 to August 2003 with a positive SLN. Univariable logistic regression models were fit for multiple factors and a positive NSLN. To derive a probabilistic model for occurrence of one or more positive NSLN(s), a multivariable logistic model was fit using a stepwise variable selection method. RESULTS: Of 980 patients who underwent SLN biopsy for cutaneous melanoma, 232 (24%) had a positive SLN; 221 (23%) followed by CLND. Of these patients, 34 (15%) had one or more positive NSLN(s). In multivariable analysis, male gender (odds ratio [OR] 3.6 [95% CI 1.33, 9.71]; p = 0.01), Breslow thickness (OR 4.58 [95% CI 1.28, 16.36]; p = 0.019), extranodal extension (OR 3.2 [95% CI 1.0, 10.5]; p = 0.05), and three or more positive sentinel nodes (OR 65.81 [95% CI 5.2, 825.7]; p = 0.001) were all associated with the likelihood of finding additional positive nodes on CLND. Of 47 patients with minimal tumor burden in the SLN, only 1 (2%) had additional disease in the NSLN. CONCLUSIONS: These results provide additional data to plan clinical trials to answer the question of who can safely avoid CLND after a positive SLN. Patients with minimal tumor burden in the SLN might be the most likely group, although defining \"minimal tumor burden\" must be standardized. Serial sectioning and immunohistochemistry on the NSLN in any \"low-risk\" group must be performed in a clinical trial to confirm that residual disease is unlikely before avoiding CLND can be recommended. \u00a9 2005 by the American College of Surgeons.", "author" : [ { "dropping-particle" : "", "family" : "Sabel", "given" : "Michael S.", "non-dropping-particle" : "", "parse-names" : false, "suffix" : "" }, { "dropping-particle" : "", "family" : "Griffith", "given" : "Kent", "non-dropping-particle" : "", "parse-names" : false, "suffix" : "" }, { "dropping-particle" : "", "family" : "Sondak", "given" : "Vernon K.", "non-dropping-particle" : "", "parse-names" : false, "suffix" : "" }, { "dropping-particle" : "", "family" : "Lowe", "given" : "Lori", "non-dropping-particle" : "", "parse-names" : false, "suffix" : "" }, { "dropping-particle" : "", "family" : "Schwartz", "given" : "Jennifer L.", "non-dropping-particle" : "", "parse-names" : false, "suffix" : "" }, { "dropping-particle" : "", "family" : "Cimmino", "given" : "Vincent M.", "non-dropping-particle" : "", "parse-names" : false, "suffix" : "" }, { "dropping-particle" : "", "family" : "Chang", "given" : "Alfred E.", "non-dropping-particle" : "", "parse-names" : false, "suffix" : "" }, { "dropping-particle" : "", "family" : "Rees", "given" : "Riley S.", "non-dropping-particle" : "", "parse-names" : false, "suffix" : "" }, { "dropping-particle" : "", "family" : "Bradford", "given" : "Carol R.", "non-dropping-particle" : "", "parse-names" : false, "suffix" : "" }, { "dropping-particle" : "", "family" : "Johnson", "given" : "Timothy M.", "non-dropping-particle" : "", "parse-names" : false, "suffix" : "" } ], "container-title" : "Journal of the American College of Surgeons", "id" : "ITEM-11", "issue" : "1", "issued" : { "date-parts" : [ [ "2005" ] ] }, "page" : "37-47", "title" : "Predictors of nonsentinel lymph node positivity in patients with a positive sentinel node for melanoma", "type" : "article-journal", "volume" : "201" }, "uris" : [ "http://www.mendeley.com/documents/?uuid=ba42c37e-0beb-4757-b901-754a60fc6450" ] }, { "id" : "ITEM-12", "itemData" : { "DOI" : "10.1245/ASO.2005.06.013", "ISSN" : "1068-9265", "PMID" : "15864481", "abstract" : "BACKGROUND: Even though 60% to 80% of melanoma patients with a positive sentinel lymph node (SLN) have no positive additional lymph nodes (ALNs), all these patients are subjected to an ALN dissection (ALND) with its associated morbidity. The aim of this study was to predict the absence of ALN metastases in patients with a positive SLN by using features of the primary melanoma and SLN tumor load.\n\nMETHODS: Of 71 SLN-positive patients, 52 had metastasis limited to the SLN (group 1), and 19 had &gt; or =1 positive ALN after ALND (group 2). The tumor load of the SLN was assessed by measuring the total surface area by computerized morphometry. Breslow thickness, ulceration and lymphatic invasion of the primary tumor, and total SLN metastatic area were tested as covariates predicting the absence of positive ALNs.\n\nRESULTS: The mean SLN metastatic area was 1.18 mm(2) (group 1) and 3.39 mm(2) (group 2) (P = .003) and was the only significant and independent factor after multivariate analysis (P = .02). None of the patients with both a Breslow thickness &lt;2.5 mm and an SLN metastatic area &lt;.3 mm(2) had a positive ALN.\n\nCONCLUSIONS: SLN metastatic area can be used to predict the absence of positive ALNs in melanoma patients. In this study, patients with a Breslow thickness &lt;2.5 mm and an SLN tumor load &lt;.3 mm(2 )seemed to have no positive ALN and had excellent survival. We hypothesize that this subgroup might not benefit from ALND. Prospective larger trials, using this model and randomizing between ALND and no ALND, should confirm this hypothesis.", "author" : [ { "dropping-particle" : "", "family" : "Vuylsteke", "given" : "Ronald J C L M", "non-dropping-particle" : "", "parse-names" : false, "suffix" : "" }, { "dropping-particle" : "", "family" : "Borgstein", "given" : "Paul J", "non-dropping-particle" : "", "parse-names" : false, "suffix" : "" }, { "dropping-particle" : "", "family" : "Leeuwen", "given" : "Paul A M", "non-dropping-particle" : "van", "parse-names" : false, "suffix" : "" }, { "dropping-particle" : "", "family" : "Gietema", "given" : "Hester A", "non-dropping-particle" : "", "parse-names" : false, "suffix" : "" }, { "dropping-particle" : "", "family" : "Molenkamp", "given" : "Barbara G", "non-dropping-particle" : "", "parse-names" : false, "suffix" : "" }, { "dropping-particle" : "", "family" : "Statius Muller", "given" : "Markwin G", "non-dropping-particle" : "", "parse-names" : false, "suffix" : "" }, { "dropping-particle" : "", "family" : "Diest", "given" : "Paul J", "non-dropping-particle" : "van", "parse-names" : false, "suffix" : "" }, { "dropping-particle" : "", "family" : "Sijp", "given" : "Joost R M", "non-dropping-particle" : "van der", "parse-names" : false, "suffix" : "" }, { "dropping-particle" : "", "family" : "Meijer", "given" : "Sybren", "non-dropping-particle" : "", "parse-names" : false, "suffix" : "" } ], "container-title" : "Annals of surgical oncology", "id" : "ITEM-12", "issue" : "6", "issued" : { "date-parts" : [ [ "2005", "6" ] ] }, "page" : "440-8", "title" : "Sentinel lymph node tumor load: an independent predictor of additional lymph node involvement and survival in melanoma.", "type" : "article-journal", "volume" : "12" }, "uris" : [ "http://www.mendeley.com/documents/?uuid=f4008c8d-246b-45be-954c-bbd5d8af0390" ] }, { "id" : "ITEM-13", "itemData" : { "DOI" : "10.1016/j.amjsurg.2006.08.062", "ISSN" : "1879-1883", "PMID" : "17161112", "abstract" : "BACKGROUND: A positive sentinel lymph node (SLN) biopsy is an indication for completion lymph node dissection (CLND) in malignant melanoma; however, most CLNDs are negative. We hypothesized SLN metastatic size of &lt; or =2 mm would predict CLND status and prognosis.\n\nMETHODS: We evaluated 80 consecutive patients undergoing CLND for positive SLNs over a 10-year period. Incidence of positive nonsentinel nodes and survival were compared for patients with SLN metastases &lt; or =2 mm and &gt;2 mm.\n\nRESULTS: Of 504 patients undergoing SLN biopsy, 49 patients had SLN deposits &lt; or =2 mm and a 6% incidence of positive CLNDs. Five-year survival was 85%, essentially the same as negative SLN biopsies. In contrast, 31 had SLN metastases &gt;2 mm, a 45% incidence of addition disease at CLND, and 5-year survival of 47% (P &lt; .0001).\n\nCONCLUSION: An SLN metastatic cut point of 2 mm is an efficient predictor of CLND status and survival in malignant melanoma.", "author" : [ { "dropping-particle" : "", "family" : "Pearlman", "given" : "Nathan W", "non-dropping-particle" : "", "parse-names" : false, "suffix" : "" }, { "dropping-particle" : "", "family" : "McCarter", "given" : "Martin D", "non-dropping-particle" : "", "parse-names" : false, "suffix" : "" }, { "dropping-particle" : "", "family" : "Frank", "given" : "Matthew", "non-dropping-particle" : "", "parse-names" : false, "suffix" : "" }, { "dropping-particle" : "", "family" : "Hurtubis", "given" : "Cheryl", "non-dropping-particle" : "", "parse-names" : false, "suffix" : "" }, { "dropping-particle" : "", "family" : "Merkow", "given" : "Ryan P", "non-dropping-particle" : "", "parse-names" : false, "suffix" : "" }, { "dropping-particle" : "", "family" : "Franklin", "given" : "Wilbur A", "non-dropping-particle" : "", "parse-names" : false, "suffix" : "" }, { "dropping-particle" : "", "family" : "Gonzalez", "given" : "Rene", "non-dropping-particle" : "", "parse-names" : false, "suffix" : "" }, { "dropping-particle" : "", "family" : "Lewis", "given" : "Karl", "non-dropping-particle" : "", "parse-names" : false, "suffix" : "" }, { "dropping-particle" : "", "family" : "Roaten", "given" : "J Brent", "non-dropping-particle" : "", "parse-names" : false, "suffix" : "" }, { "dropping-particle" : "", "family" : "Robinson", "given" : "William A", "non-dropping-particle" : "", "parse-names" : false, "suffix" : "" } ], "container-title" : "American journal of surgery", "id" : "ITEM-13", "issue" : "6", "issued" : { "date-parts" : [ [ "2006", "12" ] ] }, "page" : "878-81", "title" : "Size of sentinel node metastases predicts other nodal disease and survival in malignant melanoma.", "type" : "article-journal", "volume" : "192" }, "uris" : [ "http://www.mendeley.com/documents/?uuid=8b561a6b-e631-4cc0-9a77-6864402b5a97" ] }, { "id" : "ITEM-14", "itemData" : { "DOI" : "10.1200/JCO.2006.06.3198", "ISSN" : "1527-7755", "PMID" : "16983115", "abstract" : "PURPOSE: To evaluate the prognostic significance of sentinel node biopsy in the management of stage IB and II melanoma patients, and to evaluate the status of nonsentinel nodes as a \"second step key factor\" to assess the prognosis of these patients.\n\nPATIENTS AND METHODS: We conducted an analysis of data collected in a prospective database.\n\nRESULTS: From February 1994 to June 2005, 1,108 consecutive patients with stage IB and II melanoma were submitted to sentinel node biopsy; 176 patients (15.9%) had occult node metastases. The frequency of positive nodes increased with increasing Breslow's thickness. The largest diameter of metastatic foci and their localization within the lymph node were associated with the risk of nonsentinel node metastases only. The 5-year survival of patients with positive sentinel nodes was 81.4% in patients with one positive node and 39.6% in patients with two positive nodes (P = .056). Multivariate analysis indicated that status of sentinel nodes is a key factor and that sex and Breslow's thickness maintain statistically significant relevance. Ulceration, which was associated with survival when considered as single factor (P &lt; .001) had no impact on survival in the multivariate analysis (P = .10). To evaluate the relevance of metastases to nonsentinel nodes, we identified four groups of patients.\n\nCONCLUSION: Evaluation of the sentinel node is a useful procedure to identify patients to be submitted for complete lymph node dissection. The procedure makes it possible to assess the best prognosis of patients.", "author" : [ { "dropping-particle" : "", "family" : "Cascinelli", "given" : "Natale", "non-dropping-particle" : "", "parse-names" : false, "suffix" : "" }, { "dropping-particle" : "", "family" : "Bombardieri", "given" : "Emilio", "non-dropping-particle" : "", "parse-names" : false, "suffix" : "" }, { "dropping-particle" : "", "family" : "Bufalino", "given" : "Rosaria", "non-dropping-particle" : "", "parse-names" : false, "suffix" : "" }, { "dropping-particle" : "", "family" : "Camerini", "given" : "Tiziana", "non-dropping-particle" : "", "parse-names" : false, "suffix" : "" }, { "dropping-particle" : "", "family" : "Carbone", "given" : "Antonino", "non-dropping-particle" : "", "parse-names" : false, "suffix" : "" }, { "dropping-particle" : "", "family" : "Clemente", "given" : "Claudio", "non-dropping-particle" : "", "parse-names" : false, "suffix" : "" }, { "dropping-particle" : "", "family" : "Lenisa", "given" : "Leonardo", "non-dropping-particle" : "", "parse-names" : false, "suffix" : "" }, { "dropping-particle" : "", "family" : "Mascheroni", "given" : "Luigi", "non-dropping-particle" : "", "parse-names" : false, "suffix" : "" }, { "dropping-particle" : "", "family" : "Maurichi", "given" : "Andrea", "non-dropping-particle" : "", "parse-names" : false, "suffix" : "" }, { "dropping-particle" : "", "family" : "Pennacchioli", "given" : "Elisabetta", "non-dropping-particle" : "", "parse-names" : false, "suffix" : "" }, { "dropping-particle" : "", "family" : "Patuzzo", "given" : "Roberto", "non-dropping-particle" : "", "parse-names" : false, "suffix" : "" }, { "dropping-particle" : "", "family" : "Santinami", "given" : "Mario", "non-dropping-particle" : "", "parse-names" : false, "suffix" : "" }, { "dropping-particle" : "", "family" : "Tragni", "given" : "Gabrina", "non-dropping-particle" : "", "parse-names" : false, "suffix" : "" } ], "container-title" : "Journal of clinical oncology : official journal of the American Society of Clinical Oncology", "id" : "ITEM-14", "issue" : "27", "issued" : { "date-parts" : [ [ "2006", "9", "20" ] ] }, "page" : "4464-71", "title" : "Sentinel and nonsentinel node status in stage IB and II melanoma patients: two-step prognostic indicators of survival.", "type" : "article-journal", "volume" : "24" }, "uris" : [ "http://www.mendeley.com/documents/?uuid=87a2810c-0f27-4812-8c91-b5fcb57b53ff" ] }, { "id" : "ITEM-15", "itemData" : { "DOI" : "10.1111/j.1365-2133.2007.07937.x", "ISSN" : "0007-0963", "PMID" : "17501957", "abstract" : "BACKGROUND: Sentinel lymph node (SLN) positivity has been found to be strongly associated with a poor prognosis in melanoma.\n\nOBJECTIVES: This large referral centre study was conducted: (i) to confirm the powerful prognostic value of SLN biopsy (SLNB); (ii) to correlate patient prognosis to the micromorphometric features of SLN metastasis in SLN-positive patients; and (iii) to correlate these micromorphometric features to the likelihood of positive completion lymph node dissection (CLND).\n\nPATIENTS AND METHODS: SLNB was performed in 455 cases of primary melanoma between January 1999 and December 2004; for patients with positive SLN, the following micromorphometric features were registered: size of the largest metastasis (two diameters), depth of metastasis, number of millimetric slices involved, maximum number of metastases on a single section, presence of intracapsular lymphatic invasion and extracapsular spread. Kaplan-Meier survival curves were compared with the log-rank test; multivariate analysis was performed using a Cox regression model. Dependence of CLND status on micromorphometric features of SLN was assessed by the chi(2) test and predictive values of the different features were evaluated by multivariate analysis using a logistic regression model.\n\nRESULTS: A positive SLN was identified in 98 of our 455 cases. Survival was significantly shorter in SLN-positive patients than in SLN-negative patients. Extracapsular invasion was found to be an independent prognostic factor of disease-free survival; ulceration of the primary and the maximum diameter of the largest metastasis were identified as independent predictive factors of disease-specific survival. Age and the lowest diameter of the largest metastasis were identified as independent predictive criteria of positive CLND, whereas depth of metastasis was not. Positivity of CLND was not significantly associated with a worse prognosis.\n\nCONCLUSIONS: Our study confirms the previously demonstrated strong prognostic value of SLNB. It also confirms the relationship between tumour burden in the SLN (evaluated by the maximum diameter of the largest metastasis) and clinical outcome. We point out a new micromorphometric feature of SLN, which seems to be predictive of CLND status: the lowest diameter of the largest metastasis.", "author" : [ { "dropping-particle" : "", "family" : "Debarbieux", "given" : "S", "non-dropping-particle" : "", "parse-names" : false, "suffix" : "" }, { "dropping-particle" : "", "family" : "Duru", "given" : "G", "non-dropping-particle" : "", "parse-names" : false, "suffix" : "" }, { "dropping-particle" : "", "family" : "Dalle", "given" : "S", "non-dropping-particle" : "", "parse-names" : false, "suffix" : "" }, { "dropping-particle" : "", "family" : "B\u00e9atrix", "given" : "O", "non-dropping-particle" : "", "parse-names" : false, "suffix" : "" }, { "dropping-particle" : "", "family" : "Balme", "given" : "B", "non-dropping-particle" : "", "parse-names" : false, "suffix" : "" }, { "dropping-particle" : "", "family" : "Thomas", "given" : "L", "non-dropping-particle" : "", "parse-names" : false, "suffix" : "" } ], "container-title" : "The British journal of dermatology", "id" : "ITEM-15", "issue" : "1", "issued" : { "date-parts" : [ [ "2007", "7" ] ] }, "page" : "58-67", "title" : "Sentinel lymph node biopsy in melanoma: a micromorphometric study relating to prognosis and completion lymph node dissection.", "type" : "article-journal", "volume" : "157" }, "uris" : [ "http://www.mendeley.com/documents/?uuid=21e3987a-d610-454e-98d8-9ef8eb629ad1" ] }, { "id" : "ITEM-16", "itemData" : { "ISSN" : "0003-1348", "PMID" : "17674939", "abstract" : "Completion lymph node dissection (CLND) is routinely performed after metastatic melanoma is detected at sentinel lymph node (SLN) biopsy. Nonsentinel lymph node (NSLN) involvement is found in less than one-third of the cases. Possible predictors of NSLN involvement are examined. A retrospective review of 70 patients with a positive SLN biopsy for melanoma and drainage to one lymphatic basin was performed. The size of metastatic deposits was defined as macrometastases (&gt;2 mm), micrometastases (&lt; or =2 mm), a cluster of cells (10-30 grouped cells) in the subcapsular space or interfollicular zone, or isolated melanoma cells (1-20 or more individual cells) in subcapsular sinuses. Tumor stage, ulceration, SLN tumor burden, mitoses, number of positive SLNs, and total number of lymph nodes removed were examined as predictors of NSLN involvement after CLND. Two additional models based on SLN tumor burden and the number of nodes biopsied were designed. Nineteen patients (24.3%) were found to have NSLN metastases after CLND. Tumor stage, ulceration, SLN tumor burden, mitoses, number of positive SLN, and number of lymph nodes removed were not statistically significant. Residual disease at CLND stratified by SLN tumor burden was: isolated melanoma cells, 0; cluster of cells, 8 (38.1%); &lt; or =2 mm, 5 (20.8%); and &gt;2 mm, 6 (27.3%). A comparison of the means for the models was not predictive of NSLN involvement. None of the risk factors or models examined could predict nonsentinel lymph node involvement with melanoma. The SLN sample and minimal SLN metastatic disease when defined as isolated clusters of cells warrant further study as a potential indicator against CLND after positive SLN.", "author" : [ { "dropping-particle" : "", "family" : "Page", "given" : "Andrew J", "non-dropping-particle" : "", "parse-names" : false, "suffix" : "" }, { "dropping-particle" : "", "family" : "Carlson", "given" : "Grant W", "non-dropping-particle" : "", "parse-names" : false, "suffix" : "" }, { "dropping-particle" : "", "family" : "Delman", "given" : "Keith A", "non-dropping-particle" : "", "parse-names" : false, "suffix" : "" }, { "dropping-particle" : "", "family" : "Murray", "given" : "Douglas", "non-dropping-particle" : "", "parse-names" : false, "suffix" : "" }, { "dropping-particle" : "", "family" : "Hestley", "given" : "Andrea", "non-dropping-particle" : "", "parse-names" : false, "suffix" : "" }, { "dropping-particle" : "", "family" : "Cohen", "given" : "Cynthia", "non-dropping-particle" : "", "parse-names" : false, "suffix" : "" } ], "container-title" : "The American surgeon", "id" : "ITEM-16", "issue" : "7", "issued" : { "date-parts" : [ [ "2007", "7" ] ] }, "page" : "674-8; discussion 678-9", "title" : "Prediction of nonsentinel lymph node involvement in patients with a positive sentinel lymph node in malignant melanoma.", "type" : "article-journal", "volume" : "73" }, "uris" : [ "http://www.mendeley.com/documents/?uuid=fbc4895b-4b30-4cf2-93e9-c881a9f56cd1" ] }, { "id" : "ITEM-17", "itemData" : { "DOI" : "10.1245/s10434-007-9734-8", "ISSN" : "1534-4681", "PMID" : "18165880", "abstract" : "BACKGROUND: Identification of melanoma patients who need completion lymphadenectomy and adjuvant treatment after positive sentinel lymph node (SLN) biopsy would be a fundamental step forward toward personalized medicine. This study tested the hypothesis that the microscopic features of metastatic SLNs might predict not only nonsentinel lymph node (NSLN) status, but also patients' clinical outcomes.\n\nMETHODS: A retrospective analysis was performed on 96 consecutive melanoma patients who underwent completion lymphadenectomy after positive SLN biopsy. Patients' age and sex, primary tumor Breslow thickness, number of positive SLNs, the largest diameter and depth of invasion of metastatic deposits in the SLN, S stage, and pattern of nodal involvement were correlated with the presence of metastatic disease in NSLNs as well as with the likelihood of tumor recurrence and patient death.\n\nRESULTS: At pathological examination, 20 patients (20.8%) had metastatic melanoma in the NSLN. Pattern of nodal involvement, depth of invasion of SLN by metastatic disease, and S stage were statistically significantly associated with the presence of metastatic disease in NSLN. Multivariate analysis revealed that only the SLN depth of invasion was an independent predictor of NSLN status (P = .0035). This parameter was also significantly associated with disease-free and overall survival, both by univariate (P &lt; .0001 and P = .0006, respectively) and multivariate (P &lt; .0001 and P = .0013, respectively) survival analysis.\n\nCONCLUSIONS: These findings support further investigation of SLN depth of invasion as a predictive factor of potential clinical use to select patients as candidates for completion lymphadenectomy and adjuvant treatment.", "author" : [ { "dropping-particle" : "", "family" : "Rossi", "given" : "Carlo Riccardo", "non-dropping-particle" : "", "parse-names" : false, "suffix" : "" }, { "dropping-particle" : "", "family" : "Salvo", "given" : "Gian Luca", "non-dropping-particle" : "De", "parse-names" : false, "suffix" : "" }, { "dropping-particle" : "", "family" : "Bonandini", "given" : "Elena", "non-dropping-particle" : "", "parse-names" : false, "suffix" : "" }, { "dropping-particle" : "", "family" : "Mocellin", "given" : "Simone", "non-dropping-particle" : "", "parse-names" : false, "suffix" : "" }, { "dropping-particle" : "", "family" : "Foletto", "given" : "Mirto", "non-dropping-particle" : "", "parse-names" : false, "suffix" : "" }, { "dropping-particle" : "", "family" : "Pasquali", "given" : "Sandro", "non-dropping-particle" : "", "parse-names" : false, "suffix" : "" }, { "dropping-particle" : "", "family" : "Pilati", "given" : "Pierluigi", "non-dropping-particle" : "", "parse-names" : false, "suffix" : "" }, { "dropping-particle" : "", "family" : "Lise", "given" : "Mario", "non-dropping-particle" : "", "parse-names" : false, "suffix" : "" }, { "dropping-particle" : "", "family" : "Nitti", "given" : "Donato", "non-dropping-particle" : "", "parse-names" : false, "suffix" : "" }, { "dropping-particle" : "", "family" : "Rizzo", "given" : "Elisa", "non-dropping-particle" : "", "parse-names" : false, "suffix" : "" }, { "dropping-particle" : "", "family" : "Montesco", "given" : "Maria Cristina", "non-dropping-particle" : "", "parse-names" : false, "suffix" : "" } ], "container-title" : "Annals of surgical oncology", "id" : "ITEM-17", "issue" : "4", "issued" : { "date-parts" : [ [ "2008", "4" ] ] }, "page" : "1202-10", "title" : "Factors predictive of nonsentinel lymph node involvement and clinical outcome in melanoma patients with metastatic sentinel lymph node.", "type" : "article-journal", "volume" : "15" }, "uris" : [ "http://www.mendeley.com/documents/?uuid=1eae11c2-e4cc-4656-8016-e49758758783" ] }, { "id" : "ITEM-18", "itemData" : { "DOI" : "10.1245/s10434-008-9888-z", "ISSN" : "1534-4681", "PMID" : "18389323", "abstract" : "BACKGROUND: Previous studies described various criteria in sentinel lymph nodes (SLN) of melanoma patients that predict the involvement of further, nonsentinel lymph nodes (NSLN). Such criteria may facilitate the selection of patients who might benefit from a completion lymph node dissection (CLND). However, it is currently unclear which parameters are most important.\n\nMETHODS: A total of 180 melanoma patients with positive SLNB and subsequent CLND were investigated. Histopathologic parameters in the SLN were systematically evaluated and compared with regard to NSLN positivity. Twenty-eight of these patients (16.0%) had positive NSLN.\n\nRESULTS: By univariate analysis several criteria with regard to tumor burden and location of melanoma cells in the SLN correlated with NSLN involvement, such as positivity by hematoxylin-eosin (H&amp;E) staining (P &lt; .001), largest diameter of clusters (P &lt; .001), capsular involvement (P = .001), extranodal extension (P &lt; .001), and tumor penetrative depth (P &lt; .001). Multivariate analysis revealed three independent parameters: (1) positivity of the SLN by H&amp;E staining (versus by immunohistochemistry alone), (2) relative tumor burden &gt; 10% of total lymph node tissue, and (3) perinodal intralymphatic tumor. In 23 of 28 patients with positive NSLN the SLN was positive by H&amp;E staining, in 15 of 28 patients the relative tumor burden was &gt; 10%, and 13 of 28 showed perinodal intralymphatic tumor. In 5 of 28 patients with NSLN involvement, these three parameters were negative.\n\nCONCLUSIONS: Histopathologic examination of the SLN can identify patients at risk for NSLN positivity.", "author" : [ { "dropping-particle" : "", "family" : "Satzger", "given" : "Imke", "non-dropping-particle" : "", "parse-names" : false, "suffix" : "" }, { "dropping-particle" : "", "family" : "V\u00f6lker", "given" : "Bernward", "non-dropping-particle" : "", "parse-names" : false, "suffix" : "" }, { "dropping-particle" : "", "family" : "Meier", "given" : "Andre", "non-dropping-particle" : "", "parse-names" : false, "suffix" : "" }, { "dropping-particle" : "", "family" : "Kapp", "given" : "Alexander", "non-dropping-particle" : "", "parse-names" : false, "suffix" : "" }, { "dropping-particle" : "", "family" : "Gutzmer", "given" : "Ralf", "non-dropping-particle" : "", "parse-names" : false, "suffix" : "" } ], "container-title" : "Annals of surgical oncology", "id" : "ITEM-18", "issue" : "6", "issued" : { "date-parts" : [ [ "2008", "6" ] ] }, "page" : "1723-32", "title" : "Criteria in sentinel lymph nodes of melanoma patients that predict involvement of nonsentinel lymph nodes.", "type" : "article-journal", "volume" : "15" }, "uris" : [ "http://www.mendeley.com/documents/?uuid=a8f6bd8b-14f6-4b65-a100-7171b12ba9ba" ] }, { "id" : "ITEM-19", "itemData" : { "DOI" : "10.1200/JCO.2007.15.4179", "ISSN" : "1527-7755", "PMID" : "18606982", "abstract" : "PURPOSE: We and others have demonstrated that additional positive lymph nodes (LNs) are identified in only 8% to 33% of patients with melanoma who have positive sentinel LNs (SLNs) and undergo complete therapeutic LN dissection (cTLND). We sought to determine predictors of additional regional LN involvement in patients with positive SLNs.\n\nPATIENTS AND METHODS: Patients with clinically node-negative melanoma who underwent SLN biopsy (1991 to 2003) and had positive SLNs were identified. Clinicopathologic factors, including extent of microscopic disease within SLNs, were evaluated as potential predictors of positive non-SLNs.\n\nRESULTS: Overall, 359 (16.3%) of the 2,203 patients identified had a positive SLN. Positive non-SLNs were identified in 48 (14.0%) of the 343 patients with positive SLNs who underwent cTLND. On univariate analysis, several measures of SLN microscopic tumor burden, one versus three or more SLNs harvested, tumor thickness more than 2 mm, age older than 50 years, and Clark level higher than III were predictive of positive non-SLNs; primary tumor ulceration and number of positive SLNs had no apparent impact. On multivariable logistic regression analysis, measures of SLN microscopic tumor burden were the most significant independent predictors of positive non-SLNs; tumor thickness more than 2 mm and number of SLNs harvested also predicted additional disease. A model was developed that stratified patients according to their risk for non-SLN involvement.\n\nCONCLUSION: In melanoma patients with positive SLNs, SLN tumor burden, primary tumor thickness, and number of SLNs harvested may be useful in identifying a group at low risk for positive non-SLNs and be spared the potential morbidity of a cTLND.", "author" : [ { "dropping-particle" : "", "family" : "Gershenwald", "given" : "Jeffrey E", "non-dropping-particle" : "", "parse-names" : false, "suffix" : "" }, { "dropping-particle" : "", "family" : "Andtbacka", "given" : "Robert H I", "non-dropping-particle" : "", "parse-names" : false, "suffix" : "" }, { "dropping-particle" : "", "family" : "Prieto", "given" : "Victor G", "non-dropping-particle" : "", "parse-names" : false, "suffix" : "" }, { "dropping-particle" : "", "family" : "Johnson", "given" : "Marcella M", "non-dropping-particle" : "", "parse-names" : false, "suffix" : "" }, { "dropping-particle" : "", "family" : "Diwan", "given" : "A Hafeez", "non-dropping-particle" : "", "parse-names" : false, "suffix" : "" }, { "dropping-particle" : "", "family" : "Lee", "given" : "Jeffrey E", "non-dropping-particle" : "", "parse-names" : false, "suffix" : "" }, { "dropping-particle" : "", "family" : "Mansfield", "given" : "Paul F", "non-dropping-particle" : "", "parse-names" : false, "suffix" : "" }, { "dropping-particle" : "", "family" : "Cormier", "given" : "Janice N", "non-dropping-particle" : "", "parse-names" : false, "suffix" : "" }, { "dropping-particle" : "", "family" : "Schacherer", "given" : "Christopher W", "non-dropping-particle" : "", "parse-names" : false, "suffix" : "" }, { "dropping-particle" : "", "family" : "Ross", "given" : "Merrick I", "non-dropping-particle" : "", "parse-names" : false, "suffix" : "" } ], "container-title" : "Journal of clinical oncology : official journal of the American Society of Clinical Oncology", "id" : "ITEM-19", "issue" : "26", "issued" : { "date-parts" : [ [ "2008", "9", "10" ] ] }, "page" : "4296-303", "title" : "Microscopic tumor burden in sentinel lymph nodes predicts synchronous nonsentinel lymph node involvement in patients with melanoma.", "type" : "article-journal", "volume" : "26" }, "uris" : [ "http://www.mendeley.com/documents/?uuid=123e0a9a-4b3c-4a5f-8e41-9b53cd07a69f" ] }, { "id" : "ITEM-20", "itemData" : { "DOI" : "10.1093/annonc/mdl176", "ISSN" : "0923-7534", "PMID" : "16968875", "abstract" : "As only about 20% of sentinel node (SN) positive melanoma patients have additional non-SN lymph node involvement in the Completion Lymph Node Dissection (CLND) specimen, we tried to identify a SN positive patient group, which can be spared CLND. Micro anatomic analyses of metastatic SNs were performed to identify patient/tumor and/or SN factors predicting additional non-SN positivity as well as disease-free and overall survival. SN positivity was found in 77 of 262 stage I/II patients, included into a prospective database (10/97-5/04). Of 74 patients pathology material was available for re-evaluation. Micro anatomic analyses categorized topography of SN-metastases, Starz classification and amount of SN tumor burden. Additional non-SN positivity, DFS, OS and was calculated for all analyses. Mean Breslow thickness was 3.5 mm (0.8-12.0); mean FU was 35 (6-81) months. There was no additional non-SN positivity for SN-micrometastases &lt;0.1 mm. Topography of SN involvement had no impact on OS. Estimated 5-year OS rates for the different groups of &lt;0.1 mm, 0.1-1.0 mm and &gt;1.0 mm SN tumor burden were 100%, 63% and 35% respectively. Distant metastases were exceedingly rare (1/16 = 6.3%) in &lt;0.1 mm SN-positive patients. On multivariate analysis the SN tumor burden was the most important prognostic factor for DFS (P = 0.005) and OS (P = 0.03). Distant metastasis-free survival was identical (91%) to the 5-yr OS of SN negative patients, the estimated 5-yr OS was 100% for these patients and additional non-SN positivity was not observed. Therefore, our data suggest that patients with sub-micrometastases (&lt;0.1 mm) in the SN may be judged as SN negative, as non-stage III, and are highly unlikely to benefit from CLND, which we no longer recommend.", "author" : [ { "dropping-particle" : "", "family" : "Akkooi", "given" : "A C J", "non-dropping-particle" : "van", "parse-names" : false, "suffix" : "" }, { "dropping-particle" : "", "family" : "Wilt", "given" : "J H W", "non-dropping-particle" : "de", "parse-names" : false, "suffix" : "" }, { "dropping-particle" : "", "family" : "Verhoef", "given" : "C", "non-dropping-particle" : "", "parse-names" : false, "suffix" : "" }, { "dropping-particle" : "", "family" : "Schmitz", "given" : "P I M", "non-dropping-particle" : "", "parse-names" : false, "suffix" : "" }, { "dropping-particle" : "", "family" : "Geel", "given" : "A N", "non-dropping-particle" : "van", "parse-names" : false, "suffix" : "" }, { "dropping-particle" : "", "family" : "Eggermont", "given" : "A M M", "non-dropping-particle" : "", "parse-names" : false, "suffix" : "" }, { "dropping-particle" : "", "family" : "Kliffen", "given" : "M", "non-dropping-particle" : "", "parse-names" : false, "suffix" : "" } ], "container-title" : "Annals of oncology : official journal of the European Society for Medical Oncology / ESMO", "id" : "ITEM-20", "issue" : "10", "issued" : { "date-parts" : [ [ "2006", "10" ] ] }, "page" : "1578-85", "title" : "Clinical relevance of melanoma micrometastases (&lt;0.1 mm) in sentinel nodes: are these nodes to be considered negative?", "type" : "article-journal", "volume" : "17" }, "uris" : [ "http://www.mendeley.com/documents/?uuid=e3711798-85d5-422c-b79d-c94fe0973202" ] }, { "id" : "ITEM-21", "itemData" : { "abstract" : "Aims: Sentinel lymph node (SLN) -positive melanoma patients are usually recommended completion lymph node dissection (CLND) with the aim to provide regional disease control and improve survival. Nevertheless, only 20% these patients have additional metastases in non-sentinel lymph nodes (NSLN), indicating that CLND may be unnecessary in the majority of patients. In this retrospective study, we (i) sought to identify clinico-pathological features predicting NSLN status, as well as disease-free (DFS) and -specific (DSS) survival and (ii) evaluated the applicability of previously published algorithms, which were able to define a group of patients at zero-risk for NSLN-metastasis. Methods: This analysis included 504 consecutive melanoma patients stage I and II who underwent successful SLN-biopsy (SLNB) at our institute between 1998 and 2005. Metastatic SLN were re-evaluated for tumor burden and categorized according to two different micro-anatomic classifications and the S/U-score (Size of the sentinel node metastasis &gt;2 mm/Ulceration of the primary melanoma) was assessed. DFS and DSS were calculated for all analyses. Results: Out of 504 melanoma patients stage I or II, 85 (17%) were SLN-positive and 18 of 85 (21%) were found with positive NSLN in the CLND specimen. Median follow-up was 31 months. Neither primary tumor characteristics (age, gender, Clark level, Breslow thickness, ulceration of the primary melanoma, site and histological subtype of the primary melanoma), nor features of the sentinel node tumor (number and site of draining lymph node basins, number of positive sentinel nodes and size of sentinel node tumor (&lt;2 mm vs. \u22652 mm) were able to predict additional positive lymph nodes in the CLND specimen. Likewise the implementation of published algorithms was not able to identify patients at negligible risk for harboring NSLN metastases. Upon univariate analysis, disease-free survival in SLN-positive patients was correlated with Breslow thickness, sentinel node tumor size &gt;2 mm and S/U score. In respect to disease-specific survival the significant prognostic parameters were Breslow thickness, ulceration, sentinel node tumor size &gt;2 mm and the S/U score. After a median follow-up of 31 months recurrence rates (37% vs. 78%, p = 0.02) and death from disease (24% vs. 50%, p &lt; 0.01) were significantly different in patients with SLN-metastasis only as compared to patients with NSLN-metastasis. Conclusion: NSLN status cannot be predicted in this data analys\u2026", "author" : [ { "dropping-particle" : "", "family" : "Roka", "given" : "F.", "non-dropping-particle" : "", "parse-names" : false, "suffix" : "" }, { "dropping-particle" : "", "family" : "Mastan", "given" : "P.", "non-dropping-particle" : "", "parse-names" : false, "suffix" : "" }, { "dropping-particle" : "", "family" : "Binder", "given" : "M.", "non-dropping-particle" : "", "parse-names" : false, "suffix" : "" }, { "dropping-particle" : "", "family" : "Okamoto", "given" : "I.", "non-dropping-particle" : "", "parse-names" : false, "suffix" : "" }, { "dropping-particle" : "", "family" : "Mittlboeck", "given" : "M.", "non-dropping-particle" : "", "parse-names" : false, "suffix" : "" }, { "dropping-particle" : "", "family" : "Horvat", "given" : "R.", "non-dropping-particle" : "", "parse-names" : false, "suffix" : "" }, { "dropping-particle" : "", "family" : "Pehamberger", "given" : "H.", "non-dropping-particle" : "", "parse-names" : false, "suffix" : "" }, { "dropping-particle" : "", "family" : "Diem", "given" : "E.", "non-dropping-particle" : "", "parse-names" : false, "suffix" : "" } ], "container-title" : "European Journal of Surgical Oncology", "id" : "ITEM-21", "issue" : "1", "issued" : { "date-parts" : [ [ "2008" ] ] }, "page" : "82-88", "title" : "Prediction of non-sentinel node status and outcome in sentinel node-positive melanoma patients", "type" : "article-journal", "volume" : "34" }, "uris" : [ "http://www.mendeley.com/documents/?uuid=d5930a2d-7bb7-4c4a-a437-72ecc437a08e" ] }, { "id" : "ITEM-22", "itemData" : { "DOI" : "10.1245/s10434-006-9241-3", "ISSN" : "1068-9265", "PMID" : "17136471", "abstract" : "BACKGROUND: The current recommendation for patients with cutaneous melanoma and a positive sentinel lymph node (SLN) biopsy is a completion lymph node dissection (CLND). This study sought to define a population of SLN-positive patients, based on their histological pattern of SLN metastases, who may not require CLND.\n\nMETHODS: All patients with SLN-positive cutaneous melanoma who underwent CLND between March 1999 and December 2004 at a single academic institution were enrolled. Metastatic deposits in the SLN were categorized by their histological zone of involvement (subcapsular, parenchymal and/or sinusoidal). Logistic regression was used to examine the effect of SLN zone, size of nodal metastases, and other histological factors on CLND positivity. Kaplan-Meier and Cox models were used to study disease recurrence.\n\nRESULTS: A total of 127 patients were included, and 15.8% had positive non-sentinel nodes. In adjusted analyses, the size of the largest tumor deposit in the SLN was the only factor associated with CLND status. No patients with a tumor deposit &lt;or=0.20 mm had a positive CLND. Although a specific zone of tumor involvement was not predictive of CLND status, involvement of all three zones was independently associated with increased recurrence. Size of the largest tumor deposit was also associated with recurrence, with no recurrences in patients with nodal deposits &lt;or=0.20 mm.\n\nCONCLUSION: Histologic features of tumor metastases in positive SLN may be useful in defining a population of patients who may be spared CLND and a group at high risk of recurrence.", "author" : [ { "dropping-particle" : "", "family" : "Govindarajan", "given" : "Anand", "non-dropping-particle" : "", "parse-names" : false, "suffix" : "" }, { "dropping-particle" : "", "family" : "Ghazarian", "given" : "Danny M", "non-dropping-particle" : "", "parse-names" : false, "suffix" : "" }, { "dropping-particle" : "", "family" : "McCready", "given" : "David R", "non-dropping-particle" : "", "parse-names" : false, "suffix" : "" }, { "dropping-particle" : "", "family" : "Leong", "given" : "Wey L", "non-dropping-particle" : "", "parse-names" : false, "suffix" : "" } ], "container-title" : "Annals of surgical oncology", "id" : "ITEM-22", "issue" : "2", "issued" : { "date-parts" : [ [ "2007", "2" ] ] }, "page" : "906-12", "title" : "Histological features of melanoma sentinel lymph node metastases associated with status of the completion lymphadenectomy and rate of subsequent relapse.", "type" : "article-journal", "volume" : "14" }, "uris" : [ "http://www.mendeley.com/documents/?uuid=5d1c5c06-15f1-4039-9649-b05dcb8a12f0" ] } ], "mendeley" : { "formattedCitation" : "&lt;sup&gt;123,136\u2013155,162&lt;/sup&gt;", "plainTextFormattedCitation" : "123,136\u2013155,162", "previouslyFormattedCitation" : "&lt;sup&gt;123,136\u2013155,162&lt;/sup&gt;" }, "properties" : { "noteIndex" : 0 }, "schema" : "https://github.com/citation-style-language/schema/raw/master/csl-citation.json" }</w:instrText>
      </w:r>
      <w:r w:rsidR="0061482C" w:rsidRPr="003E73CD">
        <w:rPr>
          <w:sz w:val="22"/>
          <w:szCs w:val="22"/>
        </w:rPr>
        <w:fldChar w:fldCharType="separate"/>
      </w:r>
      <w:r w:rsidR="00CE2A17" w:rsidRPr="00CE2A17">
        <w:rPr>
          <w:noProof/>
          <w:sz w:val="22"/>
          <w:szCs w:val="22"/>
          <w:vertAlign w:val="superscript"/>
        </w:rPr>
        <w:t>123,136–155,162</w:t>
      </w:r>
      <w:r w:rsidR="0061482C" w:rsidRPr="003E73CD">
        <w:rPr>
          <w:sz w:val="22"/>
          <w:szCs w:val="22"/>
        </w:rPr>
        <w:fldChar w:fldCharType="end"/>
      </w:r>
      <w:proofErr w:type="gramStart"/>
      <w:r w:rsidR="0061482C" w:rsidRPr="003E73CD">
        <w:rPr>
          <w:sz w:val="22"/>
          <w:szCs w:val="22"/>
        </w:rPr>
        <w:t xml:space="preserve">  However</w:t>
      </w:r>
      <w:proofErr w:type="gramEnd"/>
      <w:r w:rsidR="0061482C" w:rsidRPr="003E73CD">
        <w:rPr>
          <w:sz w:val="22"/>
          <w:szCs w:val="22"/>
        </w:rPr>
        <w:t>, the accurate and reproducible identification of all non-sentinel node negative or positive patients by any method remains an elusive goal.</w:t>
      </w:r>
      <w:r w:rsidR="000B5FAD" w:rsidRPr="003E73CD">
        <w:rPr>
          <w:sz w:val="22"/>
          <w:szCs w:val="22"/>
        </w:rPr>
        <w:t xml:space="preserve">  This has been confirmed in a recent meta-analysis which concluded that further studies are required to confirm the standard criteria for not performing completion lymph node dissection.</w:t>
      </w:r>
      <w:r w:rsidR="00C21B54" w:rsidRPr="003E73CD">
        <w:rPr>
          <w:sz w:val="22"/>
          <w:szCs w:val="22"/>
        </w:rPr>
        <w:fldChar w:fldCharType="begin" w:fldLock="1"/>
      </w:r>
      <w:r w:rsidR="00217FAC">
        <w:rPr>
          <w:sz w:val="22"/>
          <w:szCs w:val="22"/>
        </w:rPr>
        <w:instrText>ADDIN CSL_CITATION { "citationItems" : [ { "id" : "ITEM-1", "itemData" : { "DOI" : "10.1016/j.ejso.2013.02.022", "ISSN" : "1532-2157", "PMID" : "23571104", "abstract" : "BACKGROUND: The current recommendation for patients with cutaneous melanoma and a positive sentinel lymph node (SLN) biopsy is a complete lymph node dissection (CLND). However, metastatic melanoma is not present in approximately 80% of CLND specimens. A meta-analysis was performed to identify the clinicopathological variables most predictive of non-sentinel node (NSN) metastases when the sentinel node is positive in patients with melanoma.\n\nMETHODS: A systematic search was conducted using MEDLINE, PubMed, EMBASE, Current Contents Connect, Cochrane library, Google scholar, Science Direct, and Web of Science. The search identified 54 relevant articles reporting the frequency of NSN metastases in melanoma. Original data was abstracted from each study and used to calculate a pooled odds ratio (OR) and 95% confidence interval (95% CI).\n\nFINDINGS: The pooled estimates that were found to be significantly associated with the high likelihood of NSN metastases were: ulceration (OR: 1.88, 95% CI: 1.53-2.31), satellitosis (OR: 3.25, 95% CI: 1.86-5.66), neurotropism (OR: 2.51, 95% CI: 1.39-4.53), &gt;1 positive SLN (OR: 1.77, 95% CI: 1.2-2.62), Starz 3 (old) (OR: 1.83, 95% CI: 0.89-3.76), Angiolymphatic invasion (OR: 2.46, 95% CI: 1.34-4.54), extensive location (OR: 2.22, 95% CI: 1.74-2.81), macrometastases &gt;2 mm (OR: 1.95, 95% CI: 1.61-2.35), extranodal extension (OR: 3.38, 95% CI: 1.79-6.40) and capsular involvement (OR: 3.16, 95% CI: 1.37-7.27). There were 3 characteristics not associated with NSN metastases: subcapsular location (OR: 0.51, 95% CI: 0.38-0.67), Rotterdam Criteria &lt;0.1 mm (OR: 0.29, 95% CI: 0.17-0.50) and Starz I (new) (OR: 0.44, 95% CI: 0.22-0.91). Other variables including gender, Breslow thickness 2-4 mm and extremity as primary site were found to be equivocal.\n\nINTERPRETATION: This meta-analysis provides evidence that patients with low SLN tumor burden could probably be spared the morbidity associated with CLND. We identified 9 factors predictive of non-SLN metastases that should be recorded and evaluated routinely in SLN databases. However, further studies are needed to confirm the standard criteria for not performing CLND.", "author" : [ { "dropping-particle" : "", "family" : "Nagaraja", "given" : "V", "non-dropping-particle" : "", "parse-names" : false, "suffix" : "" }, { "dropping-particle" : "", "family" : "Eslick", "given" : "G D", "non-dropping-particle" : "", "parse-names" : false, "suffix" : "" } ], "container-title" : "European journal of surgical oncology : the journal of the European Society of Surgical Oncology and the British Association of Surgical Oncology", "id" : "ITEM-1", "issue" : "7", "issued" : { "date-parts" : [ [ "2013", "7" ] ] }, "page" : "669-80", "title" : "Is complete lymph node dissection after a positive sentinel lymph node biopsy for cutaneous melanoma always necessary? A meta-analysis.", "type" : "article-journal", "volume" : "39" }, "uris" : [ "http://www.mendeley.com/documents/?uuid=67cfe721-6734-4747-a69b-b9f8a004fffc" ] } ], "mendeley" : { "formattedCitation" : "&lt;sup&gt;163&lt;/sup&gt;", "plainTextFormattedCitation" : "163", "previouslyFormattedCitation" : "&lt;sup&gt;163&lt;/sup&gt;" }, "properties" : { "noteIndex" : 0 }, "schema" : "https://github.com/citation-style-language/schema/raw/master/csl-citation.json" }</w:instrText>
      </w:r>
      <w:r w:rsidR="00C21B54" w:rsidRPr="003E73CD">
        <w:rPr>
          <w:sz w:val="22"/>
          <w:szCs w:val="22"/>
        </w:rPr>
        <w:fldChar w:fldCharType="separate"/>
      </w:r>
      <w:r w:rsidR="00CE2A17" w:rsidRPr="00CE2A17">
        <w:rPr>
          <w:noProof/>
          <w:sz w:val="22"/>
          <w:szCs w:val="22"/>
          <w:vertAlign w:val="superscript"/>
        </w:rPr>
        <w:t>163</w:t>
      </w:r>
      <w:r w:rsidR="00C21B54" w:rsidRPr="003E73CD">
        <w:rPr>
          <w:sz w:val="22"/>
          <w:szCs w:val="22"/>
        </w:rPr>
        <w:fldChar w:fldCharType="end"/>
      </w:r>
    </w:p>
    <w:p w14:paraId="76EEA2D4" w14:textId="1AF4ECC1" w:rsidR="0061482C" w:rsidRPr="003E73CD" w:rsidRDefault="0061482C" w:rsidP="00FF250B">
      <w:pPr>
        <w:widowControl w:val="0"/>
        <w:autoSpaceDE w:val="0"/>
        <w:autoSpaceDN w:val="0"/>
        <w:adjustRightInd w:val="0"/>
        <w:spacing w:line="480" w:lineRule="auto"/>
        <w:ind w:right="-389" w:firstLine="720"/>
        <w:rPr>
          <w:sz w:val="22"/>
          <w:szCs w:val="22"/>
        </w:rPr>
      </w:pPr>
      <w:r w:rsidRPr="003E73CD">
        <w:rPr>
          <w:sz w:val="22"/>
          <w:szCs w:val="22"/>
        </w:rPr>
        <w:t>The question remains: What is the actual significance of non-sentinel node metastasis?  It is well-established that prognosis is related to the total number of metastatic nodes detected, and this is accounted for in the current American Joint Committee on Cancer (AJCC) staging system.</w:t>
      </w:r>
      <w:r w:rsidRPr="003E73CD">
        <w:rPr>
          <w:sz w:val="22"/>
          <w:szCs w:val="22"/>
        </w:rPr>
        <w:fldChar w:fldCharType="begin" w:fldLock="1"/>
      </w:r>
      <w:r w:rsidRPr="003E73CD">
        <w:rPr>
          <w:sz w:val="22"/>
          <w:szCs w:val="22"/>
        </w:rPr>
        <w:instrText>ADDIN CSL_CITATION { "citationItems" : [ { "id" : "ITEM-1", "itemData" : { "DOI" : "10.1200/JCO.2009.23.4799", "ISBN" : "1527-7755 (Electronic)\\r0732-183X (Linking)", "ISSN" : "0732183X", "PMID" : "19917835", "abstract" : "To revise the staging system for cutaneous melanoma on the basis of data from an expanded American Joint Committee on Cancer (AJCC) Melanoma Staging Database.", "author" : [ { "dropping-particle" : "", "family" : "Balch", "given" : "Charles M.", "non-dropping-particle" : "", "parse-names" : false, "suffix" : "" }, { "dropping-particle" : "", "family" : "Gershenwald", "given" : "Jeffrey E.", "non-dropping-particle" : "", "parse-names" : false, "suffix" : "" }, { "dropping-particle" : "", "family" : "Soong", "given" : "Seng Jaw", "non-dropping-particle" : "", "parse-names" : false, "suffix" : "" }, { "dropping-particle" : "", "family" : "Thompson", "given" : "John F.", "non-dropping-particle" : "", "parse-names" : false, "suffix" : "" }, { "dropping-particle" : "", "family" : "Atkins", "given" : "Michael B.", "non-dropping-particle" : "", "parse-names" : false, "suffix" : "" }, { "dropping-particle" : "", "family" : "Byrd", "given" : "David R.", "non-dropping-particle" : "", "parse-names" : false, "suffix" : "" }, { "dropping-particle" : "", "family" : "Buzaid", "given" : "Antonio C.", "non-dropping-particle" : "", "parse-names" : false, "suffix" : "" }, { "dropping-particle" : "", "family" : "Cochran", "given" : "Alistair J.", "non-dropping-particle" : "", "parse-names" : false, "suffix" : "" }, { "dropping-particle" : "", "family" : "Coit", "given" : "Daniel G.", "non-dropping-particle" : "", "parse-names" : false, "suffix" : "" }, { "dropping-particle" : "", "family" : "Ding", "given" : "Shouluan", "non-dropping-particle" : "", "parse-names" : false, "suffix" : "" }, { "dropping-particle" : "", "family" : "Eggermont", "given" : "Alexander M.", "non-dropping-particle" : "", "parse-names" : false, "suffix" : "" }, { "dropping-particle" : "", "family" : "Flaherty", "given" : "Keith T.", "non-dropping-particle" : "", "parse-names" : false, "suffix" : "" }, { "dropping-particle" : "", "family" : "Gimotty", "given" : "Phyllis A.", "non-dropping-particle" : "", "parse-names" : false, "suffix" : "" }, { "dropping-particle" : "", "family" : "Kirkwood", "given" : "John M.", "non-dropping-particle" : "", "parse-names" : false, "suffix" : "" }, { "dropping-particle" : "", "family" : "McMasters", "given" : "Kelly M.", "non-dropping-particle" : "", "parse-names" : false, "suffix" : "" }, { "dropping-particle" : "", "family" : "Mihm", "given" : "Martin C.", "non-dropping-particle" : "", "parse-names" : false, "suffix" : "" }, { "dropping-particle" : "", "family" : "Morton", "given" : "Donald L.", "non-dropping-particle" : "", "parse-names" : false, "suffix" : "" }, { "dropping-particle" : "", "family" : "Ross", "given" : "Merrick I.", "non-dropping-particle" : "", "parse-names" : false, "suffix" : "" }, { "dropping-particle" : "", "family" : "Sober", "given" : "Arthur J.", "non-dropping-particle" : "", "parse-names" : false, "suffix" : "" }, { "dropping-particle" : "", "family" : "Sondak", "given" : "Vernon K.", "non-dropping-particle" : "", "parse-names" : false, "suffix" : "" } ], "container-title" : "Journal of Clinical Oncology", "id" : "ITEM-1", "issue" : "36", "issued" : { "date-parts" : [ [ "2009" ] ] }, "page" : "6199-6206", "title" : "Final version of 2009 AJCC melanoma staging and classification", "type" : "article-journal", "volume" : "27" }, "uris" : [ "http://www.mendeley.com/documents/?uuid=aae1e76a-7c0d-44d0-9aaf-7876463f3bee" ] } ], "mendeley" : { "formattedCitation" : "&lt;sup&gt;23&lt;/sup&gt;", "plainTextFormattedCitation" : "23", "previouslyFormattedCitation" : "&lt;sup&gt;23&lt;/sup&gt;" }, "properties" : { "noteIndex" : 0 }, "schema" : "https://github.com/citation-style-language/schema/raw/master/csl-citation.json" }</w:instrText>
      </w:r>
      <w:r w:rsidRPr="003E73CD">
        <w:rPr>
          <w:sz w:val="22"/>
          <w:szCs w:val="22"/>
        </w:rPr>
        <w:fldChar w:fldCharType="separate"/>
      </w:r>
      <w:r w:rsidRPr="003E73CD">
        <w:rPr>
          <w:noProof/>
          <w:sz w:val="22"/>
          <w:szCs w:val="22"/>
          <w:vertAlign w:val="superscript"/>
        </w:rPr>
        <w:t>23</w:t>
      </w:r>
      <w:r w:rsidRPr="003E73CD">
        <w:rPr>
          <w:sz w:val="22"/>
          <w:szCs w:val="22"/>
        </w:rPr>
        <w:fldChar w:fldCharType="end"/>
      </w:r>
      <w:proofErr w:type="gramStart"/>
      <w:r w:rsidRPr="003E73CD">
        <w:rPr>
          <w:sz w:val="22"/>
          <w:szCs w:val="22"/>
        </w:rPr>
        <w:t xml:space="preserve">  However</w:t>
      </w:r>
      <w:proofErr w:type="gramEnd"/>
      <w:r w:rsidR="00B7116D" w:rsidRPr="003E73CD">
        <w:rPr>
          <w:sz w:val="22"/>
          <w:szCs w:val="22"/>
        </w:rPr>
        <w:t>, the nature of such</w:t>
      </w:r>
      <w:r w:rsidRPr="003E73CD">
        <w:rPr>
          <w:sz w:val="22"/>
          <w:szCs w:val="22"/>
        </w:rPr>
        <w:t xml:space="preserve"> metastasis</w:t>
      </w:r>
      <w:r w:rsidR="00B7116D" w:rsidRPr="003E73CD">
        <w:rPr>
          <w:sz w:val="22"/>
          <w:szCs w:val="22"/>
        </w:rPr>
        <w:t>; within</w:t>
      </w:r>
      <w:r w:rsidRPr="003E73CD">
        <w:rPr>
          <w:sz w:val="22"/>
          <w:szCs w:val="22"/>
        </w:rPr>
        <w:t xml:space="preserve"> sentinel nodes </w:t>
      </w:r>
      <w:r w:rsidR="00B7116D" w:rsidRPr="003E73CD">
        <w:rPr>
          <w:sz w:val="22"/>
          <w:szCs w:val="22"/>
        </w:rPr>
        <w:t>only or within a combination of sentinel and</w:t>
      </w:r>
      <w:r w:rsidRPr="003E73CD">
        <w:rPr>
          <w:sz w:val="22"/>
          <w:szCs w:val="22"/>
        </w:rPr>
        <w:t xml:space="preserve"> non-sentinel nod</w:t>
      </w:r>
      <w:r w:rsidR="00B7116D" w:rsidRPr="003E73CD">
        <w:rPr>
          <w:sz w:val="22"/>
          <w:szCs w:val="22"/>
        </w:rPr>
        <w:t>es, may be important</w:t>
      </w:r>
      <w:r w:rsidRPr="003E73CD">
        <w:rPr>
          <w:sz w:val="22"/>
          <w:szCs w:val="22"/>
        </w:rPr>
        <w:t xml:space="preserve">.  For </w:t>
      </w:r>
      <w:r w:rsidR="00B7116D" w:rsidRPr="003E73CD">
        <w:rPr>
          <w:sz w:val="22"/>
          <w:szCs w:val="22"/>
        </w:rPr>
        <w:t>example, does</w:t>
      </w:r>
      <w:r w:rsidRPr="003E73CD">
        <w:rPr>
          <w:sz w:val="22"/>
          <w:szCs w:val="22"/>
        </w:rPr>
        <w:t xml:space="preserve"> a patient with 3 positive sentinel nodes and no</w:t>
      </w:r>
      <w:r w:rsidR="00B7116D" w:rsidRPr="003E73CD">
        <w:rPr>
          <w:sz w:val="22"/>
          <w:szCs w:val="22"/>
        </w:rPr>
        <w:t xml:space="preserve"> positive non-sentinel nodes have</w:t>
      </w:r>
      <w:r w:rsidRPr="003E73CD">
        <w:rPr>
          <w:sz w:val="22"/>
          <w:szCs w:val="22"/>
        </w:rPr>
        <w:t xml:space="preserve"> a better prognosis than a patient with 1 positive sentinel node and 2 positive </w:t>
      </w:r>
      <w:r w:rsidR="00B7116D" w:rsidRPr="003E73CD">
        <w:rPr>
          <w:sz w:val="22"/>
          <w:szCs w:val="22"/>
        </w:rPr>
        <w:t>non-sentinel nodes and so forth?</w:t>
      </w:r>
      <w:r w:rsidRPr="003E73CD">
        <w:rPr>
          <w:sz w:val="22"/>
          <w:szCs w:val="22"/>
        </w:rPr>
        <w:t xml:space="preserve"> </w:t>
      </w:r>
      <w:r w:rsidR="00B7116D" w:rsidRPr="003E73CD">
        <w:rPr>
          <w:sz w:val="22"/>
          <w:szCs w:val="22"/>
        </w:rPr>
        <w:t xml:space="preserve"> At the start of</w:t>
      </w:r>
      <w:r w:rsidR="00C21B54" w:rsidRPr="003E73CD">
        <w:rPr>
          <w:sz w:val="22"/>
          <w:szCs w:val="22"/>
        </w:rPr>
        <w:t xml:space="preserve"> this thesis o</w:t>
      </w:r>
      <w:r w:rsidRPr="003E73CD">
        <w:rPr>
          <w:sz w:val="22"/>
          <w:szCs w:val="22"/>
        </w:rPr>
        <w:t xml:space="preserve">nly </w:t>
      </w:r>
      <w:r w:rsidR="005513DA" w:rsidRPr="003E73CD">
        <w:rPr>
          <w:sz w:val="22"/>
          <w:szCs w:val="22"/>
        </w:rPr>
        <w:t>one study</w:t>
      </w:r>
      <w:r w:rsidR="00C21B54" w:rsidRPr="003E73CD">
        <w:rPr>
          <w:sz w:val="22"/>
          <w:szCs w:val="22"/>
        </w:rPr>
        <w:t xml:space="preserve"> had</w:t>
      </w:r>
      <w:r w:rsidRPr="003E73CD">
        <w:rPr>
          <w:sz w:val="22"/>
          <w:szCs w:val="22"/>
        </w:rPr>
        <w:t xml:space="preserve"> attempted to address this question.</w:t>
      </w:r>
      <w:r w:rsidR="005513DA" w:rsidRPr="003E73CD">
        <w:rPr>
          <w:sz w:val="22"/>
          <w:szCs w:val="22"/>
        </w:rPr>
        <w:fldChar w:fldCharType="begin" w:fldLock="1"/>
      </w:r>
      <w:r w:rsidR="00217FAC">
        <w:rPr>
          <w:sz w:val="22"/>
          <w:szCs w:val="22"/>
        </w:rPr>
        <w:instrText>ADDIN CSL_CITATION { "citationItems" : [ { "id" : "ITEM-1", "itemData" : { "DOI" : "10.1200/JCO.2006.06.3198", "ISSN" : "1527-7755", "PMID" : "16983115", "abstract" : "PURPOSE: To evaluate the prognostic significance of sentinel node biopsy in the management of stage IB and II melanoma patients, and to evaluate the status of nonsentinel nodes as a \"second step key factor\" to assess the prognosis of these patients.\n\nPATIENTS AND METHODS: We conducted an analysis of data collected in a prospective database.\n\nRESULTS: From February 1994 to June 2005, 1,108 consecutive patients with stage IB and II melanoma were submitted to sentinel node biopsy; 176 patients (15.9%) had occult node metastases. The frequency of positive nodes increased with increasing Breslow's thickness. The largest diameter of metastatic foci and their localization within the lymph node were associated with the risk of nonsentinel node metastases only. The 5-year survival of patients with positive sentinel nodes was 81.4% in patients with one positive node and 39.6% in patients with two positive nodes (P = .056). Multivariate analysis indicated that status of sentinel nodes is a key factor and that sex and Breslow's thickness maintain statistically significant relevance. Ulceration, which was associated with survival when considered as single factor (P &lt; .001) had no impact on survival in the multivariate analysis (P = .10). To evaluate the relevance of metastases to nonsentinel nodes, we identified four groups of patients.\n\nCONCLUSION: Evaluation of the sentinel node is a useful procedure to identify patients to be submitted for complete lymph node dissection. The procedure makes it possible to assess the best prognosis of patients.", "author" : [ { "dropping-particle" : "", "family" : "Cascinelli", "given" : "Natale", "non-dropping-particle" : "", "parse-names" : false, "suffix" : "" }, { "dropping-particle" : "", "family" : "Bombardieri", "given" : "Emilio", "non-dropping-particle" : "", "parse-names" : false, "suffix" : "" }, { "dropping-particle" : "", "family" : "Bufalino", "given" : "Rosaria", "non-dropping-particle" : "", "parse-names" : false, "suffix" : "" }, { "dropping-particle" : "", "family" : "Camerini", "given" : "Tiziana", "non-dropping-particle" : "", "parse-names" : false, "suffix" : "" }, { "dropping-particle" : "", "family" : "Carbone", "given" : "Antonino", "non-dropping-particle" : "", "parse-names" : false, "suffix" : "" }, { "dropping-particle" : "", "family" : "Clemente", "given" : "Claudio", "non-dropping-particle" : "", "parse-names" : false, "suffix" : "" }, { "dropping-particle" : "", "family" : "Lenisa", "given" : "Leonardo", "non-dropping-particle" : "", "parse-names" : false, "suffix" : "" }, { "dropping-particle" : "", "family" : "Mascheroni", "given" : "Luigi", "non-dropping-particle" : "", "parse-names" : false, "suffix" : "" }, { "dropping-particle" : "", "family" : "Maurichi", "given" : "Andrea", "non-dropping-particle" : "", "parse-names" : false, "suffix" : "" }, { "dropping-particle" : "", "family" : "Pennacchioli", "given" : "Elisabetta", "non-dropping-particle" : "", "parse-names" : false, "suffix" : "" }, { "dropping-particle" : "", "family" : "Patuzzo", "given" : "Roberto", "non-dropping-particle" : "", "parse-names" : false, "suffix" : "" }, { "dropping-particle" : "", "family" : "Santinami", "given" : "Mario", "non-dropping-particle" : "", "parse-names" : false, "suffix" : "" }, { "dropping-particle" : "", "family" : "Tragni", "given" : "Gabrina", "non-dropping-particle" : "", "parse-names" : false, "suffix" : "" } ], "container-title" : "Journal of clinical oncology : official journal of the American Society of Clinical Oncology", "id" : "ITEM-1", "issue" : "27", "issued" : { "date-parts" : [ [ "2006", "9", "20" ] ] }, "page" : "4464-71", "title" : "Sentinel and nonsentinel node status in stage IB and II melanoma patients: two-step prognostic indicators of survival.", "type" : "article-journal", "volume" : "24" }, "uris" : [ "http://www.mendeley.com/documents/?uuid=87a2810c-0f27-4812-8c91-b5fcb57b53ff" ] } ], "mendeley" : { "formattedCitation" : "&lt;sup&gt;149&lt;/sup&gt;", "plainTextFormattedCitation" : "149", "previouslyFormattedCitation" : "&lt;sup&gt;149&lt;/sup&gt;" }, "properties" : { "noteIndex" : 0 }, "schema" : "https://github.com/citation-style-language/schema/raw/master/csl-citation.json" }</w:instrText>
      </w:r>
      <w:r w:rsidR="005513DA" w:rsidRPr="003E73CD">
        <w:rPr>
          <w:sz w:val="22"/>
          <w:szCs w:val="22"/>
        </w:rPr>
        <w:fldChar w:fldCharType="separate"/>
      </w:r>
      <w:r w:rsidR="00CE2A17" w:rsidRPr="00CE2A17">
        <w:rPr>
          <w:noProof/>
          <w:sz w:val="22"/>
          <w:szCs w:val="22"/>
          <w:vertAlign w:val="superscript"/>
        </w:rPr>
        <w:t>149</w:t>
      </w:r>
      <w:r w:rsidR="005513DA" w:rsidRPr="003E73CD">
        <w:rPr>
          <w:sz w:val="22"/>
          <w:szCs w:val="22"/>
        </w:rPr>
        <w:fldChar w:fldCharType="end"/>
      </w:r>
      <w:r w:rsidRPr="003E73CD">
        <w:rPr>
          <w:sz w:val="22"/>
          <w:szCs w:val="22"/>
        </w:rPr>
        <w:t xml:space="preserve"> Cascinelli et al. reported that non-sentinel node metastasis was a prognostic indicator in a group of 176 sentinel node positive patients, 18.7% of whom had non-sentinel node metastasis.</w:t>
      </w:r>
      <w:r w:rsidRPr="003E73CD">
        <w:rPr>
          <w:sz w:val="22"/>
          <w:szCs w:val="22"/>
        </w:rPr>
        <w:fldChar w:fldCharType="begin" w:fldLock="1"/>
      </w:r>
      <w:r w:rsidR="00217FAC">
        <w:rPr>
          <w:sz w:val="22"/>
          <w:szCs w:val="22"/>
        </w:rPr>
        <w:instrText>ADDIN CSL_CITATION { "citationItems" : [ { "id" : "ITEM-1", "itemData" : { "DOI" : "10.1200/JCO.2006.06.3198", "ISSN" : "1527-7755", "PMID" : "16983115", "abstract" : "PURPOSE: To evaluate the prognostic significance of sentinel node biopsy in the management of stage IB and II melanoma patients, and to evaluate the status of nonsentinel nodes as a \"second step key factor\" to assess the prognosis of these patients.\n\nPATIENTS AND METHODS: We conducted an analysis of data collected in a prospective database.\n\nRESULTS: From February 1994 to June 2005, 1,108 consecutive patients with stage IB and II melanoma were submitted to sentinel node biopsy; 176 patients (15.9%) had occult node metastases. The frequency of positive nodes increased with increasing Breslow's thickness. The largest diameter of metastatic foci and their localization within the lymph node were associated with the risk of nonsentinel node metastases only. The 5-year survival of patients with positive sentinel nodes was 81.4% in patients with one positive node and 39.6% in patients with two positive nodes (P = .056). Multivariate analysis indicated that status of sentinel nodes is a key factor and that sex and Breslow's thickness maintain statistically significant relevance. Ulceration, which was associated with survival when considered as single factor (P &lt; .001) had no impact on survival in the multivariate analysis (P = .10). To evaluate the relevance of metastases to nonsentinel nodes, we identified four groups of patients.\n\nCONCLUSION: Evaluation of the sentinel node is a useful procedure to identify patients to be submitted for complete lymph node dissection. The procedure makes it possible to assess the best prognosis of patients.", "author" : [ { "dropping-particle" : "", "family" : "Cascinelli", "given" : "Natale", "non-dropping-particle" : "", "parse-names" : false, "suffix" : "" }, { "dropping-particle" : "", "family" : "Bombardieri", "given" : "Emilio", "non-dropping-particle" : "", "parse-names" : false, "suffix" : "" }, { "dropping-particle" : "", "family" : "Bufalino", "given" : "Rosaria", "non-dropping-particle" : "", "parse-names" : false, "suffix" : "" }, { "dropping-particle" : "", "family" : "Camerini", "given" : "Tiziana", "non-dropping-particle" : "", "parse-names" : false, "suffix" : "" }, { "dropping-particle" : "", "family" : "Carbone", "given" : "Antonino", "non-dropping-particle" : "", "parse-names" : false, "suffix" : "" }, { "dropping-particle" : "", "family" : "Clemente", "given" : "Claudio", "non-dropping-particle" : "", "parse-names" : false, "suffix" : "" }, { "dropping-particle" : "", "family" : "Lenisa", "given" : "Leonardo", "non-dropping-particle" : "", "parse-names" : false, "suffix" : "" }, { "dropping-particle" : "", "family" : "Mascheroni", "given" : "Luigi", "non-dropping-particle" : "", "parse-names" : false, "suffix" : "" }, { "dropping-particle" : "", "family" : "Maurichi", "given" : "Andrea", "non-dropping-particle" : "", "parse-names" : false, "suffix" : "" }, { "dropping-particle" : "", "family" : "Pennacchioli", "given" : "Elisabetta", "non-dropping-particle" : "", "parse-names" : false, "suffix" : "" }, { "dropping-particle" : "", "family" : "Patuzzo", "given" : "Roberto", "non-dropping-particle" : "", "parse-names" : false, "suffix" : "" }, { "dropping-particle" : "", "family" : "Santinami", "given" : "Mario", "non-dropping-particle" : "", "parse-names" : false, "suffix" : "" }, { "dropping-particle" : "", "family" : "Tragni", "given" : "Gabrina", "non-dropping-particle" : "", "parse-names" : false, "suffix" : "" } ], "container-title" : "Journal of clinical oncology : official journal of the American Society of Clinical Oncology", "id" : "ITEM-1", "issue" : "27", "issued" : { "date-parts" : [ [ "2006", "9", "20" ] ] }, "page" : "4464-71", "title" : "Sentinel and nonsentinel node status in stage IB and II melanoma patients: two-step prognostic indicators of survival.", "type" : "article-journal", "volume" : "24" }, "uris" : [ "http://www.mendeley.com/documents/?uuid=87a2810c-0f27-4812-8c91-b5fcb57b53ff" ] } ], "mendeley" : { "formattedCitation" : "&lt;sup&gt;149&lt;/sup&gt;", "plainTextFormattedCitation" : "149", "previouslyFormattedCitation" : "&lt;sup&gt;149&lt;/sup&gt;" }, "properties" : { "noteIndex" : 0 }, "schema" : "https://github.com/citation-style-language/schema/raw/master/csl-citation.json" }</w:instrText>
      </w:r>
      <w:r w:rsidRPr="003E73CD">
        <w:rPr>
          <w:sz w:val="22"/>
          <w:szCs w:val="22"/>
        </w:rPr>
        <w:fldChar w:fldCharType="separate"/>
      </w:r>
      <w:r w:rsidR="00CE2A17" w:rsidRPr="00CE2A17">
        <w:rPr>
          <w:noProof/>
          <w:sz w:val="22"/>
          <w:szCs w:val="22"/>
          <w:vertAlign w:val="superscript"/>
        </w:rPr>
        <w:t>149</w:t>
      </w:r>
      <w:r w:rsidRPr="003E73CD">
        <w:rPr>
          <w:sz w:val="22"/>
          <w:szCs w:val="22"/>
        </w:rPr>
        <w:fldChar w:fldCharType="end"/>
      </w:r>
      <w:proofErr w:type="gramStart"/>
      <w:r w:rsidRPr="003E73CD">
        <w:rPr>
          <w:sz w:val="22"/>
          <w:szCs w:val="22"/>
        </w:rPr>
        <w:t xml:space="preserve">  However</w:t>
      </w:r>
      <w:proofErr w:type="gramEnd"/>
      <w:r w:rsidRPr="003E73CD">
        <w:rPr>
          <w:sz w:val="22"/>
          <w:szCs w:val="22"/>
        </w:rPr>
        <w:t>, information on the numbers of positive non-sentinel nodes was not provided and so this difference in prognosis may simply have been related to patients with non-sentinel node metastasis having a higher total number o</w:t>
      </w:r>
      <w:r w:rsidR="00C21B54" w:rsidRPr="003E73CD">
        <w:rPr>
          <w:sz w:val="22"/>
          <w:szCs w:val="22"/>
        </w:rPr>
        <w:t xml:space="preserve">f positive nodes.  </w:t>
      </w:r>
      <w:r w:rsidR="007616C3" w:rsidRPr="003E73CD">
        <w:rPr>
          <w:sz w:val="22"/>
          <w:szCs w:val="22"/>
        </w:rPr>
        <w:t>As work progressed with the current thesis, Jakub et al.</w:t>
      </w:r>
      <w:r w:rsidRPr="003E73CD">
        <w:rPr>
          <w:sz w:val="22"/>
          <w:szCs w:val="22"/>
        </w:rPr>
        <w:t xml:space="preserve"> re</w:t>
      </w:r>
      <w:r w:rsidR="007616C3" w:rsidRPr="003E73CD">
        <w:rPr>
          <w:sz w:val="22"/>
          <w:szCs w:val="22"/>
        </w:rPr>
        <w:t>ported findings that prognosis wa</w:t>
      </w:r>
      <w:r w:rsidRPr="003E73CD">
        <w:rPr>
          <w:sz w:val="22"/>
          <w:szCs w:val="22"/>
        </w:rPr>
        <w:t>s not affected by increasing number of positive s</w:t>
      </w:r>
      <w:r w:rsidR="007616C3" w:rsidRPr="003E73CD">
        <w:rPr>
          <w:sz w:val="22"/>
          <w:szCs w:val="22"/>
        </w:rPr>
        <w:t>entinel nodes but wa</w:t>
      </w:r>
      <w:r w:rsidRPr="003E73CD">
        <w:rPr>
          <w:sz w:val="22"/>
          <w:szCs w:val="22"/>
        </w:rPr>
        <w:t>s affected by the presence of positive non-sentinel nodes.</w:t>
      </w:r>
      <w:r w:rsidRPr="003E73CD">
        <w:rPr>
          <w:sz w:val="22"/>
          <w:szCs w:val="22"/>
        </w:rPr>
        <w:fldChar w:fldCharType="begin" w:fldLock="1"/>
      </w:r>
      <w:r w:rsidR="00217FAC">
        <w:rPr>
          <w:sz w:val="22"/>
          <w:szCs w:val="22"/>
        </w:rPr>
        <w:instrText>ADDIN CSL_CITATION { "citationItems" : [ { "id" : "ITEM-1", "itemData" : { "DOI" : "10.1245/s10434-009-0530-5", "ISSN" : "1534-4681", "PMID" : "19517194", "abstract" : "BACKGROUND: In melanoma, a direct relationship exists between the number of nodes involved with metastatic disease and prognosis. This study was undertaken to determine whether an individual with metastatic disease confined to the sentinel lymph nodes (SLNs) would have a better prognosis than individuals with metastatic disease that has spread to the non-SLNs, regardless of the number of nodes involved.\n\nMETHODS: The study group consists of 229 melanoma patients with a positive SLN who underwent regional nodal dissection. Cox proportional hazard regression models were used to assess association of the number of SLNs and non-SLNs involved with disease with overall survival (OS) and disease-free survival (DFS).\n\nRESULTS: DFS and OS were unchanged regardless of how many SLNs were positive, as long as all disease was confined to SLNs. Among 183 patients without involvement of non-SLNs, OS remained the same despite an increasing number of SLNs involved (P = .59). This was true after controlling for ulceration, Breslow depth, age, sex, and adjuvant treatment. Once disease was present beyond the SLN, DFS and OS were negatively affected. Among patients with involvement of non-SLNs, there was no statistically significant association between the number of positive SLNs and survival. The risk of mortality increased with the number of non-SLNs involved with metastatic disease (P &lt; .001).\n\nCONCLUSIONS: The number of regional nodes involved with metastatic disease does not affect DFS and OS if disease is confined to the SLNs. Consideration should be given to specifying SLN versus non-SLN involvement in the American Joint Committee on Cancer staging manual.", "author" : [ { "dropping-particle" : "", "family" : "Jakub", "given" : "James W", "non-dropping-particle" : "", "parse-names" : false, "suffix" : "" }, { "dropping-particle" : "", "family" : "Huebner", "given" : "Marianne", "non-dropping-particle" : "", "parse-names" : false, "suffix" : "" }, { "dropping-particle" : "", "family" : "Shivers", "given" : "Steve", "non-dropping-particle" : "", "parse-names" : false, "suffix" : "" }, { "dropping-particle" : "", "family" : "Nobo", "given" : "Christopher", "non-dropping-particle" : "", "parse-names" : false, "suffix" : "" }, { "dropping-particle" : "", "family" : "Puleo", "given" : "Christopher", "non-dropping-particle" : "", "parse-names" : false, "suffix" : "" }, { "dropping-particle" : "", "family" : "Harmsen", "given" : "William S", "non-dropping-particle" : "", "parse-names" : false, "suffix" : "" }, { "dropping-particle" : "", "family" : "Reintgen", "given" : "Douglas S", "non-dropping-particle" : "", "parse-names" : false, "suffix" : "" } ], "container-title" : "Annals of surgical oncology", "id" : "ITEM-1", "issue" : "8", "issued" : { "date-parts" : [ [ "2009", "8" ] ] }, "page" : "2245-51", "title" : "The number of lymph nodes involved with metastatic disease does not affect outcome in melanoma patients as long as all disease is confined to the sentinel lymph node.", "type" : "article-journal", "volume" : "16" }, "uris" : [ "http://www.mendeley.com/documents/?uuid=fbe213b8-67d5-4eaa-b00e-02735b35827b" ] } ], "mendeley" : { "formattedCitation" : "&lt;sup&gt;164&lt;/sup&gt;", "plainTextFormattedCitation" : "164", "previouslyFormattedCitation" : "&lt;sup&gt;164&lt;/sup&gt;" }, "properties" : { "noteIndex" : 0 }, "schema" : "https://github.com/citation-style-language/schema/raw/master/csl-citation.json" }</w:instrText>
      </w:r>
      <w:r w:rsidRPr="003E73CD">
        <w:rPr>
          <w:sz w:val="22"/>
          <w:szCs w:val="22"/>
        </w:rPr>
        <w:fldChar w:fldCharType="separate"/>
      </w:r>
      <w:r w:rsidR="00CE2A17" w:rsidRPr="00CE2A17">
        <w:rPr>
          <w:noProof/>
          <w:sz w:val="22"/>
          <w:szCs w:val="22"/>
          <w:vertAlign w:val="superscript"/>
        </w:rPr>
        <w:t>164</w:t>
      </w:r>
      <w:r w:rsidRPr="003E73CD">
        <w:rPr>
          <w:sz w:val="22"/>
          <w:szCs w:val="22"/>
        </w:rPr>
        <w:fldChar w:fldCharType="end"/>
      </w:r>
      <w:proofErr w:type="gramStart"/>
      <w:r w:rsidR="007616C3" w:rsidRPr="003E73CD">
        <w:rPr>
          <w:sz w:val="22"/>
          <w:szCs w:val="22"/>
        </w:rPr>
        <w:t xml:space="preserve">  However</w:t>
      </w:r>
      <w:proofErr w:type="gramEnd"/>
      <w:r w:rsidR="007616C3" w:rsidRPr="003E73CD">
        <w:rPr>
          <w:sz w:val="22"/>
          <w:szCs w:val="22"/>
        </w:rPr>
        <w:t>, again it appeared</w:t>
      </w:r>
      <w:r w:rsidRPr="003E73CD">
        <w:rPr>
          <w:sz w:val="22"/>
          <w:szCs w:val="22"/>
        </w:rPr>
        <w:t xml:space="preserve"> that the effect of increasing total number of positive nodes was not fully accounted for within their analyses.   Ariyan e</w:t>
      </w:r>
      <w:r w:rsidR="007616C3" w:rsidRPr="003E73CD">
        <w:rPr>
          <w:sz w:val="22"/>
          <w:szCs w:val="22"/>
        </w:rPr>
        <w:t>t al.</w:t>
      </w:r>
      <w:r w:rsidRPr="003E73CD">
        <w:rPr>
          <w:sz w:val="22"/>
          <w:szCs w:val="22"/>
        </w:rPr>
        <w:t xml:space="preserve"> similarly reported results suggesting that survival for patients with two positive nodes was worse when one node was non-sentinel (p=0.05) although it can be seen that the significance level in </w:t>
      </w:r>
      <w:r w:rsidR="005513DA" w:rsidRPr="003E73CD">
        <w:rPr>
          <w:sz w:val="22"/>
          <w:szCs w:val="22"/>
        </w:rPr>
        <w:t xml:space="preserve">their initial report of </w:t>
      </w:r>
      <w:r w:rsidRPr="003E73CD">
        <w:rPr>
          <w:sz w:val="22"/>
          <w:szCs w:val="22"/>
        </w:rPr>
        <w:t>this study was borderline.</w:t>
      </w:r>
      <w:r w:rsidR="00EB1A73" w:rsidRPr="003E73CD">
        <w:rPr>
          <w:sz w:val="22"/>
          <w:szCs w:val="22"/>
        </w:rPr>
        <w:fldChar w:fldCharType="begin" w:fldLock="1"/>
      </w:r>
      <w:r w:rsidR="00217FAC">
        <w:rPr>
          <w:sz w:val="22"/>
          <w:szCs w:val="22"/>
        </w:rPr>
        <w:instrText>ADDIN CSL_CITATION { "citationItems" : [ { "id" : "ITEM-1", "itemData" : { "author" : [ { "dropping-particle" : "", "family" : "Ariyan", "given" : "CE", "non-dropping-particle" : "", "parse-names" : false, "suffix" : "" }, { "dropping-particle" : "", "family" : "Brady", "given" : "MS", "non-dropping-particle" : "", "parse-names" : false, "suffix" : "" }, { "dropping-particle" : "", "family" : "Busam", "given" : "KJ", "non-dropping-particle" : "", "parse-names" : false, "suffix" : "" }, { "dropping-particle" : "", "family" : "Coit", "given" : "DG", "non-dropping-particle" : "", "parse-names" : false, "suffix" : "" } ], "container-title" : "Annals of surgical oncology", "id" : "ITEM-1", "issue" : "S2", "issued" : { "date-parts" : [ [ "2008" ] ] }, "page" : "10-11", "title" : "Positive non-sentinel lymph node predicts mortality in cutaneous melanoma patients", "type" : "article-journal", "volume" : "15" }, "uris" : [ "http://www.mendeley.com/documents/?uuid=1398e7b7-a9e7-4b72-84a2-bed6050afb0b" ] } ], "mendeley" : { "formattedCitation" : "&lt;sup&gt;165&lt;/sup&gt;", "plainTextFormattedCitation" : "165", "previouslyFormattedCitation" : "&lt;sup&gt;165&lt;/sup&gt;" }, "properties" : { "noteIndex" : 0 }, "schema" : "https://github.com/citation-style-language/schema/raw/master/csl-citation.json" }</w:instrText>
      </w:r>
      <w:r w:rsidR="00EB1A73" w:rsidRPr="003E73CD">
        <w:rPr>
          <w:sz w:val="22"/>
          <w:szCs w:val="22"/>
        </w:rPr>
        <w:fldChar w:fldCharType="separate"/>
      </w:r>
      <w:r w:rsidR="00CE2A17" w:rsidRPr="00CE2A17">
        <w:rPr>
          <w:noProof/>
          <w:sz w:val="22"/>
          <w:szCs w:val="22"/>
          <w:vertAlign w:val="superscript"/>
        </w:rPr>
        <w:t>165</w:t>
      </w:r>
      <w:r w:rsidR="00EB1A73" w:rsidRPr="003E73CD">
        <w:rPr>
          <w:sz w:val="22"/>
          <w:szCs w:val="22"/>
        </w:rPr>
        <w:fldChar w:fldCharType="end"/>
      </w:r>
      <w:r w:rsidRPr="003E73CD">
        <w:rPr>
          <w:sz w:val="22"/>
          <w:szCs w:val="22"/>
        </w:rPr>
        <w:t xml:space="preserve"> </w:t>
      </w:r>
    </w:p>
    <w:p w14:paraId="3BE987B1" w14:textId="77777777" w:rsidR="0061482C" w:rsidRPr="003E73CD" w:rsidRDefault="0061482C" w:rsidP="0061482C">
      <w:pPr>
        <w:widowControl w:val="0"/>
        <w:autoSpaceDE w:val="0"/>
        <w:autoSpaceDN w:val="0"/>
        <w:adjustRightInd w:val="0"/>
        <w:spacing w:line="480" w:lineRule="auto"/>
        <w:ind w:right="-389"/>
        <w:rPr>
          <w:sz w:val="22"/>
          <w:szCs w:val="22"/>
        </w:rPr>
      </w:pPr>
    </w:p>
    <w:p w14:paraId="090761B4" w14:textId="77777777" w:rsidR="0061482C" w:rsidRPr="003E73CD" w:rsidRDefault="0061482C" w:rsidP="0061482C">
      <w:pPr>
        <w:widowControl w:val="0"/>
        <w:autoSpaceDE w:val="0"/>
        <w:autoSpaceDN w:val="0"/>
        <w:adjustRightInd w:val="0"/>
        <w:spacing w:line="480" w:lineRule="auto"/>
        <w:ind w:right="-389"/>
        <w:rPr>
          <w:b/>
          <w:bCs/>
          <w:sz w:val="22"/>
          <w:szCs w:val="22"/>
        </w:rPr>
      </w:pPr>
      <w:r w:rsidRPr="003E73CD">
        <w:rPr>
          <w:b/>
          <w:bCs/>
          <w:sz w:val="22"/>
          <w:szCs w:val="22"/>
        </w:rPr>
        <w:t>SUMMARY</w:t>
      </w:r>
    </w:p>
    <w:p w14:paraId="7B3BE60B" w14:textId="671236D5" w:rsidR="0061482C" w:rsidRPr="003E73CD" w:rsidRDefault="0061482C" w:rsidP="0061482C">
      <w:pPr>
        <w:widowControl w:val="0"/>
        <w:autoSpaceDE w:val="0"/>
        <w:autoSpaceDN w:val="0"/>
        <w:adjustRightInd w:val="0"/>
        <w:spacing w:line="480" w:lineRule="auto"/>
        <w:ind w:right="-389" w:firstLine="720"/>
        <w:rPr>
          <w:sz w:val="22"/>
          <w:szCs w:val="22"/>
        </w:rPr>
      </w:pPr>
      <w:r w:rsidRPr="003E73CD">
        <w:rPr>
          <w:sz w:val="22"/>
          <w:szCs w:val="22"/>
        </w:rPr>
        <w:t>Understanding of the lymphatic system has gradually advanced over the last two millennia, with accelerating speed in the last century.  Its anatomy is well documented and knowledge regarding its function in health and disease is steadi</w:t>
      </w:r>
      <w:r w:rsidR="00776D56" w:rsidRPr="003E73CD">
        <w:rPr>
          <w:sz w:val="22"/>
          <w:szCs w:val="22"/>
        </w:rPr>
        <w:t>ly increasing.  Techniques have</w:t>
      </w:r>
      <w:r w:rsidRPr="003E73CD">
        <w:rPr>
          <w:sz w:val="22"/>
          <w:szCs w:val="22"/>
        </w:rPr>
        <w:t xml:space="preserve"> been developed to image lymphatic drainage in vivo, allowing reliable identification and surgical removal of the lymph nodes that directly drain a specific tumour site on the skin.  This has facilitated a transition from radical cancer surgery to more selective approaches that aim to minimise morbidity without compromising prognosis.  In melanoma there has been a distinct absence of</w:t>
      </w:r>
      <w:r w:rsidR="005513DA" w:rsidRPr="003E73CD">
        <w:rPr>
          <w:sz w:val="22"/>
          <w:szCs w:val="22"/>
        </w:rPr>
        <w:t xml:space="preserve"> effective systemic therapy and </w:t>
      </w:r>
      <w:r w:rsidRPr="003E73CD">
        <w:rPr>
          <w:sz w:val="22"/>
          <w:szCs w:val="22"/>
        </w:rPr>
        <w:t xml:space="preserve">the management of metastatic disease </w:t>
      </w:r>
      <w:r w:rsidR="005513DA" w:rsidRPr="003E73CD">
        <w:rPr>
          <w:sz w:val="22"/>
          <w:szCs w:val="22"/>
        </w:rPr>
        <w:t>has remained</w:t>
      </w:r>
      <w:r w:rsidRPr="003E73CD">
        <w:rPr>
          <w:sz w:val="22"/>
          <w:szCs w:val="22"/>
        </w:rPr>
        <w:t xml:space="preserve"> largely surgical.  For nodal metastases there has been a transition from elective lymph node dissection, to sentinel node biopsy with or without completion lymph node dissection, or simply observation and therapeutic lymph node dissection when required.  However, there remain many areas of controversy that require further study.  The technique of sentinel node biopsy, although well established, is not without limitations and efforts should be made to further refine the procedure and increase awareness of potential pitfalls.  In particular, in the head and neck, further study is required to elucidate whether lymphatic drainage is truly as unpredictable as it appears.  The presence of more predicable drainage patterns may allow more selective surgical approaches to be taken.  The significance of metastasis in sentinel nodes is well established but there is scope to further define patients with sentinel node metastasis in terms of prognosis.  The ability to do this may benefit individual patients as well as improve selection for clinical trials.  Finally, the ability to detect patients with nodal metastases beyond sentinel nodes, prior to excising these nodes, and to determine the significance of such metastases in terms of prognosis would clearly be highly desirable.</w:t>
      </w:r>
    </w:p>
    <w:p w14:paraId="43F521EA" w14:textId="77777777" w:rsidR="0061482C" w:rsidRPr="003E73CD" w:rsidRDefault="0061482C" w:rsidP="0061482C">
      <w:pPr>
        <w:widowControl w:val="0"/>
        <w:autoSpaceDE w:val="0"/>
        <w:autoSpaceDN w:val="0"/>
        <w:adjustRightInd w:val="0"/>
        <w:spacing w:line="480" w:lineRule="auto"/>
        <w:ind w:right="-389"/>
        <w:rPr>
          <w:sz w:val="22"/>
          <w:szCs w:val="22"/>
        </w:rPr>
      </w:pPr>
    </w:p>
    <w:p w14:paraId="2E22F9D5" w14:textId="77777777" w:rsidR="0061482C" w:rsidRPr="003E73CD" w:rsidRDefault="0061482C" w:rsidP="0061482C">
      <w:pPr>
        <w:widowControl w:val="0"/>
        <w:autoSpaceDE w:val="0"/>
        <w:autoSpaceDN w:val="0"/>
        <w:adjustRightInd w:val="0"/>
        <w:spacing w:line="480" w:lineRule="auto"/>
        <w:ind w:right="-389"/>
        <w:rPr>
          <w:sz w:val="22"/>
          <w:szCs w:val="22"/>
        </w:rPr>
      </w:pPr>
    </w:p>
    <w:p w14:paraId="7F2F4A1A" w14:textId="4F3C37B4" w:rsidR="00485E64" w:rsidRPr="008820E5" w:rsidRDefault="007616C3">
      <w:pPr>
        <w:rPr>
          <w:b/>
          <w:bCs/>
          <w:sz w:val="22"/>
          <w:szCs w:val="22"/>
        </w:rPr>
      </w:pPr>
      <w:r w:rsidRPr="003E73CD">
        <w:rPr>
          <w:b/>
          <w:bCs/>
          <w:sz w:val="22"/>
          <w:szCs w:val="22"/>
        </w:rPr>
        <w:br w:type="page"/>
      </w:r>
    </w:p>
    <w:p w14:paraId="5D637B80" w14:textId="359563E4" w:rsidR="0061482C" w:rsidRPr="003E73CD" w:rsidRDefault="00DD5F0C" w:rsidP="0061482C">
      <w:pPr>
        <w:spacing w:line="480" w:lineRule="auto"/>
        <w:rPr>
          <w:sz w:val="28"/>
          <w:szCs w:val="28"/>
        </w:rPr>
      </w:pPr>
      <w:r>
        <w:rPr>
          <w:sz w:val="28"/>
          <w:szCs w:val="28"/>
        </w:rPr>
        <w:t>Section 1.3</w:t>
      </w:r>
      <w:r w:rsidR="0061482C" w:rsidRPr="003E73CD">
        <w:rPr>
          <w:sz w:val="28"/>
          <w:szCs w:val="28"/>
        </w:rPr>
        <w:t>: Lymphoscintigraphy – technical considerations and potential pitfalls in practice.</w:t>
      </w:r>
    </w:p>
    <w:p w14:paraId="4C85CE6B" w14:textId="77777777" w:rsidR="0061482C" w:rsidRPr="003E73CD" w:rsidRDefault="0061482C" w:rsidP="0061482C">
      <w:pPr>
        <w:spacing w:line="480" w:lineRule="auto"/>
        <w:rPr>
          <w:sz w:val="22"/>
          <w:szCs w:val="22"/>
        </w:rPr>
      </w:pPr>
    </w:p>
    <w:p w14:paraId="444CAE72" w14:textId="77777777" w:rsidR="0061482C" w:rsidRPr="003E73CD" w:rsidRDefault="0061482C" w:rsidP="0061482C">
      <w:pPr>
        <w:pStyle w:val="BodyText"/>
        <w:rPr>
          <w:rFonts w:ascii="Cambria" w:hAnsi="Cambria"/>
          <w:b/>
          <w:szCs w:val="22"/>
        </w:rPr>
      </w:pPr>
      <w:r w:rsidRPr="003E73CD">
        <w:rPr>
          <w:rFonts w:ascii="Cambria" w:hAnsi="Cambria"/>
          <w:b/>
          <w:szCs w:val="22"/>
        </w:rPr>
        <w:t>Introduction</w:t>
      </w:r>
    </w:p>
    <w:p w14:paraId="4CCD2182" w14:textId="60B5D5D9" w:rsidR="0061482C" w:rsidRPr="003E73CD" w:rsidRDefault="0061482C" w:rsidP="0061482C">
      <w:pPr>
        <w:pStyle w:val="BodyText"/>
        <w:ind w:firstLine="720"/>
        <w:rPr>
          <w:rFonts w:ascii="Cambria" w:hAnsi="Cambria"/>
          <w:szCs w:val="22"/>
        </w:rPr>
      </w:pPr>
      <w:r w:rsidRPr="003E73CD">
        <w:rPr>
          <w:rFonts w:ascii="Cambria" w:hAnsi="Cambria"/>
          <w:szCs w:val="22"/>
        </w:rPr>
        <w:t>The sentinel node or nodes are the first and frequently the only lymph nodes affected by occult metastatic spread from primary cutaneous melanomas.</w:t>
      </w:r>
      <w:r w:rsidRPr="003E73CD">
        <w:rPr>
          <w:rFonts w:ascii="Cambria" w:hAnsi="Cambria"/>
          <w:szCs w:val="22"/>
        </w:rPr>
        <w:fldChar w:fldCharType="begin" w:fldLock="1"/>
      </w:r>
      <w:r w:rsidR="006E7542" w:rsidRPr="003E73CD">
        <w:rPr>
          <w:rFonts w:ascii="Cambria" w:hAnsi="Cambria"/>
          <w:szCs w:val="22"/>
        </w:rPr>
        <w:instrText>ADDIN CSL_CITATION { "citationItems" : [ { "id" : "ITEM-1", "itemData" : { "ISSN" : "0004-0010", "PMID" : "1558490", "abstract" : "The initial route of metastases in most patients with melanoma is via the lymphatics to the regional nodes. However, routine lymphadenectomy for patients with clinical stage I melanoma remains controversial because most of these patients do not have nodal metastases, are unlikely to benefit from the operation, and may suffer troublesome postoperative edema of the limbs. A new procedure was developed using vital dyes that permits intraoperative identification of the sentinel lymph node, the lymph node nearest the site of the primary melanoma, on the direct drainage pathway. The most likely site of early metastases, the sentinel node can be removed for immediate intraoperative study to identify clinically occult melanoma cells. We successfully identified the sentinel node(s) in 194 of 237 lymphatic basins and detected metastases in 40 specimens (21%) on examination of routine hematoxylin-eosin-stained slides (12%) or exclusively in immunohistochemically stained preparations (9%). Metastases were present in 47 (18%) of 259 sentinel nodes, while nonsentinel nodes were the sole site of metastasis in only two of 3079 nodes from 194 lymphadenectomy specimens that had an identifiable sentinel node, a false-negative rate of less than 1%. Thus, this technique identifies, with a high degree of accuracy, patients with early stage melanoma who have nodal metastases and are likely to benefit from radical lymphadenectomy.", "author" : [ { "dropping-particle" : "", "family" : "Morton", "given" : "D L", "non-dropping-particle" : "", "parse-names" : false, "suffix" : "" }, { "dropping-particle" : "", "family" : "Wen", "given" : "D R", "non-dropping-particle" : "", "parse-names" : false, "suffix" : "" }, { "dropping-particle" : "", "family" : "Wong", "given" : "J H", "non-dropping-particle" : "", "parse-names" : false, "suffix" : "" }, { "dropping-particle" : "", "family" : "Economou", "given" : "J S", "non-dropping-particle" : "", "parse-names" : false, "suffix" : "" }, { "dropping-particle" : "", "family" : "Cagle", "given" : "L A", "non-dropping-particle" : "", "parse-names" : false, "suffix" : "" }, { "dropping-particle" : "", "family" : "Storm", "given" : "F K", "non-dropping-particle" : "", "parse-names" : false, "suffix" : "" }, { "dropping-particle" : "", "family" : "Foshag", "given" : "L J", "non-dropping-particle" : "", "parse-names" : false, "suffix" : "" }, { "dropping-particle" : "", "family" : "Cochran", "given" : "A J", "non-dropping-particle" : "", "parse-names" : false, "suffix" : "" } ], "container-title" : "Archives of surgery (Chicago, Ill. : 1960)", "id" : "ITEM-1", "issue" : "4", "issued" : { "date-parts" : [ [ "1992", "4" ] ] }, "page" : "392-9", "title" : "Technical details of intraoperative lymphatic mapping for early stage melanoma.", "type" : "article-journal", "volume" : "127" }, "uris" : [ "http://www.mendeley.com/documents/?uuid=7401ee58-b336-4659-b9d3-95737609b89d" ] } ], "mendeley" : { "formattedCitation" : "&lt;sup&gt;67&lt;/sup&gt;", "plainTextFormattedCitation" : "67", "previouslyFormattedCitation" : "&lt;sup&gt;67&lt;/sup&gt;" }, "properties" : { "noteIndex" : 0 }, "schema" : "https://github.com/citation-style-language/schema/raw/master/csl-citation.json" }</w:instrText>
      </w:r>
      <w:r w:rsidRPr="003E73CD">
        <w:rPr>
          <w:rFonts w:ascii="Cambria" w:hAnsi="Cambria"/>
          <w:szCs w:val="22"/>
        </w:rPr>
        <w:fldChar w:fldCharType="separate"/>
      </w:r>
      <w:r w:rsidR="00B60C63" w:rsidRPr="003E73CD">
        <w:rPr>
          <w:rFonts w:ascii="Cambria" w:hAnsi="Cambria"/>
          <w:noProof/>
          <w:szCs w:val="22"/>
          <w:vertAlign w:val="superscript"/>
        </w:rPr>
        <w:t>67</w:t>
      </w:r>
      <w:r w:rsidRPr="003E73CD">
        <w:rPr>
          <w:rFonts w:ascii="Cambria" w:hAnsi="Cambria"/>
          <w:szCs w:val="22"/>
        </w:rPr>
        <w:fldChar w:fldCharType="end"/>
      </w:r>
      <w:proofErr w:type="gramStart"/>
      <w:r w:rsidRPr="003E73CD">
        <w:rPr>
          <w:rFonts w:ascii="Cambria" w:hAnsi="Cambria"/>
          <w:szCs w:val="22"/>
        </w:rPr>
        <w:t xml:space="preserve">  The</w:t>
      </w:r>
      <w:proofErr w:type="gramEnd"/>
      <w:r w:rsidRPr="003E73CD">
        <w:rPr>
          <w:rFonts w:ascii="Cambria" w:hAnsi="Cambria"/>
          <w:szCs w:val="22"/>
        </w:rPr>
        <w:t xml:space="preserve"> presence or absence of metastatic disease in a sentinel node provides the most powerful indication of prognosis for patients with clinical AJCC stage I or II disease.</w:t>
      </w:r>
      <w:r w:rsidRPr="003E73CD">
        <w:rPr>
          <w:rFonts w:ascii="Cambria" w:hAnsi="Cambria"/>
          <w:szCs w:val="22"/>
        </w:rPr>
        <w:fldChar w:fldCharType="begin" w:fldLock="1"/>
      </w:r>
      <w:r w:rsidR="00217FAC">
        <w:rPr>
          <w:rFonts w:ascii="Cambria" w:hAnsi="Cambria"/>
          <w:szCs w:val="22"/>
        </w:rPr>
        <w:instrText>ADDIN CSL_CITATION { "citationItems" : [ { "id" : "ITEM-1", "itemData" : { "DOI" : "10.1056/NEJMoa1310460", "ISSN" : "1533-4406", "PMID" : "24521106", "abstract" : "BACKGROUND: Sentinel-node biopsy, a minimally invasive procedure for regional melanoma staging, was evaluated in a phase 3 trial.\n\nMETHODS: We evaluated outcomes in 2001 patients with primary cutaneous melanomas randomly assigned to undergo wide excision and nodal observation, with lymphadenectomy for nodal relapse (observation group), or wide excision and sentinel-node biopsy, with immediate lymphadenectomy for nodal metastases detected on biopsy (biopsy group). Results No significant treatment-related difference in the 10-year melanoma-specific survival rate was seen in the overall study population (20.8% with and 79.2% without nodal metastases). Mean (\u00b1 SE) 10-year disease-free survival rates were significantly improved in the biopsy group, as compared with the observation group, among patients with intermediate-thickness melanomas, defined as 1.20 to 3.50 mm (71.3 \u00b1 1.8% vs. 64.7 \u00b1 2.3%; hazard ratio for recurrence or metastasis, 0.76; P=0.01), and those with thick melanomas, defined as &gt;3.50 mm (50.7 \u00b1 4.0% vs. 40.5 \u00b1 4.7%; hazard ratio, 0.70; P=0.03). Among patients with intermediate-thickness melanomas, the 10-year melanoma-specific survival rate was 62.1 \u00b1 4.8% among those with metastasis versus 85.1 \u00b1 1.5% for those without metastasis (hazard ratio for death from melanoma, 3.09; P&lt;0.001); among patients with thick melanomas, the respective rates were 48.0 \u00b1 7.0% and 64.6 \u00b1 4.9% (hazard ratio, 1.75; P=0.03). Biopsy-based management improved the 10-year rate of distant disease-free survival (hazard ratio for distant metastasis, 0.62; P=0.02) and the 10-year rate of melanoma-specific survival (hazard ratio for death from melanoma, 0.56; P=0.006) for patients with intermediate-thickness melanomas and nodal metastases. Accelerated-failure-time latent-subgroup analysis was performed to account for the fact that nodal status was initially known only in the biopsy group, and a significant treatment benefit persisted.\n\nCONCLUSIONS: Biopsy-based staging of intermediate-thickness or thick primary melanomas provides important prognostic information and identifies patients with nodal metastases who may benefit from immediate complete lymphadenectomy. Biopsy-based management prolongs disease-free survival for all patients and prolongs distant disease-free survival and melanoma-specific survival for patients with nodal metastases from intermediate-thickness melanomas. (Funded by the National Cancer Institute, National Institutes of Health, and the Australia a\u2026", "author" : [ { "dropping-particle" : "", "family" : "Morton", "given" : "Donald L", "non-dropping-particle" : "", "parse-names" : false, "suffix" : "" }, { "dropping-particle" : "", "family" : "Thompson", "given" : "John F", "non-dropping-particle" : "", "parse-names" : false, "suffix" : "" }, { "dropping-particle" : "", "family" : "Cochran", "given" : "Alistair J", "non-dropping-particle" : "", "parse-names" : false, "suffix" : "" }, { "dropping-particle" : "", "family" : "Mozzillo", "given" : "Nicola", "non-dropping-particle" : "", "parse-names" : false, "suffix" : "" }, { "dropping-particle" : "", "family" : "Nieweg", "given" : "Omgo E", "non-dropping-particle" : "", "parse-names" : false, "suffix" : "" }, { "dropping-particle" : "", "family" : "Roses", "given" : "Daniel F", "non-dropping-particle" : "", "parse-names" : false, "suffix" : "" }, { "dropping-particle" : "", "family" : "Hoekstra", "given" : "Harold J", "non-dropping-particle" : "", "parse-names" : false, "suffix" : "" }, { "dropping-particle" : "", "family" : "Karakousis", "given" : "Constantine P", "non-dropping-particle" : "", "parse-names" : false, "suffix" : "" }, { "dropping-particle" : "", "family" : "Puleo", "given" : "Christopher A", "non-dropping-particle" : "", "parse-names" : false, "suffix" : "" }, { "dropping-particle" : "", "family" : "Coventry", "given" : "Brendon J", "non-dropping-particle" : "", "parse-names" : false, "suffix" : "" }, { "dropping-particle" : "", "family" : "Kashani-Sabet", "given" : "Mohammed", "non-dropping-particle" : "", "parse-names" : false, "suffix" : "" }, { "dropping-particle" : "", "family" : "Smithers", "given" : "B Mark", "non-dropping-particle" : "", "parse-names" : false, "suffix" : "" }, { "dropping-particle" : "", "family" : "Paul", "given" : "Eberhard", "non-dropping-particle" : "", "parse-names" : false, "suffix" : "" }, { "dropping-particle" : "", "family" : "Kraybill", "given" : "William G", "non-dropping-particle" : "", "parse-names" : false, "suffix" : "" }, { "dropping-particle" : "", "family" : "McKinnon", "given" : "J Gregory", "non-dropping-particle" : "", "parse-names" : false, "suffix" : "" }, { "dropping-particle" : "", "family" : "Wang", "given" : "He-Jing", "non-dropping-particle" : "", "parse-names" : false, "suffix" : "" }, { "dropping-particle" : "", "family" : "Elashoff", "given" : "Robert", "non-dropping-particle" : "", "parse-names" : false, "suffix" : "" }, { "dropping-particle" : "", "family" : "Faries", "given" : "Mark B", "non-dropping-particle" : "", "parse-names" : false, "suffix" : "" } ], "container-title" : "The New England journal of medicine", "id" : "ITEM-1", "issue" : "7", "issued" : { "date-parts" : [ [ "2014", "2", "13" ] ] }, "page" : "599-609", "title" : "Final trial report of sentinel-node biopsy versus nodal observation in melanoma.", "type" : "article-journal", "volume" : "370" }, "uris" : [ "http://www.mendeley.com/documents/?uuid=0154af1a-a1d9-42e8-9d9e-a8830777181a" ] } ], "mendeley" : { "formattedCitation" : "&lt;sup&gt;125&lt;/sup&gt;", "plainTextFormattedCitation" : "125", "previouslyFormattedCitation" : "&lt;sup&gt;125&lt;/sup&gt;" }, "properties" : { "noteIndex" : 0 }, "schema" : "https://github.com/citation-style-language/schema/raw/master/csl-citation.json" }</w:instrText>
      </w:r>
      <w:r w:rsidRPr="003E73CD">
        <w:rPr>
          <w:rFonts w:ascii="Cambria" w:hAnsi="Cambria"/>
          <w:szCs w:val="22"/>
        </w:rPr>
        <w:fldChar w:fldCharType="separate"/>
      </w:r>
      <w:r w:rsidR="00CE2A17" w:rsidRPr="00CE2A17">
        <w:rPr>
          <w:rFonts w:ascii="Cambria" w:hAnsi="Cambria"/>
          <w:noProof/>
          <w:szCs w:val="22"/>
          <w:vertAlign w:val="superscript"/>
        </w:rPr>
        <w:t>125</w:t>
      </w:r>
      <w:r w:rsidRPr="003E73CD">
        <w:rPr>
          <w:rFonts w:ascii="Cambria" w:hAnsi="Cambria"/>
          <w:szCs w:val="22"/>
        </w:rPr>
        <w:fldChar w:fldCharType="end"/>
      </w:r>
      <w:proofErr w:type="gramStart"/>
      <w:r w:rsidRPr="003E73CD">
        <w:rPr>
          <w:rFonts w:ascii="Cambria" w:hAnsi="Cambria"/>
          <w:szCs w:val="22"/>
        </w:rPr>
        <w:t xml:space="preserve">  Therefore</w:t>
      </w:r>
      <w:proofErr w:type="gramEnd"/>
      <w:r w:rsidRPr="003E73CD">
        <w:rPr>
          <w:rFonts w:ascii="Cambria" w:hAnsi="Cambria"/>
          <w:szCs w:val="22"/>
        </w:rPr>
        <w:t xml:space="preserve">, for an individual patient it is of paramount importance that sentinel node biopsy is performed accurately.  False-negative sentinel node biopsy will result in </w:t>
      </w:r>
      <w:proofErr w:type="gramStart"/>
      <w:r w:rsidRPr="003E73CD">
        <w:rPr>
          <w:rFonts w:ascii="Cambria" w:hAnsi="Cambria"/>
          <w:szCs w:val="22"/>
        </w:rPr>
        <w:t>down-staging</w:t>
      </w:r>
      <w:proofErr w:type="gramEnd"/>
      <w:r w:rsidRPr="003E73CD">
        <w:rPr>
          <w:rFonts w:ascii="Cambria" w:hAnsi="Cambria"/>
          <w:szCs w:val="22"/>
        </w:rPr>
        <w:t xml:space="preserve"> of the disease and potentially deny the patient access to adjuvant therapies which may prolong survival.  The possibility that sentinel node biopsy may provide therapeutic benefit by removing all residual disease in those patients whose metastases are contained entirely within the sentinel nodes exists but as yet remains unproven.</w:t>
      </w:r>
    </w:p>
    <w:p w14:paraId="748B46C0" w14:textId="23F6ADA5" w:rsidR="0061482C" w:rsidRPr="003E73CD" w:rsidRDefault="0061482C" w:rsidP="0061482C">
      <w:pPr>
        <w:spacing w:line="480" w:lineRule="auto"/>
        <w:ind w:firstLine="720"/>
        <w:rPr>
          <w:sz w:val="22"/>
          <w:szCs w:val="22"/>
        </w:rPr>
      </w:pPr>
      <w:r w:rsidRPr="003E73CD">
        <w:rPr>
          <w:sz w:val="22"/>
          <w:szCs w:val="22"/>
        </w:rPr>
        <w:t>Since its introduction by Morton et al. in 1992, the technique of sentinel node biopsy has undergone a period of evolution and refinement.</w:t>
      </w:r>
      <w:r w:rsidRPr="003E73CD">
        <w:rPr>
          <w:sz w:val="22"/>
          <w:szCs w:val="22"/>
        </w:rPr>
        <w:fldChar w:fldCharType="begin" w:fldLock="1"/>
      </w:r>
      <w:r w:rsidR="006E7542" w:rsidRPr="003E73CD">
        <w:rPr>
          <w:sz w:val="22"/>
          <w:szCs w:val="22"/>
        </w:rPr>
        <w:instrText>ADDIN CSL_CITATION { "citationItems" : [ { "id" : "ITEM-1", "itemData" : { "ISSN" : "0004-0010", "PMID" : "1558490", "abstract" : "The initial route of metastases in most patients with melanoma is via the lymphatics to the regional nodes. However, routine lymphadenectomy for patients with clinical stage I melanoma remains controversial because most of these patients do not have nodal metastases, are unlikely to benefit from the operation, and may suffer troublesome postoperative edema of the limbs. A new procedure was developed using vital dyes that permits intraoperative identification of the sentinel lymph node, the lymph node nearest the site of the primary melanoma, on the direct drainage pathway. The most likely site of early metastases, the sentinel node can be removed for immediate intraoperative study to identify clinically occult melanoma cells. We successfully identified the sentinel node(s) in 194 of 237 lymphatic basins and detected metastases in 40 specimens (21%) on examination of routine hematoxylin-eosin-stained slides (12%) or exclusively in immunohistochemically stained preparations (9%). Metastases were present in 47 (18%) of 259 sentinel nodes, while nonsentinel nodes were the sole site of metastasis in only two of 3079 nodes from 194 lymphadenectomy specimens that had an identifiable sentinel node, a false-negative rate of less than 1%. Thus, this technique identifies, with a high degree of accuracy, patients with early stage melanoma who have nodal metastases and are likely to benefit from radical lymphadenectomy.", "author" : [ { "dropping-particle" : "", "family" : "Morton", "given" : "D L", "non-dropping-particle" : "", "parse-names" : false, "suffix" : "" }, { "dropping-particle" : "", "family" : "Wen", "given" : "D R", "non-dropping-particle" : "", "parse-names" : false, "suffix" : "" }, { "dropping-particle" : "", "family" : "Wong", "given" : "J H", "non-dropping-particle" : "", "parse-names" : false, "suffix" : "" }, { "dropping-particle" : "", "family" : "Economou", "given" : "J S", "non-dropping-particle" : "", "parse-names" : false, "suffix" : "" }, { "dropping-particle" : "", "family" : "Cagle", "given" : "L A", "non-dropping-particle" : "", "parse-names" : false, "suffix" : "" }, { "dropping-particle" : "", "family" : "Storm", "given" : "F K", "non-dropping-particle" : "", "parse-names" : false, "suffix" : "" }, { "dropping-particle" : "", "family" : "Foshag", "given" : "L J", "non-dropping-particle" : "", "parse-names" : false, "suffix" : "" }, { "dropping-particle" : "", "family" : "Cochran", "given" : "A J", "non-dropping-particle" : "", "parse-names" : false, "suffix" : "" } ], "container-title" : "Archives of surgery (Chicago, Ill. : 1960)", "id" : "ITEM-1", "issue" : "4", "issued" : { "date-parts" : [ [ "1992", "4" ] ] }, "page" : "392-9", "title" : "Technical details of intraoperative lymphatic mapping for early stage melanoma.", "type" : "article-journal", "volume" : "127" }, "uris" : [ "http://www.mendeley.com/documents/?uuid=7401ee58-b336-4659-b9d3-95737609b89d" ] } ], "mendeley" : { "formattedCitation" : "&lt;sup&gt;67&lt;/sup&gt;", "plainTextFormattedCitation" : "67", "previouslyFormattedCitation" : "&lt;sup&gt;67&lt;/sup&gt;" }, "properties" : { "noteIndex" : 0 }, "schema" : "https://github.com/citation-style-language/schema/raw/master/csl-citation.json" }</w:instrText>
      </w:r>
      <w:r w:rsidRPr="003E73CD">
        <w:rPr>
          <w:sz w:val="22"/>
          <w:szCs w:val="22"/>
        </w:rPr>
        <w:fldChar w:fldCharType="separate"/>
      </w:r>
      <w:r w:rsidR="00B60C63" w:rsidRPr="003E73CD">
        <w:rPr>
          <w:noProof/>
          <w:sz w:val="22"/>
          <w:szCs w:val="22"/>
          <w:vertAlign w:val="superscript"/>
        </w:rPr>
        <w:t>67</w:t>
      </w:r>
      <w:r w:rsidRPr="003E73CD">
        <w:rPr>
          <w:sz w:val="22"/>
          <w:szCs w:val="22"/>
        </w:rPr>
        <w:fldChar w:fldCharType="end"/>
      </w:r>
      <w:proofErr w:type="gramStart"/>
      <w:r w:rsidRPr="003E73CD">
        <w:rPr>
          <w:sz w:val="22"/>
          <w:szCs w:val="22"/>
        </w:rPr>
        <w:t xml:space="preserve">  Current</w:t>
      </w:r>
      <w:proofErr w:type="gramEnd"/>
      <w:r w:rsidRPr="003E73CD">
        <w:rPr>
          <w:sz w:val="22"/>
          <w:szCs w:val="22"/>
        </w:rPr>
        <w:t xml:space="preserve"> standard technique involves pre-operative lymphoscintigraphy, intra-operative mapping using blue dye and intra-operative gamma probe localization.</w:t>
      </w:r>
      <w:r w:rsidRPr="003E73CD">
        <w:rPr>
          <w:sz w:val="22"/>
          <w:szCs w:val="22"/>
        </w:rPr>
        <w:fldChar w:fldCharType="begin" w:fldLock="1"/>
      </w:r>
      <w:r w:rsidR="005676A9">
        <w:rPr>
          <w:sz w:val="22"/>
          <w:szCs w:val="22"/>
        </w:rPr>
        <w:instrText>ADDIN CSL_CITATION { "citationItems" : [ { "id" : "ITEM-1", "itemData" : { "ISSN" : "0093-7754", "PMID" : "15190492", "abstract" : "If incorrect or misleading information is obtained from a sentinel node (SN) biopsy procedure for melanoma, inappropriate management decisions may be made, and the patient's outcome compromised as a result. As well, misleading prognostic indications may be provided to the patient. It is therefore important to correctly identify all SNs in every patient and to remove them all for examination. To reduce the likelihood of error, a high-quality preoperative lymphoscintigraphy (LSG) is the first prerequisite. The surgical procedure must then be undertaken with great care to remove all of the SNs that have been identified by the LSG. This will involve both blue dye mapping and use of a gamma probe. A thorough knowledge and understanding of common and uncommon sites at which SNs can be located, as outlined here, will not only make the surgery simpler and quicker, but will reduce the possibility of error by diminishing the risk of overlooking possible locations at which SNs may be found.", "author" : [ { "dropping-particle" : "", "family" : "Thompson", "given" : "John F", "non-dropping-particle" : "", "parse-names" : false, "suffix" : "" }, { "dropping-particle" : "", "family" : "Uren", "given" : "Roger F", "non-dropping-particle" : "", "parse-names" : false, "suffix" : "" } ], "container-title" : "Seminars in oncology", "id" : "ITEM-1", "issue" : "3", "issued" : { "date-parts" : [ [ "2004", "6" ] ] }, "page" : "349-56", "title" : "Teaching points on lymphatic mapping for melanoma from the Sydney Melanoma Unit.", "type" : "article-journal", "volume" : "31" }, "uris" : [ "http://www.mendeley.com/documents/?uuid=2626193f-3019-4260-9fe2-bbfacfc9abfe" ] } ], "mendeley" : { "formattedCitation" : "&lt;sup&gt;182&lt;/sup&gt;", "plainTextFormattedCitation" : "182", "previouslyFormattedCitation" : "&lt;sup&gt;182&lt;/sup&gt;" }, "properties" : { "noteIndex" : 0 }, "schema" : "https://github.com/citation-style-language/schema/raw/master/csl-citation.json" }</w:instrText>
      </w:r>
      <w:r w:rsidRPr="003E73CD">
        <w:rPr>
          <w:sz w:val="22"/>
          <w:szCs w:val="22"/>
        </w:rPr>
        <w:fldChar w:fldCharType="separate"/>
      </w:r>
      <w:r w:rsidR="00217FAC" w:rsidRPr="00217FAC">
        <w:rPr>
          <w:noProof/>
          <w:sz w:val="22"/>
          <w:szCs w:val="22"/>
          <w:vertAlign w:val="superscript"/>
        </w:rPr>
        <w:t>182</w:t>
      </w:r>
      <w:r w:rsidRPr="003E73CD">
        <w:rPr>
          <w:sz w:val="22"/>
          <w:szCs w:val="22"/>
        </w:rPr>
        <w:fldChar w:fldCharType="end"/>
      </w:r>
      <w:proofErr w:type="gramStart"/>
      <w:r w:rsidRPr="003E73CD">
        <w:rPr>
          <w:sz w:val="22"/>
          <w:szCs w:val="22"/>
        </w:rPr>
        <w:t xml:space="preserve">  Cutaneous</w:t>
      </w:r>
      <w:proofErr w:type="gramEnd"/>
      <w:r w:rsidRPr="003E73CD">
        <w:rPr>
          <w:sz w:val="22"/>
          <w:szCs w:val="22"/>
        </w:rPr>
        <w:t xml:space="preserve"> lymphoscintigraphy plays an important role, the sole aim being to demonstrate the location of all sentinel nodes that are receiving drainage </w:t>
      </w:r>
      <w:r w:rsidR="008A5B73" w:rsidRPr="003E73CD">
        <w:rPr>
          <w:sz w:val="22"/>
          <w:szCs w:val="22"/>
        </w:rPr>
        <w:t xml:space="preserve">directly </w:t>
      </w:r>
      <w:r w:rsidRPr="003E73CD">
        <w:rPr>
          <w:sz w:val="22"/>
          <w:szCs w:val="22"/>
        </w:rPr>
        <w:t>from the primary tumour site.</w:t>
      </w:r>
      <w:r w:rsidRPr="003E73CD">
        <w:rPr>
          <w:sz w:val="22"/>
          <w:szCs w:val="22"/>
        </w:rPr>
        <w:fldChar w:fldCharType="begin" w:fldLock="1"/>
      </w:r>
      <w:r w:rsidR="005676A9">
        <w:rPr>
          <w:sz w:val="22"/>
          <w:szCs w:val="22"/>
        </w:rPr>
        <w:instrText>ADDIN CSL_CITATION { "citationItems" : [ { "id" : "ITEM-1", "itemData" : { "ISSN" : "0960-8931", "PMID" : "7703720", "abstract" : "Lymphoscintigraphy (LS) has been performed for 8 years in patients of the Sydney Melanoma Unit, to define lymphatic drainage patterns. Over the past 2 years, LS has also been used to locate the sentinel lymph node prior to surgery. Our technique for LS and subsequent sentinel node biopsy has an accuracy of 97%. All sentinel nodes must be marked to ensure the successful application of the sentinel biopsy technique. We have found that the axilla and groin average just over one sentinel node per draining node group for lesions on the trunk and upper limb, but have noted that drainage to the groin differed when lower limb lesions were studied. Because of the anastomosis of lymph vessels in the upper thigh, multiple sentinel nodes are identified in the groin in some patients. We have found an average of three sentinel nodes in the groin when lymph drainage from lower limb lesions was studied with LS. This difference demands a modification of the LS technique, with early imaging of the groin nodes to identify all sentinel nodes in each patient. The depth of the sentinel nodes can also be measured and the location of all interval nodes marked on the skin. This ensures that all sentinel nodes and interval nodes can be removed at the time of surgery.", "author" : [ { "dropping-particle" : "", "family" : "Uren", "given" : "R F", "non-dropping-particle" : "", "parse-names" : false, "suffix" : "" }, { "dropping-particle" : "", "family" : "Howman-Giles", "given" : "R", "non-dropping-particle" : "", "parse-names" : false, "suffix" : "" }, { "dropping-particle" : "", "family" : "Thompson", "given" : "J F", "non-dropping-particle" : "", "parse-names" : false, "suffix" : "" }, { "dropping-particle" : "", "family" : "Shaw", "given" : "H M", "non-dropping-particle" : "", "parse-names" : false, "suffix" : "" }, { "dropping-particle" : "", "family" : "Quinn", "given" : "M J", "non-dropping-particle" : "", "parse-names" : false, "suffix" : "" }, { "dropping-particle" : "", "family" : "O'Brien", "given" : "C J", "non-dropping-particle" : "", "parse-names" : false, "suffix" : "" }, { "dropping-particle" : "", "family" : "McCarthy", "given" : "W H", "non-dropping-particle" : "", "parse-names" : false, "suffix" : "" } ], "container-title" : "Melanoma research", "id" : "ITEM-1", "issue" : "6", "issued" : { "date-parts" : [ [ "1994", "12" ] ] }, "page" : "395-9", "title" : "Lymphoscintigraphy to identify sentinel lymph nodes in patients with melanoma.", "type" : "article-journal", "volume" : "4" }, "uris" : [ "http://www.mendeley.com/documents/?uuid=66a865e9-2a07-40d3-a1e9-23f2effce343" ] } ], "mendeley" : { "formattedCitation" : "&lt;sup&gt;183&lt;/sup&gt;", "plainTextFormattedCitation" : "183", "previouslyFormattedCitation" : "&lt;sup&gt;183&lt;/sup&gt;" }, "properties" : { "noteIndex" : 0 }, "schema" : "https://github.com/citation-style-language/schema/raw/master/csl-citation.json" }</w:instrText>
      </w:r>
      <w:r w:rsidRPr="003E73CD">
        <w:rPr>
          <w:sz w:val="22"/>
          <w:szCs w:val="22"/>
        </w:rPr>
        <w:fldChar w:fldCharType="separate"/>
      </w:r>
      <w:r w:rsidR="00217FAC" w:rsidRPr="00217FAC">
        <w:rPr>
          <w:noProof/>
          <w:sz w:val="22"/>
          <w:szCs w:val="22"/>
          <w:vertAlign w:val="superscript"/>
        </w:rPr>
        <w:t>183</w:t>
      </w:r>
      <w:r w:rsidRPr="003E73CD">
        <w:rPr>
          <w:sz w:val="22"/>
          <w:szCs w:val="22"/>
        </w:rPr>
        <w:fldChar w:fldCharType="end"/>
      </w:r>
      <w:proofErr w:type="gramStart"/>
      <w:r w:rsidRPr="003E73CD">
        <w:rPr>
          <w:sz w:val="22"/>
          <w:szCs w:val="22"/>
        </w:rPr>
        <w:t xml:space="preserve">  The</w:t>
      </w:r>
      <w:proofErr w:type="gramEnd"/>
      <w:r w:rsidRPr="003E73CD">
        <w:rPr>
          <w:sz w:val="22"/>
          <w:szCs w:val="22"/>
        </w:rPr>
        <w:t xml:space="preserve"> value of accurate pre-operative lymphoscintigraphy to the surgeon should not be under-estimated, and the provision of this service requires close co-operation with a dedicated nuclear medicine physician.  A large number of studies have documented the success rate for sentinel node biopsy in a variety of settings.</w:t>
      </w:r>
      <w:r w:rsidRPr="003E73CD">
        <w:rPr>
          <w:sz w:val="22"/>
          <w:szCs w:val="22"/>
        </w:rPr>
        <w:fldChar w:fldCharType="begin" w:fldLock="1"/>
      </w:r>
      <w:r w:rsidR="005676A9">
        <w:rPr>
          <w:sz w:val="22"/>
          <w:szCs w:val="22"/>
        </w:rPr>
        <w:instrText>ADDIN CSL_CITATION { "citationItems" : [ { "id" : "ITEM-1", "itemData" : { "ISSN" : "0161-5505", "PMID" : "16455628", "abstract" : "UNLABELLED: An observational multicentric Italian trial on sentinel node biopsy (SNB) in melanoma patients was performed to diffuse a common SNB protocol nationwide (Italy). We report herein the results of this trial. The influence of some technical aspects on the outcome of SNB was also investigated, because a certain degree of variability was accepted in performing lymphoscintigraphy.\n\nMETHODS: From January 2000 to December 2002, 1,313 consecutive patients with primary cutaneous melanoma (Breslow thickness, &gt;1.0 mm or &lt;1.0 mm but with ulceration, Clark level IV-V, presence of regression) were enrolled by 23 centers. One half to 1 mL of 99mTc-labeled human albumin colloid, at a suggested dosage of 5-15 or 30-70 MBq, was injected intradermally, closely around the scar, the same day or the day before SNB. Intraoperatively, Patent blue was associated when a definitive wide excision of the primary was required. A positive sentinel node (SN) was defined when containing melanoma cells detected by either hematoxylin-eosin or immunohistochemistry (S100 and HMB45 antibodies). All patients underwent regular follow-up. False-negative cases were considered when lymph node metastases occurred in the same lymphatic basin of SN biopsy (SNB) during follow-up. A quality control program has been performed for the surgical procedure and for the histologic diagnosis.\n\nRESULTS: The SN identification rate was 99.3%. The axilla was the site of the SN in 52.5% of the cases. The mean number of SNs was 2.0 (range, 1-17) and only 1 node was removed in 45.4%. The positivity and false-negative rates were 16.9% and 14.7%, respectively (median follow-up, 31 mo). On multivariate analysis (logistic and linear regression) only the number of peritumor injections was inversely associated with the number of excised SNs (P = 0.002), whereas none of the technical variables showed an independent impact on SN status when Breslow thickness was included as a control variable.\n\nCONCLUSION: The number of peritumor injections seems to influence the outcome of lymphoscintigrapy in melanoma patients undergoing SNB. If these results are confirmed in a controlled trial, 3 injections at least should be recommended.", "author" : [ { "dropping-particle" : "", "family" : "Rossi", "given" : "Carlo Riccardo", "non-dropping-particle" : "", "parse-names" : false, "suffix" : "" }, { "dropping-particle" : "", "family" : "Salvo", "given" : "Gian Luca", "non-dropping-particle" : "De", "parse-names" : false, "suffix" : "" }, { "dropping-particle" : "", "family" : "Trifir\u00f2", "given" : "Giuseppe", "non-dropping-particle" : "", "parse-names" : false, "suffix" : "" }, { "dropping-particle" : "", "family" : "Mocellin", "given" : "Simone", "non-dropping-particle" : "", "parse-names" : false, "suffix" : "" }, { "dropping-particle" : "", "family" : "Landi", "given" : "Giorgio", "non-dropping-particle" : "", "parse-names" : false, "suffix" : "" }, { "dropping-particle" : "", "family" : "Macrip\u00f2", "given" : "Giuseppe", "non-dropping-particle" : "", "parse-names" : false, "suffix" : "" }, { "dropping-particle" : "", "family" : "Carcoforo", "given" : "Paolo", "non-dropping-particle" : "", "parse-names" : false, "suffix" : "" }, { "dropping-particle" : "", "family" : "Ricotti", "given" : "Giuseppe", "non-dropping-particle" : "", "parse-names" : false, "suffix" : "" }, { "dropping-particle" : "", "family" : "Giudice", "given" : "Giuseppe", "non-dropping-particle" : "", "parse-names" : false, "suffix" : "" }, { "dropping-particle" : "", "family" : "Picciotto", "given" : "Franco", "non-dropping-particle" : "", "parse-names" : false, "suffix" : "" }, { "dropping-particle" : "", "family" : "Donner", "given" : "Davide", "non-dropping-particle" : "", "parse-names" : false, "suffix" : "" }, { "dropping-particle" : "", "family" : "Filippo", "given" : "Franco", "non-dropping-particle" : "Di", "parse-names" : false, "suffix" : "" }, { "dropping-particle" : "", "family" : "Montesco", "given" : "Maria Cristina", "non-dropping-particle" : "", "parse-names" : false, "suffix" : "" }, { "dropping-particle" : "", "family" : "Casara", "given" : "Dario", "non-dropping-particle" : "", "parse-names" : false, "suffix" : "" }, { "dropping-particle" : "", "family" : "Schiavon", "given" : "Mauro", "non-dropping-particle" : "", "parse-names" : false, "suffix" : "" }, { "dropping-particle" : "", "family" : "Foletto", "given" : "Mirto", "non-dropping-particle" : "", "parse-names" : false, "suffix" : "" }, { "dropping-particle" : "", "family" : "Baldini", "given" : "Federica", "non-dropping-particle" : "", "parse-names" : false, "suffix" : "" }, { "dropping-particle" : "", "family" : "Testori", "given" : "Alessandro", "non-dropping-particle" : "", "parse-names" : false, "suffix" : "" } ], "container-title" : "Journal of nuclear medicine : official publication, Society of Nuclear Medicine", "id" : "ITEM-1", "issue" : "2", "issued" : { "date-parts" : [ [ "2006", "2" ] ] }, "page" : "234-41", "title" : "The impact of lymphoscintigraphy technique on the outcome of sentinel node biopsy in 1,313 patients with cutaneous melanoma: an Italian Multicentric Study (SOLISM-IMI).", "type" : "article-journal", "volume" : "47" }, "uris" : [ "http://www.mendeley.com/documents/?uuid=bfbd9b14-bdef-4aa8-9492-8e58eb8d3469" ] }, { "id" : "ITEM-2", "itemData" : { "ISSN" : "1068-9265", "PMID" : "12839854", "abstract" : "BACKGROUND: The aim of this study was to evaluate the results of sentinel node biopsy in cutaneous melanoma at our institute.\n\nMETHODS: A total of 250 patients with cutaneous melanoma were studied prospectively. Preoperative lymphoscintigraphy was performed after injection of (99m)Tc-nanocolloid intradermally around the primary tumor or biopsy site (.32 mL, 65.5 MBq [1.8 mCi]). The sentinel node was surgically identified with the aid of patent blue dye and a gamma ray detection probe. The median follow-up was 72 months.\n\nRESULTS: Lymphoscintigraphic visualization was 100%, and surgical identification was 99.6%. In 60 patients (24%), 1 or more sentinel nodes were tumor positive at initial pathology evaluation. Late complications after sentinel node biopsy of the remaining 190 patients were seen in 35 patients (18%). The false-negative rate was 9%. In-transit metastases were seen in 7% of sentinel node-negative and 23% of sentinel node-positive patients. The estimated 5-year overall survival rates were 89% and 64%, respectively (P &lt;.001).\n\nCONCLUSIONS: This study confirms that the status of the sentinel node is a strong independent prognostic factor. The false-negative rate and the incidence of in-transit metastases in sentinel node-positive patients are high and have to be weighed against the possible survival benefit of early removal of nodal metastases.", "author" : [ { "dropping-particle" : "", "family" : "Estourgie", "given" : "Susanne H", "non-dropping-particle" : "", "parse-names" : false, "suffix" : "" }, { "dropping-particle" : "", "family" : "Nieweg", "given" : "Omgo E", "non-dropping-particle" : "", "parse-names" : false, "suffix" : "" }, { "dropping-particle" : "", "family" : "Vald\u00e9s Olmos", "given" : "Renato A", "non-dropping-particle" : "", "parse-names" : false, "suffix" : "" }, { "dropping-particle" : "", "family" : "Hoefnagel", "given" : "Cornelis A", "non-dropping-particle" : "", "parse-names" : false, "suffix" : "" }, { "dropping-particle" : "", "family" : "Kroon", "given" : "Bin B R", "non-dropping-particle" : "", "parse-names" : false, "suffix" : "" } ], "container-title" : "Annals of surgical oncology", "id" : "ITEM-2", "issue" : "6", "issued" : { "date-parts" : [ [ "2003", "7" ] ] }, "page" : "681-8", "title" : "Review and evaluation of sentinel node procedures in 250 melanoma patients with a median follow-up of 6 years.", "type" : "article-journal", "volume" : "10" }, "uris" : [ "http://www.mendeley.com/documents/?uuid=0c3bd8f2-271c-4230-9010-0e6019ced1fb" ] }, { "id" : "ITEM-3", "itemData" : { "ISSN" : "1068-9265", "PMID" : "10894144", "abstract" : "BACKGROUND: We report the experience of the World Health Organization (WHO) Melanoma Program concerning sentinel lymph node (SLN) biopsy for detecting patients with occult regional nodal metastases to submit to selective regional node dissection. METHODS: From February 1994 to August 1998, in 12 centers of the WHO Melanoma Program, 892 SLN biopsies were performed in 829 patients with clinical stage I melanoma (male: 370; female: 459; median age: 50 years old). The location of the primary melanoma was acascus follows: trunk 35%; lower limbs, 45%; upper limbs, 18%; and head and neck, 2%. Blue dye injection for SLN identification was performed in all cases; preoperative lymphoscintigraphy was done in 440 patients, and an intra-operative probe for a radio-guided biopsy was used in 141 cases. Overall, the SLN identification rate was 88%. In 68% of the patients, only one SLN was identified, whereas two and three or more SLN were detected in 24% and 8% of the remaining cases, respectively. RESULTS: Overall SLN positivity rate was 18%. Intra-operative frozen section examination was performed in 39% of the cases and was helpful in detecting occult localizations only in 47% of the positive SLNs. Distribution of positive cases by primary thickness was as follows: &lt; 1mm: 2%; 1-1.99 mm: 7%; 2-2.99 mm: 13%; and &gt; or = 3 mm: 31%. Positive nonsentinel lymph nodes were found in 22% of cases with positive SLN submitted for selective dissection. No complications due to the procedure were registered. Of 710 patients who were evaluated, 40 (6%) presented a regional nodal relapse after a negative SLN biopsy and underwent a delayed therapeutic dissection. From the 710 enrolled cases, 638 (88.5%) were alive without evidence of disease at the time of this writing. A multivariate analysis showed SLN status as one of the most significant prognostic factors (P = .000) along with thickness (P = .001) and ulceration (P = .015) of primary tumor. CONCLUSIONS: These data confirm the feasibility and safety of the SLN technique for selecting patients to submit to a radical node dissection. The data represent the basis for a future trial by the WHO Melanoma Program in this field to evaluate the most appropriate surgical approach for treating patients with occult regional nodal metastases.", "author" : [ { "dropping-particle" : "", "family" : "Cascinelli", "given" : "N", "non-dropping-particle" : "", "parse-names" : false, "suffix" : "" }, { "dropping-particle" : "", "family" : "Belli", "given" : "F", "non-dropping-particle" : "", "parse-names" : false, "suffix" : "" }, { "dropping-particle" : "", "family" : "Santinami", "given" : "M", "non-dropping-particle" : "", "parse-names" : false, "suffix" : "" }, { "dropping-particle" : "", "family" : "Fait", "given" : "V", "non-dropping-particle" : "", "parse-names" : false, "suffix" : "" }, { "dropping-particle" : "", "family" : "Testori", "given" : "A", "non-dropping-particle" : "", "parse-names" : false, "suffix" : "" }, { "dropping-particle" : "", "family" : "Ruka", "given" : "W", "non-dropping-particle" : "", "parse-names" : false, "suffix" : "" }, { "dropping-particle" : "", "family" : "Cavaliere", "given" : "R", "non-dropping-particle" : "", "parse-names" : false, "suffix" : "" }, { "dropping-particle" : "", "family" : "Mozzillo", "given" : "N", "non-dropping-particle" : "", "parse-names" : false, "suffix" : "" }, { "dropping-particle" : "", "family" : "Rossi", "given" : "C R", "non-dropping-particle" : "", "parse-names" : false, "suffix" : "" }, { "dropping-particle" : "", "family" : "MacKie", "given" : "R M", "non-dropping-particle" : "", "parse-names" : false, "suffix" : "" }, { "dropping-particle" : "", "family" : "Nieweg", "given" : "O", "non-dropping-particle" : "", "parse-names" : false, "suffix" : "" }, { "dropping-particle" : "", "family" : "Pace", "given" : "M", "non-dropping-particle" : "", "parse-names" : false, "suffix" : "" }, { "dropping-particle" : "", "family" : "Kirov", "given" : "K", "non-dropping-particle" : "", "parse-names" : false, "suffix" : "" } ], "container-title" : "Annals of surgical oncology", "id" : "ITEM-3", "issue" : "6", "issued" : { "date-parts" : [ [ "2000", "7" ] ] }, "page" : "469-74", "title" : "Sentinel lymph node biopsy in cutaneous melanoma: the WHO Melanoma Program experience.", "type" : "article-journal", "volume" : "7" }, "uris" : [ "http://www.mendeley.com/documents/?uuid=4e04293f-feb8-4152-86eb-68b9040c725e" ] }, { "id" : "ITEM-4", "itemData" : { "DOI" : "10.1097/01.cmr.0000056207.78713.8b", "ISSN" : "0960-8931", "PMID" : "12569283", "abstract" : "The purpose of this prospective study of sentinel lymph node (SLN) biopsy in a large series of melanoma patients with clinically negative regional lymph nodes from one cancer centre was to analyse the reliability of the procedure, the pattern of failures during follow-up and the factors affecting the clinical outcome of patients. Between April 1995 and November 2001, 726 consecutive patients with primary cutaneous malignant melanoma underwent SLN biopsy with preoperative lymphoscintigraphy. The vital blue dye technique was used in 170 patients, and the blue dye technique combined with intraoperative lymphoscintigrapahy in 556 patients. The primary melanoma sites were head and neck in nine patients, the extremities in 419 patients, and the trunk in 298 patients. The median Breslow thickness was 3.0 mm. All patients were followed closely, the median follow-up time being 34 months. The sentinel node(s) were successfully identified in 96% of patients. Intraoperative lymphoscintigraphy combined with the blue dye technique improved the SLN identification rate (technical success in 97.3% of cases) compared with the blue dye technique alone (technical success in 91.6%). The rate of failed SLN procedures was significantly (P = 0.007) lower in inguinal basins (3.1%) compared with axillary basins (7.9%). SLN metastases were detected in 147 patients (20.2%). The presence of SLN metastases correlated significantly with primary tumour thickness and ulceration (P &lt; 0.001). The false-negative SLN biopsy rate was 4.66% (27 out of 579 SLN-negative patients). All but two node-positive patients underwent complete lymphadenectomy. Lymph nodes other than SLNs were found to contain metastases in 26.9% of patients (39 out of 145). The 5 year overall survival (OS) rate was 84% for SLN-negative patients and 40% for SLN-positive patients. Five variables showed a strong, statistically significant negative independent prognostic association with OS: positive SLN status (P = 0.000001), primary melanoma thickness &gt; 4 mm (P = 0.0009), male gender (P = 0.001), more than one lymph node involvement (P = 0.02) and lymph node extracapsular extension (P = 0.03). SLN biopsy is currently a valuable and effective diagnostic procedure for the precise staging of patients with clinically N0 cutaneous melanoma. So far SLN biopsy seems to be the only accessible method for consciously oriented detection of nodal micrometastases in melanoma that would otherwise go undetected. SLN status is the most i\u2026", "author" : [ { "dropping-particle" : "", "family" : "Nowecki", "given" : "Zbigniew I", "non-dropping-particle" : "", "parse-names" : false, "suffix" : "" }, { "dropping-particle" : "", "family" : "Rutkowski", "given" : "Piotr", "non-dropping-particle" : "", "parse-names" : false, "suffix" : "" }, { "dropping-particle" : "", "family" : "Nasierowska-Guttmejer", "given" : "Anna", "non-dropping-particle" : "", "parse-names" : false, "suffix" : "" }, { "dropping-particle" : "", "family" : "Ruka", "given" : "Wlodzimierz", "non-dropping-particle" : "", "parse-names" : false, "suffix" : "" } ], "container-title" : "Melanoma research", "id" : "ITEM-4", "issue" : "1", "issued" : { "date-parts" : [ [ "2003", "2" ] ] }, "page" : "35-43", "title" : "Sentinel lymph node biopsy in melanoma patients with clinically negative regional lymph nodes--one institution's experience.", "type" : "article-journal", "volume" : "13" }, "uris" : [ "http://www.mendeley.com/documents/?uuid=cead276a-9106-48f9-9711-95d950d5803c" ] }, { "id" : "ITEM-5", "itemData" : { "ISSN" : "0926-9959", "PMID" : "10877250", "abstract" : "BACKGROUND: The role of elective lymph node dissection in the treatment of patients with primary melanoma is a debated topic in surgical oncology. However, recent data assure a survival improvement with this technique only for patients harbouring nodal metastases. The emergence of a new procedure of lymphatic mapping permits the identification of the sentinel lymph node (SLN), the first draining node from the site of cutaneous melanoma, which has demonstrated to be predictive of staging of the entire regional lymphatic basin and useful in selecting for lymph node dissection only those patients who have early micrometastases.\n\nOBJECTIVES: To verify in a large series of cases whether a combination of preoperative lymphoscintigraphy and intraoperative mapping with both vital blue dye and a hand-held gamma probe would permit an increase of the rate of successful SLN localization up to 100%; to check the utility of a wider application of SLN biopsy in patients with thin melanomas owing to a favourable risk-benefit ratio; to determine the predictive value of SLN biopsy by performing regional lymphadenectomy in patients who have pathological evidence of metastases in the SLN; to observe whether the use of SLN technique and selective lymphadenectomy might improve the clinical evolution of patients and favour low rates of recurrence.\n\nMETHODS: In 425 AJCC stage I or II melanoma patients, preoperative lymphoscintigraphy by intracutaneous injection of Tc99m-labelled albumin nanocolloids around the tumour or the tumour's excision scar was combined with the intraoperative use of a hand-held gamma probe and patent blue V mapping technique, in order to identify and harvest the SLN. In five cases the blue dye was voluntarily not used because of previous allergic reactions. In other 25 preliminary cases the procedure was performed using the blue dye alone (10 cases) or combined with a preoperative lymphoscintigraphy (15 cases). A wide excision of the primary site was then undertaken in all cases. SLNs were sent to the pathologist for serial sectioning and permanent preparations with histological and immunohistochemical examination. Patients with pathological evidence of metastatic disease in SLN returned for regional lymphadenectomy.\n\nRESULTS: The combined use of lymphoscintigraphy, blue dye and gamma probe allowed us to identify one or more SLNs in all cases except for two (99.5% rate of success). In 70 melanomas less than 0.76 mm thick, SLNs were negative for metastas\u2026", "author" : [ { "dropping-particle" : "", "family" : "Landi", "given" : "G", "non-dropping-particle" : "", "parse-names" : false, "suffix" : "" }, { "dropping-particle" : "", "family" : "Polverelli", "given" : "M", "non-dropping-particle" : "", "parse-names" : false, "suffix" : "" }, { "dropping-particle" : "", "family" : "Moscatelli", "given" : "G", "non-dropping-particle" : "", "parse-names" : false, "suffix" : "" }, { "dropping-particle" : "", "family" : "Morelli", "given" : "R", "non-dropping-particle" : "", "parse-names" : false, "suffix" : "" }, { "dropping-particle" : "", "family" : "Landi", "given" : "C", "non-dropping-particle" : "", "parse-names" : false, "suffix" : "" }, { "dropping-particle" : "", "family" : "Fiscelli", "given" : "O", "non-dropping-particle" : "", "parse-names" : false, "suffix" : "" }, { "dropping-particle" : "", "family" : "Erbazzi", "given" : "A", "non-dropping-particle" : "", "parse-names" : false, "suffix" : "" } ], "container-title" : "Journal of the European Academy of Dermatology and Venereology : JEADV", "id" : "ITEM-5", "issue" : "1", "issued" : { "date-parts" : [ [ "2000", "1" ] ] }, "page" : "35-45", "title" : "Sentinel lymph node biopsy in patients with primary cutaneous melanoma: study of 455 cases.", "type" : "article-journal", "volume" : "14" }, "uris" : [ "http://www.mendeley.com/documents/?uuid=fb731071-521b-48d0-ac20-d7d090501284" ] }, { "id" : "ITEM-6", "itemData" : { "DOI" : "10.1186/1471-5945-12-21", "ISSN" : "1471-5945", "PMID" : "23228015", "abstract" : "BACKGROUND: Since the introduction of sentinel lymph node biopsy (SLNB), its use as a standard of care for patients with clinically node-negative cutaneous melanoma remains controversial. We wished to evaluate our experience of SLNB for melanoma.\n\nMETHODS: A single center observational cohort of 203 melanoma patients with a primary cutaneous melanoma (tumour thickness\u2009&gt;\u20091 mm) and without clinical evidence of metastasis was investigated from 2002 to 2009. Head and neck melanoma were excluded. SLN was identified following preoperative lymphoscintigraphy and intraoperative gamma probe interrogation.\n\nRESULTS: The SLN identification rate was 97%. The SLN was tumor positive in 44 patients (22%). Positive SLN was significantly associated with primary tumor thickness and microscopic ulceration. The median follow-up was 39.5 (5-97) months. Disease progression was significantly more frequent in SLN positive patients (32% vs 13%, p\u2009=\u20090.002). Five-year DFS and OS of the entire cohort were 79.6% and 84.6%, respectively, with a statistical significant difference between SLN positive (58.7% and 69.7%) and SLN negative (85% and 90.3%) patients (p\u2009=\u20090.0006 and p\u2009=\u20090.0096 respectively). Postoperative complications after SLNB were observed in 12% of patients.\n\nCONCLUSION: Our data confirm previous studies and support the clinical usefulness of SLNB as a reliable and accurate staging method in patients with cutaneous melanoma. However, the benefit of additional CLND in patients with positive SLN remains to be demonstrated.", "author" : [ { "dropping-particle" : "", "family" : "Biver-Dalle", "given" : "Caroline", "non-dropping-particle" : "", "parse-names" : false, "suffix" : "" }, { "dropping-particle" : "", "family" : "Puzenat", "given" : "Eve", "non-dropping-particle" : "", "parse-names" : false, "suffix" : "" }, { "dropping-particle" : "", "family" : "Puyraveau", "given" : "Marc", "non-dropping-particle" : "", "parse-names" : false, "suffix" : "" }, { "dropping-particle" : "", "family" : "Delroeux", "given" : "Delphine", "non-dropping-particle" : "", "parse-names" : false, "suffix" : "" }, { "dropping-particle" : "", "family" : "Boulahdour", "given" : "Hatem", "non-dropping-particle" : "", "parse-names" : false, "suffix" : "" }, { "dropping-particle" : "", "family" : "Sheppard", "given" : "Frances", "non-dropping-particle" : "", "parse-names" : false, "suffix" : "" }, { "dropping-particle" : "", "family" : "Pelletier", "given" : "Fabien", "non-dropping-particle" : "", "parse-names" : false, "suffix" : "" }, { "dropping-particle" : "", "family" : "Humbert", "given" : "Philippe", "non-dropping-particle" : "", "parse-names" : false, "suffix" : "" }, { "dropping-particle" : "", "family" : "Aubin", "given" : "Fran\u00e7ois", "non-dropping-particle" : "", "parse-names" : false, "suffix" : "" } ], "container-title" : "BMC dermatology", "id" : "ITEM-6", "issued" : { "date-parts" : [ [ "2012", "1" ] ] }, "page" : "21", "title" : "Sentinel lymph node biopsy in melanoma: our 8-year clinical experience in a single French institute (2002-2009).", "type" : "article-journal", "volume" : "12" }, "uris" : [ "http://www.mendeley.com/documents/?uuid=e4dcff80-a15d-4182-bc5d-460889c502ec" ] }, { "id" : "ITEM-7", "itemData" : { "ISSN" : "0732-183X", "PMID" : "10071292", "abstract" : "PURPOSE: To compare the effect of pathologic sentinel lymph node (SLN) status with that of other known prognostic factors on recurrence and survival in patients with stage I or II cutaneous melanoma.\n\nPATIENTS AND METHODS: We reviewed the records of 612 patients with primary cutaneous melanoma who underwent lymphatic mapping and SLN biopsy between January 1991 and May 1995 to determine the effects of tumor thickness, ulceration, Clark level, location, sex, and SLN pathologic status on disease-free and disease-specific survival.\n\nRESULTS: In the 580 patients in whom lymphatic mapping and SLN biopsy were successful, the SLN was positive by conventional histology in 85 patients (15%) but negative in 495 patients (85%). SLN status was the most significant prognostic factor with respect to disease-free and disease-specific survival by univariate and multiple covariate analyses. Although tumor thickness and ulceration influenced survival in SLN-negative patients, they provided no additional prognostic information in SLN-positive patients.\n\nCONCLUSION: Lymphatic mapping and SLN biopsy is highly accurate in staging nodal basins at risk for regional metastases in primary melanoma patients and identifies those who may benefit from earlier lymphadenectomy. Furthermore, pathologic status of the SLN in these patients with clinically negative nodes is the most important prognostic factor for recurrence. The information from SLN biopsy is particularly helpful in establishing stratification criteria for future adjuvant trials.", "author" : [ { "dropping-particle" : "", "family" : "Gershenwald", "given" : "J E", "non-dropping-particle" : "", "parse-names" : false, "suffix" : "" }, { "dropping-particle" : "", "family" : "Thompson", "given" : "W", "non-dropping-particle" : "", "parse-names" : false, "suffix" : "" }, { "dropping-particle" : "", "family" : "Mansfield", "given" : "P F", "non-dropping-particle" : "", "parse-names" : false, "suffix" : "" }, { "dropping-particle" : "", "family" : "Lee", "given" : "J E", "non-dropping-particle" : "", "parse-names" : false, "suffix" : "" }, { "dropping-particle" : "", "family" : "Colome", "given" : "M I", "non-dropping-particle" : "", "parse-names" : false, "suffix" : "" }, { "dropping-particle" : "", "family" : "Tseng", "given" : "C H", "non-dropping-particle" : "", "parse-names" : false, "suffix" : "" }, { "dropping-particle" : "", "family" : "Lee", "given" : "J J", "non-dropping-particle" : "", "parse-names" : false, "suffix" : "" }, { "dropping-particle" : "", "family" : "Balch", "given" : "C M", "non-dropping-particle" : "", "parse-names" : false, "suffix" : "" }, { "dropping-particle" : "", "family" : "Reintgen", "given" : "D S", "non-dropping-particle" : "", "parse-names" : false, "suffix" : "" }, { "dropping-particle" : "", "family" : "Ross", "given" : "M I", "non-dropping-particle" : "", "parse-names" : false, "suffix" : "" } ], "container-title" : "Journal of clinical oncology : official journal of the American Society of Clinical Oncology", "id" : "ITEM-7", "issue" : "3", "issued" : { "date-parts" : [ [ "1999", "3" ] ] }, "page" : "976-83", "title" : "Multi-institutional melanoma lymphatic mapping experience: the prognostic value of sentinel lymph node status in 612 stage I or II melanoma patients.", "type" : "article-journal", "volume" : "17" }, "uris" : [ "http://www.mendeley.com/documents/?uuid=80c505c8-485d-4096-98fc-dfbf8544368d" ] }, { "id" : "ITEM-8", "itemData" : { "ISSN" : "0732-183X", "PMID" : "12637471", "abstract" : "PURPOSE: Although sentinel lymph node (SLN) status is part of the new American Joint Committee on Cancer staging system, there is no final proof that the SLN procedure in melanoma patients influences outcome of disease. This study investigated the accuracy of the SLN procedure and clinical outcome in melanoma patients after at least 60 months of follow-up. PATIENTS AND METHODS: Between 1993 and 1996, 209 patients with stage I/II cutaneous melanoma underwent selective SLN dissection by the triple technique. If the SLN contained metastatic disease, a completion lymphadenectomy was performed. Survival analyses wevuyre performed using the Kaplan-Meier approach. Factors associated with survival were analyzed using the Cox proportional hazards regression model. RESULTS: The success rate was 99.5%. Median follow-up was 72 months. Forty patients (19%) had a positive SLN. The false-negative rate was 9%. Five-year overall survival was 87% for the entire group and 92% and 67% for SLN-negative and SLN-positive patients (P &lt;.0001), respectively. All patients with a positive SLN and a Breslow thickness &lt; or = 1.00 mm survived, and SLN-positive patients with a Breslow thickness less than 2.00 mm tend to have a better prognosis compared with SLN-negative patients with a Breslow thickness greater than 2.00 mm. SLN status (P =.002), Breslow thickness (P =.002), and lymphatic invasion (P =.0009) were all found to be independent prognostic factors for overall survival. CONCLUSION: With a success rate of 99.5% and a false-negative rate of 9% after long-term follow-up, the triple-technique SLN procedure is a reliable and accurate method. Survival data seem promising, although a therapeutic effect is still questionable. As shown in this study, not all SLN-positive patients have a poor prognosis.", "author" : [ { "dropping-particle" : "", "family" : "Vuylsteke", "given" : "R J C L M", "non-dropping-particle" : "", "parse-names" : false, "suffix" : "" }, { "dropping-particle" : "", "family" : "Leeuwen", "given" : "P A M", "non-dropping-particle" : "van", "parse-names" : false, "suffix" : "" }, { "dropping-particle" : "", "family" : "Statius Muller", "given" : "M G", "non-dropping-particle" : "", "parse-names" : false, "suffix" : "" }, { "dropping-particle" : "", "family" : "Gietema", "given" : "H A", "non-dropping-particle" : "", "parse-names" : false, "suffix" : "" }, { "dropping-particle" : "", "family" : "Kragt", "given" : "D R", "non-dropping-particle" : "", "parse-names" : false, "suffix" : "" }, { "dropping-particle" : "", "family" : "Meijer", "given" : "S", "non-dropping-particle" : "", "parse-names" : false, "suffix" : "" } ], "container-title" : "Journal of clinical oncology : official journal of the American Society of Clinical Oncology", "id" : "ITEM-8", "issue" : "6", "issued" : { "date-parts" : [ [ "2003", "3", "15" ] ] }, "page" : "1057-65", "title" : "Clinical outcome of stage I/II melanoma patients after selective sentinel lymph node dissection: long-term follow-up results.", "type" : "article-journal", "volume" : "21" }, "uris" : [ "http://www.mendeley.com/documents/?uuid=866972d2-bab1-4704-8146-15494c93d9a6" ] }, { "id" : "ITEM-9", "itemData" : { "DOI" : "10.1056/NEJMoa1310460", "ISSN" : "1533-4406", "PMID" : "24521106", "abstract" : "BACKGROUND: Sentinel-node biopsy, a minimally invasive procedure for regional melanoma staging, was evaluated in a phase 3 trial.\n\nMETHODS: We evaluated outcomes in 2001 patients with primary cutaneous melanomas randomly assigned to undergo wide excision and nodal observation, with lymphadenectomy for nodal relapse (observation group), or wide excision and sentinel-node biopsy, with immediate lymphadenectomy for nodal metastases detected on biopsy (biopsy group). Results No significant treatment-related difference in the 10-year melanoma-specific survival rate was seen in the overall study population (20.8% with and 79.2% without nodal metastases). Mean (\u00b1 SE) 10-year disease-free survival rates were significantly improved in the biopsy group, as compared with the observation group, among patients with intermediate-thickness melanomas, defined as 1.20 to 3.50 mm (71.3 \u00b1 1.8% vs. 64.7 \u00b1 2.3%; hazard ratio for recurrence or metastasis, 0.76; P=0.01), and those with thick melanomas, defined as &gt;3.50 mm (50.7 \u00b1 4.0% vs. 40.5 \u00b1 4.7%; hazard ratio, 0.70; P=0.03). Among patients with intermediate-thickness melanomas, the 10-year melanoma-specific survival rate was 62.1 \u00b1 4.8% among those with metastasis versus 85.1 \u00b1 1.5% for those without metastasis (hazard ratio for death from melanoma, 3.09; P&lt;0.001); among patients with thick melanomas, the respective rates were 48.0 \u00b1 7.0% and 64.6 \u00b1 4.9% (hazard ratio, 1.75; P=0.03). Biopsy-based management improved the 10-year rate of distant disease-free survival (hazard ratio for distant metastasis, 0.62; P=0.02) and the 10-year rate of melanoma-specific survival (hazard ratio for death from melanoma, 0.56; P=0.006) for patients with intermediate-thickness melanomas and nodal metastases. Accelerated-failure-time latent-subgroup analysis was performed to account for the fact that nodal status was initially known only in the biopsy group, and a significant treatment benefit persisted.\n\nCONCLUSIONS: Biopsy-based staging of intermediate-thickness or thick primary melanomas provides important prognostic information and identifies patients with nodal metastases who may benefit from immediate complete lymphadenectomy. Biopsy-based management prolongs disease-free survival for all patients and prolongs distant disease-free survival and melanoma-specific survival for patients with nodal metastases from intermediate-thickness melanomas. (Funded by the National Cancer Institute, National Institutes of Health, and the Australia a\u2026", "author" : [ { "dropping-particle" : "", "family" : "Morton", "given" : "Donald L", "non-dropping-particle" : "", "parse-names" : false, "suffix" : "" }, { "dropping-particle" : "", "family" : "Thompson", "given" : "John F", "non-dropping-particle" : "", "parse-names" : false, "suffix" : "" }, { "dropping-particle" : "", "family" : "Cochran", "given" : "Alistair J", "non-dropping-particle" : "", "parse-names" : false, "suffix" : "" }, { "dropping-particle" : "", "family" : "Mozzillo", "given" : "Nicola", "non-dropping-particle" : "", "parse-names" : false, "suffix" : "" }, { "dropping-particle" : "", "family" : "Nieweg", "given" : "Omgo E", "non-dropping-particle" : "", "parse-names" : false, "suffix" : "" }, { "dropping-particle" : "", "family" : "Roses", "given" : "Daniel F", "non-dropping-particle" : "", "parse-names" : false, "suffix" : "" }, { "dropping-particle" : "", "family" : "Hoekstra", "given" : "Harold J", "non-dropping-particle" : "", "parse-names" : false, "suffix" : "" }, { "dropping-particle" : "", "family" : "Karakousis", "given" : "Constantine P", "non-dropping-particle" : "", "parse-names" : false, "suffix" : "" }, { "dropping-particle" : "", "family" : "Puleo", "given" : "Christopher A", "non-dropping-particle" : "", "parse-names" : false, "suffix" : "" }, { "dropping-particle" : "", "family" : "Coventry", "given" : "Brendon J", "non-dropping-particle" : "", "parse-names" : false, "suffix" : "" }, { "dropping-particle" : "", "family" : "Kashani-Sabet", "given" : "Mohammed", "non-dropping-particle" : "", "parse-names" : false, "suffix" : "" }, { "dropping-particle" : "", "family" : "Smithers", "given" : "B Mark", "non-dropping-particle" : "", "parse-names" : false, "suffix" : "" }, { "dropping-particle" : "", "family" : "Paul", "given" : "Eberhard", "non-dropping-particle" : "", "parse-names" : false, "suffix" : "" }, { "dropping-particle" : "", "family" : "Kraybill", "given" : "William G", "non-dropping-particle" : "", "parse-names" : false, "suffix" : "" }, { "dropping-particle" : "", "family" : "McKinnon", "given" : "J Gregory", "non-dropping-particle" : "", "parse-names" : false, "suffix" : "" }, { "dropping-particle" : "", "family" : "Wang", "given" : "He-Jing", "non-dropping-particle" : "", "parse-names" : false, "suffix" : "" }, { "dropping-particle" : "", "family" : "Elashoff", "given" : "Robert", "non-dropping-particle" : "", "parse-names" : false, "suffix" : "" }, { "dropping-particle" : "", "family" : "Faries", "given" : "Mark B", "non-dropping-particle" : "", "parse-names" : false, "suffix" : "" } ], "container-title" : "The New England journal of medicine", "id" : "ITEM-9", "issue" : "7", "issued" : { "date-parts" : [ [ "2014", "2", "13" ] ] }, "page" : "599-609", "title" : "Final trial report of sentinel-node biopsy versus nodal observation in melanoma.", "type" : "article-journal", "volume" : "370" }, "uris" : [ "http://www.mendeley.com/documents/?uuid=0154af1a-a1d9-42e8-9d9e-a8830777181a" ] }, { "id" : "ITEM-10", "itemData" : { "DOI" : "10.1002/path.1365", "ISSN" : "0022-3417", "PMID" : "12845627", "abstract" : "1158 sentinel lymph nodes (SLNs), excised from patients with primary cutaneous melanoma, were assessed pathologically using histology with immunohistochemistry (IHC) on all nodes, and RT-PCR for Mart-1 and tyrosinase on 55 nodes. RT-PCR was compared with the histology and IHC assessed on the same nodes. The evaluation of progressively more detailed protocols for histology and IHC modulated by the RT-PCR results led to a procedure that consistently detects metastases in 34% of patients submitted to SLN biopsy for cutaneous melanomas with a vertical growth phase and a mean thickness of 2.02 mm (range 0.25, with regression, to 19 mm). As this technique is virtually free of false positives and produces only a marginally lower detection rate than RT-PCR, which was subject to false positives of 7% in our study, it is suggested that this extended protocol should be the basis on which further evaluation of the place of RT-PCR in SLN assessment takes place. The evolved protocol described here has been adopted by the EORTC as the standard procedure for pathological handling of sentinel lymph nodes for melanoma when SLN status is a criterion in their clinical trials or studies.", "author" : [ { "dropping-particle" : "", "family" : "Cook", "given" : "Martin G", "non-dropping-particle" : "", "parse-names" : false, "suffix" : "" }, { "dropping-particle" : "", "family" : "Green", "given" : "Margaret A", "non-dropping-particle" : "", "parse-names" : false, "suffix" : "" }, { "dropping-particle" : "", "family" : "Anderson", "given" : "Brian", "non-dropping-particle" : "", "parse-names" : false, "suffix" : "" }, { "dropping-particle" : "", "family" : "Eggermont", "given" : "Alexander M M", "non-dropping-particle" : "", "parse-names" : false, "suffix" : "" }, { "dropping-particle" : "", "family" : "Ruiter", "given" : "Dirk J", "non-dropping-particle" : "", "parse-names" : false, "suffix" : "" }, { "dropping-particle" : "", "family" : "Spatz", "given" : "Alain", "non-dropping-particle" : "", "parse-names" : false, "suffix" : "" }, { "dropping-particle" : "", "family" : "Kissin", "given" : "Mark W", "non-dropping-particle" : "", "parse-names" : false, "suffix" : "" }, { "dropping-particle" : "", "family" : "Powell", "given" : "Barry W E M", "non-dropping-particle" : "", "parse-names" : false, "suffix" : "" } ], "container-title" : "The Journal of pathology", "id" : "ITEM-10", "issue" : "3", "issued" : { "date-parts" : [ [ "2003", "7" ] ] }, "page" : "314-9", "title" : "The development of optimal pathological assessment of sentinel lymph nodes for melanoma.", "type" : "article-journal", "volume" : "200" }, "uris" : [ "http://www.mendeley.com/documents/?uuid=7069b6b9-8cb0-451d-82d5-0cf0af412717" ] }, { "id" : "ITEM-11", "itemData" : { "ISSN" : "0002-9610", "PMID" : "9926787", "abstract" : "BACKGROUND: The most powerful predictor of survival for patients with melanoma is the status of the regional lymph nodes. Sentinel lymph node biopsy may provide improved staging accuracy without the morbidity of elective lymph node dissection (ELND).\n\nMETHODS: Sixty-eight patients with intermediate thickness melanoma underwent gamma probe guided sentinel node biopsy without ELND and were followed up over a mean of 22 months.\n\nRESULTS: A sentinel node was found in all patients. Six patients (9%) had positive sentinel nodes; all underwent complete lymphadenectomy. Two patients (3%) with negative sentinel nodes developed nodal recurrence; 1 of these patients was found to have microscopic disease on reexamination of the sentinel node. Two patients (3%) developed systemic disease.\n\nCONCLUSION: Gamma probe guided sentinel node biopsy can be performed with a high rate of technical success. It provides accurate pathological staging with a low incidence of nodal basin failure.", "author" : [ { "dropping-particle" : "", "family" : "Gogel", "given" : "B M", "non-dropping-particle" : "", "parse-names" : false, "suffix" : "" }, { "dropping-particle" : "", "family" : "Kuhn", "given" : "J A", "non-dropping-particle" : "", "parse-names" : false, "suffix" : "" }, { "dropping-particle" : "", "family" : "Ferry", "given" : "K M", "non-dropping-particle" : "", "parse-names" : false, "suffix" : "" }, { "dropping-particle" : "", "family" : "Fisher", "given" : "T L", "non-dropping-particle" : "", "parse-names" : false, "suffix" : "" }, { "dropping-particle" : "", "family" : "Preskitt", "given" : "J T", "non-dropping-particle" : "", "parse-names" : false, "suffix" : "" }, { "dropping-particle" : "", "family" : "O'Brien", "given" : "J C", "non-dropping-particle" : "", "parse-names" : false, "suffix" : "" }, { "dropping-particle" : "", "family" : "Lieberman", "given" : "Z H", "non-dropping-particle" : "", "parse-names" : false, "suffix" : "" }, { "dropping-particle" : "", "family" : "Stephens", "given" : "J S", "non-dropping-particle" : "", "parse-names" : false, "suffix" : "" }, { "dropping-particle" : "", "family" : "Krag", "given" : "D N", "non-dropping-particle" : "", "parse-names" : false, "suffix" : "" } ], "container-title" : "American journal of surgery", "id" : "ITEM-11", "issue" : "6", "issued" : { "date-parts" : [ [ "1998", "12" ] ] }, "page" : "544-7", "title" : "Sentinel lymph node biopsy for melanoma.", "type" : "article-journal", "volume" : "176" }, "uris" : [ "http://www.mendeley.com/documents/?uuid=97348bb1-6539-4ffc-b94f-a09edcef351a" ] }, { "id" : "ITEM-12", "itemData" : { "ISSN" : "0004-0010", "PMID" : "1558490", "abstract" : "The initial route of metastases in most patients with melanoma is via the lymphatics to the regional nodes. However, routine lymphadenectomy for patients with clinical stage I melanoma remains controversial because most of these patients do not have nodal metastases, are unlikely to benefit from the operation, and may suffer troublesome postoperative edema of the limbs. A new procedure was developed using vital dyes that permits intraoperative identification of the sentinel lymph node, the lymph node nearest the site of the primary melanoma, on the direct drainage pathway. The most likely site of early metastases, the sentinel node can be removed for immediate intraoperative study to identify clinically occult melanoma cells. We successfully identified the sentinel node(s) in 194 of 237 lymphatic basins and detected metastases in 40 specimens (21%) on examination of routine hematoxylin-eosin-stained slides (12%) or exclusively in immunohistochemically stained preparations (9%). Metastases were present in 47 (18%) of 259 sentinel nodes, while nonsentinel nodes were the sole site of metastasis in only two of 3079 nodes from 194 lymphadenectomy specimens that had an identifiable sentinel node, a false-negative rate of less than 1%. Thus, this technique identifies, with a high degree of accuracy, patients with early stage melanoma who have nodal metastases and are likely to benefit from radical lymphadenectomy.", "author" : [ { "dropping-particle" : "", "family" : "Morton", "given" : "D L", "non-dropping-particle" : "", "parse-names" : false, "suffix" : "" }, { "dropping-particle" : "", "family" : "Wen", "given" : "D R", "non-dropping-particle" : "", "parse-names" : false, "suffix" : "" }, { "dropping-particle" : "", "family" : "Wong", "given" : "J H", "non-dropping-particle" : "", "parse-names" : false, "suffix" : "" }, { "dropping-particle" : "", "family" : "Economou", "given" : "J S", "non-dropping-particle" : "", "parse-names" : false, "suffix" : "" }, { "dropping-particle" : "", "family" : "Cagle", "given" : "L A", "non-dropping-particle" : "", "parse-names" : false, "suffix" : "" }, { "dropping-particle" : "", "family" : "Storm", "given" : "F K", "non-dropping-particle" : "", "parse-names" : false, "suffix" : "" }, { "dropping-particle" : "", "family" : "Foshag", "given" : "L J", "non-dropping-particle" : "", "parse-names" : false, "suffix" : "" }, { "dropping-particle" : "", "family" : "Cochran", "given" : "A J", "non-dropping-particle" : "", "parse-names" : false, "suffix" : "" } ], "container-title" : "Archives of surgery (Chicago, Ill. : 1960)", "id" : "ITEM-12", "issue" : "4", "issued" : { "date-parts" : [ [ "1992", "4" ] ] }, "page" : "392-9", "title" : "Technical details of intraoperative lymphatic mapping for early stage melanoma.", "type" : "article-journal", "volume" : "127" }, "uris" : [ "http://www.mendeley.com/documents/?uuid=7401ee58-b336-4659-b9d3-95737609b89d" ] }, { "id" : "ITEM-13", "itemData" : { "DOI" : "10.1067/msy.2001.115830", "ISSN" : "0039-6060", "PMID" : "11490343", "abstract" : "BACKGROUND: This analysis was performed to identify prognostic factors that are predictive of sentinel lymph node (SLN) metastasis in melanoma.\n\nMETHODS: Analysis was performed of a multi-institutional, prospective, randomized trial of SLN biopsy for melanoma. Eligibility criteria included age 18 to 70 years, Breslow thickness of 1.0 mm or more, and clinically negative regional lymph nodes. SLNs were evaluated by serial sectioning and immunohistochemistry for S100. Univariate chi-square and multivariate logistic regression analyses were performed to assess factors predictive of the presence of a positive SLN. Probability values of less than.05 were considered significant.\n\nRESULTS: SLNs were identified in 99.7% of patients. A total of 1058 patients were evaluated; 961 patients had complete data and were included in the statistical analysis. SLNs were positive for tumor in 208 of 961 patients (22%). Breslow thickness, Clark level, ulceration, and patient age were factors that were found to be independently predictive of the presence of SLN metastasis.\n\nCONCLUSIONS: Increasing Breslow thickness, Clark level of more than III, the presence of ulceration, and patient age of 60 years or less are the most important independent prognostic factors associated with the finding of positive SLN in patients with melanoma.", "author" : [ { "dropping-particle" : "", "family" : "McMasters", "given" : "K M", "non-dropping-particle" : "", "parse-names" : false, "suffix" : "" }, { "dropping-particle" : "", "family" : "Wong", "given" : "S L", "non-dropping-particle" : "", "parse-names" : false, "suffix" : "" }, { "dropping-particle" : "", "family" : "Edwards", "given" : "M J", "non-dropping-particle" : "", "parse-names" : false, "suffix" : "" }, { "dropping-particle" : "", "family" : "Ross", "given" : "M I", "non-dropping-particle" : "", "parse-names" : false, "suffix" : "" }, { "dropping-particle" : "", "family" : "Chao", "given" : "C", "non-dropping-particle" : "", "parse-names" : false, "suffix" : "" }, { "dropping-particle" : "", "family" : "Noyes", "given" : "R D", "non-dropping-particle" : "", "parse-names" : false, "suffix" : "" }, { "dropping-particle" : "", "family" : "Viar", "given" : "V", "non-dropping-particle" : "", "parse-names" : false, "suffix" : "" }, { "dropping-particle" : "", "family" : "Cerrito", "given" : "P B", "non-dropping-particle" : "", "parse-names" : false, "suffix" : "" }, { "dropping-particle" : "", "family" : "Reintgen", "given" : "D S", "non-dropping-particle" : "", "parse-names" : false, "suffix" : "" } ], "container-title" : "Surgery", "id" : "ITEM-13", "issue" : "2", "issued" : { "date-parts" : [ [ "2001", "8" ] ] }, "page" : "151-6", "title" : "Factors that predict the presence of sentinel lymph node metastasis in patients with melanoma.", "type" : "article-journal", "volume" : "130" }, "uris" : [ "http://www.mendeley.com/documents/?uuid=9aa133e3-7510-4a50-9717-ba347f513cea" ] }, { "id" : "ITEM-14", "itemData" : { "DOI" : "10.1016/j.bjps.2003.03.002", "ISSN" : "0007-1226", "PMID" : "15037163", "abstract" : "Sentinel node biopsy has become an integral part of the management of malignant melanoma. Here, the authors describe the technique that is used at the St George's Hospital Melanoma Unit. Results obtained over the past 5 years on a cohort of patients are presented. Three hundred and forty seven patients were entered in the study. Population demographics were analysed for both the primary melanoma and for sentinel node positive status. Histological features of the primary, particularly regression were noted and, in addition to metastatic disease, the presence of capsular naevus cells within the node also recorded. Complications associated with the procedure have been presented along with the specificity and sensitivity of the technique. The relative influence of both Breslow thickness and sentinel node positivity were analysed statistically and Kaplan-Meier survival curves produced for the cohort as a whole. This confirmed the accuracy of sentinel node biopsy and its role as a prognostic indicator.", "author" : [ { "dropping-particle" : "", "family" : "Topping", "given" : "Adam", "non-dropping-particle" : "", "parse-names" : false, "suffix" : "" }, { "dropping-particle" : "", "family" : "Dewar", "given" : "Donald", "non-dropping-particle" : "", "parse-names" : false, "suffix" : "" }, { "dropping-particle" : "", "family" : "Rose", "given" : "Victoria", "non-dropping-particle" : "", "parse-names" : false, "suffix" : "" }, { "dropping-particle" : "", "family" : "Cavale", "given" : "Naveen", "non-dropping-particle" : "", "parse-names" : false, "suffix" : "" }, { "dropping-particle" : "", "family" : "Allen", "given" : "Rosemary", "non-dropping-particle" : "", "parse-names" : false, "suffix" : "" }, { "dropping-particle" : "", "family" : "Cook", "given" : "Martin", "non-dropping-particle" : "", "parse-names" : false, "suffix" : "" }, { "dropping-particle" : "", "family" : "Powell", "given" : "Barry", "non-dropping-particle" : "", "parse-names" : false, "suffix" : "" } ], "container-title" : "British journal of plastic surgery", "id" : "ITEM-14", "issue" : "2", "issued" : { "date-parts" : [ [ "2004", "3" ] ] }, "page" : "97-104", "title" : "Five years of sentinel node biopsy for melanoma: the St George's Melanoma Unit experience.", "type" : "article-journal", "volume" : "57" }, "uris" : [ "http://www.mendeley.com/documents/?uuid=99b1911c-0a5b-41a6-8dd2-f57983a324b4" ] }, { "id" : "ITEM-15", "itemData" : { "DOI" : "10.1200/JCO.2010.33.1884", "ISSN" : "1527-7755", "PMID" : "21383281", "abstract" : "PURPOSE: To perform a meta-analysis of all published studies of sentinel lymph node (SLN) biopsy for staging patients with melanoma.\n\nMETHODS: Published literature in all languages between 1990 and 2009 was critically appraised. Primary outcomes evaluated included the proportion successfully mapped (PSM) and test performance including false-negative rate (FNR), post-test probability negative (PTPN), and positive predictive value in the same nodal basin recurrence.\n\nRESULTS: A total of 71 studies including 25,240 patients met full eligibility criteria. The average PSM was 98.1% (95% CI, 97.3% to 98.6%) and increased with the year of publication, female sex, ulceration, age, and the quality score of the studies. The FNR ranged from 0.0% to 34.0%, averaging 12.5% overall (95% CI, 11% to 14.2%). FNR increased with the length of follow-up (P = .002) but decreased with greater PSM (P = .001). PTPN averaged 3.4% (95% CI, 3.0% to 3.8%), which also increased in studies with longer follow-up, younger age, female sex, deeper Breslow thickness, and with tumor ulceration while decreasing with greater PSM (P &lt; .001). Approximately 20% of the patients with a positive SLN had additional lymph nodes in the complete lymph node dissection and 7.5% of the patients with positive SLN developed recurrence in the same nodal basin which was greater in studies that also reported higher FNR (P = .01).\n\nCONCLUSION: The estimated risk of nodal recurrence after a negative SLN biopsy was \u2264 5% supporting the use of this technology for staging patients with melanoma.", "author" : [ { "dropping-particle" : "", "family" : "Valsecchi", "given" : "Matias E", "non-dropping-particle" : "", "parse-names" : false, "suffix" : "" }, { "dropping-particle" : "", "family" : "Silbermins", "given" : "Damian", "non-dropping-particle" : "", "parse-names" : false, "suffix" : "" }, { "dropping-particle" : "", "family" : "Rosa", "given" : "Nicole", "non-dropping-particle" : "de", "parse-names" : false, "suffix" : "" }, { "dropping-particle" : "", "family" : "Wong", "given" : "Sandra L", "non-dropping-particle" : "", "parse-names" : false, "suffix" : "" }, { "dropping-particle" : "", "family" : "Lyman", "given" : "Gary H", "non-dropping-particle" : "", "parse-names" : false, "suffix" : "" } ], "container-title" : "Journal of clinical oncology : official journal of the American Society of Clinical Oncology", "id" : "ITEM-15", "issue" : "11", "issued" : { "date-parts" : [ [ "2011", "4", "10" ] ] }, "page" : "1479-87", "title" : "Lymphatic mapping and sentinel lymph node biopsy in patients with melanoma: a meta-analysis.", "type" : "article-journal", "volume" : "29" }, "uris" : [ "http://www.mendeley.com/documents/?uuid=7fa691c0-9976-43d3-84dc-62f15e78d9fb" ] } ], "mendeley" : { "formattedCitation" : "&lt;sup&gt;67,118,120,125\u2013135,184&lt;/sup&gt;", "plainTextFormattedCitation" : "67,118,120,125\u2013135,184", "previouslyFormattedCitation" : "&lt;sup&gt;67,118,120,125\u2013135,184&lt;/sup&gt;" }, "properties" : { "noteIndex" : 0 }, "schema" : "https://github.com/citation-style-language/schema/raw/master/csl-citation.json" }</w:instrText>
      </w:r>
      <w:r w:rsidRPr="003E73CD">
        <w:rPr>
          <w:sz w:val="22"/>
          <w:szCs w:val="22"/>
        </w:rPr>
        <w:fldChar w:fldCharType="separate"/>
      </w:r>
      <w:r w:rsidR="00217FAC" w:rsidRPr="00217FAC">
        <w:rPr>
          <w:noProof/>
          <w:sz w:val="22"/>
          <w:szCs w:val="22"/>
          <w:vertAlign w:val="superscript"/>
        </w:rPr>
        <w:t>67,118,120,125–135,184</w:t>
      </w:r>
      <w:r w:rsidRPr="003E73CD">
        <w:rPr>
          <w:sz w:val="22"/>
          <w:szCs w:val="22"/>
        </w:rPr>
        <w:fldChar w:fldCharType="end"/>
      </w:r>
      <w:proofErr w:type="gramStart"/>
      <w:r w:rsidRPr="003E73CD">
        <w:rPr>
          <w:sz w:val="22"/>
          <w:szCs w:val="22"/>
        </w:rPr>
        <w:t xml:space="preserve">  Published</w:t>
      </w:r>
      <w:proofErr w:type="gramEnd"/>
      <w:r w:rsidRPr="003E73CD">
        <w:rPr>
          <w:sz w:val="22"/>
          <w:szCs w:val="22"/>
        </w:rPr>
        <w:t xml:space="preserve"> false</w:t>
      </w:r>
      <w:r w:rsidR="008A5B73" w:rsidRPr="003E73CD">
        <w:rPr>
          <w:sz w:val="22"/>
          <w:szCs w:val="22"/>
        </w:rPr>
        <w:t>-</w:t>
      </w:r>
      <w:r w:rsidRPr="003E73CD">
        <w:rPr>
          <w:sz w:val="22"/>
          <w:szCs w:val="22"/>
        </w:rPr>
        <w:t>negative rates for sentinel node biopsy range from 0% to 3</w:t>
      </w:r>
      <w:r w:rsidR="008A5B73" w:rsidRPr="003E73CD">
        <w:rPr>
          <w:sz w:val="22"/>
          <w:szCs w:val="22"/>
        </w:rPr>
        <w:t>4% and false-negative sentinel node biopsy</w:t>
      </w:r>
      <w:r w:rsidRPr="003E73CD">
        <w:rPr>
          <w:sz w:val="22"/>
          <w:szCs w:val="22"/>
        </w:rPr>
        <w:t xml:space="preserve"> procedures can often be accounted for by some deficiency in technique rather than biological spread of tumour that bypasses sentinel nodes to become established in non-sentinel nodes.</w:t>
      </w:r>
      <w:r w:rsidRPr="003E73CD">
        <w:rPr>
          <w:sz w:val="22"/>
          <w:szCs w:val="22"/>
        </w:rPr>
        <w:fldChar w:fldCharType="begin" w:fldLock="1"/>
      </w:r>
      <w:r w:rsidR="00217FAC">
        <w:rPr>
          <w:sz w:val="22"/>
          <w:szCs w:val="22"/>
        </w:rPr>
        <w:instrText>ADDIN CSL_CITATION { "citationItems" : [ { "id" : "ITEM-1", "itemData" : { "DOI" : "10.1200/JCO.2010.33.1884", "ISSN" : "1527-7755", "PMID" : "21383281", "abstract" : "PURPOSE: To perform a meta-analysis of all published studies of sentinel lymph node (SLN) biopsy for staging patients with melanoma.\n\nMETHODS: Published literature in all languages between 1990 and 2009 was critically appraised. Primary outcomes evaluated included the proportion successfully mapped (PSM) and test performance including false-negative rate (FNR), post-test probability negative (PTPN), and positive predictive value in the same nodal basin recurrence.\n\nRESULTS: A total of 71 studies including 25,240 patients met full eligibility criteria. The average PSM was 98.1% (95% CI, 97.3% to 98.6%) and increased with the year of publication, female sex, ulceration, age, and the quality score of the studies. The FNR ranged from 0.0% to 34.0%, averaging 12.5% overall (95% CI, 11% to 14.2%). FNR increased with the length of follow-up (P = .002) but decreased with greater PSM (P = .001). PTPN averaged 3.4% (95% CI, 3.0% to 3.8%), which also increased in studies with longer follow-up, younger age, female sex, deeper Breslow thickness, and with tumor ulceration while decreasing with greater PSM (P &lt; .001). Approximately 20% of the patients with a positive SLN had additional lymph nodes in the complete lymph node dissection and 7.5% of the patients with positive SLN developed recurrence in the same nodal basin which was greater in studies that also reported higher FNR (P = .01).\n\nCONCLUSION: The estimated risk of nodal recurrence after a negative SLN biopsy was \u2264 5% supporting the use of this technology for staging patients with melanoma.", "author" : [ { "dropping-particle" : "", "family" : "Valsecchi", "given" : "Matias E", "non-dropping-particle" : "", "parse-names" : false, "suffix" : "" }, { "dropping-particle" : "", "family" : "Silbermins", "given" : "Damian", "non-dropping-particle" : "", "parse-names" : false, "suffix" : "" }, { "dropping-particle" : "", "family" : "Rosa", "given" : "Nicole", "non-dropping-particle" : "de", "parse-names" : false, "suffix" : "" }, { "dropping-particle" : "", "family" : "Wong", "given" : "Sandra L", "non-dropping-particle" : "", "parse-names" : false, "suffix" : "" }, { "dropping-particle" : "", "family" : "Lyman", "given" : "Gary H", "non-dropping-particle" : "", "parse-names" : false, "suffix" : "" } ], "container-title" : "Journal of clinical oncology : official journal of the American Society of Clinical Oncology", "id" : "ITEM-1", "issue" : "11", "issued" : { "date-parts" : [ [ "2011", "4", "10" ] ] }, "page" : "1479-87", "title" : "Lymphatic mapping and sentinel lymph node biopsy in patients with melanoma: a meta-analysis.", "type" : "article-journal", "volume" : "29" }, "uris" : [ "http://www.mendeley.com/documents/?uuid=7fa691c0-9976-43d3-84dc-62f15e78d9fb" ] } ], "mendeley" : { "formattedCitation" : "&lt;sup&gt;118&lt;/sup&gt;", "plainTextFormattedCitation" : "118", "previouslyFormattedCitation" : "&lt;sup&gt;118&lt;/sup&gt;" }, "properties" : { "noteIndex" : 0 }, "schema" : "https://github.com/citation-style-language/schema/raw/master/csl-citation.json" }</w:instrText>
      </w:r>
      <w:r w:rsidRPr="003E73CD">
        <w:rPr>
          <w:sz w:val="22"/>
          <w:szCs w:val="22"/>
        </w:rPr>
        <w:fldChar w:fldCharType="separate"/>
      </w:r>
      <w:r w:rsidR="00CE2A17" w:rsidRPr="00CE2A17">
        <w:rPr>
          <w:noProof/>
          <w:sz w:val="22"/>
          <w:szCs w:val="22"/>
          <w:vertAlign w:val="superscript"/>
        </w:rPr>
        <w:t>118</w:t>
      </w:r>
      <w:r w:rsidRPr="003E73CD">
        <w:rPr>
          <w:sz w:val="22"/>
          <w:szCs w:val="22"/>
        </w:rPr>
        <w:fldChar w:fldCharType="end"/>
      </w:r>
      <w:r w:rsidRPr="003E73CD">
        <w:rPr>
          <w:sz w:val="22"/>
          <w:szCs w:val="22"/>
        </w:rPr>
        <w:t xml:space="preserve">  </w:t>
      </w:r>
    </w:p>
    <w:p w14:paraId="1E261B61" w14:textId="21DC676D" w:rsidR="0061482C" w:rsidRPr="003E73CD" w:rsidRDefault="0061482C" w:rsidP="0061482C">
      <w:pPr>
        <w:spacing w:line="480" w:lineRule="auto"/>
        <w:ind w:firstLine="720"/>
        <w:rPr>
          <w:sz w:val="22"/>
          <w:szCs w:val="22"/>
        </w:rPr>
      </w:pPr>
      <w:r w:rsidRPr="003E73CD">
        <w:rPr>
          <w:sz w:val="22"/>
          <w:szCs w:val="22"/>
        </w:rPr>
        <w:t>There is undoubtedly a learning curve for the surgeon, associated with achieving lower false negative rates.</w:t>
      </w:r>
      <w:r w:rsidRPr="003E73CD">
        <w:rPr>
          <w:sz w:val="22"/>
          <w:szCs w:val="22"/>
        </w:rPr>
        <w:fldChar w:fldCharType="begin" w:fldLock="1"/>
      </w:r>
      <w:r w:rsidR="00217FAC">
        <w:rPr>
          <w:sz w:val="22"/>
          <w:szCs w:val="22"/>
        </w:rPr>
        <w:instrText>ADDIN CSL_CITATION { "citationItems" : [ { "id" : "ITEM-1", "itemData" : { "ISSN" : "0003-4932", "PMID" : "16135917", "abstract" : "OBJECTIVE: The objective of this study was to evaluate, in an international multicenter phase III trial, the accuracy, use, and morbidity of intraoperative lymphatic mapping and sentinel node biopsy (LM/SNB) for staging the regional nodal basin of patients with early-stage melanoma.\n\nSUMMARY BACKGROUND DATA: Since our introduction of LM/SNB in 1990, this technique has been widely adopted and has become part of the American Joint Committee on Cancer (AJCC) staging system. Eleven years ago, the authors began the international Multicenter Selective Lymphadenectomy Trial (MSLT-I) to compare 2 treatment approaches: wide excision (WE) plus LM/SNB with immediate complete lymphadenectomy (CLND) for sentinel node (SN) metastases, and WE plus postoperative observation with CLND delayed until the subsequent development of clinically evident nodal metastases.\n\nMETHODS: After each center achieved 85% accuracy of SN identification during a 30-case learning phase, patients with primary cutaneous melanoma (&gt; or =1 mm with Clark level &gt; or =III, or any thickness with Clark level &gt; or =IV) were randomly assigned in a 4:6 ratio to WE plus observation (WEO) with delayed CLND for nodal recurrence, or to WE plus LM/SNB with immediate CLND for SN metastasis. The accuracy of LM/SNB was determined by comparing the rates of SN identification and the incidence of SN metastases in the LM/SNB group versus the subsequent development of nodal metastases in the regional nodal basin of those patients with tumor-negative SNs. Early morbidity of LM/SNB was evaluated by comparing complication rates between the 2 treatment groups. Trial accrual was completed on March 31, 2002, after enrollment of 2001 patients.\n\nRESULTS: Initial SN identification rate was 95.3% overall: 99.3% for the groin, 95.3% for the axilla, and 84.5% for the neck basins. The rate of false-negative LM/SNB during the trial phase, as measured by nodal recurrence in a tumor-negative dissected SN basin, decreased with increasing case volume at each center: 10.3% for the first 25 cases versus 5.2% after 25 cases. There were no operative mortalities. The low (10.1%) complication rate after LM/SNB increased to 37.2% with the addition of CLND; CLND also increased the severity of complications.\n\nCONCLUSIONS: LM/SNB is a safe, low-morbidity procedure for staging the regional nodal basin in early melanoma. Even after a 30-case learning phase and 25 additional LM/SNB cases, the accuracy of LM/SNB continues to increase with a cente\u2026", "author" : [ { "dropping-particle" : "", "family" : "Morton", "given" : "Donald L", "non-dropping-particle" : "", "parse-names" : false, "suffix" : "" }, { "dropping-particle" : "", "family" : "Cochran", "given" : "Alistair J", "non-dropping-particle" : "", "parse-names" : false, "suffix" : "" }, { "dropping-particle" : "", "family" : "Thompson", "given" : "John F", "non-dropping-particle" : "", "parse-names" : false, "suffix" : "" }, { "dropping-particle" : "", "family" : "Elashoff", "given" : "Robert", "non-dropping-particle" : "", "parse-names" : false, "suffix" : "" }, { "dropping-particle" : "", "family" : "Essner", "given" : "Richard", "non-dropping-particle" : "", "parse-names" : false, "suffix" : "" }, { "dropping-particle" : "", "family" : "Glass", "given" : "Edwin C", "non-dropping-particle" : "", "parse-names" : false, "suffix" : "" }, { "dropping-particle" : "", "family" : "Mozzillo", "given" : "Nicola", "non-dropping-particle" : "", "parse-names" : false, "suffix" : "" }, { "dropping-particle" : "", "family" : "Nieweg", "given" : "Omgo E", "non-dropping-particle" : "", "parse-names" : false, "suffix" : "" }, { "dropping-particle" : "", "family" : "Roses", "given" : "Daniel F", "non-dropping-particle" : "", "parse-names" : false, "suffix" : "" }, { "dropping-particle" : "", "family" : "Hoekstra", "given" : "Harald J", "non-dropping-particle" : "", "parse-names" : false, "suffix" : "" }, { "dropping-particle" : "", "family" : "Karakousis", "given" : "Constantine P", "non-dropping-particle" : "", "parse-names" : false, "suffix" : "" }, { "dropping-particle" : "", "family" : "Reintgen", "given" : "Douglas S", "non-dropping-particle" : "", "parse-names" : false, "suffix" : "" }, { "dropping-particle" : "", "family" : "Coventry", "given" : "Brendon J", "non-dropping-particle" : "", "parse-names" : false, "suffix" : "" }, { "dropping-particle" : "", "family" : "Wang", "given" : "He-jing", "non-dropping-particle" : "", "parse-names" : false, "suffix" : "" } ], "container-title" : "Annals of surgery", "id" : "ITEM-1", "issue" : "3", "issued" : { "date-parts" : [ [ "2005", "9" ] ] }, "page" : "302-11; discussion 311-3", "title" : "Sentinel node biopsy for early-stage melanoma: accuracy and morbidity in MSLT-I, an international multicenter trial.", "type" : "article-journal", "volume" : "242" }, "uris" : [ "http://www.mendeley.com/documents/?uuid=d90aa4b1-5a30-4e2d-8433-22b2b1fc2291" ] } ], "mendeley" : { "formattedCitation" : "&lt;sup&gt;157&lt;/sup&gt;", "plainTextFormattedCitation" : "157", "previouslyFormattedCitation" : "&lt;sup&gt;157&lt;/sup&gt;" }, "properties" : { "noteIndex" : 0 }, "schema" : "https://github.com/citation-style-language/schema/raw/master/csl-citation.json" }</w:instrText>
      </w:r>
      <w:r w:rsidRPr="003E73CD">
        <w:rPr>
          <w:sz w:val="22"/>
          <w:szCs w:val="22"/>
        </w:rPr>
        <w:fldChar w:fldCharType="separate"/>
      </w:r>
      <w:r w:rsidR="00CE2A17" w:rsidRPr="00CE2A17">
        <w:rPr>
          <w:noProof/>
          <w:sz w:val="22"/>
          <w:szCs w:val="22"/>
          <w:vertAlign w:val="superscript"/>
        </w:rPr>
        <w:t>157</w:t>
      </w:r>
      <w:r w:rsidRPr="003E73CD">
        <w:rPr>
          <w:sz w:val="22"/>
          <w:szCs w:val="22"/>
        </w:rPr>
        <w:fldChar w:fldCharType="end"/>
      </w:r>
      <w:proofErr w:type="gramStart"/>
      <w:r w:rsidRPr="003E73CD">
        <w:rPr>
          <w:sz w:val="22"/>
          <w:szCs w:val="22"/>
        </w:rPr>
        <w:t xml:space="preserve">  This</w:t>
      </w:r>
      <w:proofErr w:type="gramEnd"/>
      <w:r w:rsidRPr="003E73CD">
        <w:rPr>
          <w:sz w:val="22"/>
          <w:szCs w:val="22"/>
        </w:rPr>
        <w:t xml:space="preserve"> has been recognised in the UK, in breast surgery, with the introduction of a sentinel lymph node biopsy training program for breast surgeons, endorsed by the Royal College of Surgeons of England.</w:t>
      </w:r>
      <w:r w:rsidRPr="003E73CD">
        <w:rPr>
          <w:sz w:val="22"/>
          <w:szCs w:val="22"/>
        </w:rPr>
        <w:fldChar w:fldCharType="begin" w:fldLock="1"/>
      </w:r>
      <w:r w:rsidR="005676A9">
        <w:rPr>
          <w:sz w:val="22"/>
          <w:szCs w:val="22"/>
        </w:rPr>
        <w:instrText>ADDIN CSL_CITATION { "citationItems" : [ { "id" : "ITEM-1", "itemData" : { "DOI" : "10.1002/bjs.9058", "ISSN" : "1365-2168", "PMID" : "23389843", "abstract" : "BACKGROUND: New Start, a structured, validated, multidisciplinary training programme in sentinel lymph node biopsy (SLNB), was established to allow the introduction and rapid transfer of appropriate knowledge and technical skills to ensure safe and competent practice across the UK.\n\nMETHODS: Multidisciplinary teams attended a theory/skills laboratory course, following which they performed 30 consecutive SLNBs, either concurrently with their standard axillary staging procedure (training model A) or as stand-alone SLNB (training model B). SLNB was performed according to a standard protocol using the combined technique of isotope ((99m) Tc-labelled albumin colloid) and blue dye. An accredited New Start trainer mentored the first five procedures in the participant's hospital, or all 30 if stand-alone. Validation standards for model A and B were a localization rate of at least 90 per cent. In addition, for model A only, in which a minimum of ten patients were required to be node-positive, a false-negative rate (FNR) of 10 per cent or less was required.\n\nRESULTS: From October 2004 to December 2008, 210 SLNB-naive surgeons, in 103 centres, performed 6685 SLNB procedures. The overall sentinel lymph node (SLN) localization rate was 98\u00b79 (95 per cent confidence interval 98\u00b76 to 99\u00b71) per cent (6610 of 6685) and the FNR 9\u00b71 (7\u00b79 to 10\u00b75) per cent (160 of 1757). The FNR was related to nodal yield, ranging from 14\u00b78 per cent for one node and declining to 9\u00b77, 6\u00b76, 4\u00b77 and 4\u00b71 per cent for two, three, four and more than four SLNs respectively. No learning curve was identified for localization or FNR.\n\nCONCLUSION: The programme successfully trained a wide range of UK breast teams to perform safe SLNB and suggested that a standard injection protocol and structured multidisciplinary training can abolish learning curves.", "author" : [ { "dropping-particle" : "", "family" : "Mansel", "given" : "R E", "non-dropping-particle" : "", "parse-names" : false, "suffix" : "" }, { "dropping-particle" : "", "family" : "MacNeill", "given" : "F", "non-dropping-particle" : "", "parse-names" : false, "suffix" : "" }, { "dropping-particle" : "", "family" : "Horgan", "given" : "K", "non-dropping-particle" : "", "parse-names" : false, "suffix" : "" }, { "dropping-particle" : "", "family" : "Goyal", "given" : "A", "non-dropping-particle" : "", "parse-names" : false, "suffix" : "" }, { "dropping-particle" : "", "family" : "Britten", "given" : "A", "non-dropping-particle" : "", "parse-names" : false, "suffix" : "" }, { "dropping-particle" : "", "family" : "Townson", "given" : "J", "non-dropping-particle" : "", "parse-names" : false, "suffix" : "" }, { "dropping-particle" : "", "family" : "Clarke", "given" : "D", "non-dropping-particle" : "", "parse-names" : false, "suffix" : "" }, { "dropping-particle" : "", "family" : "Newcombe", "given" : "R G", "non-dropping-particle" : "", "parse-names" : false, "suffix" : "" }, { "dropping-particle" : "", "family" : "Keshtgar", "given" : "M", "non-dropping-particle" : "", "parse-names" : false, "suffix" : "" }, { "dropping-particle" : "", "family" : "Kissin", "given" : "M", "non-dropping-particle" : "", "parse-names" : false, "suffix" : "" }, { "dropping-particle" : "", "family" : "Layer", "given" : "G", "non-dropping-particle" : "", "parse-names" : false, "suffix" : "" }, { "dropping-particle" : "", "family" : "Hilson", "given" : "A", "non-dropping-particle" : "", "parse-names" : false, "suffix" : "" }, { "dropping-particle" : "", "family" : "Ell", "given" : "P", "non-dropping-particle" : "", "parse-names" : false, "suffix" : "" }, { "dropping-particle" : "", "family" : "Wishart", "given" : "G", "non-dropping-particle" : "", "parse-names" : false, "suffix" : "" }, { "dropping-particle" : "", "family" : "Brown", "given" : "D", "non-dropping-particle" : "", "parse-names" : false, "suffix" : "" }, { "dropping-particle" : "", "family" : "West", "given" : "N", "non-dropping-particle" : "", "parse-names" : false, "suffix" : "" } ], "container-title" : "The British journal of surgery", "id" : "ITEM-1", "issue" : "5", "issued" : { "date-parts" : [ [ "2013", "4" ] ] }, "page" : "654-61", "title" : "Results of a national training programme in sentinel lymph node biopsy for breast cancer.", "type" : "article-journal", "volume" : "100" }, "uris" : [ "http://www.mendeley.com/documents/?uuid=14d2466d-93bc-4d8f-8816-4755702c6a06" ] } ], "mendeley" : { "formattedCitation" : "&lt;sup&gt;185&lt;/sup&gt;", "plainTextFormattedCitation" : "185", "previouslyFormattedCitation" : "&lt;sup&gt;185&lt;/sup&gt;" }, "properties" : { "noteIndex" : 0 }, "schema" : "https://github.com/citation-style-language/schema/raw/master/csl-citation.json" }</w:instrText>
      </w:r>
      <w:r w:rsidRPr="003E73CD">
        <w:rPr>
          <w:sz w:val="22"/>
          <w:szCs w:val="22"/>
        </w:rPr>
        <w:fldChar w:fldCharType="separate"/>
      </w:r>
      <w:r w:rsidR="00217FAC" w:rsidRPr="00217FAC">
        <w:rPr>
          <w:noProof/>
          <w:sz w:val="22"/>
          <w:szCs w:val="22"/>
          <w:vertAlign w:val="superscript"/>
        </w:rPr>
        <w:t>185</w:t>
      </w:r>
      <w:r w:rsidRPr="003E73CD">
        <w:rPr>
          <w:sz w:val="22"/>
          <w:szCs w:val="22"/>
        </w:rPr>
        <w:fldChar w:fldCharType="end"/>
      </w:r>
      <w:proofErr w:type="gramStart"/>
      <w:r w:rsidRPr="003E73CD">
        <w:rPr>
          <w:sz w:val="22"/>
          <w:szCs w:val="22"/>
        </w:rPr>
        <w:t xml:space="preserve">  However</w:t>
      </w:r>
      <w:proofErr w:type="gramEnd"/>
      <w:r w:rsidRPr="003E73CD">
        <w:rPr>
          <w:sz w:val="22"/>
          <w:szCs w:val="22"/>
        </w:rPr>
        <w:t xml:space="preserve">, the potential contribution of lymphoscintigraphy itself to false-negative rates, and other limitations of the technique, have rarely been discussed.  </w:t>
      </w:r>
    </w:p>
    <w:p w14:paraId="36F513CF" w14:textId="77777777" w:rsidR="0061482C" w:rsidRPr="003E73CD" w:rsidRDefault="0061482C" w:rsidP="0061482C">
      <w:pPr>
        <w:spacing w:line="480" w:lineRule="auto"/>
        <w:ind w:firstLine="720"/>
        <w:rPr>
          <w:sz w:val="22"/>
          <w:szCs w:val="22"/>
        </w:rPr>
      </w:pPr>
      <w:r w:rsidRPr="003E73CD">
        <w:rPr>
          <w:sz w:val="22"/>
          <w:szCs w:val="22"/>
        </w:rPr>
        <w:t>In reality, there are several ways in which lymphoscintigraphy may fail to achieve its aim, each with a variety of potential causes.  In this section, putative factors that could adversely affect the accuracy of lymphoscintigraphy have been identified.  Data from the Melanoma Institute of Australia that support or reject these factors are provided where available, and a review and critical analysis of the existing literature have been performed.</w:t>
      </w:r>
    </w:p>
    <w:p w14:paraId="7305AF2F" w14:textId="77777777" w:rsidR="0061482C" w:rsidRPr="003E73CD" w:rsidRDefault="0061482C" w:rsidP="0061482C">
      <w:pPr>
        <w:spacing w:line="480" w:lineRule="auto"/>
        <w:rPr>
          <w:sz w:val="22"/>
          <w:szCs w:val="22"/>
        </w:rPr>
      </w:pPr>
    </w:p>
    <w:p w14:paraId="3C1E86C0" w14:textId="77777777" w:rsidR="0061482C" w:rsidRPr="003E73CD" w:rsidRDefault="0061482C" w:rsidP="0061482C">
      <w:pPr>
        <w:pStyle w:val="Heading1"/>
        <w:rPr>
          <w:rFonts w:ascii="Cambria" w:hAnsi="Cambria"/>
          <w:szCs w:val="22"/>
        </w:rPr>
      </w:pPr>
    </w:p>
    <w:p w14:paraId="7A244425" w14:textId="77777777" w:rsidR="0061482C" w:rsidRPr="003E73CD" w:rsidRDefault="0061482C" w:rsidP="0061482C">
      <w:pPr>
        <w:pStyle w:val="Heading2"/>
        <w:spacing w:line="480" w:lineRule="auto"/>
        <w:rPr>
          <w:rFonts w:ascii="Cambria" w:hAnsi="Cambria"/>
          <w:sz w:val="22"/>
          <w:szCs w:val="22"/>
        </w:rPr>
      </w:pPr>
    </w:p>
    <w:p w14:paraId="5C573BD2" w14:textId="77777777" w:rsidR="0061482C" w:rsidRPr="003E73CD" w:rsidRDefault="0061482C" w:rsidP="0061482C">
      <w:pPr>
        <w:pStyle w:val="Heading2"/>
        <w:spacing w:line="480" w:lineRule="auto"/>
        <w:rPr>
          <w:rFonts w:ascii="Cambria" w:hAnsi="Cambria"/>
          <w:sz w:val="22"/>
          <w:szCs w:val="22"/>
        </w:rPr>
      </w:pPr>
      <w:r w:rsidRPr="003E73CD">
        <w:rPr>
          <w:rFonts w:ascii="Cambria" w:hAnsi="Cambria"/>
          <w:sz w:val="22"/>
          <w:szCs w:val="22"/>
        </w:rPr>
        <w:t>Tracer choice and quality</w:t>
      </w:r>
    </w:p>
    <w:p w14:paraId="199ED536" w14:textId="2FFF1A47" w:rsidR="0061482C" w:rsidRPr="003E73CD" w:rsidRDefault="0061482C" w:rsidP="0061482C">
      <w:pPr>
        <w:spacing w:line="480" w:lineRule="auto"/>
        <w:ind w:firstLine="720"/>
        <w:rPr>
          <w:sz w:val="22"/>
          <w:szCs w:val="22"/>
        </w:rPr>
      </w:pPr>
      <w:r w:rsidRPr="003E73CD">
        <w:rPr>
          <w:sz w:val="22"/>
          <w:szCs w:val="22"/>
        </w:rPr>
        <w:t>The ideal tracer for lymphoscintigraphy would be rapidly, completely and selectively taken up into lymphatic vessels, and transported to the sentinel nodes where it would all be retained and remain detectable for 24-48 hours.  In reality this tracer does not exist.  Initial descriptions of lymph node concentration of radioactive colloid involved Au</w:t>
      </w:r>
      <w:r w:rsidRPr="003E73CD">
        <w:rPr>
          <w:sz w:val="22"/>
          <w:szCs w:val="22"/>
          <w:vertAlign w:val="superscript"/>
        </w:rPr>
        <w:t>198</w:t>
      </w:r>
      <w:r w:rsidRPr="003E73CD">
        <w:rPr>
          <w:sz w:val="22"/>
          <w:szCs w:val="22"/>
        </w:rPr>
        <w:t xml:space="preserve"> particles (particle size 50-250</w:t>
      </w:r>
      <w:r w:rsidRPr="003E73CD">
        <w:rPr>
          <w:sz w:val="22"/>
          <w:szCs w:val="22"/>
        </w:rPr>
        <w:sym w:font="Symbol" w:char="F06D"/>
      </w:r>
      <w:r w:rsidRPr="003E73CD">
        <w:rPr>
          <w:sz w:val="22"/>
          <w:szCs w:val="22"/>
        </w:rPr>
        <w:t>m) suspended in a weak gelatin solution, with the aim of delivering localised therapeutic radiation doses to the lymphatic system.</w:t>
      </w:r>
      <w:r w:rsidRPr="003E73CD">
        <w:rPr>
          <w:sz w:val="22"/>
          <w:szCs w:val="22"/>
        </w:rPr>
        <w:fldChar w:fldCharType="begin" w:fldLock="1"/>
      </w:r>
      <w:r w:rsidR="001C6CB8">
        <w:rPr>
          <w:sz w:val="22"/>
          <w:szCs w:val="22"/>
        </w:rPr>
        <w:instrText>ADDIN CSL_CITATION { "citationItems" : [ { "id" : "ITEM-1", "itemData" : { "ISSN" : "0008-543X", "PMID" : "13106841", "author" : [ { "dropping-particle" : "", "family" : "Sherman", "given" : "A I", "non-dropping-particle" : "", "parse-names" : false, "suffix" : "" }, { "dropping-particle" : "", "family" : "Ter-Pogossian", "given" : "M", "non-dropping-particle" : "", "parse-names" : false, "suffix" : "" } ], "container-title" : "Cancer", "id" : "ITEM-1", "issue" : "6", "issued" : { "date-parts" : [ [ "1953", "11" ] ] }, "page" : "1238-40", "title" : "Lymph-node concentration of radioactive colloidal gold following interstitial injection.", "type" : "article-journal", "volume" : "6" }, "uris" : [ "http://www.mendeley.com/documents/?uuid=eeddd67e-ba03-4f7f-98c6-c737f7c09139" ] } ], "mendeley" : { "formattedCitation" : "&lt;sup&gt;98&lt;/sup&gt;", "plainTextFormattedCitation" : "98", "previouslyFormattedCitation" : "&lt;sup&gt;98&lt;/sup&gt;"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98</w:t>
      </w:r>
      <w:r w:rsidRPr="003E73CD">
        <w:rPr>
          <w:sz w:val="22"/>
          <w:szCs w:val="22"/>
        </w:rPr>
        <w:fldChar w:fldCharType="end"/>
      </w:r>
      <w:proofErr w:type="gramStart"/>
      <w:r w:rsidRPr="003E73CD">
        <w:rPr>
          <w:sz w:val="22"/>
          <w:szCs w:val="22"/>
        </w:rPr>
        <w:t xml:space="preserve">  As</w:t>
      </w:r>
      <w:proofErr w:type="gramEnd"/>
      <w:r w:rsidRPr="003E73CD">
        <w:rPr>
          <w:sz w:val="22"/>
          <w:szCs w:val="22"/>
        </w:rPr>
        <w:t xml:space="preserve"> the technique developed into an imaging modality radioactive colloidal gold was abandoned for substances that delivered lower doses of radiation.  A variety of different tracers have been evaluated including </w:t>
      </w:r>
      <w:r w:rsidRPr="003E73CD">
        <w:rPr>
          <w:sz w:val="22"/>
          <w:szCs w:val="22"/>
          <w:vertAlign w:val="superscript"/>
        </w:rPr>
        <w:t>99m</w:t>
      </w:r>
      <w:r w:rsidR="005746DA" w:rsidRPr="003E73CD">
        <w:rPr>
          <w:sz w:val="22"/>
          <w:szCs w:val="22"/>
        </w:rPr>
        <w:t>Tc antimony sulph</w:t>
      </w:r>
      <w:r w:rsidRPr="003E73CD">
        <w:rPr>
          <w:sz w:val="22"/>
          <w:szCs w:val="22"/>
        </w:rPr>
        <w:t xml:space="preserve">ide colloid (particle size 5-15nm), filtered </w:t>
      </w:r>
      <w:r w:rsidRPr="003E73CD">
        <w:rPr>
          <w:sz w:val="22"/>
          <w:szCs w:val="22"/>
          <w:vertAlign w:val="superscript"/>
        </w:rPr>
        <w:t>99m</w:t>
      </w:r>
      <w:r w:rsidR="005746DA" w:rsidRPr="003E73CD">
        <w:rPr>
          <w:sz w:val="22"/>
          <w:szCs w:val="22"/>
        </w:rPr>
        <w:t>Tc sulph</w:t>
      </w:r>
      <w:r w:rsidRPr="003E73CD">
        <w:rPr>
          <w:sz w:val="22"/>
          <w:szCs w:val="22"/>
        </w:rPr>
        <w:t xml:space="preserve">ur colloid (particle size 5-100nm), </w:t>
      </w:r>
      <w:r w:rsidRPr="003E73CD">
        <w:rPr>
          <w:sz w:val="22"/>
          <w:szCs w:val="22"/>
          <w:vertAlign w:val="superscript"/>
        </w:rPr>
        <w:t>99m</w:t>
      </w:r>
      <w:r w:rsidRPr="003E73CD">
        <w:rPr>
          <w:sz w:val="22"/>
          <w:szCs w:val="22"/>
        </w:rPr>
        <w:t xml:space="preserve">Tc labeled nanocolloid of albumin (particle size 3-80nm), </w:t>
      </w:r>
      <w:r w:rsidRPr="003E73CD">
        <w:rPr>
          <w:sz w:val="22"/>
          <w:szCs w:val="22"/>
          <w:vertAlign w:val="superscript"/>
        </w:rPr>
        <w:t>99m</w:t>
      </w:r>
      <w:r w:rsidRPr="003E73CD">
        <w:rPr>
          <w:sz w:val="22"/>
          <w:szCs w:val="22"/>
        </w:rPr>
        <w:t xml:space="preserve">Tc labeled human serum albumin and </w:t>
      </w:r>
      <w:r w:rsidRPr="003E73CD">
        <w:rPr>
          <w:sz w:val="22"/>
          <w:szCs w:val="22"/>
          <w:vertAlign w:val="superscript"/>
        </w:rPr>
        <w:t>99m</w:t>
      </w:r>
      <w:r w:rsidR="005746DA" w:rsidRPr="003E73CD">
        <w:rPr>
          <w:sz w:val="22"/>
          <w:szCs w:val="22"/>
        </w:rPr>
        <w:t>Tc rhenium sulph</w:t>
      </w:r>
      <w:r w:rsidRPr="003E73CD">
        <w:rPr>
          <w:sz w:val="22"/>
          <w:szCs w:val="22"/>
        </w:rPr>
        <w:t>ide colloid (particle size approx. 50nm).</w:t>
      </w:r>
      <w:r w:rsidRPr="003E73CD">
        <w:rPr>
          <w:sz w:val="22"/>
          <w:szCs w:val="22"/>
        </w:rPr>
        <w:fldChar w:fldCharType="begin" w:fldLock="1"/>
      </w:r>
      <w:r w:rsidR="005676A9">
        <w:rPr>
          <w:sz w:val="22"/>
          <w:szCs w:val="22"/>
        </w:rPr>
        <w:instrText>ADDIN CSL_CITATION { "citationItems" : [ { "id" : "ITEM-1", "itemData" : { "ISSN" : "0161-5505", "PMID" : "9669391", "abstract" : "UNLABELLED: Although lymphoscintigraphy is commonly used for the preoperative evaluation of patients with cutaneous melanoma and for intraoperative identification of sentinel lymph nodes, there is no consensus regarding the most useful radiopharmaceuticals or imaging times.\n\nMETHODS: Fifty-one consecutive patients with clinical American Joint Committee on Cancer Stage I or II melanoma were assigned to one of three groups of 17 for lymphoscintigraphy with one of three radiopharmaceuticals: 99mTc-albumin colloid (AC), 99mTc-human serum albumin (HSA) or 99mTc-sulfur colloid (SC). Colloidal agents were filtered through 0.2 microm filters. After injecting 18.5-30 MBq (500-800 microCi) of the radiopharmaceutical, dynamic monitoring over injection sites and node basins was performed to identify draining lymphatic channels and sentinel nodes. In addition, static digital and analog images were acquired from the injection site and draining node basins immediately after injection and at 30 min (early) and 2 to 4 hr (delayed) after injection. Dynamic and static images were analyzed to determine transit times to the sentinel node, the number of nodes visualized in early and delayed images, the quality of lymph node and lymph channel visualization, the sentinel-to-nonsentinel uptake ratios and the washout rates from injection sites.\n\nRESULTS: Early images with all three agents provided reliable identification of sentinel lymph nodes. Technetium-99m-HSA demonstrated faster washout rates from injection sites and better definition of lymph channels than either particulate agent, whereas particulate agents were retained longer in nodes and demonstrated more nodes in delayed images than in early images. All agents demonstrated lymph channels better in early images than in delayed images. In general, variations between patients exceeded differences between agents. Sentinel nodes could not be distinguished reliably from nonsentinel nodes in delayed images alone.\n\nCONCLUSION: All three agents are acceptable for cutaneous lymphoscintigraphy, but reliable identification of sentinel nodes and their afferent lymph channels requires early imaging. Delayed imaging or localization alone is unreliable and may lead to incorrect identification of the sentinel node.", "author" : [ { "dropping-particle" : "", "family" : "Glass", "given" : "E C", "non-dropping-particle" : "", "parse-names" : false, "suffix" : "" }, { "dropping-particle" : "", "family" : "Essner", "given" : "R", "non-dropping-particle" : "", "parse-names" : false, "suffix" : "" }, { "dropping-particle" : "", "family" : "Morton", "given" : "D L", "non-dropping-particle" : "", "parse-names" : false, "suffix" : "" } ], "container-title" : "Journal of nuclear medicine : official publication, Society of Nuclear Medicine", "id" : "ITEM-1", "issue" : "7", "issued" : { "date-parts" : [ [ "1998", "7" ] ] }, "page" : "1185-90", "title" : "Kinetics of three lymphoscintigraphic agents in patients with cutaneous melanoma.", "type" : "article-journal", "volume" : "39" }, "uris" : [ "http://www.mendeley.com/documents/?uuid=b6c53da9-9585-4cfa-bfc9-51d5b8642b5f" ] }, { "id" : "ITEM-2", "itemData" : { "ISSN" : "1068-9265", "PMID" : "9524711", "abstract" : "BACKGROUND: Radiotracers have become a routine technical component of the new procedure of intraoperative lymphatic mapping and selective lymphadenectomy. Because different colloids have differing physicochemical properties, their distribution and uptake may be different. For this reason, the optimal colloid to identify and localize the sentinel node remains controversial. METHODS: Nineteen consecutive patients with cutaneous malignancies underwent diagnostic lymphoscintigraphy with 99mTc-labeled human serum albumin (99mTc-HSA) and preoperative lymphoscintigraphy with 99mTc-labeled sulfur colloid (99mTc-SC). The results of intraoperative lymphatic mapping and selective lymphadenectomy were reviewed. RESULTS: Intraoperative lymphatic mapping and selective node dissection were successful in 21 of 22 lymphatic basins (18 of 19 patients). There was excellent correlation between the \"hot\" marker placed on the skin surface when 99mTc-HSA was used compared with the use of 99mTc-SC. In 20 of 21 lymphatic basins the sentinel node both was \"hot\" and was stained with isosulfan blue. CONCLUSIONS: No discernible difference between the ability to localize in the sentinel node with these two radiocolloids was identified. For logistical reasons, 99mTC-SC appears to be the colloid of choice in intraoperative lymphatic mapping.", "author" : [ { "dropping-particle" : "", "family" : "Wong", "given" : "J H", "non-dropping-particle" : "", "parse-names" : false, "suffix" : "" }, { "dropping-particle" : "", "family" : "Terada", "given" : "K", "non-dropping-particle" : "", "parse-names" : false, "suffix" : "" }, { "dropping-particle" : "", "family" : "Ko", "given" : "P", "non-dropping-particle" : "", "parse-names" : false, "suffix" : "" }, { "dropping-particle" : "", "family" : "Coel", "given" : "M N", "non-dropping-particle" : "", "parse-names" : false, "suffix" : "" } ], "container-title" : "Annals of surgical oncology", "id" : "ITEM-2", "issue" : "1", "issued" : { "date-parts" : [ [ "1998", "1" ] ] }, "page" : "77-80", "title" : "Lack of effect of particle size on the identification of the sentinel node in cutaneous malignancies.", "type" : "article-journal", "volume" : "5" }, "uris" : [ "http://www.mendeley.com/documents/?uuid=c0ac34fe-b5bb-4ae9-876e-4667337e1fb7" ] } ], "mendeley" : { "formattedCitation" : "&lt;sup&gt;186,187&lt;/sup&gt;", "plainTextFormattedCitation" : "186,187", "previouslyFormattedCitation" : "&lt;sup&gt;186,187&lt;/sup&gt;" }, "properties" : { "noteIndex" : 0 }, "schema" : "https://github.com/citation-style-language/schema/raw/master/csl-citation.json" }</w:instrText>
      </w:r>
      <w:r w:rsidRPr="003E73CD">
        <w:rPr>
          <w:sz w:val="22"/>
          <w:szCs w:val="22"/>
        </w:rPr>
        <w:fldChar w:fldCharType="separate"/>
      </w:r>
      <w:r w:rsidR="00217FAC" w:rsidRPr="00217FAC">
        <w:rPr>
          <w:noProof/>
          <w:sz w:val="22"/>
          <w:szCs w:val="22"/>
          <w:vertAlign w:val="superscript"/>
        </w:rPr>
        <w:t>186,187</w:t>
      </w:r>
      <w:r w:rsidRPr="003E73CD">
        <w:rPr>
          <w:sz w:val="22"/>
          <w:szCs w:val="22"/>
        </w:rPr>
        <w:fldChar w:fldCharType="end"/>
      </w:r>
    </w:p>
    <w:p w14:paraId="5665677B" w14:textId="35EAD2BA" w:rsidR="0061482C" w:rsidRPr="003E73CD" w:rsidRDefault="0061482C" w:rsidP="008820E5">
      <w:pPr>
        <w:spacing w:line="480" w:lineRule="auto"/>
        <w:ind w:firstLine="720"/>
        <w:rPr>
          <w:sz w:val="22"/>
          <w:szCs w:val="22"/>
        </w:rPr>
      </w:pPr>
      <w:r w:rsidRPr="003E73CD">
        <w:rPr>
          <w:sz w:val="22"/>
          <w:szCs w:val="22"/>
        </w:rPr>
        <w:t>Colloids can reach lymph nodes by two known transport mechanisms: extracellular transport of free particles and an intracellular pathway involving phagocytosis of particles by macrophages that subsequently migrate into the lymphatics.  Ikomi et al. studied these pathways following subcutaneous injection of both large (0.34</w:t>
      </w:r>
      <w:r w:rsidRPr="003E73CD">
        <w:rPr>
          <w:sz w:val="22"/>
          <w:szCs w:val="22"/>
        </w:rPr>
        <w:sym w:font="Symbol" w:char="F06D"/>
      </w:r>
      <w:r w:rsidRPr="003E73CD">
        <w:rPr>
          <w:sz w:val="22"/>
          <w:szCs w:val="22"/>
        </w:rPr>
        <w:t>m) and small (0.06</w:t>
      </w:r>
      <w:r w:rsidRPr="003E73CD">
        <w:rPr>
          <w:sz w:val="22"/>
          <w:szCs w:val="22"/>
        </w:rPr>
        <w:sym w:font="Symbol" w:char="F06D"/>
      </w:r>
      <w:r w:rsidRPr="003E73CD">
        <w:rPr>
          <w:sz w:val="22"/>
          <w:szCs w:val="22"/>
        </w:rPr>
        <w:t>m) particle colloids in rabbits.</w:t>
      </w:r>
      <w:r w:rsidRPr="003E73CD">
        <w:rPr>
          <w:sz w:val="22"/>
          <w:szCs w:val="22"/>
        </w:rPr>
        <w:fldChar w:fldCharType="begin" w:fldLock="1"/>
      </w:r>
      <w:r w:rsidR="005676A9">
        <w:rPr>
          <w:sz w:val="22"/>
          <w:szCs w:val="22"/>
        </w:rPr>
        <w:instrText>ADDIN CSL_CITATION { "citationItems" : [ { "id" : "ITEM-1", "itemData" : { "DOI" : "10.1148/radiology.196.1.7784553", "ISSN" : "0033-8419", "PMID" : "7784553", "abstract" : "PURPOSE: To examine the extracellular (dispersed particles) and intracellular (phagocytosed particles) colloidal particle transport from subcutaneous tissue into the lymphatic system.\n\nMATERIALS AND METHODS: Perfluorocarbon emulsions LA11063 (mean particle diameter, 0.34 micron) and ZY12149 (mean particle diameter, 0.06 micron) were individually injected into the dorsal skin of the hind foot of rabbits. Lymph flow rates and particle concentrations were determined in prenodal lymph fluid after injection, with and without massage of the skin over the injection site.\n\nRESULTS: In the first 24 hours after injection, extracellular colloid flux was substantially larger than intracellular flux. Lymph flow rates and colloid concentrations increased substantially with massage. Extracellular LA11063 flux was smaller than ZY12149 flux, whereas intracellular LA11063 flux exceeded ZY12149 flux.\n\nCONCLUSION: Transport of colloids into lymphatic vessels is dependent on particle size. Both extracellular and intracellular pathways are utilized. External tissue movement contributes substantially to the rate of particle uptake via both pathways.", "author" : [ { "dropping-particle" : "", "family" : "Ikomi", "given" : "F", "non-dropping-particle" : "", "parse-names" : false, "suffix" : "" }, { "dropping-particle" : "", "family" : "Hanna", "given" : "G K", "non-dropping-particle" : "", "parse-names" : false, "suffix" : "" }, { "dropping-particle" : "", "family" : "Schmid-Sch\u00f6nbein", "given" : "G W", "non-dropping-particle" : "", "parse-names" : false, "suffix" : "" } ], "container-title" : "Radiology", "id" : "ITEM-1", "issue" : "1", "issued" : { "date-parts" : [ [ "1995", "7" ] ] }, "page" : "107-13", "title" : "Mechanism of colloidal particle uptake into the lymphatic system: basic study with percutaneous lymphography.", "type" : "article-journal", "volume" : "196" }, "uris" : [ "http://www.mendeley.com/documents/?uuid=39480935-2f49-4df8-98e8-b865a6598a09" ] } ], "mendeley" : { "formattedCitation" : "&lt;sup&gt;188&lt;/sup&gt;", "plainTextFormattedCitation" : "188", "previouslyFormattedCitation" : "&lt;sup&gt;188&lt;/sup&gt;" }, "properties" : { "noteIndex" : 0 }, "schema" : "https://github.com/citation-style-language/schema/raw/master/csl-citation.json" }</w:instrText>
      </w:r>
      <w:r w:rsidRPr="003E73CD">
        <w:rPr>
          <w:sz w:val="22"/>
          <w:szCs w:val="22"/>
        </w:rPr>
        <w:fldChar w:fldCharType="separate"/>
      </w:r>
      <w:r w:rsidR="00217FAC" w:rsidRPr="00217FAC">
        <w:rPr>
          <w:noProof/>
          <w:sz w:val="22"/>
          <w:szCs w:val="22"/>
          <w:vertAlign w:val="superscript"/>
        </w:rPr>
        <w:t>188</w:t>
      </w:r>
      <w:r w:rsidRPr="003E73CD">
        <w:rPr>
          <w:sz w:val="22"/>
          <w:szCs w:val="22"/>
        </w:rPr>
        <w:fldChar w:fldCharType="end"/>
      </w:r>
      <w:proofErr w:type="gramStart"/>
      <w:r w:rsidRPr="003E73CD">
        <w:rPr>
          <w:sz w:val="22"/>
          <w:szCs w:val="22"/>
        </w:rPr>
        <w:t xml:space="preserve">  By</w:t>
      </w:r>
      <w:proofErr w:type="gramEnd"/>
      <w:r w:rsidRPr="003E73CD">
        <w:rPr>
          <w:sz w:val="22"/>
          <w:szCs w:val="22"/>
        </w:rPr>
        <w:t xml:space="preserve"> measuring intra- and extracellular colloid within the lymph fluid they showed that for both colloids the volume passing via the extracellular pathway was greatest in the first 2 hours and then steadily declined.  The volume passing via the intracellular pathway increased to a peak at around 24 hours but remained lower than that via the extracellular pathway.  Assuming that these results translate to colloidal uptake in humans, the extracellular pathway would be the main uptake pathway occurring during lymphoscintigraphy.  It was also shown that the smaller particle colloid was able to enter the lymphatics more readily than the larger particle colloid and its extra-cellular concentration was 17.7 times greater 2 hours following injection (p &lt; 0.01).  Glass et al compared lymphoscintigraphic findings using filtered </w:t>
      </w:r>
      <w:r w:rsidRPr="003E73CD">
        <w:rPr>
          <w:sz w:val="22"/>
          <w:szCs w:val="22"/>
          <w:vertAlign w:val="superscript"/>
        </w:rPr>
        <w:t>99m</w:t>
      </w:r>
      <w:r w:rsidR="005746DA" w:rsidRPr="003E73CD">
        <w:rPr>
          <w:sz w:val="22"/>
          <w:szCs w:val="22"/>
        </w:rPr>
        <w:t>Tc sulph</w:t>
      </w:r>
      <w:r w:rsidRPr="003E73CD">
        <w:rPr>
          <w:sz w:val="22"/>
          <w:szCs w:val="22"/>
        </w:rPr>
        <w:t xml:space="preserve">ur colloid, </w:t>
      </w:r>
      <w:r w:rsidRPr="003E73CD">
        <w:rPr>
          <w:sz w:val="22"/>
          <w:szCs w:val="22"/>
          <w:vertAlign w:val="superscript"/>
        </w:rPr>
        <w:t>99m</w:t>
      </w:r>
      <w:r w:rsidRPr="003E73CD">
        <w:rPr>
          <w:sz w:val="22"/>
          <w:szCs w:val="22"/>
        </w:rPr>
        <w:t xml:space="preserve">Tc labeled nanocolloid of albumin, and </w:t>
      </w:r>
      <w:r w:rsidRPr="003E73CD">
        <w:rPr>
          <w:sz w:val="22"/>
          <w:szCs w:val="22"/>
          <w:vertAlign w:val="superscript"/>
        </w:rPr>
        <w:t>99m</w:t>
      </w:r>
      <w:r w:rsidRPr="003E73CD">
        <w:rPr>
          <w:sz w:val="22"/>
          <w:szCs w:val="22"/>
        </w:rPr>
        <w:t>Tc labeled human serum albumin.</w:t>
      </w:r>
      <w:r w:rsidRPr="003E73CD">
        <w:rPr>
          <w:sz w:val="22"/>
          <w:szCs w:val="22"/>
        </w:rPr>
        <w:fldChar w:fldCharType="begin" w:fldLock="1"/>
      </w:r>
      <w:r w:rsidR="005676A9">
        <w:rPr>
          <w:sz w:val="22"/>
          <w:szCs w:val="22"/>
        </w:rPr>
        <w:instrText>ADDIN CSL_CITATION { "citationItems" : [ { "id" : "ITEM-1", "itemData" : { "ISSN" : "0161-5505", "PMID" : "9669391", "abstract" : "UNLABELLED: Although lymphoscintigraphy is commonly used for the preoperative evaluation of patients with cutaneous melanoma and for intraoperative identification of sentinel lymph nodes, there is no consensus regarding the most useful radiopharmaceuticals or imaging times.\n\nMETHODS: Fifty-one consecutive patients with clinical American Joint Committee on Cancer Stage I or II melanoma were assigned to one of three groups of 17 for lymphoscintigraphy with one of three radiopharmaceuticals: 99mTc-albumin colloid (AC), 99mTc-human serum albumin (HSA) or 99mTc-sulfur colloid (SC). Colloidal agents were filtered through 0.2 microm filters. After injecting 18.5-30 MBq (500-800 microCi) of the radiopharmaceutical, dynamic monitoring over injection sites and node basins was performed to identify draining lymphatic channels and sentinel nodes. In addition, static digital and analog images were acquired from the injection site and draining node basins immediately after injection and at 30 min (early) and 2 to 4 hr (delayed) after injection. Dynamic and static images were analyzed to determine transit times to the sentinel node, the number of nodes visualized in early and delayed images, the quality of lymph node and lymph channel visualization, the sentinel-to-nonsentinel uptake ratios and the washout rates from injection sites.\n\nRESULTS: Early images with all three agents provided reliable identification of sentinel lymph nodes. Technetium-99m-HSA demonstrated faster washout rates from injection sites and better definition of lymph channels than either particulate agent, whereas particulate agents were retained longer in nodes and demonstrated more nodes in delayed images than in early images. All agents demonstrated lymph channels better in early images than in delayed images. In general, variations between patients exceeded differences between agents. Sentinel nodes could not be distinguished reliably from nonsentinel nodes in delayed images alone.\n\nCONCLUSION: All three agents are acceptable for cutaneous lymphoscintigraphy, but reliable identification of sentinel nodes and their afferent lymph channels requires early imaging. Delayed imaging or localization alone is unreliable and may lead to incorrect identification of the sentinel node.", "author" : [ { "dropping-particle" : "", "family" : "Glass", "given" : "E C", "non-dropping-particle" : "", "parse-names" : false, "suffix" : "" }, { "dropping-particle" : "", "family" : "Essner", "given" : "R", "non-dropping-particle" : "", "parse-names" : false, "suffix" : "" }, { "dropping-particle" : "", "family" : "Morton", "given" : "D L", "non-dropping-particle" : "", "parse-names" : false, "suffix" : "" } ], "container-title" : "Journal of nuclear medicine : official publication, Society of Nuclear Medicine", "id" : "ITEM-1", "issue" : "7", "issued" : { "date-parts" : [ [ "1998", "7" ] ] }, "page" : "1185-90", "title" : "Kinetics of three lymphoscintigraphic agents in patients with cutaneous melanoma.", "type" : "article-journal", "volume" : "39" }, "uris" : [ "http://www.mendeley.com/documents/?uuid=b6c53da9-9585-4cfa-bfc9-51d5b8642b5f" ] } ], "mendeley" : { "formattedCitation" : "&lt;sup&gt;186&lt;/sup&gt;", "plainTextFormattedCitation" : "186", "previouslyFormattedCitation" : "&lt;sup&gt;186&lt;/sup&gt;" }, "properties" : { "noteIndex" : 0 }, "schema" : "https://github.com/citation-style-language/schema/raw/master/csl-citation.json" }</w:instrText>
      </w:r>
      <w:r w:rsidRPr="003E73CD">
        <w:rPr>
          <w:sz w:val="22"/>
          <w:szCs w:val="22"/>
        </w:rPr>
        <w:fldChar w:fldCharType="separate"/>
      </w:r>
      <w:r w:rsidR="00217FAC" w:rsidRPr="00217FAC">
        <w:rPr>
          <w:noProof/>
          <w:sz w:val="22"/>
          <w:szCs w:val="22"/>
          <w:vertAlign w:val="superscript"/>
        </w:rPr>
        <w:t>186</w:t>
      </w:r>
      <w:r w:rsidRPr="003E73CD">
        <w:rPr>
          <w:sz w:val="22"/>
          <w:szCs w:val="22"/>
        </w:rPr>
        <w:fldChar w:fldCharType="end"/>
      </w:r>
      <w:proofErr w:type="gramStart"/>
      <w:r w:rsidRPr="003E73CD">
        <w:rPr>
          <w:sz w:val="22"/>
          <w:szCs w:val="22"/>
        </w:rPr>
        <w:t xml:space="preserve">  They</w:t>
      </w:r>
      <w:proofErr w:type="gramEnd"/>
      <w:r w:rsidRPr="003E73CD">
        <w:rPr>
          <w:sz w:val="22"/>
          <w:szCs w:val="22"/>
        </w:rPr>
        <w:t xml:space="preserve"> found that lymphatic channels were better defined using the human serum albumin whereas the particulate agents were retained within lymph nodes for longer.  All three agents did however provide reliable identification of sentinel nodes.  For lymphoscintigrams that detect uptake in more than one lymph node per field the identification of lymph nodes as either sentinel or non-</w:t>
      </w:r>
      <w:r w:rsidR="005746DA" w:rsidRPr="003E73CD">
        <w:rPr>
          <w:sz w:val="22"/>
          <w:szCs w:val="22"/>
        </w:rPr>
        <w:t>sentinel depends on the visualis</w:t>
      </w:r>
      <w:r w:rsidRPr="003E73CD">
        <w:rPr>
          <w:sz w:val="22"/>
          <w:szCs w:val="22"/>
        </w:rPr>
        <w:t>ation of channels, and in their absence</w:t>
      </w:r>
      <w:r w:rsidR="005746DA" w:rsidRPr="003E73CD">
        <w:rPr>
          <w:sz w:val="22"/>
          <w:szCs w:val="22"/>
        </w:rPr>
        <w:t>, is reliant upon the judg</w:t>
      </w:r>
      <w:r w:rsidRPr="003E73CD">
        <w:rPr>
          <w:sz w:val="22"/>
          <w:szCs w:val="22"/>
        </w:rPr>
        <w:t>ment of the nuclear medici</w:t>
      </w:r>
      <w:r w:rsidR="005746DA" w:rsidRPr="003E73CD">
        <w:rPr>
          <w:sz w:val="22"/>
          <w:szCs w:val="22"/>
        </w:rPr>
        <w:t>ne physician.  Improved visualis</w:t>
      </w:r>
      <w:r w:rsidRPr="003E73CD">
        <w:rPr>
          <w:sz w:val="22"/>
          <w:szCs w:val="22"/>
        </w:rPr>
        <w:t>ation of channels with smaller particle coll</w:t>
      </w:r>
      <w:r w:rsidR="005746DA" w:rsidRPr="003E73CD">
        <w:rPr>
          <w:sz w:val="22"/>
          <w:szCs w:val="22"/>
        </w:rPr>
        <w:t>oids suggests that there is the</w:t>
      </w:r>
      <w:r w:rsidRPr="003E73CD">
        <w:rPr>
          <w:sz w:val="22"/>
          <w:szCs w:val="22"/>
        </w:rPr>
        <w:t>oretically a higher risk of incorrect identification of sentinel nodes with larger particle radiocolloids.  Unfortunately licensing variations between different countries rather than evidence-based choices have determined the existing geographical variability in tracer use for lymphoscintigraphy.</w:t>
      </w:r>
    </w:p>
    <w:p w14:paraId="0B3FBFAA" w14:textId="5420F843" w:rsidR="0061482C" w:rsidRPr="003E73CD" w:rsidRDefault="0061482C" w:rsidP="0061482C">
      <w:pPr>
        <w:pStyle w:val="BodyText"/>
        <w:ind w:firstLine="720"/>
        <w:rPr>
          <w:rFonts w:ascii="Cambria" w:hAnsi="Cambria"/>
          <w:szCs w:val="22"/>
        </w:rPr>
      </w:pPr>
      <w:r w:rsidRPr="003E73CD">
        <w:rPr>
          <w:rFonts w:ascii="Cambria" w:hAnsi="Cambria"/>
          <w:szCs w:val="22"/>
        </w:rPr>
        <w:t xml:space="preserve">For any radiocolloid, the radioactivity must be attached to the colloid in order for uptake to occur mainly via the lymphatics.  </w:t>
      </w:r>
      <w:proofErr w:type="gramStart"/>
      <w:r w:rsidRPr="003E73CD">
        <w:rPr>
          <w:rFonts w:ascii="Cambria" w:hAnsi="Cambria"/>
          <w:szCs w:val="22"/>
        </w:rPr>
        <w:t>Free radioactive particles will be taken up by non-lymphatic tissues and produce confusing lymphoscintigrams</w:t>
      </w:r>
      <w:proofErr w:type="gramEnd"/>
      <w:r w:rsidR="00DD5F0C">
        <w:rPr>
          <w:rFonts w:ascii="Cambria" w:hAnsi="Cambria"/>
          <w:szCs w:val="22"/>
        </w:rPr>
        <w:t>.  Figure 1.3</w:t>
      </w:r>
      <w:r w:rsidR="00E84AB5" w:rsidRPr="003E73CD">
        <w:rPr>
          <w:rFonts w:ascii="Cambria" w:hAnsi="Cambria"/>
          <w:szCs w:val="22"/>
        </w:rPr>
        <w:t>.1</w:t>
      </w:r>
      <w:r w:rsidRPr="003E73CD">
        <w:rPr>
          <w:rFonts w:ascii="Cambria" w:hAnsi="Cambria"/>
          <w:szCs w:val="22"/>
        </w:rPr>
        <w:t xml:space="preserve"> shows a lymphoscintigram produced by injection at an excision biopsy site lateral to the right eye.  Uptake of tracer can be seen in the pre-auricular region but also in the tissues of the mouth and in the lower neck on the contralateral side of the midline.  The uptake in the lower neck was not in lymph nodes but in the left lobe of the thyroid gland.  There was no uptake in the right lobe of the thyroid because the patient had previously had a right hemithyroidectomy.  Quality testing of the radiocolloid used in this case revealed considerable free technetium pertechnetate.</w:t>
      </w:r>
    </w:p>
    <w:p w14:paraId="27A89867" w14:textId="340E8393" w:rsidR="0061482C" w:rsidRPr="003E73CD" w:rsidRDefault="00FB0F78" w:rsidP="0061482C">
      <w:pPr>
        <w:spacing w:line="480" w:lineRule="auto"/>
        <w:rPr>
          <w:sz w:val="22"/>
          <w:szCs w:val="22"/>
        </w:rPr>
      </w:pPr>
      <w:r w:rsidRPr="003E73CD">
        <w:rPr>
          <w:sz w:val="22"/>
          <w:szCs w:val="22"/>
        </w:rPr>
        <w:tab/>
        <w:t xml:space="preserve">A radiopharmaceutical that has been specifically engineered </w:t>
      </w:r>
      <w:r w:rsidR="002C428F" w:rsidRPr="003E73CD">
        <w:rPr>
          <w:sz w:val="22"/>
          <w:szCs w:val="22"/>
        </w:rPr>
        <w:t xml:space="preserve">for </w:t>
      </w:r>
      <w:r w:rsidRPr="003E73CD">
        <w:rPr>
          <w:sz w:val="22"/>
          <w:szCs w:val="22"/>
        </w:rPr>
        <w:t>lymphoscintigraphy and sentinel node biopsy has been developed and tested in randomized trials.</w:t>
      </w:r>
      <w:r w:rsidR="006E7542" w:rsidRPr="003E73CD">
        <w:rPr>
          <w:sz w:val="22"/>
          <w:szCs w:val="22"/>
        </w:rPr>
        <w:fldChar w:fldCharType="begin" w:fldLock="1"/>
      </w:r>
      <w:r w:rsidR="005676A9">
        <w:rPr>
          <w:sz w:val="22"/>
          <w:szCs w:val="22"/>
        </w:rPr>
        <w:instrText>ADDIN CSL_CITATION { "citationItems" : [ { "id" : "ITEM-1", "itemData" : { "DOI" : "10.1245/s10434-012-2612-z", "ISSN" : "1534-4681", "PMID" : "23054107", "abstract" : "BACKGROUND: [(99m)Tc]Tilmanocept is a CD206 receptor-targeted radiopharmaceutical designed for sentinel lymph node (SLN) identification. Two nearly identical nonrandomized phase III trials compared [(99m)Tc]tilmanocept to vital blue dye.\n\nMETHODS: Patients received [(99m)Tc]tilmanocept and blue dye. SLNs identified intraoperatively as radioactive and/or blue were excised and histologically examined. The primary end point, concordance, was the proportion of blue nodes detected by [(99m)Tc]tilmanocept; 90 % concordance was the prespecified minimum concordance level. Reverse concordance, the proportion of radioactive nodes detected by blue dye, was also calculated. The prospective statistical plan combined the data from both trials.\n\nRESULTS: Fifteen centers contributed 154 melanoma patients who were injected with both agents and were intraoperatively evaluated. Intraoperatively, 232 of 235 blue nodes were detected by [(99m)Tc]tilmanocept, for 98.7 % concordance (p &lt; 0.001). [(99m)Tc]Tilmanocept detected 364 nodes, for 63.7 % reverse concordance (232 of 364 nodes). [(99m)Tc]Tilmanocept detected at least one node in more patients (n = 150) than blue dye (n = 138, p = 0.002). In 135 of 138 patients with at least one blue node, all blue nodes were radioactive. Melanoma was identified in the SLNs of 22.1 % of patients; all 45 melanoma-positive SLNs were detected by [(99m)Tc]tilmanocept, whereas blue dye detected only 36 (80 %) of 45 (p = 0.004). No positive SLNs were detected exclusively by blue dye. Four of 34 node-positive patients were identified only by [(99m)Tc]tilmanocept, so 4 (2.6 %) of 154 patients were correctly staged only by [(99m)Tc]tilmanocept. No serious adverse events were attributed to [(99m)Tc]tilmanocept.\n\nCONCLUSIONS: [(99m)Tc]Tilmanocept met the prespecified concordance primary end point, identifying 98.7 % of blue nodes. It identified more SLNs in more patients, and identified more melanoma-containing nodes than blue dye.", "author" : [ { "dropping-particle" : "", "family" : "Sondak", "given" : "Vernon K", "non-dropping-particle" : "", "parse-names" : false, "suffix" : "" }, { "dropping-particle" : "", "family" : "King", "given" : "Dennis W", "non-dropping-particle" : "", "parse-names" : false, "suffix" : "" }, { "dropping-particle" : "", "family" : "Zager", "given" : "Jonathan S", "non-dropping-particle" : "", "parse-names" : false, "suffix" : "" }, { "dropping-particle" : "", "family" : "Schneebaum", "given" : "Schlomo", "non-dropping-particle" : "", "parse-names" : false, "suffix" : "" }, { "dropping-particle" : "", "family" : "Kim", "given" : "Julian", "non-dropping-particle" : "", "parse-names" : false, "suffix" : "" }, { "dropping-particle" : "", "family" : "Leong", "given" : "Stanley P L", "non-dropping-particle" : "", "parse-names" : false, "suffix" : "" }, { "dropping-particle" : "", "family" : "Faries", "given" : "Mark B", "non-dropping-particle" : "", "parse-names" : false, "suffix" : "" }, { "dropping-particle" : "", "family" : "Averbook", "given" : "Bruce J", "non-dropping-particle" : "", "parse-names" : false, "suffix" : "" }, { "dropping-particle" : "", "family" : "Martinez", "given" : "Steve R", "non-dropping-particle" : "", "parse-names" : false, "suffix" : "" }, { "dropping-particle" : "", "family" : "Puleo", "given" : "Christopher A", "non-dropping-particle" : "", "parse-names" : false, "suffix" : "" }, { "dropping-particle" : "", "family" : "Messina", "given" : "Jane L", "non-dropping-particle" : "", "parse-names" : false, "suffix" : "" }, { "dropping-particle" : "", "family" : "Christman", "given" : "Lori", "non-dropping-particle" : "", "parse-names" : false, "suffix" : "" }, { "dropping-particle" : "", "family" : "Wallace", "given" : "Anne M", "non-dropping-particle" : "", "parse-names" : false, "suffix" : "" } ], "container-title" : "Annals of surgical oncology", "id" : "ITEM-1", "issue" : "2", "issued" : { "date-parts" : [ [ "2013", "2" ] ] }, "page" : "680-8", "title" : "Combined analysis of phase III trials evaluating [\u2079\u2079mTc]tilmanocept and vital blue dye for identification of sentinel lymph nodes in clinically node-negative cutaneous melanoma.", "type" : "article-journal", "volume" : "20" }, "uris" : [ "http://www.mendeley.com/documents/?uuid=fe1af0f8-11d4-4247-ae2e-0b44619e03d5" ] } ], "mendeley" : { "formattedCitation" : "&lt;sup&gt;189&lt;/sup&gt;", "plainTextFormattedCitation" : "189", "previouslyFormattedCitation" : "&lt;sup&gt;189&lt;/sup&gt;" }, "properties" : { "noteIndex" : 0 }, "schema" : "https://github.com/citation-style-language/schema/raw/master/csl-citation.json" }</w:instrText>
      </w:r>
      <w:r w:rsidR="006E7542" w:rsidRPr="003E73CD">
        <w:rPr>
          <w:sz w:val="22"/>
          <w:szCs w:val="22"/>
        </w:rPr>
        <w:fldChar w:fldCharType="separate"/>
      </w:r>
      <w:r w:rsidR="00217FAC" w:rsidRPr="00217FAC">
        <w:rPr>
          <w:noProof/>
          <w:sz w:val="22"/>
          <w:szCs w:val="22"/>
          <w:vertAlign w:val="superscript"/>
        </w:rPr>
        <w:t>189</w:t>
      </w:r>
      <w:r w:rsidR="006E7542" w:rsidRPr="003E73CD">
        <w:rPr>
          <w:sz w:val="22"/>
          <w:szCs w:val="22"/>
        </w:rPr>
        <w:fldChar w:fldCharType="end"/>
      </w:r>
      <w:proofErr w:type="gramStart"/>
      <w:r w:rsidRPr="003E73CD">
        <w:rPr>
          <w:sz w:val="22"/>
          <w:szCs w:val="22"/>
        </w:rPr>
        <w:t xml:space="preserve">  </w:t>
      </w:r>
      <w:r w:rsidRPr="003E73CD">
        <w:rPr>
          <w:sz w:val="22"/>
          <w:szCs w:val="22"/>
          <w:vertAlign w:val="superscript"/>
        </w:rPr>
        <w:t>99m</w:t>
      </w:r>
      <w:r w:rsidRPr="003E73CD">
        <w:rPr>
          <w:sz w:val="22"/>
          <w:szCs w:val="22"/>
        </w:rPr>
        <w:t>Technetium</w:t>
      </w:r>
      <w:proofErr w:type="gramEnd"/>
      <w:r w:rsidR="006E7542" w:rsidRPr="003E73CD">
        <w:rPr>
          <w:sz w:val="22"/>
          <w:szCs w:val="22"/>
        </w:rPr>
        <w:t>-</w:t>
      </w:r>
      <w:r w:rsidRPr="003E73CD">
        <w:rPr>
          <w:sz w:val="22"/>
          <w:szCs w:val="22"/>
        </w:rPr>
        <w:t>labeled Tilmanocept is composed of a dextran backbone and has diethylene-triam</w:t>
      </w:r>
      <w:r w:rsidR="002C428F" w:rsidRPr="003E73CD">
        <w:rPr>
          <w:sz w:val="22"/>
          <w:szCs w:val="22"/>
        </w:rPr>
        <w:t>ine-pentaacetic acid groups that</w:t>
      </w:r>
      <w:r w:rsidRPr="003E73CD">
        <w:rPr>
          <w:sz w:val="22"/>
          <w:szCs w:val="22"/>
        </w:rPr>
        <w:t xml:space="preserve"> tightly bind the </w:t>
      </w:r>
      <w:r w:rsidRPr="003E73CD">
        <w:rPr>
          <w:sz w:val="22"/>
          <w:szCs w:val="22"/>
          <w:vertAlign w:val="superscript"/>
        </w:rPr>
        <w:t>99m</w:t>
      </w:r>
      <w:r w:rsidRPr="003E73CD">
        <w:rPr>
          <w:sz w:val="22"/>
          <w:szCs w:val="22"/>
        </w:rPr>
        <w:t>Technetium</w:t>
      </w:r>
      <w:r w:rsidR="002C428F" w:rsidRPr="003E73CD">
        <w:rPr>
          <w:sz w:val="22"/>
          <w:szCs w:val="22"/>
        </w:rPr>
        <w:t xml:space="preserve">.  It also has </w:t>
      </w:r>
      <w:r w:rsidRPr="003E73CD">
        <w:rPr>
          <w:sz w:val="22"/>
          <w:szCs w:val="22"/>
        </w:rPr>
        <w:t xml:space="preserve">mannose groups, which bind to mannose receptors on the surface of reticuloendothelial cells that are present in lymph nodes.  It has a small diameter (7.1nm) and can therefore enter lymphatics readily.  Its affinity for reticuloendothelial cells </w:t>
      </w:r>
      <w:r w:rsidR="002C428F" w:rsidRPr="003E73CD">
        <w:rPr>
          <w:sz w:val="22"/>
          <w:szCs w:val="22"/>
        </w:rPr>
        <w:t xml:space="preserve">may mean that it is held within the sentinel node with limited uptake in second tier nodes.  It </w:t>
      </w:r>
      <w:proofErr w:type="gramStart"/>
      <w:r w:rsidR="002C428F" w:rsidRPr="003E73CD">
        <w:rPr>
          <w:sz w:val="22"/>
          <w:szCs w:val="22"/>
        </w:rPr>
        <w:t>has been shown to be retained</w:t>
      </w:r>
      <w:proofErr w:type="gramEnd"/>
      <w:r w:rsidR="002C428F" w:rsidRPr="003E73CD">
        <w:rPr>
          <w:sz w:val="22"/>
          <w:szCs w:val="22"/>
        </w:rPr>
        <w:t xml:space="preserve"> in sentinel nodes for up to 30 hours.</w:t>
      </w:r>
      <w:r w:rsidR="006E7542" w:rsidRPr="003E73CD">
        <w:rPr>
          <w:sz w:val="22"/>
          <w:szCs w:val="22"/>
        </w:rPr>
        <w:t xml:space="preserve">  Further trials with this radiopharmaceutical will be required to confirm its comparability to established </w:t>
      </w:r>
      <w:r w:rsidR="001304EE" w:rsidRPr="003E73CD">
        <w:rPr>
          <w:sz w:val="22"/>
          <w:szCs w:val="22"/>
        </w:rPr>
        <w:t>tracers.</w:t>
      </w:r>
    </w:p>
    <w:p w14:paraId="09EB7160" w14:textId="77777777" w:rsidR="0061482C" w:rsidRPr="003E73CD" w:rsidRDefault="0061482C" w:rsidP="0061482C">
      <w:pPr>
        <w:spacing w:line="480" w:lineRule="auto"/>
        <w:rPr>
          <w:sz w:val="22"/>
          <w:szCs w:val="22"/>
        </w:rPr>
      </w:pPr>
    </w:p>
    <w:p w14:paraId="28692E11" w14:textId="77777777" w:rsidR="0061482C" w:rsidRPr="003E73CD" w:rsidRDefault="0061482C" w:rsidP="0061482C">
      <w:pPr>
        <w:spacing w:line="480" w:lineRule="auto"/>
        <w:rPr>
          <w:sz w:val="22"/>
          <w:szCs w:val="22"/>
        </w:rPr>
      </w:pPr>
    </w:p>
    <w:p w14:paraId="661912DF" w14:textId="77777777" w:rsidR="0061482C" w:rsidRPr="003E73CD" w:rsidRDefault="0061482C" w:rsidP="0061482C">
      <w:pPr>
        <w:spacing w:line="480" w:lineRule="auto"/>
        <w:rPr>
          <w:sz w:val="22"/>
          <w:szCs w:val="22"/>
        </w:rPr>
      </w:pPr>
    </w:p>
    <w:p w14:paraId="332B6505" w14:textId="77777777" w:rsidR="005746DA" w:rsidRPr="003E73CD" w:rsidRDefault="005746DA">
      <w:pPr>
        <w:rPr>
          <w:sz w:val="22"/>
          <w:szCs w:val="22"/>
        </w:rPr>
      </w:pPr>
      <w:r w:rsidRPr="003E73CD">
        <w:rPr>
          <w:sz w:val="22"/>
          <w:szCs w:val="22"/>
        </w:rPr>
        <w:br w:type="page"/>
      </w:r>
    </w:p>
    <w:p w14:paraId="6AF5E6E7" w14:textId="2B95F6DC" w:rsidR="0061482C" w:rsidRPr="003E73CD" w:rsidRDefault="0061482C" w:rsidP="0061482C">
      <w:pPr>
        <w:spacing w:line="480" w:lineRule="auto"/>
        <w:rPr>
          <w:sz w:val="22"/>
          <w:szCs w:val="22"/>
        </w:rPr>
      </w:pPr>
      <w:r w:rsidRPr="003E73CD">
        <w:rPr>
          <w:sz w:val="22"/>
          <w:szCs w:val="22"/>
        </w:rPr>
        <w:t xml:space="preserve">Figure </w:t>
      </w:r>
      <w:r w:rsidR="00DD5F0C">
        <w:rPr>
          <w:sz w:val="22"/>
          <w:szCs w:val="22"/>
        </w:rPr>
        <w:t>1.3</w:t>
      </w:r>
      <w:r w:rsidR="00E84AB5" w:rsidRPr="003E73CD">
        <w:rPr>
          <w:sz w:val="22"/>
          <w:szCs w:val="22"/>
        </w:rPr>
        <w:t>.1</w:t>
      </w:r>
      <w:r w:rsidRPr="003E73CD">
        <w:rPr>
          <w:sz w:val="22"/>
          <w:szCs w:val="22"/>
        </w:rPr>
        <w:t>.  Lymphoscintigram showing injection of radiocolloid at a primary tumour site lateral to the right eye with uptake in the pre-auricular region, the tissues of the mouth and the contralateral lower neck.  The lower neck uptake was in the left lobe of the thyroid gland (the patient had had the right lobe resected previously).  Quality testing of the radiocolloid revealed considerable free technetium pertechnetate as the cause of this anomalous uptake.</w:t>
      </w:r>
    </w:p>
    <w:p w14:paraId="76A8095A" w14:textId="77777777" w:rsidR="0061482C" w:rsidRPr="003E73CD" w:rsidRDefault="0061482C" w:rsidP="0061482C">
      <w:pPr>
        <w:spacing w:line="480" w:lineRule="auto"/>
        <w:rPr>
          <w:sz w:val="22"/>
          <w:szCs w:val="22"/>
        </w:rPr>
      </w:pPr>
      <w:r w:rsidRPr="003E73CD">
        <w:rPr>
          <w:noProof/>
          <w:sz w:val="22"/>
          <w:szCs w:val="22"/>
        </w:rPr>
        <w:drawing>
          <wp:inline distT="0" distB="0" distL="0" distR="0" wp14:anchorId="48655BCB" wp14:editId="1A558B06">
            <wp:extent cx="3544147" cy="2799808"/>
            <wp:effectExtent l="0" t="0" r="1206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544147" cy="2799808"/>
                    </a:xfrm>
                    <a:prstGeom prst="rect">
                      <a:avLst/>
                    </a:prstGeom>
                    <a:noFill/>
                    <a:ln>
                      <a:noFill/>
                    </a:ln>
                  </pic:spPr>
                </pic:pic>
              </a:graphicData>
            </a:graphic>
          </wp:inline>
        </w:drawing>
      </w:r>
    </w:p>
    <w:p w14:paraId="277BAF04" w14:textId="2566C902" w:rsidR="0061482C" w:rsidRPr="003E73CD" w:rsidRDefault="00CE026D" w:rsidP="0061482C">
      <w:pPr>
        <w:spacing w:line="480" w:lineRule="auto"/>
        <w:rPr>
          <w:sz w:val="22"/>
          <w:szCs w:val="22"/>
        </w:rPr>
      </w:pPr>
      <w:r w:rsidRPr="003E73CD">
        <w:rPr>
          <w:noProof/>
          <w:sz w:val="22"/>
          <w:szCs w:val="22"/>
        </w:rPr>
        <w:drawing>
          <wp:inline distT="0" distB="0" distL="0" distR="0" wp14:anchorId="733A0B32" wp14:editId="4B0BDEA9">
            <wp:extent cx="3201247" cy="325676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02228" cy="3257759"/>
                    </a:xfrm>
                    <a:prstGeom prst="rect">
                      <a:avLst/>
                    </a:prstGeom>
                    <a:noFill/>
                    <a:ln>
                      <a:noFill/>
                    </a:ln>
                  </pic:spPr>
                </pic:pic>
              </a:graphicData>
            </a:graphic>
          </wp:inline>
        </w:drawing>
      </w:r>
    </w:p>
    <w:p w14:paraId="4EF606E4" w14:textId="536A05A1" w:rsidR="0061482C" w:rsidRPr="003E73CD" w:rsidRDefault="0061482C" w:rsidP="0061482C">
      <w:pPr>
        <w:spacing w:line="480" w:lineRule="auto"/>
        <w:rPr>
          <w:sz w:val="22"/>
          <w:szCs w:val="22"/>
        </w:rPr>
      </w:pPr>
    </w:p>
    <w:p w14:paraId="4F733BE2" w14:textId="77777777" w:rsidR="0061482C" w:rsidRPr="003E73CD" w:rsidRDefault="0061482C" w:rsidP="0061482C">
      <w:pPr>
        <w:spacing w:line="480" w:lineRule="auto"/>
        <w:rPr>
          <w:sz w:val="22"/>
          <w:szCs w:val="22"/>
        </w:rPr>
      </w:pPr>
    </w:p>
    <w:p w14:paraId="5AA7D8A5" w14:textId="77777777" w:rsidR="0061482C" w:rsidRPr="003E73CD" w:rsidRDefault="0061482C" w:rsidP="0061482C">
      <w:pPr>
        <w:pStyle w:val="Heading2"/>
        <w:spacing w:line="480" w:lineRule="auto"/>
        <w:rPr>
          <w:rFonts w:ascii="Cambria" w:hAnsi="Cambria"/>
          <w:sz w:val="22"/>
          <w:szCs w:val="22"/>
        </w:rPr>
      </w:pPr>
      <w:r w:rsidRPr="003E73CD">
        <w:rPr>
          <w:rFonts w:ascii="Cambria" w:hAnsi="Cambria"/>
          <w:sz w:val="22"/>
          <w:szCs w:val="22"/>
        </w:rPr>
        <w:t>Injection technique</w:t>
      </w:r>
    </w:p>
    <w:p w14:paraId="742F27BA" w14:textId="77777777" w:rsidR="0061482C" w:rsidRPr="003E73CD" w:rsidRDefault="0061482C" w:rsidP="0061482C">
      <w:pPr>
        <w:spacing w:line="480" w:lineRule="auto"/>
        <w:ind w:firstLine="720"/>
        <w:rPr>
          <w:sz w:val="22"/>
          <w:szCs w:val="22"/>
          <w:lang w:val="en-AU"/>
        </w:rPr>
      </w:pPr>
      <w:r w:rsidRPr="003E73CD">
        <w:rPr>
          <w:sz w:val="22"/>
          <w:szCs w:val="22"/>
          <w:lang w:val="en-AU"/>
        </w:rPr>
        <w:t>The lymph nodes that are identified by lymphoscintigraphy correspond to the lymph nodes that drain the area of skin throughout which the injected radioactive colloid has been dissipated, taken up and transported in sufficient concentration to produce a detectable image.  This area of skin cannot be assumed to correspond exactly to the skin affected by tumour.  However, the technique of up to four injections around the tumour site is designed to ensure that it at least includes the tumour-containing skin.  The implications of this are that there may be drainage from areas of skin around the tumour site to lymph nodes that do not also drain the tumour-containing skin.  The lymph nodes receiving drainage from such skin will be identified as sentinel nodes by lymphoscintigraphy when in fact they are not true sentinel nodes.  This limitation of lymphoscintigraphy applies equally to the technique of intra-operative mapping with blue dye.  In practical terms this is not a problem when only one or two sentinel nodes are identified, but could have a significant impact when high numbers of sentinel nodes are identified.</w:t>
      </w:r>
    </w:p>
    <w:p w14:paraId="5013F917" w14:textId="16431A25" w:rsidR="0061482C" w:rsidRPr="003E73CD" w:rsidRDefault="0061482C" w:rsidP="0061482C">
      <w:pPr>
        <w:spacing w:line="480" w:lineRule="auto"/>
        <w:ind w:firstLine="720"/>
        <w:rPr>
          <w:sz w:val="22"/>
          <w:szCs w:val="22"/>
        </w:rPr>
      </w:pPr>
      <w:r w:rsidRPr="003E73CD">
        <w:rPr>
          <w:sz w:val="22"/>
          <w:szCs w:val="22"/>
        </w:rPr>
        <w:t>Factors such as the speed and volume of injection will to some extent determine the area over which the tracer dissipates and could therefore affect the accuracy of the lymphoscintigram.  The typical volume that is injected varies from 0.05 to 0.1ml.  The typical volume of blue dye injected is much higher and typically ranges from 0.5 to 1.0ml.  The Italian multicentre SOLISM-IMI study investigated the effects of lymphoscintigraphy technique on the outcome of sentinel node biopsy in 1313 melanoma patients.</w:t>
      </w:r>
      <w:r w:rsidRPr="003E73CD">
        <w:rPr>
          <w:sz w:val="22"/>
          <w:szCs w:val="22"/>
        </w:rPr>
        <w:fldChar w:fldCharType="begin" w:fldLock="1"/>
      </w:r>
      <w:r w:rsidR="00217FAC">
        <w:rPr>
          <w:sz w:val="22"/>
          <w:szCs w:val="22"/>
        </w:rPr>
        <w:instrText>ADDIN CSL_CITATION { "citationItems" : [ { "id" : "ITEM-1", "itemData" : { "ISSN" : "0161-5505", "PMID" : "16455628", "abstract" : "UNLABELLED: An observational multicentric Italian trial on sentinel node biopsy (SNB) in melanoma patients was performed to diffuse a common SNB protocol nationwide (Italy). We report herein the results of this trial. The influence of some technical aspects on the outcome of SNB was also investigated, because a certain degree of variability was accepted in performing lymphoscintigraphy.\n\nMETHODS: From January 2000 to December 2002, 1,313 consecutive patients with primary cutaneous melanoma (Breslow thickness, &gt;1.0 mm or &lt;1.0 mm but with ulceration, Clark level IV-V, presence of regression) were enrolled by 23 centers. One half to 1 mL of 99mTc-labeled human albumin colloid, at a suggested dosage of 5-15 or 30-70 MBq, was injected intradermally, closely around the scar, the same day or the day before SNB. Intraoperatively, Patent blue was associated when a definitive wide excision of the primary was required. A positive sentinel node (SN) was defined when containing melanoma cells detected by either hematoxylin-eosin or immunohistochemistry (S100 and HMB45 antibodies). All patients underwent regular follow-up. False-negative cases were considered when lymph node metastases occurred in the same lymphatic basin of SN biopsy (SNB) during follow-up. A quality control program has been performed for the surgical procedure and for the histologic diagnosis.\n\nRESULTS: The SN identification rate was 99.3%. The axilla was the site of the SN in 52.5% of the cases. The mean number of SNs was 2.0 (range, 1-17) and only 1 node was removed in 45.4%. The positivity and false-negative rates were 16.9% and 14.7%, respectively (median follow-up, 31 mo). On multivariate analysis (logistic and linear regression) only the number of peritumor injections was inversely associated with the number of excised SNs (P = 0.002), whereas none of the technical variables showed an independent impact on SN status when Breslow thickness was included as a control variable.\n\nCONCLUSION: The number of peritumor injections seems to influence the outcome of lymphoscintigrapy in melanoma patients undergoing SNB. If these results are confirmed in a controlled trial, 3 injections at least should be recommended.", "author" : [ { "dropping-particle" : "", "family" : "Rossi", "given" : "Carlo Riccardo", "non-dropping-particle" : "", "parse-names" : false, "suffix" : "" }, { "dropping-particle" : "", "family" : "Salvo", "given" : "Gian Luca", "non-dropping-particle" : "De", "parse-names" : false, "suffix" : "" }, { "dropping-particle" : "", "family" : "Trifir\u00f2", "given" : "Giuseppe", "non-dropping-particle" : "", "parse-names" : false, "suffix" : "" }, { "dropping-particle" : "", "family" : "Mocellin", "given" : "Simone", "non-dropping-particle" : "", "parse-names" : false, "suffix" : "" }, { "dropping-particle" : "", "family" : "Landi", "given" : "Giorgio", "non-dropping-particle" : "", "parse-names" : false, "suffix" : "" }, { "dropping-particle" : "", "family" : "Macrip\u00f2", "given" : "Giuseppe", "non-dropping-particle" : "", "parse-names" : false, "suffix" : "" }, { "dropping-particle" : "", "family" : "Carcoforo", "given" : "Paolo", "non-dropping-particle" : "", "parse-names" : false, "suffix" : "" }, { "dropping-particle" : "", "family" : "Ricotti", "given" : "Giuseppe", "non-dropping-particle" : "", "parse-names" : false, "suffix" : "" }, { "dropping-particle" : "", "family" : "Giudice", "given" : "Giuseppe", "non-dropping-particle" : "", "parse-names" : false, "suffix" : "" }, { "dropping-particle" : "", "family" : "Picciotto", "given" : "Franco", "non-dropping-particle" : "", "parse-names" : false, "suffix" : "" }, { "dropping-particle" : "", "family" : "Donner", "given" : "Davide", "non-dropping-particle" : "", "parse-names" : false, "suffix" : "" }, { "dropping-particle" : "", "family" : "Filippo", "given" : "Franco", "non-dropping-particle" : "Di", "parse-names" : false, "suffix" : "" }, { "dropping-particle" : "", "family" : "Montesco", "given" : "Maria Cristina", "non-dropping-particle" : "", "parse-names" : false, "suffix" : "" }, { "dropping-particle" : "", "family" : "Casara", "given" : "Dario", "non-dropping-particle" : "", "parse-names" : false, "suffix" : "" }, { "dropping-particle" : "", "family" : "Schiavon", "given" : "Mauro", "non-dropping-particle" : "", "parse-names" : false, "suffix" : "" }, { "dropping-particle" : "", "family" : "Foletto", "given" : "Mirto", "non-dropping-particle" : "", "parse-names" : false, "suffix" : "" }, { "dropping-particle" : "", "family" : "Baldini", "given" : "Federica", "non-dropping-particle" : "", "parse-names" : false, "suffix" : "" }, { "dropping-particle" : "", "family" : "Testori", "given" : "Alessandro", "non-dropping-particle" : "", "parse-names" : false, "suffix" : "" } ], "container-title" : "Journal of nuclear medicine : official publication, Society of Nuclear Medicine", "id" : "ITEM-1", "issue" : "2", "issued" : { "date-parts" : [ [ "2006", "2" ] ] }, "page" : "234-41", "title" : "The impact of lymphoscintigraphy technique on the outcome of sentinel node biopsy in 1,313 patients with cutaneous melanoma: an Italian Multicentric Study (SOLISM-IMI).", "type" : "article-journal", "volume" : "47" }, "uris" : [ "http://www.mendeley.com/documents/?uuid=bfbd9b14-bdef-4aa8-9492-8e58eb8d3469" ] } ], "mendeley" : { "formattedCitation" : "&lt;sup&gt;128&lt;/sup&gt;", "plainTextFormattedCitation" : "128", "previouslyFormattedCitation" : "&lt;sup&gt;128&lt;/sup&gt;" }, "properties" : { "noteIndex" : 0 }, "schema" : "https://github.com/citation-style-language/schema/raw/master/csl-citation.json" }</w:instrText>
      </w:r>
      <w:r w:rsidRPr="003E73CD">
        <w:rPr>
          <w:sz w:val="22"/>
          <w:szCs w:val="22"/>
        </w:rPr>
        <w:fldChar w:fldCharType="separate"/>
      </w:r>
      <w:r w:rsidR="00CE2A17" w:rsidRPr="00CE2A17">
        <w:rPr>
          <w:noProof/>
          <w:sz w:val="22"/>
          <w:szCs w:val="22"/>
          <w:vertAlign w:val="superscript"/>
        </w:rPr>
        <w:t>128</w:t>
      </w:r>
      <w:r w:rsidRPr="003E73CD">
        <w:rPr>
          <w:sz w:val="22"/>
          <w:szCs w:val="22"/>
        </w:rPr>
        <w:fldChar w:fldCharType="end"/>
      </w:r>
      <w:proofErr w:type="gramStart"/>
      <w:r w:rsidRPr="003E73CD">
        <w:rPr>
          <w:sz w:val="22"/>
          <w:szCs w:val="22"/>
        </w:rPr>
        <w:t xml:space="preserve">  The</w:t>
      </w:r>
      <w:proofErr w:type="gramEnd"/>
      <w:r w:rsidRPr="003E73CD">
        <w:rPr>
          <w:sz w:val="22"/>
          <w:szCs w:val="22"/>
        </w:rPr>
        <w:t xml:space="preserve"> number and volume of injections and the dose of radiation were recorded.  In this study patients who received &lt;3 peritumoral injections of radiocolloid had a higher number of sentinel nodes excised than those who received &gt;3 injections.  However, when sentinel node positivity was examined in relation to the number of peritumoral injections a univariate analysis found that those patients receiving &lt;3 injections had a lower rate of sentinel node positivity.  The significance of this factor disappeared following inclusion of Breslow thickness in a multivariate analysis.  Other factors such as hyperthermia and massage are also known to affect the speed of uptake of th</w:t>
      </w:r>
      <w:r w:rsidR="00F96477" w:rsidRPr="003E73CD">
        <w:rPr>
          <w:sz w:val="22"/>
          <w:szCs w:val="22"/>
        </w:rPr>
        <w:t>e radiocolloid and may have an e</w:t>
      </w:r>
      <w:r w:rsidRPr="003E73CD">
        <w:rPr>
          <w:sz w:val="22"/>
          <w:szCs w:val="22"/>
        </w:rPr>
        <w:t>f</w:t>
      </w:r>
      <w:r w:rsidR="00F96477" w:rsidRPr="003E73CD">
        <w:rPr>
          <w:sz w:val="22"/>
          <w:szCs w:val="22"/>
        </w:rPr>
        <w:t>fect on the area of dissipation</w:t>
      </w:r>
      <w:r w:rsidRPr="003E73CD">
        <w:rPr>
          <w:sz w:val="22"/>
          <w:szCs w:val="22"/>
        </w:rPr>
        <w:t xml:space="preserve"> at the injection site.</w:t>
      </w:r>
      <w:r w:rsidRPr="003E73CD">
        <w:rPr>
          <w:sz w:val="22"/>
          <w:szCs w:val="22"/>
        </w:rPr>
        <w:fldChar w:fldCharType="begin" w:fldLock="1"/>
      </w:r>
      <w:r w:rsidR="005676A9">
        <w:rPr>
          <w:sz w:val="22"/>
          <w:szCs w:val="22"/>
        </w:rPr>
        <w:instrText>ADDIN CSL_CITATION { "citationItems" : [ { "id" : "ITEM-1", "itemData" : { "DOI" : "10.1148/radiology.196.1.7784553", "ISSN" : "0033-8419", "PMID" : "7784553", "abstract" : "PURPOSE: To examine the extracellular (dispersed particles) and intracellular (phagocytosed particles) colloidal particle transport from subcutaneous tissue into the lymphatic system.\n\nMATERIALS AND METHODS: Perfluorocarbon emulsions LA11063 (mean particle diameter, 0.34 micron) and ZY12149 (mean particle diameter, 0.06 micron) were individually injected into the dorsal skin of the hind foot of rabbits. Lymph flow rates and particle concentrations were determined in prenodal lymph fluid after injection, with and without massage of the skin over the injection site.\n\nRESULTS: In the first 24 hours after injection, extracellular colloid flux was substantially larger than intracellular flux. Lymph flow rates and colloid concentrations increased substantially with massage. Extracellular LA11063 flux was smaller than ZY12149 flux, whereas intracellular LA11063 flux exceeded ZY12149 flux.\n\nCONCLUSION: Transport of colloids into lymphatic vessels is dependent on particle size. Both extracellular and intracellular pathways are utilized. External tissue movement contributes substantially to the rate of particle uptake via both pathways.", "author" : [ { "dropping-particle" : "", "family" : "Ikomi", "given" : "F", "non-dropping-particle" : "", "parse-names" : false, "suffix" : "" }, { "dropping-particle" : "", "family" : "Hanna", "given" : "G K", "non-dropping-particle" : "", "parse-names" : false, "suffix" : "" }, { "dropping-particle" : "", "family" : "Schmid-Sch\u00f6nbein", "given" : "G W", "non-dropping-particle" : "", "parse-names" : false, "suffix" : "" } ], "container-title" : "Radiology", "id" : "ITEM-1", "issue" : "1", "issued" : { "date-parts" : [ [ "1995", "7" ] ] }, "page" : "107-13", "title" : "Mechanism of colloidal particle uptake into the lymphatic system: basic study with percutaneous lymphography.", "type" : "article-journal", "volume" : "196" }, "uris" : [ "http://www.mendeley.com/documents/?uuid=39480935-2f49-4df8-98e8-b865a6598a09" ] } ], "mendeley" : { "formattedCitation" : "&lt;sup&gt;188&lt;/sup&gt;", "plainTextFormattedCitation" : "188", "previouslyFormattedCitation" : "&lt;sup&gt;188&lt;/sup&gt;" }, "properties" : { "noteIndex" : 0 }, "schema" : "https://github.com/citation-style-language/schema/raw/master/csl-citation.json" }</w:instrText>
      </w:r>
      <w:r w:rsidRPr="003E73CD">
        <w:rPr>
          <w:sz w:val="22"/>
          <w:szCs w:val="22"/>
        </w:rPr>
        <w:fldChar w:fldCharType="separate"/>
      </w:r>
      <w:r w:rsidR="00217FAC" w:rsidRPr="00217FAC">
        <w:rPr>
          <w:noProof/>
          <w:sz w:val="22"/>
          <w:szCs w:val="22"/>
          <w:vertAlign w:val="superscript"/>
        </w:rPr>
        <w:t>188</w:t>
      </w:r>
      <w:r w:rsidRPr="003E73CD">
        <w:rPr>
          <w:sz w:val="22"/>
          <w:szCs w:val="22"/>
        </w:rPr>
        <w:fldChar w:fldCharType="end"/>
      </w:r>
    </w:p>
    <w:p w14:paraId="2947BE33" w14:textId="5C020F84" w:rsidR="0061482C" w:rsidRPr="003E73CD" w:rsidRDefault="0061482C" w:rsidP="0061482C">
      <w:pPr>
        <w:spacing w:line="480" w:lineRule="auto"/>
        <w:ind w:firstLine="720"/>
        <w:rPr>
          <w:sz w:val="22"/>
          <w:szCs w:val="22"/>
        </w:rPr>
      </w:pPr>
      <w:r w:rsidRPr="003E73CD">
        <w:rPr>
          <w:sz w:val="22"/>
          <w:szCs w:val="22"/>
        </w:rPr>
        <w:t xml:space="preserve">  Comparisons between the area of dissipation of radiocolloid and the area of dissipation of blue dye are lacking.  It is generally accepted, although evidence appears to be limited, that the injections for cutaneous tumour lymphoscintigraphy should be intradermal as the density of lymphatics is greater than in the subcutaneous region and also to limit dissipation of the injected radiocolloid.  Some investigators have suggested that smaller volume or lower radioactive dose injections are necessary in the head and neck to avoid radioactivity from sentinel nodes being obscured by the radioactivity at the primary tumour injection site, as it often lies over or only a short distance from the sentinel nodes.</w:t>
      </w:r>
      <w:r w:rsidRPr="003E73CD">
        <w:rPr>
          <w:sz w:val="22"/>
          <w:szCs w:val="22"/>
        </w:rPr>
        <w:fldChar w:fldCharType="begin" w:fldLock="1"/>
      </w:r>
      <w:r w:rsidR="005676A9">
        <w:rPr>
          <w:sz w:val="22"/>
          <w:szCs w:val="22"/>
        </w:rPr>
        <w:instrText>ADDIN CSL_CITATION { "citationItems" : [ { "id" : "ITEM-1", "itemData" : { "ISSN" : "0093-7754", "PMID" : "15190496", "abstract" : "Lymphatic mapping with sentinel lymph node (SLN) biopsy can accurately stage the nodal basins in patients with melanoma of the trunk and extremities and has become a routine, well-accepted diagnostic method for melanoma at these anatomic locations. Melanoma of the head and neck (16% of all cases of melanoma) is complex and difficult to manage because of the rich abundant interlacing lymphatic drainage patterns, as well as watershed areas, which can lead to unusual and unexpected drainage patterns. Radioguided surgery in combination with blue dye facilitates localization of the SLN in the head and neck; however, this type of radioguided surgery is an evolving technique of some difficulty and thus requires careful coordination among the surgeon, nuclear medicine physician, and pathologist. Applications of this technique to other sites in the head and neck are currently being investigated for conditions including squamous cell carcinoma (SCC) of the oral cavity, thyroid cancer, and Merkel cell cancer. More studies of patients with head and neck cancer are needed--and technical issues must be resolved--before radioguided surgery can be recommended as the standard of care for these patients.", "author" : [ { "dropping-particle" : "", "family" : "Balkissoon", "given" : "Jai", "non-dropping-particle" : "", "parse-names" : false, "suffix" : "" }, { "dropping-particle" : "", "family" : "Rasgon", "given" : "Barry M", "non-dropping-particle" : "", "parse-names" : false, "suffix" : "" }, { "dropping-particle" : "", "family" : "Schweitzer", "given" : "Laurie", "non-dropping-particle" : "", "parse-names" : false, "suffix" : "" } ], "container-title" : "Seminars in oncology", "id" : "ITEM-1", "issue" : "3", "issued" : { "date-parts" : [ [ "2004", "6" ] ] }, "page" : "382-93", "title" : "Lymphatic mapping for staging of head and neck cancer.", "type" : "article-journal", "volume" : "31" }, "uris" : [ "http://www.mendeley.com/documents/?uuid=b864b596-aac5-4af0-acbd-5b1fb4f508e1" ] } ], "mendeley" : { "formattedCitation" : "&lt;sup&gt;190&lt;/sup&gt;", "plainTextFormattedCitation" : "190", "previouslyFormattedCitation" : "&lt;sup&gt;190&lt;/sup&gt;" }, "properties" : { "noteIndex" : 0 }, "schema" : "https://github.com/citation-style-language/schema/raw/master/csl-citation.json" }</w:instrText>
      </w:r>
      <w:r w:rsidRPr="003E73CD">
        <w:rPr>
          <w:sz w:val="22"/>
          <w:szCs w:val="22"/>
        </w:rPr>
        <w:fldChar w:fldCharType="separate"/>
      </w:r>
      <w:r w:rsidR="00217FAC" w:rsidRPr="00217FAC">
        <w:rPr>
          <w:noProof/>
          <w:sz w:val="22"/>
          <w:szCs w:val="22"/>
          <w:vertAlign w:val="superscript"/>
        </w:rPr>
        <w:t>190</w:t>
      </w:r>
      <w:r w:rsidRPr="003E73CD">
        <w:rPr>
          <w:sz w:val="22"/>
          <w:szCs w:val="22"/>
        </w:rPr>
        <w:fldChar w:fldCharType="end"/>
      </w:r>
      <w:proofErr w:type="gramStart"/>
      <w:r w:rsidRPr="003E73CD">
        <w:rPr>
          <w:sz w:val="22"/>
          <w:szCs w:val="22"/>
        </w:rPr>
        <w:t xml:space="preserve">  If</w:t>
      </w:r>
      <w:proofErr w:type="gramEnd"/>
      <w:r w:rsidRPr="003E73CD">
        <w:rPr>
          <w:sz w:val="22"/>
          <w:szCs w:val="22"/>
        </w:rPr>
        <w:t xml:space="preserve"> the tumour has already been excised the injection is generally administered on both sides of the scar at its mid-point or at up to four points, particularly when a skin graft has been used.  The excision biopsy site is usually obvious but on very rare occasions simply locating it can present a challenge that could lead to great inaccuracy (Figure </w:t>
      </w:r>
      <w:r w:rsidR="002B3EC6">
        <w:rPr>
          <w:sz w:val="22"/>
          <w:szCs w:val="22"/>
        </w:rPr>
        <w:t>1.3</w:t>
      </w:r>
      <w:r w:rsidR="00E84AB5" w:rsidRPr="003E73CD">
        <w:rPr>
          <w:sz w:val="22"/>
          <w:szCs w:val="22"/>
        </w:rPr>
        <w:t>.2</w:t>
      </w:r>
      <w:r w:rsidRPr="003E73CD">
        <w:rPr>
          <w:sz w:val="22"/>
          <w:szCs w:val="22"/>
        </w:rPr>
        <w:t>).</w:t>
      </w:r>
    </w:p>
    <w:p w14:paraId="40587202" w14:textId="77777777" w:rsidR="0061482C" w:rsidRPr="003E73CD" w:rsidRDefault="0061482C" w:rsidP="0061482C">
      <w:pPr>
        <w:pStyle w:val="BodyText"/>
        <w:ind w:firstLine="720"/>
        <w:rPr>
          <w:rFonts w:ascii="Cambria" w:hAnsi="Cambria"/>
          <w:szCs w:val="22"/>
        </w:rPr>
      </w:pPr>
    </w:p>
    <w:p w14:paraId="1C1A9B82" w14:textId="77777777" w:rsidR="0061482C" w:rsidRPr="003E73CD" w:rsidRDefault="0061482C" w:rsidP="0061482C">
      <w:pPr>
        <w:pStyle w:val="BodyText"/>
        <w:ind w:firstLine="720"/>
        <w:rPr>
          <w:rFonts w:ascii="Cambria" w:hAnsi="Cambria"/>
          <w:szCs w:val="22"/>
        </w:rPr>
      </w:pPr>
    </w:p>
    <w:p w14:paraId="43CC8977" w14:textId="77777777" w:rsidR="0061482C" w:rsidRPr="003E73CD" w:rsidRDefault="0061482C" w:rsidP="0061482C">
      <w:pPr>
        <w:pStyle w:val="BodyText"/>
        <w:ind w:firstLine="720"/>
        <w:rPr>
          <w:rFonts w:ascii="Cambria" w:hAnsi="Cambria"/>
          <w:szCs w:val="22"/>
        </w:rPr>
      </w:pPr>
      <w:r w:rsidRPr="003E73CD">
        <w:rPr>
          <w:rFonts w:ascii="Cambria" w:hAnsi="Cambria"/>
          <w:szCs w:val="22"/>
        </w:rPr>
        <w:t xml:space="preserve">  </w:t>
      </w:r>
    </w:p>
    <w:p w14:paraId="76AA6F6A" w14:textId="77777777" w:rsidR="001D2BA0" w:rsidRPr="003E73CD" w:rsidRDefault="001D2BA0">
      <w:pPr>
        <w:rPr>
          <w:rFonts w:eastAsia="Times New Roman"/>
          <w:sz w:val="22"/>
          <w:szCs w:val="22"/>
        </w:rPr>
      </w:pPr>
      <w:r w:rsidRPr="003E73CD">
        <w:rPr>
          <w:szCs w:val="22"/>
        </w:rPr>
        <w:br w:type="page"/>
      </w:r>
    </w:p>
    <w:p w14:paraId="18C27FC3" w14:textId="5C7BF795" w:rsidR="0061482C" w:rsidRPr="003E73CD" w:rsidRDefault="002B3EC6" w:rsidP="0061482C">
      <w:pPr>
        <w:pStyle w:val="BodyText"/>
        <w:rPr>
          <w:rFonts w:ascii="Cambria" w:hAnsi="Cambria"/>
          <w:szCs w:val="22"/>
        </w:rPr>
      </w:pPr>
      <w:r>
        <w:rPr>
          <w:rFonts w:ascii="Cambria" w:hAnsi="Cambria"/>
          <w:szCs w:val="22"/>
        </w:rPr>
        <w:t>Figure 1.3</w:t>
      </w:r>
      <w:r w:rsidR="00E84AB5" w:rsidRPr="003E73CD">
        <w:rPr>
          <w:rFonts w:ascii="Cambria" w:hAnsi="Cambria"/>
          <w:szCs w:val="22"/>
        </w:rPr>
        <w:t>.2</w:t>
      </w:r>
      <w:r w:rsidR="0061482C" w:rsidRPr="003E73CD">
        <w:rPr>
          <w:rFonts w:ascii="Cambria" w:hAnsi="Cambria"/>
          <w:szCs w:val="22"/>
        </w:rPr>
        <w:t xml:space="preserve">.  </w:t>
      </w:r>
      <w:proofErr w:type="gramStart"/>
      <w:r w:rsidR="00620034" w:rsidRPr="003E73CD">
        <w:rPr>
          <w:rFonts w:ascii="Cambria" w:hAnsi="Cambria"/>
          <w:szCs w:val="22"/>
        </w:rPr>
        <w:t>The importance of accurately documenting the primary tumour site.</w:t>
      </w:r>
      <w:proofErr w:type="gramEnd"/>
      <w:r w:rsidR="00620034" w:rsidRPr="003E73CD">
        <w:rPr>
          <w:rFonts w:ascii="Cambria" w:hAnsi="Cambria"/>
          <w:szCs w:val="22"/>
        </w:rPr>
        <w:t xml:space="preserve">  </w:t>
      </w:r>
      <w:r w:rsidR="0061482C" w:rsidRPr="003E73CD">
        <w:rPr>
          <w:rFonts w:ascii="Cambria" w:hAnsi="Cambria"/>
          <w:szCs w:val="22"/>
        </w:rPr>
        <w:t>This patient attended for pre-operative lymphoscintigraphy 2 weeks following excision biopsy of a melanoma on the shoulder.  He had had multiple previous excisions of lesions and was unsure of the location of the most recent excision biopsy site.   This situation can be avoided if pre-operative photography of the melanoma is carried out and the images are available to the surgeon performing sentinel node biopsy.</w:t>
      </w:r>
    </w:p>
    <w:p w14:paraId="78AC1408" w14:textId="77777777" w:rsidR="0061482C" w:rsidRPr="003E73CD" w:rsidRDefault="0061482C" w:rsidP="0061482C">
      <w:pPr>
        <w:pStyle w:val="BodyText"/>
        <w:rPr>
          <w:rFonts w:ascii="Cambria" w:hAnsi="Cambria"/>
          <w:szCs w:val="22"/>
        </w:rPr>
      </w:pPr>
    </w:p>
    <w:p w14:paraId="7C897FF2" w14:textId="77777777" w:rsidR="0061482C" w:rsidRPr="003E73CD" w:rsidRDefault="0061482C" w:rsidP="0061482C">
      <w:pPr>
        <w:pStyle w:val="BodyText"/>
        <w:rPr>
          <w:rFonts w:ascii="Cambria" w:hAnsi="Cambria"/>
          <w:szCs w:val="22"/>
        </w:rPr>
      </w:pPr>
      <w:r w:rsidRPr="003E73CD">
        <w:rPr>
          <w:rFonts w:ascii="Cambria" w:hAnsi="Cambria"/>
          <w:noProof/>
          <w:szCs w:val="22"/>
        </w:rPr>
        <w:drawing>
          <wp:inline distT="0" distB="0" distL="0" distR="0" wp14:anchorId="1D6A5FCE" wp14:editId="14EA24D3">
            <wp:extent cx="5252720" cy="3942080"/>
            <wp:effectExtent l="0" t="0" r="508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52720" cy="3942080"/>
                    </a:xfrm>
                    <a:prstGeom prst="rect">
                      <a:avLst/>
                    </a:prstGeom>
                    <a:noFill/>
                    <a:ln>
                      <a:noFill/>
                    </a:ln>
                  </pic:spPr>
                </pic:pic>
              </a:graphicData>
            </a:graphic>
          </wp:inline>
        </w:drawing>
      </w:r>
    </w:p>
    <w:p w14:paraId="41FE6FA9" w14:textId="77777777" w:rsidR="0061482C" w:rsidRPr="003E73CD" w:rsidRDefault="0061482C" w:rsidP="0061482C">
      <w:pPr>
        <w:pStyle w:val="BodyText"/>
        <w:rPr>
          <w:rFonts w:ascii="Cambria" w:hAnsi="Cambria"/>
          <w:szCs w:val="22"/>
        </w:rPr>
      </w:pPr>
    </w:p>
    <w:p w14:paraId="590E6CE7" w14:textId="77777777" w:rsidR="0061482C" w:rsidRPr="003E73CD" w:rsidRDefault="0061482C" w:rsidP="0061482C">
      <w:pPr>
        <w:pStyle w:val="BodyText"/>
        <w:rPr>
          <w:rFonts w:ascii="Cambria" w:hAnsi="Cambria"/>
          <w:szCs w:val="22"/>
        </w:rPr>
      </w:pPr>
    </w:p>
    <w:p w14:paraId="1974B0D6" w14:textId="77777777" w:rsidR="0061482C" w:rsidRPr="003E73CD" w:rsidRDefault="0061482C" w:rsidP="0061482C">
      <w:pPr>
        <w:pStyle w:val="BodyText"/>
        <w:rPr>
          <w:rFonts w:ascii="Cambria" w:hAnsi="Cambria"/>
          <w:szCs w:val="22"/>
        </w:rPr>
      </w:pPr>
    </w:p>
    <w:p w14:paraId="2CB0D032" w14:textId="77777777" w:rsidR="0061482C" w:rsidRPr="003E73CD" w:rsidRDefault="0061482C" w:rsidP="0061482C">
      <w:pPr>
        <w:pStyle w:val="BodyText"/>
        <w:rPr>
          <w:rFonts w:ascii="Cambria" w:hAnsi="Cambria"/>
          <w:szCs w:val="22"/>
        </w:rPr>
      </w:pPr>
    </w:p>
    <w:p w14:paraId="162FC876" w14:textId="76D43B99" w:rsidR="0061482C" w:rsidRPr="003E73CD" w:rsidRDefault="0061482C" w:rsidP="0061482C">
      <w:pPr>
        <w:pStyle w:val="BodyText"/>
        <w:ind w:firstLine="720"/>
        <w:rPr>
          <w:rFonts w:ascii="Cambria" w:hAnsi="Cambria"/>
          <w:szCs w:val="22"/>
        </w:rPr>
      </w:pPr>
      <w:r w:rsidRPr="003E73CD">
        <w:rPr>
          <w:rFonts w:ascii="Cambria" w:hAnsi="Cambria"/>
          <w:szCs w:val="22"/>
        </w:rPr>
        <w:t xml:space="preserve">Once the site to be injected has been identified, in order to avoid inadvertent subcutaneous injection or contamination, it is essential that the patient </w:t>
      </w:r>
      <w:proofErr w:type="gramStart"/>
      <w:r w:rsidRPr="003E73CD">
        <w:rPr>
          <w:rFonts w:ascii="Cambria" w:hAnsi="Cambria"/>
          <w:szCs w:val="22"/>
        </w:rPr>
        <w:t>remains</w:t>
      </w:r>
      <w:proofErr w:type="gramEnd"/>
      <w:r w:rsidRPr="003E73CD">
        <w:rPr>
          <w:rFonts w:ascii="Cambria" w:hAnsi="Cambria"/>
          <w:szCs w:val="22"/>
        </w:rPr>
        <w:t xml:space="preserve"> still.  All air should be expelled from the syringe prior to injection, the injection site should be shielded with gauze during injection, and negative pressure should be applied to the syringe prior to removing the needle tip.</w:t>
      </w:r>
      <w:r w:rsidRPr="003E73CD">
        <w:rPr>
          <w:szCs w:val="22"/>
        </w:rPr>
        <w:fldChar w:fldCharType="begin" w:fldLock="1"/>
      </w:r>
      <w:r w:rsidR="005676A9">
        <w:rPr>
          <w:szCs w:val="22"/>
        </w:rPr>
        <w:instrText>ADDIN CSL_CITATION { "citationItems" : [ { "id" : "ITEM-1", "itemData" : { "ISSN" : "0093-7754", "PMID" : "15190491", "abstract" : "A successful sentinel lymph node biopsy (SLNB) procedure in melanoma or breast cancer patients requires an accurate map of the pattern of lymphatic drainage from the primary site. Lymphoscintigraphy (LS) can provide such a map in each patient. This requires an understanding of lymphatic physiology, an appropriate small particle radiocolloid, high resolution collimators, and imaging protocols that detect all sentinel nodes (SNs) in every patient regardless of their location. The SN is not always found in the nearest node field and is best defined as \"any lymph node receiving direct lymphatic drainage from a primary tumor site.\" Patterns of lymphatic drainage from the skin are not clinically predictable and unexpected drainage has been found from the skin of the back to SNs in the triangular intermuscular space or through the posterior body wall to SNs in the paraaortic, paravertebral, and retroperitoneal areas. Drainage from the head and neck is to unexpected nodes in 30% of patients. Upper limb drainage can be to SNs above the axilla. Interval nodes are not uncommon as SNs, especially on the trunk. Lymphatic drainage may involve SNs in multiple node fields and drainage across the midline of the body is quite common. In the breast, although 94% of patients have a SN in the ipsilateral axilla, 46% also have SNs outside the axilla, especially in the internal mammary chain (40%). Failure to biopsy all SNs in each patient thus has the potential to understage a significant number of patients with breast cancer. Micrometastatic disease can be present in any SN regardless of its location, and for the SLNB technique to be accurate a biopsy most be performed on all true SNs in every patient. LS is an important first step to ensure this goal is achieved.", "author" : [ { "dropping-particle" : "", "family" : "Uren", "given" : "Roger F", "non-dropping-particle" : "", "parse-names" : false, "suffix" : "" }, { "dropping-particle" : "", "family" : "Howman-Giles", "given" : "Robert", "non-dropping-particle" : "", "parse-names" : false, "suffix" : "" }, { "dropping-particle" : "", "family" : "Chung", "given" : "David", "non-dropping-particle" : "", "parse-names" : false, "suffix" : "" }, { "dropping-particle" : "", "family" : "Thompson", "given" : "John F", "non-dropping-particle" : "", "parse-names" : false, "suffix" : "" } ], "container-title" : "Seminars in oncology", "id" : "ITEM-1", "issue" : "3", "issued" : { "date-parts" : [ [ "2004", "6" ] ] }, "page" : "338-48", "title" : "Nuclear medicine aspects of melanoma and breast lymphatic mapping.", "type" : "article-journal", "volume" : "31" }, "uris" : [ "http://www.mendeley.com/documents/?uuid=a6f4562b-bbf8-4df1-8f22-aa60d11e26ed" ] }, { "id" : "ITEM-2", "itemData" : { "ISSN" : "0161-5505", "PMID" : "9669391", "abstract" : "UNLABELLED: Although lymphoscintigraphy is commonly used for the preoperative evaluation of patients with cutaneous melanoma and for intraoperative identification of sentinel lymph nodes, there is no consensus regarding the most useful radiopharmaceuticals or imaging times.\n\nMETHODS: Fifty-one consecutive patients with clinical American Joint Committee on Cancer Stage I or II melanoma were assigned to one of three groups of 17 for lymphoscintigraphy with one of three radiopharmaceuticals: 99mTc-albumin colloid (AC), 99mTc-human serum albumin (HSA) or 99mTc-sulfur colloid (SC). Colloidal agents were filtered through 0.2 microm filters. After injecting 18.5-30 MBq (500-800 microCi) of the radiopharmaceutical, dynamic monitoring over injection sites and node basins was performed to identify draining lymphatic channels and sentinel nodes. In addition, static digital and analog images were acquired from the injection site and draining node basins immediately after injection and at 30 min (early) and 2 to 4 hr (delayed) after injection. Dynamic and static images were analyzed to determine transit times to the sentinel node, the number of nodes visualized in early and delayed images, the quality of lymph node and lymph channel visualization, the sentinel-to-nonsentinel uptake ratios and the washout rates from injection sites.\n\nRESULTS: Early images with all three agents provided reliable identification of sentinel lymph nodes. Technetium-99m-HSA demonstrated faster washout rates from injection sites and better definition of lymph channels than either particulate agent, whereas particulate agents were retained longer in nodes and demonstrated more nodes in delayed images than in early images. All agents demonstrated lymph channels better in early images than in delayed images. In general, variations between patients exceeded differences between agents. Sentinel nodes could not be distinguished reliably from nonsentinel nodes in delayed images alone.\n\nCONCLUSION: All three agents are acceptable for cutaneous lymphoscintigraphy, but reliable identification of sentinel nodes and their afferent lymph channels requires early imaging. Delayed imaging or localization alone is unreliable and may lead to incorrect identification of the sentinel node.", "author" : [ { "dropping-particle" : "", "family" : "Glass", "given" : "E C", "non-dropping-particle" : "", "parse-names" : false, "suffix" : "" }, { "dropping-particle" : "", "family" : "Essner", "given" : "R", "non-dropping-particle" : "", "parse-names" : false, "suffix" : "" }, { "dropping-particle" : "", "family" : "Morton", "given" : "D L", "non-dropping-particle" : "", "parse-names" : false, "suffix" : "" } ], "container-title" : "Journal of nuclear medicine : official publication, Society of Nuclear Medicine", "id" : "ITEM-2", "issue" : "7", "issued" : { "date-parts" : [ [ "1998", "7" ] ] }, "page" : "1185-90", "title" : "Kinetics of three lymphoscintigraphic agents in patients with cutaneous melanoma.", "type" : "article-journal", "volume" : "39" }, "uris" : [ "http://www.mendeley.com/documents/?uuid=b6c53da9-9585-4cfa-bfc9-51d5b8642b5f" ] }, { "id" : "ITEM-3", "itemData" : { "ISSN" : "0161-5505", "PMID" : "8355060", "abstract" : "Lymphoscintigraphy was performed in 209 patients with high-risk melanoma of the trunk referred to the Sydney Melanoma Unit and considered for lymph node dissection. Lymphoscintigraphy accurately defined the draining lymph node groups and was 94% sensitive in detecting draining sites that contained metastases. When combined with the clinical finding of palpable lymph nodes, the sensitivity rose to 98%. Most patients showed lymph drainage to one or two node groups and only 22 patients showed drainage to 3 or more node groups. The major lymph channels could also be marked on the skin prior to incontinuity dissection. Most patients had multiple draining lymph channels and these often diverged significantly from each other in the path to the draining node group. The number and location of interval nodes could be determined and marked on the skin. These and the major lymph channels could thus be excised at the time of surgery. Unusual drainage patterns were sometimes seen; for example, three patients displayed a new lymph pathway with direct drainage from the back anteriorly to the para-aortic nodes. The location of the sentinel nodes in each draining lymph-node group could also be marked on the skin prior to surgery, enabling quick and accurate identification of this node, using the blue-dye technique if biopsy were to be performed. These findings lead us to recommend lymphoscintigraphy prior to wide local excision in patients with truncal melanoma who are candidates for surgery. Lymphoscintigraphy results will help plan surgery and lead to minimum surgical intervention, consistent with effective surgical management.", "author" : [ { "dropping-particle" : "", "family" : "Uren", "given" : "R F", "non-dropping-particle" : "", "parse-names" : false, "suffix" : "" }, { "dropping-particle" : "", "family" : "Howman-Giles", "given" : "R B", "non-dropping-particle" : "", "parse-names" : false, "suffix" : "" }, { "dropping-particle" : "", "family" : "Shaw", "given" : "H M", "non-dropping-particle" : "", "parse-names" : false, "suffix" : "" }, { "dropping-particle" : "", "family" : "Thompson", "given" : "J F", "non-dropping-particle" : "", "parse-names" : false, "suffix" : "" }, { "dropping-particle" : "", "family" : "McCarthy", "given" : "W H", "non-dropping-particle" : "", "parse-names" : false, "suffix" : "" } ], "container-title" : "Journal of nuclear medicine : official publication, Society of Nuclear Medicine", "id" : "ITEM-3", "issue" : "9", "issued" : { "date-parts" : [ [ "1993", "9" ] ] }, "page" : "1435-40", "title" : "Lymphoscintigraphy in high-risk melanoma of the trunk: predicting draining node groups, defining lymphatic channels and locating the sentinel node.", "type" : "article-journal", "volume" : "34" }, "uris" : [ "http://www.mendeley.com/documents/?uuid=274338cb-ae32-48f7-bdbd-96e8755842db" ] } ], "mendeley" : { "formattedCitation" : "&lt;sup&gt;99,186,191&lt;/sup&gt;", "plainTextFormattedCitation" : "99,186,191", "previouslyFormattedCitation" : "&lt;sup&gt;99,186,191&lt;/sup&gt;" }, "properties" : { "noteIndex" : 0 }, "schema" : "https://github.com/citation-style-language/schema/raw/master/csl-citation.json" }</w:instrText>
      </w:r>
      <w:r w:rsidRPr="003E73CD">
        <w:rPr>
          <w:szCs w:val="22"/>
        </w:rPr>
        <w:fldChar w:fldCharType="separate"/>
      </w:r>
      <w:r w:rsidR="00217FAC" w:rsidRPr="00217FAC">
        <w:rPr>
          <w:noProof/>
          <w:szCs w:val="22"/>
          <w:vertAlign w:val="superscript"/>
        </w:rPr>
        <w:t>99,186,191</w:t>
      </w:r>
      <w:r w:rsidRPr="003E73CD">
        <w:rPr>
          <w:szCs w:val="22"/>
        </w:rPr>
        <w:fldChar w:fldCharType="end"/>
      </w:r>
      <w:proofErr w:type="gramStart"/>
      <w:r w:rsidRPr="003E73CD">
        <w:rPr>
          <w:rFonts w:ascii="Cambria" w:hAnsi="Cambria"/>
          <w:szCs w:val="22"/>
        </w:rPr>
        <w:t xml:space="preserve">  Figure</w:t>
      </w:r>
      <w:proofErr w:type="gramEnd"/>
      <w:r w:rsidRPr="003E73CD">
        <w:rPr>
          <w:rFonts w:ascii="Cambria" w:hAnsi="Cambria"/>
          <w:szCs w:val="22"/>
        </w:rPr>
        <w:t xml:space="preserve"> </w:t>
      </w:r>
      <w:r w:rsidR="002B3EC6">
        <w:rPr>
          <w:rFonts w:ascii="Cambria" w:hAnsi="Cambria"/>
          <w:szCs w:val="22"/>
        </w:rPr>
        <w:t>1.3</w:t>
      </w:r>
      <w:r w:rsidR="00E84AB5" w:rsidRPr="003E73CD">
        <w:rPr>
          <w:rFonts w:ascii="Cambria" w:hAnsi="Cambria"/>
          <w:szCs w:val="22"/>
        </w:rPr>
        <w:t>.3</w:t>
      </w:r>
      <w:r w:rsidRPr="003E73CD">
        <w:rPr>
          <w:rFonts w:ascii="Cambria" w:hAnsi="Cambria"/>
          <w:szCs w:val="22"/>
        </w:rPr>
        <w:t xml:space="preserve"> shows the results following injection of tracer around a skin graft on the nose.  Initial scans demonstrated apparent uptake in the neck and in several areas over the upper anterior chest in the region of the left internal mammary nodes.  The unusual location and arrangement of this apparent internal mammary chain uptake alerted the nuclear medicine physician to the possibility of external contamination with radioactive tracer.  This concern was confirmed when the patient’s shirt was removed for the delayed scans and the true pattern of lymphatic drainage was revealed (Figure </w:t>
      </w:r>
      <w:r w:rsidR="002B3EC6">
        <w:rPr>
          <w:rFonts w:ascii="Cambria" w:hAnsi="Cambria"/>
          <w:szCs w:val="22"/>
        </w:rPr>
        <w:t>1.3</w:t>
      </w:r>
      <w:r w:rsidR="00E84AB5" w:rsidRPr="003E73CD">
        <w:rPr>
          <w:rFonts w:ascii="Cambria" w:hAnsi="Cambria"/>
          <w:szCs w:val="22"/>
        </w:rPr>
        <w:t>.3</w:t>
      </w:r>
      <w:r w:rsidRPr="003E73CD">
        <w:rPr>
          <w:rFonts w:ascii="Cambria" w:hAnsi="Cambria"/>
          <w:szCs w:val="22"/>
        </w:rPr>
        <w:t>b).  Any apparent uptake that appears uncharacteristic in location or distribution should raise the suspicion of contamination and this can be easily confirmed by removing the relevant item of clothing or washing the area of the body before performing repeat imaging.</w:t>
      </w:r>
    </w:p>
    <w:p w14:paraId="422A167B" w14:textId="77777777" w:rsidR="0061482C" w:rsidRPr="003E73CD" w:rsidRDefault="0061482C" w:rsidP="0061482C">
      <w:pPr>
        <w:spacing w:line="480" w:lineRule="auto"/>
        <w:rPr>
          <w:sz w:val="22"/>
          <w:szCs w:val="22"/>
        </w:rPr>
      </w:pPr>
    </w:p>
    <w:p w14:paraId="63AD4EB0" w14:textId="77777777" w:rsidR="0061482C" w:rsidRPr="003E73CD" w:rsidRDefault="0061482C" w:rsidP="0061482C">
      <w:pPr>
        <w:pStyle w:val="Heading1"/>
        <w:rPr>
          <w:rFonts w:ascii="Cambria" w:hAnsi="Cambria"/>
          <w:szCs w:val="22"/>
        </w:rPr>
      </w:pPr>
      <w:r w:rsidRPr="003E73CD">
        <w:rPr>
          <w:rFonts w:ascii="Cambria" w:hAnsi="Cambria"/>
          <w:szCs w:val="22"/>
        </w:rPr>
        <w:t>Image acquisition technique</w:t>
      </w:r>
    </w:p>
    <w:p w14:paraId="0AB0A642" w14:textId="1E0DD0A9" w:rsidR="0061482C" w:rsidRPr="003E73CD" w:rsidRDefault="0061482C" w:rsidP="0061482C">
      <w:pPr>
        <w:spacing w:line="480" w:lineRule="auto"/>
        <w:ind w:firstLine="720"/>
        <w:rPr>
          <w:sz w:val="22"/>
          <w:szCs w:val="22"/>
        </w:rPr>
      </w:pPr>
      <w:r w:rsidRPr="003E73CD">
        <w:rPr>
          <w:sz w:val="22"/>
          <w:szCs w:val="22"/>
        </w:rPr>
        <w:t>Once the injection of radiocolloid has been performed it is important to obtain dynamic imaging to follow the radiocolloid as it travels within lymphatic collecting vessels to the sentinel nodes.</w:t>
      </w:r>
      <w:r w:rsidRPr="003E73CD">
        <w:rPr>
          <w:sz w:val="22"/>
          <w:szCs w:val="22"/>
        </w:rPr>
        <w:fldChar w:fldCharType="begin" w:fldLock="1"/>
      </w:r>
      <w:r w:rsidR="005676A9">
        <w:rPr>
          <w:sz w:val="22"/>
          <w:szCs w:val="22"/>
        </w:rPr>
        <w:instrText>ADDIN CSL_CITATION { "citationItems" : [ { "id" : "ITEM-1", "itemData" : { "ISSN" : "0093-7754", "PMID" : "15190491", "abstract" : "A successful sentinel lymph node biopsy (SLNB) procedure in melanoma or breast cancer patients requires an accurate map of the pattern of lymphatic drainage from the primary site. Lymphoscintigraphy (LS) can provide such a map in each patient. This requires an understanding of lymphatic physiology, an appropriate small particle radiocolloid, high resolution collimators, and imaging protocols that detect all sentinel nodes (SNs) in every patient regardless of their location. The SN is not always found in the nearest node field and is best defined as \"any lymph node receiving direct lymphatic drainage from a primary tumor site.\" Patterns of lymphatic drainage from the skin are not clinically predictable and unexpected drainage has been found from the skin of the back to SNs in the triangular intermuscular space or through the posterior body wall to SNs in the paraaortic, paravertebral, and retroperitoneal areas. Drainage from the head and neck is to unexpected nodes in 30% of patients. Upper limb drainage can be to SNs above the axilla. Interval nodes are not uncommon as SNs, especially on the trunk. Lymphatic drainage may involve SNs in multiple node fields and drainage across the midline of the body is quite common. In the breast, although 94% of patients have a SN in the ipsilateral axilla, 46% also have SNs outside the axilla, especially in the internal mammary chain (40%). Failure to biopsy all SNs in each patient thus has the potential to understage a significant number of patients with breast cancer. Micrometastatic disease can be present in any SN regardless of its location, and for the SLNB technique to be accurate a biopsy most be performed on all true SNs in every patient. LS is an important first step to ensure this goal is achieved.", "author" : [ { "dropping-particle" : "", "family" : "Uren", "given" : "Roger F", "non-dropping-particle" : "", "parse-names" : false, "suffix" : "" }, { "dropping-particle" : "", "family" : "Howman-Giles", "given" : "Robert", "non-dropping-particle" : "", "parse-names" : false, "suffix" : "" }, { "dropping-particle" : "", "family" : "Chung", "given" : "David", "non-dropping-particle" : "", "parse-names" : false, "suffix" : "" }, { "dropping-particle" : "", "family" : "Thompson", "given" : "John F", "non-dropping-particle" : "", "parse-names" : false, "suffix" : "" } ], "container-title" : "Seminars in oncology", "id" : "ITEM-1", "issue" : "3", "issued" : { "date-parts" : [ [ "2004", "6" ] ] }, "page" : "338-48", "title" : "Nuclear medicine aspects of melanoma and breast lymphatic mapping.", "type" : "article-journal", "volume" : "31" }, "uris" : [ "http://www.mendeley.com/documents/?uuid=a6f4562b-bbf8-4df1-8f22-aa60d11e26ed" ] }, { "id" : "ITEM-2", "itemData" : { "ISSN" : "0161-5505", "PMID" : "9669391", "abstract" : "UNLABELLED: Although lymphoscintigraphy is commonly used for the preoperative evaluation of patients with cutaneous melanoma and for intraoperative identification of sentinel lymph nodes, there is no consensus regarding the most useful radiopharmaceuticals or imaging times.\n\nMETHODS: Fifty-one consecutive patients with clinical American Joint Committee on Cancer Stage I or II melanoma were assigned to one of three groups of 17 for lymphoscintigraphy with one of three radiopharmaceuticals: 99mTc-albumin colloid (AC), 99mTc-human serum albumin (HSA) or 99mTc-sulfur colloid (SC). Colloidal agents were filtered through 0.2 microm filters. After injecting 18.5-30 MBq (500-800 microCi) of the radiopharmaceutical, dynamic monitoring over injection sites and node basins was performed to identify draining lymphatic channels and sentinel nodes. In addition, static digital and analog images were acquired from the injection site and draining node basins immediately after injection and at 30 min (early) and 2 to 4 hr (delayed) after injection. Dynamic and static images were analyzed to determine transit times to the sentinel node, the number of nodes visualized in early and delayed images, the quality of lymph node and lymph channel visualization, the sentinel-to-nonsentinel uptake ratios and the washout rates from injection sites.\n\nRESULTS: Early images with all three agents provided reliable identification of sentinel lymph nodes. Technetium-99m-HSA demonstrated faster washout rates from injection sites and better definition of lymph channels than either particulate agent, whereas particulate agents were retained longer in nodes and demonstrated more nodes in delayed images than in early images. All agents demonstrated lymph channels better in early images than in delayed images. In general, variations between patients exceeded differences between agents. Sentinel nodes could not be distinguished reliably from nonsentinel nodes in delayed images alone.\n\nCONCLUSION: All three agents are acceptable for cutaneous lymphoscintigraphy, but reliable identification of sentinel nodes and their afferent lymph channels requires early imaging. Delayed imaging or localization alone is unreliable and may lead to incorrect identification of the sentinel node.", "author" : [ { "dropping-particle" : "", "family" : "Glass", "given" : "E C", "non-dropping-particle" : "", "parse-names" : false, "suffix" : "" }, { "dropping-particle" : "", "family" : "Essner", "given" : "R", "non-dropping-particle" : "", "parse-names" : false, "suffix" : "" }, { "dropping-particle" : "", "family" : "Morton", "given" : "D L", "non-dropping-particle" : "", "parse-names" : false, "suffix" : "" } ], "container-title" : "Journal of nuclear medicine : official publication, Society of Nuclear Medicine", "id" : "ITEM-2", "issue" : "7", "issued" : { "date-parts" : [ [ "1998", "7" ] ] }, "page" : "1185-90", "title" : "Kinetics of three lymphoscintigraphic agents in patients with cutaneous melanoma.", "type" : "article-journal", "volume" : "39" }, "uris" : [ "http://www.mendeley.com/documents/?uuid=b6c53da9-9585-4cfa-bfc9-51d5b8642b5f" ] }, { "id" : "ITEM-3", "itemData" : { "ISSN" : "0161-5505", "PMID" : "8355060", "abstract" : "Lymphoscintigraphy was performed in 209 patients with high-risk melanoma of the trunk referred to the Sydney Melanoma Unit and considered for lymph node dissection. Lymphoscintigraphy accurately defined the draining lymph node groups and was 94% sensitive in detecting draining sites that contained metastases. When combined with the clinical finding of palpable lymph nodes, the sensitivity rose to 98%. Most patients showed lymph drainage to one or two node groups and only 22 patients showed drainage to 3 or more node groups. The major lymph channels could also be marked on the skin prior to incontinuity dissection. Most patients had multiple draining lymph channels and these often diverged significantly from each other in the path to the draining node group. The number and location of interval nodes could be determined and marked on the skin. These and the major lymph channels could thus be excised at the time of surgery. Unusual drainage patterns were sometimes seen; for example, three patients displayed a new lymph pathway with direct drainage from the back anteriorly to the para-aortic nodes. The location of the sentinel nodes in each draining lymph-node group could also be marked on the skin prior to surgery, enabling quick and accurate identification of this node, using the blue-dye technique if biopsy were to be performed. These findings lead us to recommend lymphoscintigraphy prior to wide local excision in patients with truncal melanoma who are candidates for surgery. Lymphoscintigraphy results will help plan surgery and lead to minimum surgical intervention, consistent with effective surgical management.", "author" : [ { "dropping-particle" : "", "family" : "Uren", "given" : "R F", "non-dropping-particle" : "", "parse-names" : false, "suffix" : "" }, { "dropping-particle" : "", "family" : "Howman-Giles", "given" : "R B", "non-dropping-particle" : "", "parse-names" : false, "suffix" : "" }, { "dropping-particle" : "", "family" : "Shaw", "given" : "H M", "non-dropping-particle" : "", "parse-names" : false, "suffix" : "" }, { "dropping-particle" : "", "family" : "Thompson", "given" : "J F", "non-dropping-particle" : "", "parse-names" : false, "suffix" : "" }, { "dropping-particle" : "", "family" : "McCarthy", "given" : "W H", "non-dropping-particle" : "", "parse-names" : false, "suffix" : "" } ], "container-title" : "Journal of nuclear medicine : official publication, Society of Nuclear Medicine", "id" : "ITEM-3", "issue" : "9", "issued" : { "date-parts" : [ [ "1993", "9" ] ] }, "page" : "1435-40", "title" : "Lymphoscintigraphy in high-risk melanoma of the trunk: predicting draining node groups, defining lymphatic channels and locating the sentinel node.", "type" : "article-journal", "volume" : "34" }, "uris" : [ "http://www.mendeley.com/documents/?uuid=274338cb-ae32-48f7-bdbd-96e8755842db" ] } ], "mendeley" : { "formattedCitation" : "&lt;sup&gt;99,186,191&lt;/sup&gt;", "plainTextFormattedCitation" : "99,186,191", "previouslyFormattedCitation" : "&lt;sup&gt;99,186,191&lt;/sup&gt;" }, "properties" : { "noteIndex" : 0 }, "schema" : "https://github.com/citation-style-language/schema/raw/master/csl-citation.json" }</w:instrText>
      </w:r>
      <w:r w:rsidRPr="003E73CD">
        <w:rPr>
          <w:sz w:val="22"/>
          <w:szCs w:val="22"/>
        </w:rPr>
        <w:fldChar w:fldCharType="separate"/>
      </w:r>
      <w:r w:rsidR="00217FAC" w:rsidRPr="00217FAC">
        <w:rPr>
          <w:noProof/>
          <w:sz w:val="22"/>
          <w:szCs w:val="22"/>
          <w:vertAlign w:val="superscript"/>
        </w:rPr>
        <w:t>99,186,191</w:t>
      </w:r>
      <w:r w:rsidRPr="003E73CD">
        <w:rPr>
          <w:sz w:val="22"/>
          <w:szCs w:val="22"/>
        </w:rPr>
        <w:fldChar w:fldCharType="end"/>
      </w:r>
      <w:proofErr w:type="gramStart"/>
      <w:r w:rsidRPr="003E73CD">
        <w:rPr>
          <w:sz w:val="22"/>
          <w:szCs w:val="22"/>
        </w:rPr>
        <w:t xml:space="preserve">  By</w:t>
      </w:r>
      <w:proofErr w:type="gramEnd"/>
      <w:r w:rsidRPr="003E73CD">
        <w:rPr>
          <w:sz w:val="22"/>
          <w:szCs w:val="22"/>
        </w:rPr>
        <w:t xml:space="preserve"> observing direct drainage from the lymphatic vessel to the lymph nodes, sentinel nodes can be differentiated from second tier non-sentinel nodes.  If only delayed imaging of nodal fields is performed then this distinction will not be possible to make.  It is vital that all possible nodal drainage sites are </w:t>
      </w:r>
      <w:r w:rsidR="00F2437E" w:rsidRPr="003E73CD">
        <w:rPr>
          <w:sz w:val="22"/>
          <w:szCs w:val="22"/>
        </w:rPr>
        <w:t xml:space="preserve">included in the </w:t>
      </w:r>
      <w:r w:rsidRPr="003E73CD">
        <w:rPr>
          <w:sz w:val="22"/>
          <w:szCs w:val="22"/>
        </w:rPr>
        <w:t>imag</w:t>
      </w:r>
      <w:r w:rsidR="00F2437E" w:rsidRPr="003E73CD">
        <w:rPr>
          <w:sz w:val="22"/>
          <w:szCs w:val="22"/>
        </w:rPr>
        <w:t>ing,</w:t>
      </w:r>
      <w:r w:rsidRPr="003E73CD">
        <w:rPr>
          <w:sz w:val="22"/>
          <w:szCs w:val="22"/>
        </w:rPr>
        <w:t xml:space="preserve"> as the surgeon will be reliant on the information provided by the nuclear medicine physician.   Failure to detect drainage to a nodal basin will result in no attempt at sentinel node biopsy in that nodal basin and may result in a false-negative sentinel node biopsy. </w:t>
      </w:r>
    </w:p>
    <w:p w14:paraId="35E6F02B" w14:textId="70492578" w:rsidR="0061482C" w:rsidRPr="003E73CD" w:rsidRDefault="0061482C" w:rsidP="0061482C">
      <w:pPr>
        <w:spacing w:line="480" w:lineRule="auto"/>
        <w:ind w:firstLine="720"/>
        <w:rPr>
          <w:sz w:val="22"/>
          <w:szCs w:val="22"/>
        </w:rPr>
      </w:pPr>
      <w:r w:rsidRPr="003E73CD">
        <w:rPr>
          <w:sz w:val="22"/>
          <w:szCs w:val="22"/>
        </w:rPr>
        <w:t xml:space="preserve">A further source of error is the presence of radiocolloid at the site of injection.  Using </w:t>
      </w:r>
      <w:r w:rsidRPr="003E73CD">
        <w:rPr>
          <w:sz w:val="22"/>
          <w:szCs w:val="22"/>
          <w:vertAlign w:val="superscript"/>
        </w:rPr>
        <w:t>99m</w:t>
      </w:r>
      <w:r w:rsidRPr="003E73CD">
        <w:rPr>
          <w:sz w:val="22"/>
          <w:szCs w:val="22"/>
        </w:rPr>
        <w:t xml:space="preserve">Technetium antimony sulphide colloid, 92-95% of the colloid remains at the injection site.  With other radiocolloids an even higher percentage remains at the injection site.  This can directly overlie or lie near to the sentinel nodes and the level of radioactivity emitted will be much higher than that from the sentinel nodes.  One method to overcome this problem is to use lead sheets to shield the injection site.  This will not however, allow detection of sentinel nodes directly deep to the injection site.  The image produced by the gamma camera can be </w:t>
      </w:r>
      <w:proofErr w:type="gramStart"/>
      <w:r w:rsidRPr="003E73CD">
        <w:rPr>
          <w:sz w:val="22"/>
          <w:szCs w:val="22"/>
        </w:rPr>
        <w:t>digitally-enhanced</w:t>
      </w:r>
      <w:proofErr w:type="gramEnd"/>
      <w:r w:rsidRPr="003E73CD">
        <w:rPr>
          <w:sz w:val="22"/>
          <w:szCs w:val="22"/>
        </w:rPr>
        <w:t xml:space="preserve"> so that faint lymphatic channels or sentinel nodes can be identified.  However using digital enhancement with high-resolution collimators can result in star artifact, which can obscure sentinel nodes.  The use of a super high-resolution collimator, which is constructed by a different method, avoids problems with star artifact.</w:t>
      </w:r>
      <w:r w:rsidRPr="003E73CD">
        <w:rPr>
          <w:sz w:val="22"/>
          <w:szCs w:val="22"/>
        </w:rPr>
        <w:fldChar w:fldCharType="begin" w:fldLock="1"/>
      </w:r>
      <w:r w:rsidR="005676A9">
        <w:rPr>
          <w:sz w:val="22"/>
          <w:szCs w:val="22"/>
        </w:rPr>
        <w:instrText>ADDIN CSL_CITATION { "citationItems" : [ { "id" : "ITEM-1", "itemData" : { "ISSN" : "0093-7754", "PMID" : "15190491", "abstract" : "A successful sentinel lymph node biopsy (SLNB) procedure in melanoma or breast cancer patients requires an accurate map of the pattern of lymphatic drainage from the primary site. Lymphoscintigraphy (LS) can provide such a map in each patient. This requires an understanding of lymphatic physiology, an appropriate small particle radiocolloid, high resolution collimators, and imaging protocols that detect all sentinel nodes (SNs) in every patient regardless of their location. The SN is not always found in the nearest node field and is best defined as \"any lymph node receiving direct lymphatic drainage from a primary tumor site.\" Patterns of lymphatic drainage from the skin are not clinically predictable and unexpected drainage has been found from the skin of the back to SNs in the triangular intermuscular space or through the posterior body wall to SNs in the paraaortic, paravertebral, and retroperitoneal areas. Drainage from the head and neck is to unexpected nodes in 30% of patients. Upper limb drainage can be to SNs above the axilla. Interval nodes are not uncommon as SNs, especially on the trunk. Lymphatic drainage may involve SNs in multiple node fields and drainage across the midline of the body is quite common. In the breast, although 94% of patients have a SN in the ipsilateral axilla, 46% also have SNs outside the axilla, especially in the internal mammary chain (40%). Failure to biopsy all SNs in each patient thus has the potential to understage a significant number of patients with breast cancer. Micrometastatic disease can be present in any SN regardless of its location, and for the SLNB technique to be accurate a biopsy most be performed on all true SNs in every patient. LS is an important first step to ensure this goal is achieved.", "author" : [ { "dropping-particle" : "", "family" : "Uren", "given" : "Roger F", "non-dropping-particle" : "", "parse-names" : false, "suffix" : "" }, { "dropping-particle" : "", "family" : "Howman-Giles", "given" : "Robert", "non-dropping-particle" : "", "parse-names" : false, "suffix" : "" }, { "dropping-particle" : "", "family" : "Chung", "given" : "David", "non-dropping-particle" : "", "parse-names" : false, "suffix" : "" }, { "dropping-particle" : "", "family" : "Thompson", "given" : "John F", "non-dropping-particle" : "", "parse-names" : false, "suffix" : "" } ], "container-title" : "Seminars in oncology", "id" : "ITEM-1", "issue" : "3", "issued" : { "date-parts" : [ [ "2004", "6" ] ] }, "page" : "338-48", "title" : "Nuclear medicine aspects of melanoma and breast lymphatic mapping.", "type" : "article-journal", "volume" : "31" }, "uris" : [ "http://www.mendeley.com/documents/?uuid=a6f4562b-bbf8-4df1-8f22-aa60d11e26ed" ] } ], "mendeley" : { "formattedCitation" : "&lt;sup&gt;191&lt;/sup&gt;", "plainTextFormattedCitation" : "191", "previouslyFormattedCitation" : "&lt;sup&gt;191&lt;/sup&gt;" }, "properties" : { "noteIndex" : 0 }, "schema" : "https://github.com/citation-style-language/schema/raw/master/csl-citation.json" }</w:instrText>
      </w:r>
      <w:r w:rsidRPr="003E73CD">
        <w:rPr>
          <w:sz w:val="22"/>
          <w:szCs w:val="22"/>
        </w:rPr>
        <w:fldChar w:fldCharType="separate"/>
      </w:r>
      <w:r w:rsidR="00217FAC" w:rsidRPr="00217FAC">
        <w:rPr>
          <w:noProof/>
          <w:sz w:val="22"/>
          <w:szCs w:val="22"/>
          <w:vertAlign w:val="superscript"/>
        </w:rPr>
        <w:t>191</w:t>
      </w:r>
      <w:r w:rsidRPr="003E73CD">
        <w:rPr>
          <w:sz w:val="22"/>
          <w:szCs w:val="22"/>
        </w:rPr>
        <w:fldChar w:fldCharType="end"/>
      </w:r>
    </w:p>
    <w:p w14:paraId="77987251" w14:textId="77777777" w:rsidR="0061482C" w:rsidRPr="003E73CD" w:rsidRDefault="0061482C" w:rsidP="0061482C">
      <w:pPr>
        <w:spacing w:line="480" w:lineRule="auto"/>
        <w:rPr>
          <w:sz w:val="22"/>
          <w:szCs w:val="22"/>
        </w:rPr>
      </w:pPr>
    </w:p>
    <w:p w14:paraId="2E667F51" w14:textId="77777777" w:rsidR="0061482C" w:rsidRPr="003E73CD" w:rsidRDefault="0061482C" w:rsidP="0061482C">
      <w:pPr>
        <w:pStyle w:val="Heading2"/>
        <w:spacing w:line="480" w:lineRule="auto"/>
        <w:rPr>
          <w:rFonts w:ascii="Cambria" w:hAnsi="Cambria"/>
          <w:sz w:val="22"/>
          <w:szCs w:val="22"/>
        </w:rPr>
      </w:pPr>
      <w:r w:rsidRPr="003E73CD">
        <w:rPr>
          <w:rFonts w:ascii="Cambria" w:hAnsi="Cambria"/>
          <w:sz w:val="22"/>
          <w:szCs w:val="22"/>
        </w:rPr>
        <w:t>Marking, tattooing and further imaging</w:t>
      </w:r>
    </w:p>
    <w:p w14:paraId="2D2F23DD" w14:textId="58230712" w:rsidR="0061482C" w:rsidRPr="003E73CD" w:rsidRDefault="0061482C" w:rsidP="0061482C">
      <w:pPr>
        <w:spacing w:line="480" w:lineRule="auto"/>
        <w:ind w:firstLine="720"/>
        <w:rPr>
          <w:sz w:val="22"/>
          <w:szCs w:val="22"/>
        </w:rPr>
      </w:pPr>
      <w:r w:rsidRPr="003E73CD">
        <w:rPr>
          <w:sz w:val="22"/>
          <w:szCs w:val="22"/>
        </w:rPr>
        <w:t>Once the sentinel nodes have been identified, their position should be marked as accurately as possible on the skin, in the position that the patient will be placed in for the surgical procedure.  This necessitates a degree of understanding of surgical positioning on the part of the nuclear medicine physician or the technician, and requires a close working relationship to maximize the quality and mutual understanding of the information being transmitted.  The skin markings provide a guide for the surgical incision to access the sentinel nodes but the location of the sentinel nodes should be confirmed prior to surgery using the hand-held gamma probe by the surgeon in the operating theatre.  If sentinel node biopsy is not going to be performed then it is useful to tattoo the skin overlying the sentinel nodes so that they can be monitored more closely during follow-up.</w:t>
      </w:r>
      <w:r w:rsidRPr="003E73CD">
        <w:rPr>
          <w:sz w:val="22"/>
          <w:szCs w:val="22"/>
        </w:rPr>
        <w:fldChar w:fldCharType="begin" w:fldLock="1"/>
      </w:r>
      <w:r w:rsidR="005676A9">
        <w:rPr>
          <w:sz w:val="22"/>
          <w:szCs w:val="22"/>
        </w:rPr>
        <w:instrText>ADDIN CSL_CITATION { "citationItems" : [ { "id" : "ITEM-1", "itemData" : { "ISSN" : "0093-7754", "PMID" : "15190491", "abstract" : "A successful sentinel lymph node biopsy (SLNB) procedure in melanoma or breast cancer patients requires an accurate map of the pattern of lymphatic drainage from the primary site. Lymphoscintigraphy (LS) can provide such a map in each patient. This requires an understanding of lymphatic physiology, an appropriate small particle radiocolloid, high resolution collimators, and imaging protocols that detect all sentinel nodes (SNs) in every patient regardless of their location. The SN is not always found in the nearest node field and is best defined as \"any lymph node receiving direct lymphatic drainage from a primary tumor site.\" Patterns of lymphatic drainage from the skin are not clinically predictable and unexpected drainage has been found from the skin of the back to SNs in the triangular intermuscular space or through the posterior body wall to SNs in the paraaortic, paravertebral, and retroperitoneal areas. Drainage from the head and neck is to unexpected nodes in 30% of patients. Upper limb drainage can be to SNs above the axilla. Interval nodes are not uncommon as SNs, especially on the trunk. Lymphatic drainage may involve SNs in multiple node fields and drainage across the midline of the body is quite common. In the breast, although 94% of patients have a SN in the ipsilateral axilla, 46% also have SNs outside the axilla, especially in the internal mammary chain (40%). Failure to biopsy all SNs in each patient thus has the potential to understage a significant number of patients with breast cancer. Micrometastatic disease can be present in any SN regardless of its location, and for the SLNB technique to be accurate a biopsy most be performed on all true SNs in every patient. LS is an important first step to ensure this goal is achieved.", "author" : [ { "dropping-particle" : "", "family" : "Uren", "given" : "Roger F", "non-dropping-particle" : "", "parse-names" : false, "suffix" : "" }, { "dropping-particle" : "", "family" : "Howman-Giles", "given" : "Robert", "non-dropping-particle" : "", "parse-names" : false, "suffix" : "" }, { "dropping-particle" : "", "family" : "Chung", "given" : "David", "non-dropping-particle" : "", "parse-names" : false, "suffix" : "" }, { "dropping-particle" : "", "family" : "Thompson", "given" : "John F", "non-dropping-particle" : "", "parse-names" : false, "suffix" : "" } ], "container-title" : "Seminars in oncology", "id" : "ITEM-1", "issue" : "3", "issued" : { "date-parts" : [ [ "2004", "6" ] ] }, "page" : "338-48", "title" : "Nuclear medicine aspects of melanoma and breast lymphatic mapping.", "type" : "article-journal", "volume" : "31" }, "uris" : [ "http://www.mendeley.com/documents/?uuid=a6f4562b-bbf8-4df1-8f22-aa60d11e26ed" ] } ], "mendeley" : { "formattedCitation" : "&lt;sup&gt;191&lt;/sup&gt;", "plainTextFormattedCitation" : "191", "previouslyFormattedCitation" : "&lt;sup&gt;191&lt;/sup&gt;" }, "properties" : { "noteIndex" : 0 }, "schema" : "https://github.com/citation-style-language/schema/raw/master/csl-citation.json" }</w:instrText>
      </w:r>
      <w:r w:rsidRPr="003E73CD">
        <w:rPr>
          <w:sz w:val="22"/>
          <w:szCs w:val="22"/>
        </w:rPr>
        <w:fldChar w:fldCharType="separate"/>
      </w:r>
      <w:r w:rsidR="00217FAC" w:rsidRPr="00217FAC">
        <w:rPr>
          <w:noProof/>
          <w:sz w:val="22"/>
          <w:szCs w:val="22"/>
          <w:vertAlign w:val="superscript"/>
        </w:rPr>
        <w:t>191</w:t>
      </w:r>
      <w:r w:rsidRPr="003E73CD">
        <w:rPr>
          <w:sz w:val="22"/>
          <w:szCs w:val="22"/>
        </w:rPr>
        <w:fldChar w:fldCharType="end"/>
      </w:r>
      <w:proofErr w:type="gramStart"/>
      <w:r w:rsidRPr="003E73CD">
        <w:rPr>
          <w:sz w:val="22"/>
          <w:szCs w:val="22"/>
        </w:rPr>
        <w:t xml:space="preserve">  Ultrasound</w:t>
      </w:r>
      <w:proofErr w:type="gramEnd"/>
      <w:r w:rsidRPr="003E73CD">
        <w:rPr>
          <w:sz w:val="22"/>
          <w:szCs w:val="22"/>
        </w:rPr>
        <w:t xml:space="preserve"> assessment of the sent</w:t>
      </w:r>
      <w:r w:rsidR="00F2437E" w:rsidRPr="003E73CD">
        <w:rPr>
          <w:sz w:val="22"/>
          <w:szCs w:val="22"/>
        </w:rPr>
        <w:t xml:space="preserve">inel nodes can be performed at the time of </w:t>
      </w:r>
      <w:r w:rsidRPr="003E73CD">
        <w:rPr>
          <w:sz w:val="22"/>
          <w:szCs w:val="22"/>
        </w:rPr>
        <w:t>lymphoscintigraphy to assess for evidence of metastatic disease and also to provide more information on the size, depth and anatomical location of the nodes.</w:t>
      </w:r>
      <w:r w:rsidRPr="003E73CD">
        <w:rPr>
          <w:sz w:val="22"/>
          <w:szCs w:val="22"/>
        </w:rPr>
        <w:fldChar w:fldCharType="begin" w:fldLock="1"/>
      </w:r>
      <w:r w:rsidR="005676A9">
        <w:rPr>
          <w:sz w:val="22"/>
          <w:szCs w:val="22"/>
        </w:rPr>
        <w:instrText>ADDIN CSL_CITATION { "citationItems" : [ { "id" : "ITEM-1", "itemData" : { "DOI" : "10.1200/JCO.2008.21.4882", "ISSN" : "0732-183X", "PMID" : "19786669", "abstract" : "PURPOSE: To reassess traditional ultrasound descriptors of sentinel lymph node (SLN) metastases, to determine the minimum cross-sectional area (CSA) of an SLN metastasis detectable by ultrasound (US), and to establish whether targeted, high-resolution US of SLNs identified by lymphoscintigraphy before initial melanoma surgery can be used as a substitute for excisional SLN biopsy.\n\nMETHODS: US was performed on SLNs identified in 871 lymph node fields in 716 patients. SLN biopsy was performed within 24 hours of lymphoscintigraphy and US examination. The CSA of each SLN metastatic deposit was determined sonographically and histologically.\n\nRESULTS: The sensitivity of targeted US in the detection of positive SLNs was 24.3% (95% CI, 19.5% to 28.7%), and the specificity was 96.8% (95% CI, 95.9% to 97.7%). The sensitivity was highest for neck SLNs (45.8%) and improved with greater Breslow thickness. The median histologic CSA of the SLN metastatic deposits was 0.39 mm(2) (12.75 mm(2) for US true-positive results and 0.22 mm(2) for US false-negative results). True-positive, US-detected SLNs had significantly greater CSAs (t test P &lt; .001) than undetected SLN metastases and were more likely to be spherical in cross-section. More than two sonographic descriptors of SLN metastases or rounding of the node alone were factors highly suggestive of a melanoma deposit.\n\nCONCLUSION: US is not an appropriate substitute for SLN biopsy, but it is of value in preoperative SLN assessment and postoperative monitoring.", "author" : [ { "dropping-particle" : "", "family" : "Sanki", "given" : "A.", "non-dropping-particle" : "", "parse-names" : false, "suffix" : "" }, { "dropping-particle" : "", "family" : "Uren", "given" : "R. F.", "non-dropping-particle" : "", "parse-names" : false, "suffix" : "" }, { "dropping-particle" : "", "family" : "Moncrieff", "given" : "M.", "non-dropping-particle" : "", "parse-names" : false, "suffix" : "" }, { "dropping-particle" : "", "family" : "Tran", "given" : "K. L.", "non-dropping-particle" : "", "parse-names" : false, "suffix" : "" }, { "dropping-particle" : "", "family" : "Scolyer", "given" : "R. A.", "non-dropping-particle" : "", "parse-names" : false, "suffix" : "" }, { "dropping-particle" : "", "family" : "Lin", "given" : "H.-Y.", "non-dropping-particle" : "", "parse-names" : false, "suffix" : "" }, { "dropping-particle" : "", "family" : "Thompson", "given" : "J. F.", "non-dropping-particle" : "", "parse-names" : false, "suffix" : "" } ], "container-title" : "Journal of Clinical Oncology", "id" : "ITEM-1", "issue" : "33", "issued" : { "date-parts" : [ [ "2009", "9", "28" ] ] }, "page" : "5614-5619", "title" : "Targeted High-Resolution Ultrasound Is Not an Effective Substitute for Sentinel Lymph Node Biopsy in Patients With Primary Cutaneous Melanoma", "type" : "article-journal", "volume" : "27" }, "uris" : [ "http://www.mendeley.com/documents/?uuid=e17e08d5-96cc-4c35-afd4-acc30134ee24" ] } ], "mendeley" : { "formattedCitation" : "&lt;sup&gt;192&lt;/sup&gt;", "plainTextFormattedCitation" : "192", "previouslyFormattedCitation" : "&lt;sup&gt;192&lt;/sup&gt;" }, "properties" : { "noteIndex" : 0 }, "schema" : "https://github.com/citation-style-language/schema/raw/master/csl-citation.json" }</w:instrText>
      </w:r>
      <w:r w:rsidRPr="003E73CD">
        <w:rPr>
          <w:sz w:val="22"/>
          <w:szCs w:val="22"/>
        </w:rPr>
        <w:fldChar w:fldCharType="separate"/>
      </w:r>
      <w:r w:rsidR="00217FAC" w:rsidRPr="00217FAC">
        <w:rPr>
          <w:noProof/>
          <w:sz w:val="22"/>
          <w:szCs w:val="22"/>
          <w:vertAlign w:val="superscript"/>
        </w:rPr>
        <w:t>192</w:t>
      </w:r>
      <w:r w:rsidRPr="003E73CD">
        <w:rPr>
          <w:sz w:val="22"/>
          <w:szCs w:val="22"/>
        </w:rPr>
        <w:fldChar w:fldCharType="end"/>
      </w:r>
      <w:proofErr w:type="gramStart"/>
      <w:r w:rsidRPr="003E73CD">
        <w:rPr>
          <w:sz w:val="22"/>
          <w:szCs w:val="22"/>
        </w:rPr>
        <w:t xml:space="preserve">  More</w:t>
      </w:r>
      <w:proofErr w:type="gramEnd"/>
      <w:r w:rsidRPr="003E73CD">
        <w:rPr>
          <w:sz w:val="22"/>
          <w:szCs w:val="22"/>
        </w:rPr>
        <w:t xml:space="preserve"> recently SPECT CT has become increasingly employed to provide precise anatomical detail of the location of sentinel nodes, particularly in the head and neck.</w:t>
      </w:r>
      <w:r w:rsidRPr="003E73CD">
        <w:rPr>
          <w:sz w:val="22"/>
          <w:szCs w:val="22"/>
        </w:rPr>
        <w:fldChar w:fldCharType="begin" w:fldLock="1"/>
      </w:r>
      <w:r w:rsidR="005676A9">
        <w:rPr>
          <w:sz w:val="22"/>
          <w:szCs w:val="22"/>
        </w:rPr>
        <w:instrText>ADDIN CSL_CITATION { "citationItems" : [ { "id" : "ITEM-1", "itemData" : { "ISSN" : "0161-5505", "PMID" : "12960185", "abstract" : "UNLABELLED: Lymphoscintigraphy is performed before sentinel node (SN) biopsy for SN mapping. It is of clinical importance mainly if the tumor is located in body parts with ambiguous lymph node drainage. The purpose of this study was to assess the clinical benefit of fused SPECT/CT images to planar images for SN mapping.\n\nMETHODS: Thirty-four consecutive patients with cutaneous malignant melanoma (n = 28) and squamous cell carcinoma (n = 6) and scheduled for SN biopsy were enrolled. Primary tumors were located in the trunk (n = 12), in the extremities (n = 12), in the head and neck (n = 9), and in the penis (n = 1). Scintigraphy was performed using a hybrid gamma-camera/low-dose CT system. Planar images and fused SPECT/CT images were interpreted separately.\n\nRESULTS: SPECT/CT identified multiple draining basins in 6 of 12 patients (50%) with trunk melanoma and in 3 of 9 patients (33%) with head and neck melanoma or mucosal tumor. In 9 of 21 patients (43%) with a primary tumor located in the head and neck or trunk region, SPECT/CT-fused images identified SNs that were missed on planar images, 2 of which were involved with tumor. Three of the 9 nodes were located close to the injection site and were hidden by its scattered radiation, and 2 were in-transit nodes. Another 4 nodes, identified on fused images only, were located in an additional basin to those identified on planar images. Fused images were of no added value either in patients with limb melanoma or in a patient with a penile melanoma.\n\nCONCLUSION: SPECT/CT SN mapping provides additional data that are of clinical relevance to SN biopsy in patients with trunk or head and neck melanoma and in patients with mucosal head and neck tumor.", "author" : [ { "dropping-particle" : "", "family" : "Even-Sapir", "given" : "Einat", "non-dropping-particle" : "", "parse-names" : false, "suffix" : "" }, { "dropping-particle" : "", "family" : "Lerman", "given" : "Hedva", "non-dropping-particle" : "", "parse-names" : false, "suffix" : "" }, { "dropping-particle" : "", "family" : "Lievshitz", "given" : "Genady", "non-dropping-particle" : "", "parse-names" : false, "suffix" : "" }, { "dropping-particle" : "", "family" : "Khafif", "given" : "Avi", "non-dropping-particle" : "", "parse-names" : false, "suffix" : "" }, { "dropping-particle" : "", "family" : "Fliss", "given" : "Dan M", "non-dropping-particle" : "", "parse-names" : false, "suffix" : "" }, { "dropping-particle" : "", "family" : "Schwartz", "given" : "Arnon", "non-dropping-particle" : "", "parse-names" : false, "suffix" : "" }, { "dropping-particle" : "", "family" : "Gur", "given" : "Eyal", "non-dropping-particle" : "", "parse-names" : false, "suffix" : "" }, { "dropping-particle" : "", "family" : "Skornick", "given" : "Yehuda", "non-dropping-particle" : "", "parse-names" : false, "suffix" : "" }, { "dropping-particle" : "", "family" : "Schneebaum", "given" : "Shlomo", "non-dropping-particle" : "", "parse-names" : false, "suffix" : "" } ], "container-title" : "Journal of nuclear medicine : official publication, Society of Nuclear Medicine", "id" : "ITEM-1", "issue" : "9", "issued" : { "date-parts" : [ [ "2003", "9" ] ] }, "page" : "1413-20", "title" : "Lymphoscintigraphy for sentinel node mapping using a hybrid SPECT/CT system.", "type" : "article-journal", "volume" : "44" }, "uris" : [ "http://www.mendeley.com/documents/?uuid=9ccf1975-1841-467b-b485-a47761ee2695" ] } ], "mendeley" : { "formattedCitation" : "&lt;sup&gt;193&lt;/sup&gt;", "plainTextFormattedCitation" : "193", "previouslyFormattedCitation" : "&lt;sup&gt;193&lt;/sup&gt;" }, "properties" : { "noteIndex" : 0 }, "schema" : "https://github.com/citation-style-language/schema/raw/master/csl-citation.json" }</w:instrText>
      </w:r>
      <w:r w:rsidRPr="003E73CD">
        <w:rPr>
          <w:sz w:val="22"/>
          <w:szCs w:val="22"/>
        </w:rPr>
        <w:fldChar w:fldCharType="separate"/>
      </w:r>
      <w:r w:rsidR="00217FAC" w:rsidRPr="00217FAC">
        <w:rPr>
          <w:noProof/>
          <w:sz w:val="22"/>
          <w:szCs w:val="22"/>
          <w:vertAlign w:val="superscript"/>
        </w:rPr>
        <w:t>193</w:t>
      </w:r>
      <w:r w:rsidRPr="003E73CD">
        <w:rPr>
          <w:sz w:val="22"/>
          <w:szCs w:val="22"/>
        </w:rPr>
        <w:fldChar w:fldCharType="end"/>
      </w:r>
      <w:r w:rsidRPr="003E73CD">
        <w:rPr>
          <w:sz w:val="22"/>
          <w:szCs w:val="22"/>
        </w:rPr>
        <w:t xml:space="preserve"> </w:t>
      </w:r>
    </w:p>
    <w:p w14:paraId="047F9C2C" w14:textId="77777777" w:rsidR="0061482C" w:rsidRPr="003E73CD" w:rsidRDefault="0061482C" w:rsidP="0061482C">
      <w:pPr>
        <w:spacing w:line="480" w:lineRule="auto"/>
        <w:rPr>
          <w:sz w:val="22"/>
          <w:szCs w:val="22"/>
        </w:rPr>
      </w:pPr>
    </w:p>
    <w:p w14:paraId="6B5DA50C" w14:textId="77777777" w:rsidR="005C6DB7" w:rsidRPr="003E73CD" w:rsidRDefault="005C6DB7">
      <w:pPr>
        <w:rPr>
          <w:sz w:val="22"/>
          <w:szCs w:val="22"/>
        </w:rPr>
      </w:pPr>
      <w:r w:rsidRPr="003E73CD">
        <w:rPr>
          <w:sz w:val="22"/>
          <w:szCs w:val="22"/>
        </w:rPr>
        <w:br w:type="page"/>
      </w:r>
    </w:p>
    <w:p w14:paraId="6DD001CF" w14:textId="3918C7F6" w:rsidR="001D2BA0" w:rsidRPr="003E73CD" w:rsidRDefault="0061482C" w:rsidP="0061482C">
      <w:pPr>
        <w:spacing w:line="480" w:lineRule="auto"/>
        <w:rPr>
          <w:sz w:val="22"/>
          <w:szCs w:val="22"/>
        </w:rPr>
      </w:pPr>
      <w:r w:rsidRPr="003E73CD">
        <w:rPr>
          <w:sz w:val="22"/>
          <w:szCs w:val="22"/>
        </w:rPr>
        <w:t xml:space="preserve">Figure </w:t>
      </w:r>
      <w:r w:rsidR="002B3EC6">
        <w:rPr>
          <w:sz w:val="22"/>
          <w:szCs w:val="22"/>
        </w:rPr>
        <w:t>1.3</w:t>
      </w:r>
      <w:r w:rsidR="00E84AB5" w:rsidRPr="003E73CD">
        <w:rPr>
          <w:sz w:val="22"/>
          <w:szCs w:val="22"/>
        </w:rPr>
        <w:t>.3</w:t>
      </w:r>
      <w:r w:rsidRPr="003E73CD">
        <w:rPr>
          <w:sz w:val="22"/>
          <w:szCs w:val="22"/>
        </w:rPr>
        <w:t xml:space="preserve">.  </w:t>
      </w:r>
      <w:proofErr w:type="gramStart"/>
      <w:r w:rsidRPr="003E73CD">
        <w:rPr>
          <w:sz w:val="22"/>
          <w:szCs w:val="22"/>
        </w:rPr>
        <w:t>Contamination o</w:t>
      </w:r>
      <w:r w:rsidR="00620034" w:rsidRPr="003E73CD">
        <w:rPr>
          <w:sz w:val="22"/>
          <w:szCs w:val="22"/>
        </w:rPr>
        <w:t>f clothing with radiocolloid</w:t>
      </w:r>
      <w:r w:rsidRPr="003E73CD">
        <w:rPr>
          <w:sz w:val="22"/>
          <w:szCs w:val="22"/>
        </w:rPr>
        <w:t xml:space="preserve"> mimicking internal mammary node uptake on a lymphoscintigram for a primary tumour located on the nose.</w:t>
      </w:r>
      <w:proofErr w:type="gramEnd"/>
      <w:r w:rsidRPr="003E73CD">
        <w:rPr>
          <w:sz w:val="22"/>
          <w:szCs w:val="22"/>
        </w:rPr>
        <w:t xml:space="preserve">  </w:t>
      </w:r>
    </w:p>
    <w:p w14:paraId="2E96F105" w14:textId="4A48B133" w:rsidR="0061482C" w:rsidRPr="003E73CD" w:rsidRDefault="0061482C" w:rsidP="0061482C">
      <w:pPr>
        <w:spacing w:line="480" w:lineRule="auto"/>
        <w:rPr>
          <w:sz w:val="22"/>
          <w:szCs w:val="22"/>
        </w:rPr>
      </w:pPr>
      <w:r w:rsidRPr="003E73CD">
        <w:rPr>
          <w:sz w:val="22"/>
          <w:szCs w:val="22"/>
        </w:rPr>
        <w:t xml:space="preserve">Figure </w:t>
      </w:r>
      <w:r w:rsidR="002B3EC6">
        <w:rPr>
          <w:sz w:val="22"/>
          <w:szCs w:val="22"/>
        </w:rPr>
        <w:t>1.3</w:t>
      </w:r>
      <w:r w:rsidR="00E84AB5" w:rsidRPr="003E73CD">
        <w:rPr>
          <w:sz w:val="22"/>
          <w:szCs w:val="22"/>
        </w:rPr>
        <w:t>.3</w:t>
      </w:r>
      <w:r w:rsidRPr="003E73CD">
        <w:rPr>
          <w:sz w:val="22"/>
          <w:szCs w:val="22"/>
        </w:rPr>
        <w:t xml:space="preserve">a) Lymphoscintigram result with patient wearing shirt.  </w:t>
      </w:r>
    </w:p>
    <w:p w14:paraId="13134F8B" w14:textId="486A5450" w:rsidR="0061482C" w:rsidRPr="003E73CD" w:rsidRDefault="0061482C" w:rsidP="0061482C">
      <w:pPr>
        <w:spacing w:line="480" w:lineRule="auto"/>
        <w:rPr>
          <w:sz w:val="22"/>
          <w:szCs w:val="22"/>
        </w:rPr>
      </w:pPr>
      <w:r w:rsidRPr="003E73CD">
        <w:rPr>
          <w:noProof/>
          <w:sz w:val="22"/>
          <w:szCs w:val="22"/>
        </w:rPr>
        <w:drawing>
          <wp:inline distT="0" distB="0" distL="0" distR="0" wp14:anchorId="759374F6" wp14:editId="6F08E949">
            <wp:extent cx="4381844" cy="3815080"/>
            <wp:effectExtent l="0" t="0" r="1270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84050" cy="3817000"/>
                    </a:xfrm>
                    <a:prstGeom prst="rect">
                      <a:avLst/>
                    </a:prstGeom>
                    <a:noFill/>
                    <a:ln>
                      <a:noFill/>
                    </a:ln>
                  </pic:spPr>
                </pic:pic>
              </a:graphicData>
            </a:graphic>
          </wp:inline>
        </w:drawing>
      </w:r>
    </w:p>
    <w:p w14:paraId="620724C8" w14:textId="6BB223A4" w:rsidR="001D2BA0" w:rsidRPr="003E73CD" w:rsidRDefault="002B3EC6" w:rsidP="0061482C">
      <w:pPr>
        <w:spacing w:line="480" w:lineRule="auto"/>
        <w:rPr>
          <w:sz w:val="22"/>
          <w:szCs w:val="22"/>
        </w:rPr>
      </w:pPr>
      <w:r>
        <w:rPr>
          <w:sz w:val="22"/>
          <w:szCs w:val="22"/>
        </w:rPr>
        <w:t>Figure 1.3</w:t>
      </w:r>
      <w:r w:rsidR="00E84AB5" w:rsidRPr="003E73CD">
        <w:rPr>
          <w:sz w:val="22"/>
          <w:szCs w:val="22"/>
        </w:rPr>
        <w:t>.3</w:t>
      </w:r>
      <w:r w:rsidR="001D2BA0" w:rsidRPr="003E73CD">
        <w:rPr>
          <w:sz w:val="22"/>
          <w:szCs w:val="22"/>
        </w:rPr>
        <w:t>b) Lymphoscintigram result when patient removed shirt.</w:t>
      </w:r>
    </w:p>
    <w:p w14:paraId="20F9A530" w14:textId="1EAD11E6" w:rsidR="0061482C" w:rsidRPr="003E73CD" w:rsidRDefault="005C6DB7" w:rsidP="0061482C">
      <w:pPr>
        <w:spacing w:line="480" w:lineRule="auto"/>
        <w:rPr>
          <w:sz w:val="22"/>
          <w:szCs w:val="22"/>
        </w:rPr>
      </w:pPr>
      <w:r w:rsidRPr="003E73CD">
        <w:rPr>
          <w:noProof/>
          <w:sz w:val="22"/>
          <w:szCs w:val="22"/>
        </w:rPr>
        <w:drawing>
          <wp:inline distT="0" distB="0" distL="0" distR="0" wp14:anchorId="709459FA" wp14:editId="0A0B47D9">
            <wp:extent cx="4381082" cy="3393440"/>
            <wp:effectExtent l="0" t="0" r="0" b="1016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84999" cy="3396474"/>
                    </a:xfrm>
                    <a:prstGeom prst="rect">
                      <a:avLst/>
                    </a:prstGeom>
                    <a:noFill/>
                    <a:ln>
                      <a:noFill/>
                    </a:ln>
                  </pic:spPr>
                </pic:pic>
              </a:graphicData>
            </a:graphic>
          </wp:inline>
        </w:drawing>
      </w:r>
    </w:p>
    <w:p w14:paraId="2B0DF959" w14:textId="77777777" w:rsidR="0061482C" w:rsidRPr="003E73CD" w:rsidRDefault="0061482C" w:rsidP="0061482C">
      <w:pPr>
        <w:pStyle w:val="Heading1"/>
        <w:rPr>
          <w:rFonts w:ascii="Cambria" w:hAnsi="Cambria"/>
          <w:szCs w:val="22"/>
        </w:rPr>
      </w:pPr>
      <w:r w:rsidRPr="003E73CD">
        <w:rPr>
          <w:rFonts w:ascii="Cambria" w:hAnsi="Cambria"/>
          <w:szCs w:val="22"/>
        </w:rPr>
        <w:t>Effects of previous surgery</w:t>
      </w:r>
    </w:p>
    <w:p w14:paraId="52239E94" w14:textId="77777777" w:rsidR="0061482C" w:rsidRPr="003E73CD" w:rsidRDefault="0061482C" w:rsidP="0061482C">
      <w:pPr>
        <w:numPr>
          <w:ilvl w:val="0"/>
          <w:numId w:val="3"/>
        </w:numPr>
        <w:spacing w:line="480" w:lineRule="auto"/>
        <w:rPr>
          <w:b/>
          <w:sz w:val="22"/>
          <w:szCs w:val="22"/>
        </w:rPr>
      </w:pPr>
      <w:r w:rsidRPr="003E73CD">
        <w:rPr>
          <w:b/>
          <w:sz w:val="22"/>
          <w:szCs w:val="22"/>
        </w:rPr>
        <w:t>Excision biopsy</w:t>
      </w:r>
    </w:p>
    <w:p w14:paraId="3B877D0A" w14:textId="74821DA3" w:rsidR="0061482C" w:rsidRPr="003E73CD" w:rsidRDefault="0061482C" w:rsidP="0061482C">
      <w:pPr>
        <w:spacing w:line="480" w:lineRule="auto"/>
        <w:ind w:firstLine="360"/>
        <w:rPr>
          <w:sz w:val="22"/>
          <w:szCs w:val="22"/>
        </w:rPr>
      </w:pPr>
      <w:r w:rsidRPr="003E73CD">
        <w:rPr>
          <w:sz w:val="22"/>
          <w:szCs w:val="22"/>
        </w:rPr>
        <w:t>The effect of excision biopsy prior to lymphoscintigraphy on the accuracy of identification of the true sentinel nodes has not been studied because excision rather than incision biopsy is recommended to obtain the initial diagnosis of melanoma and to determine whether lymphoscintigraphy and sentinel node biopsy are appropriate.  Rettenbacher et al. performed lymphoscintigraphy twice in 100 patients with cutaneous melanoma to compare injection around the tumour or scar at a distance of 2 - 5mm with injection 10mm from the initial site.</w:t>
      </w:r>
      <w:r w:rsidRPr="003E73CD">
        <w:rPr>
          <w:sz w:val="22"/>
          <w:szCs w:val="22"/>
        </w:rPr>
        <w:fldChar w:fldCharType="begin" w:fldLock="1"/>
      </w:r>
      <w:r w:rsidR="005676A9">
        <w:rPr>
          <w:sz w:val="22"/>
          <w:szCs w:val="22"/>
        </w:rPr>
        <w:instrText>ADDIN CSL_CITATION { "citationItems" : [ { "id" : "ITEM-1", "itemData" : { "ISSN" : "0161-5505", "PMID" : "11337518", "abstract" : "UNLABELLED: The aim of the study was to determine whether the sentinel lymph node (SLN) can be accurately detected in cutaneous melanoma patients when the injection distance from the tumor site is expanded.\n\nMETHODS: In 100 patients with cutaneous melanoma, lymphoscintigraphy was performed twice. First, we injected 37 MBq (99m)Tc nanocolloid intracutaneously at a 2- to 5-mm distance from either the melanoma or the biopsy scar. The injection was followed by dynamic imaging, which continued until the SLN became visible. On another day, we repeated the investigation, injecting the radiopharmaceutical intracutaneously exactly 10 mm from the previous injection site. The detected SLNs of both investigations were compared to determine the number and location of SLNs for each patient.\n\nRESULTS: The SLN identification rate was 94% with close injection and 100% with 10-mm-distant injection. All SLNs detected with close injection were visible with distant injection. In 84 of 100 patients, the images of both investigations showed the same number and location of SLNs. In the remaining 16 patients, an additional SLN was detected with the distant injection.\n\nCONCLUSION: The reproducibility of lymphoscintigraphy using different injection distances was 84%. The discordance in the remaining 16% was caused by detection of a lymph node in addition to the original SLN with distant injection. Diagnostic excision of the primary tumor before lymphoscintigraphy was possible without preventing detection of the original SLN. However, in 16% of our patients, excision of an additional lymph node had to be considered when lymphoscintigraphy was performed after diagnostic excision.", "author" : [ { "dropping-particle" : "", "family" : "Rettenbacher", "given" : "L", "non-dropping-particle" : "", "parse-names" : false, "suffix" : "" }, { "dropping-particle" : "", "family" : "Koller", "given" : "J", "non-dropping-particle" : "", "parse-names" : false, "suffix" : "" }, { "dropping-particle" : "", "family" : "K\u00e4ssmann", "given" : "H", "non-dropping-particle" : "", "parse-names" : false, "suffix" : "" }, { "dropping-particle" : "", "family" : "Holzmannhofer", "given" : "J", "non-dropping-particle" : "", "parse-names" : false, "suffix" : "" }, { "dropping-particle" : "", "family" : "Rettenbacher", "given" : "T", "non-dropping-particle" : "", "parse-names" : false, "suffix" : "" }, { "dropping-particle" : "", "family" : "Galvan", "given" : "G", "non-dropping-particle" : "", "parse-names" : false, "suffix" : "" } ], "container-title" : "Journal of nuclear medicine : official publication, Society of Nuclear Medicine", "id" : "ITEM-1", "issue" : "3", "issued" : { "date-parts" : [ [ "2001", "3" ] ] }, "page" : "424-9", "title" : "Reproducibility of lymphoscintigraphy in cutaneous melanoma: can we accurately detect the sentinel lymph node by expanding the tracer injection distance from the tumor site?", "type" : "article-journal", "volume" : "42" }, "uris" : [ "http://www.mendeley.com/documents/?uuid=1c7523cc-8cd5-4817-896a-da28822e5989" ] } ], "mendeley" : { "formattedCitation" : "&lt;sup&gt;194&lt;/sup&gt;", "plainTextFormattedCitation" : "194", "previouslyFormattedCitation" : "&lt;sup&gt;194&lt;/sup&gt;" }, "properties" : { "noteIndex" : 0 }, "schema" : "https://github.com/citation-style-language/schema/raw/master/csl-citation.json" }</w:instrText>
      </w:r>
      <w:r w:rsidRPr="003E73CD">
        <w:rPr>
          <w:sz w:val="22"/>
          <w:szCs w:val="22"/>
        </w:rPr>
        <w:fldChar w:fldCharType="separate"/>
      </w:r>
      <w:r w:rsidR="00217FAC" w:rsidRPr="00217FAC">
        <w:rPr>
          <w:noProof/>
          <w:sz w:val="22"/>
          <w:szCs w:val="22"/>
          <w:vertAlign w:val="superscript"/>
        </w:rPr>
        <w:t>194</w:t>
      </w:r>
      <w:r w:rsidRPr="003E73CD">
        <w:rPr>
          <w:sz w:val="22"/>
          <w:szCs w:val="22"/>
        </w:rPr>
        <w:fldChar w:fldCharType="end"/>
      </w:r>
      <w:proofErr w:type="gramStart"/>
      <w:r w:rsidRPr="003E73CD">
        <w:rPr>
          <w:sz w:val="22"/>
          <w:szCs w:val="22"/>
        </w:rPr>
        <w:t xml:space="preserve">  They</w:t>
      </w:r>
      <w:proofErr w:type="gramEnd"/>
      <w:r w:rsidRPr="003E73CD">
        <w:rPr>
          <w:sz w:val="22"/>
          <w:szCs w:val="22"/>
        </w:rPr>
        <w:t xml:space="preserve"> found that in 84 of 100 patients the lymphoscintigrams showed the same number and location of sentinel nodes.  In the remaining 16 patients the more distant injection detected an additional sentinel node but none of these additional nodes contained metastases.  This number of patients with additional sentinel nodes detected by distant injection is too small for definitive conclusions to be made regarding whether these additional sentinel nodes were “true” or “false”.  Performing lymphoscintigraphy after excision biopsy in effect increases the distance of injection from the skin containing the primary melanoma and could in theory result in the identification of a higher percentage of false sentinel nodes.  The theoretical possibility that the skin removed at excision biopsy could drain to sentinel nodes not also draining the surrounding skin could account for some cases of false negative sentinel node biopsy.  This risk should be reduced by excision of only the minimum amount of tissue for diagnosis and complete removal of the lesion and avoiding the practice of undermining wound edges, to minimise destruction of subdermal lymphatic channels.  For very extensive lesions diagnostic incision biopsies may be most appropriate.</w:t>
      </w:r>
    </w:p>
    <w:p w14:paraId="57D4CA57" w14:textId="77777777" w:rsidR="0061482C" w:rsidRPr="003E73CD" w:rsidRDefault="0061482C" w:rsidP="0061482C">
      <w:pPr>
        <w:spacing w:line="480" w:lineRule="auto"/>
        <w:rPr>
          <w:b/>
          <w:sz w:val="22"/>
          <w:szCs w:val="22"/>
        </w:rPr>
      </w:pPr>
    </w:p>
    <w:p w14:paraId="0609333E" w14:textId="77777777" w:rsidR="001D2BA0" w:rsidRPr="003E73CD" w:rsidRDefault="001D2BA0" w:rsidP="0061482C">
      <w:pPr>
        <w:spacing w:line="480" w:lineRule="auto"/>
        <w:rPr>
          <w:b/>
          <w:sz w:val="22"/>
          <w:szCs w:val="22"/>
        </w:rPr>
      </w:pPr>
    </w:p>
    <w:p w14:paraId="29FF7FD5" w14:textId="77777777" w:rsidR="001D2BA0" w:rsidRPr="003E73CD" w:rsidRDefault="001D2BA0" w:rsidP="0061482C">
      <w:pPr>
        <w:spacing w:line="480" w:lineRule="auto"/>
        <w:rPr>
          <w:b/>
          <w:sz w:val="22"/>
          <w:szCs w:val="22"/>
        </w:rPr>
      </w:pPr>
    </w:p>
    <w:p w14:paraId="4B6F46FD" w14:textId="77777777" w:rsidR="007D7218" w:rsidRPr="003E73CD" w:rsidRDefault="007D7218">
      <w:pPr>
        <w:rPr>
          <w:b/>
          <w:sz w:val="22"/>
          <w:szCs w:val="22"/>
        </w:rPr>
      </w:pPr>
      <w:r w:rsidRPr="003E73CD">
        <w:rPr>
          <w:b/>
          <w:sz w:val="22"/>
          <w:szCs w:val="22"/>
        </w:rPr>
        <w:br w:type="page"/>
      </w:r>
    </w:p>
    <w:p w14:paraId="1963400D" w14:textId="5F689D81" w:rsidR="0061482C" w:rsidRPr="003E73CD" w:rsidRDefault="0061482C" w:rsidP="0061482C">
      <w:pPr>
        <w:numPr>
          <w:ilvl w:val="0"/>
          <w:numId w:val="3"/>
        </w:numPr>
        <w:spacing w:line="480" w:lineRule="auto"/>
        <w:rPr>
          <w:b/>
          <w:sz w:val="22"/>
          <w:szCs w:val="22"/>
        </w:rPr>
      </w:pPr>
      <w:r w:rsidRPr="003E73CD">
        <w:rPr>
          <w:b/>
          <w:sz w:val="22"/>
          <w:szCs w:val="22"/>
        </w:rPr>
        <w:t>Skin graft</w:t>
      </w:r>
    </w:p>
    <w:p w14:paraId="0F9D0167" w14:textId="532C07F8" w:rsidR="0061482C" w:rsidRPr="003E73CD" w:rsidRDefault="0061482C" w:rsidP="0061482C">
      <w:pPr>
        <w:pStyle w:val="BodyText"/>
        <w:ind w:firstLine="360"/>
        <w:rPr>
          <w:rFonts w:ascii="Cambria" w:hAnsi="Cambria"/>
          <w:szCs w:val="22"/>
        </w:rPr>
      </w:pPr>
      <w:r w:rsidRPr="003E73CD">
        <w:rPr>
          <w:rFonts w:ascii="Cambria" w:hAnsi="Cambria"/>
          <w:szCs w:val="22"/>
        </w:rPr>
        <w:t xml:space="preserve">Skin grafts are commonly used to close defects following excision biopsy on the head and neck.  The head and neck has a rich lymphatic drainage system and it is likely that the effect of injecting around a skin graft (usually 4 injections) will result in a larger area of local distribution of colloid than would be the case with an injection on each side of an excision biopsy </w:t>
      </w:r>
      <w:r w:rsidR="002B3EC6">
        <w:rPr>
          <w:rFonts w:ascii="Cambria" w:hAnsi="Cambria"/>
          <w:szCs w:val="22"/>
        </w:rPr>
        <w:t>scar (see Figure 1.3</w:t>
      </w:r>
      <w:r w:rsidR="00E84AB5" w:rsidRPr="003E73CD">
        <w:rPr>
          <w:rFonts w:ascii="Cambria" w:hAnsi="Cambria"/>
          <w:szCs w:val="22"/>
        </w:rPr>
        <w:t>.4</w:t>
      </w:r>
      <w:r w:rsidRPr="003E73CD">
        <w:rPr>
          <w:rFonts w:ascii="Cambria" w:hAnsi="Cambria"/>
          <w:szCs w:val="22"/>
        </w:rPr>
        <w:t>).  The resultant effect may be similar to that observed by Rettenbacher et al. in that a larger number of sentinel nodes will be identified.</w:t>
      </w:r>
      <w:r w:rsidRPr="003E73CD">
        <w:rPr>
          <w:rFonts w:ascii="Cambria" w:hAnsi="Cambria"/>
          <w:szCs w:val="22"/>
        </w:rPr>
        <w:fldChar w:fldCharType="begin" w:fldLock="1"/>
      </w:r>
      <w:r w:rsidR="005676A9">
        <w:rPr>
          <w:rFonts w:ascii="Cambria" w:hAnsi="Cambria"/>
          <w:szCs w:val="22"/>
        </w:rPr>
        <w:instrText>ADDIN CSL_CITATION { "citationItems" : [ { "id" : "ITEM-1", "itemData" : { "ISSN" : "0161-5505", "PMID" : "11337518", "abstract" : "UNLABELLED: The aim of the study was to determine whether the sentinel lymph node (SLN) can be accurately detected in cutaneous melanoma patients when the injection distance from the tumor site is expanded.\n\nMETHODS: In 100 patients with cutaneous melanoma, lymphoscintigraphy was performed twice. First, we injected 37 MBq (99m)Tc nanocolloid intracutaneously at a 2- to 5-mm distance from either the melanoma or the biopsy scar. The injection was followed by dynamic imaging, which continued until the SLN became visible. On another day, we repeated the investigation, injecting the radiopharmaceutical intracutaneously exactly 10 mm from the previous injection site. The detected SLNs of both investigations were compared to determine the number and location of SLNs for each patient.\n\nRESULTS: The SLN identification rate was 94% with close injection and 100% with 10-mm-distant injection. All SLNs detected with close injection were visible with distant injection. In 84 of 100 patients, the images of both investigations showed the same number and location of SLNs. In the remaining 16 patients, an additional SLN was detected with the distant injection.\n\nCONCLUSION: The reproducibility of lymphoscintigraphy using different injection distances was 84%. The discordance in the remaining 16% was caused by detection of a lymph node in addition to the original SLN with distant injection. Diagnostic excision of the primary tumor before lymphoscintigraphy was possible without preventing detection of the original SLN. However, in 16% of our patients, excision of an additional lymph node had to be considered when lymphoscintigraphy was performed after diagnostic excision.", "author" : [ { "dropping-particle" : "", "family" : "Rettenbacher", "given" : "L", "non-dropping-particle" : "", "parse-names" : false, "suffix" : "" }, { "dropping-particle" : "", "family" : "Koller", "given" : "J", "non-dropping-particle" : "", "parse-names" : false, "suffix" : "" }, { "dropping-particle" : "", "family" : "K\u00e4ssmann", "given" : "H", "non-dropping-particle" : "", "parse-names" : false, "suffix" : "" }, { "dropping-particle" : "", "family" : "Holzmannhofer", "given" : "J", "non-dropping-particle" : "", "parse-names" : false, "suffix" : "" }, { "dropping-particle" : "", "family" : "Rettenbacher", "given" : "T", "non-dropping-particle" : "", "parse-names" : false, "suffix" : "" }, { "dropping-particle" : "", "family" : "Galvan", "given" : "G", "non-dropping-particle" : "", "parse-names" : false, "suffix" : "" } ], "container-title" : "Journal of nuclear medicine : official publication, Society of Nuclear Medicine", "id" : "ITEM-1", "issue" : "3", "issued" : { "date-parts" : [ [ "2001", "3" ] ] }, "page" : "424-9", "title" : "Reproducibility of lymphoscintigraphy in cutaneous melanoma: can we accurately detect the sentinel lymph node by expanding the tracer injection distance from the tumor site?", "type" : "article-journal", "volume" : "42" }, "uris" : [ "http://www.mendeley.com/documents/?uuid=1c7523cc-8cd5-4817-896a-da28822e5989" ] } ], "mendeley" : { "formattedCitation" : "&lt;sup&gt;194&lt;/sup&gt;", "plainTextFormattedCitation" : "194", "previouslyFormattedCitation" : "&lt;sup&gt;194&lt;/sup&gt;" }, "properties" : { "noteIndex" : 0 }, "schema" : "https://github.com/citation-style-language/schema/raw/master/csl-citation.json" }</w:instrText>
      </w:r>
      <w:r w:rsidRPr="003E73CD">
        <w:rPr>
          <w:rFonts w:ascii="Cambria" w:hAnsi="Cambria"/>
          <w:szCs w:val="22"/>
        </w:rPr>
        <w:fldChar w:fldCharType="separate"/>
      </w:r>
      <w:r w:rsidR="00217FAC" w:rsidRPr="00217FAC">
        <w:rPr>
          <w:rFonts w:ascii="Cambria" w:hAnsi="Cambria"/>
          <w:noProof/>
          <w:szCs w:val="22"/>
          <w:vertAlign w:val="superscript"/>
        </w:rPr>
        <w:t>194</w:t>
      </w:r>
      <w:r w:rsidRPr="003E73CD">
        <w:rPr>
          <w:rFonts w:ascii="Cambria" w:hAnsi="Cambria"/>
          <w:szCs w:val="22"/>
        </w:rPr>
        <w:fldChar w:fldCharType="end"/>
      </w:r>
      <w:r w:rsidRPr="003E73CD">
        <w:rPr>
          <w:rFonts w:ascii="Cambria" w:hAnsi="Cambria"/>
          <w:szCs w:val="22"/>
        </w:rPr>
        <w:t xml:space="preserve">    </w:t>
      </w:r>
    </w:p>
    <w:p w14:paraId="154B7542" w14:textId="77777777" w:rsidR="0061482C" w:rsidRPr="003E73CD" w:rsidRDefault="0061482C" w:rsidP="0061482C">
      <w:pPr>
        <w:pStyle w:val="BodyText"/>
        <w:rPr>
          <w:rFonts w:ascii="Cambria" w:hAnsi="Cambria"/>
          <w:szCs w:val="22"/>
        </w:rPr>
      </w:pPr>
    </w:p>
    <w:p w14:paraId="0ADE183B" w14:textId="77777777" w:rsidR="0061482C" w:rsidRPr="003E73CD" w:rsidRDefault="0061482C" w:rsidP="0061482C">
      <w:pPr>
        <w:pStyle w:val="BodyText"/>
        <w:rPr>
          <w:rFonts w:ascii="Cambria" w:hAnsi="Cambria"/>
          <w:szCs w:val="22"/>
        </w:rPr>
      </w:pPr>
    </w:p>
    <w:p w14:paraId="0F18D751" w14:textId="77777777" w:rsidR="001D2BA0" w:rsidRPr="003E73CD" w:rsidRDefault="001D2BA0">
      <w:pPr>
        <w:rPr>
          <w:rFonts w:eastAsia="Times New Roman"/>
          <w:sz w:val="22"/>
          <w:szCs w:val="22"/>
        </w:rPr>
      </w:pPr>
      <w:r w:rsidRPr="003E73CD">
        <w:rPr>
          <w:szCs w:val="22"/>
        </w:rPr>
        <w:br w:type="page"/>
      </w:r>
    </w:p>
    <w:p w14:paraId="05544C34" w14:textId="210F5A9A" w:rsidR="0061482C" w:rsidRPr="003E73CD" w:rsidRDefault="002B3EC6" w:rsidP="0061482C">
      <w:pPr>
        <w:pStyle w:val="BodyText"/>
        <w:rPr>
          <w:rFonts w:ascii="Cambria" w:hAnsi="Cambria"/>
          <w:szCs w:val="22"/>
        </w:rPr>
      </w:pPr>
      <w:r>
        <w:rPr>
          <w:rFonts w:ascii="Cambria" w:hAnsi="Cambria"/>
          <w:szCs w:val="22"/>
        </w:rPr>
        <w:t>Figure 1.3</w:t>
      </w:r>
      <w:r w:rsidR="00E84AB5" w:rsidRPr="003E73CD">
        <w:rPr>
          <w:rFonts w:ascii="Cambria" w:hAnsi="Cambria"/>
          <w:szCs w:val="22"/>
        </w:rPr>
        <w:t>.4</w:t>
      </w:r>
      <w:r w:rsidR="0061482C" w:rsidRPr="003E73CD">
        <w:rPr>
          <w:rFonts w:ascii="Cambria" w:hAnsi="Cambria"/>
          <w:szCs w:val="22"/>
        </w:rPr>
        <w:t xml:space="preserve">.  </w:t>
      </w:r>
      <w:proofErr w:type="gramStart"/>
      <w:r w:rsidR="0061482C" w:rsidRPr="003E73CD">
        <w:rPr>
          <w:rFonts w:ascii="Cambria" w:hAnsi="Cambria"/>
          <w:szCs w:val="22"/>
        </w:rPr>
        <w:t>A lymphoscintigram result following 4 injections of radiocolloid around a skin graft on the left medial forehead.</w:t>
      </w:r>
      <w:proofErr w:type="gramEnd"/>
      <w:r w:rsidR="0061482C" w:rsidRPr="003E73CD">
        <w:rPr>
          <w:rFonts w:ascii="Cambria" w:hAnsi="Cambria"/>
          <w:szCs w:val="22"/>
        </w:rPr>
        <w:t xml:space="preserve">  It can be seen that radiocolloid has become distributed, either by diffusion or uptake into lymphatics, over a wide area involving the left upper eyelid, left anterior scalp, and right medial forehead, in addition to the majority of the left forehead where the primary tumour was located.  At least 4 different sentinel nodes have been identified in both pre-auricular regions and in level I, thus making sentinel node biopsy challenging.</w:t>
      </w:r>
    </w:p>
    <w:p w14:paraId="0DFC2649" w14:textId="77777777" w:rsidR="0061482C" w:rsidRPr="003E73CD" w:rsidRDefault="0061482C" w:rsidP="0061482C">
      <w:pPr>
        <w:pStyle w:val="BodyText"/>
        <w:rPr>
          <w:rFonts w:ascii="Cambria" w:hAnsi="Cambria"/>
          <w:szCs w:val="22"/>
        </w:rPr>
      </w:pPr>
      <w:r w:rsidRPr="003E73CD">
        <w:rPr>
          <w:rFonts w:ascii="Cambria" w:hAnsi="Cambria"/>
          <w:noProof/>
          <w:szCs w:val="22"/>
        </w:rPr>
        <w:drawing>
          <wp:inline distT="0" distB="0" distL="0" distR="0" wp14:anchorId="78C889B2" wp14:editId="40577D08">
            <wp:extent cx="5273040" cy="5100320"/>
            <wp:effectExtent l="0" t="0" r="1016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73040" cy="5100320"/>
                    </a:xfrm>
                    <a:prstGeom prst="rect">
                      <a:avLst/>
                    </a:prstGeom>
                    <a:noFill/>
                    <a:ln>
                      <a:noFill/>
                    </a:ln>
                  </pic:spPr>
                </pic:pic>
              </a:graphicData>
            </a:graphic>
          </wp:inline>
        </w:drawing>
      </w:r>
    </w:p>
    <w:p w14:paraId="1D556543" w14:textId="77777777" w:rsidR="0061482C" w:rsidRPr="003E73CD" w:rsidRDefault="0061482C" w:rsidP="0061482C">
      <w:pPr>
        <w:pStyle w:val="BodyText"/>
        <w:rPr>
          <w:rFonts w:ascii="Cambria" w:hAnsi="Cambria"/>
          <w:szCs w:val="22"/>
        </w:rPr>
      </w:pPr>
    </w:p>
    <w:p w14:paraId="701A6B4B" w14:textId="77777777" w:rsidR="0061482C" w:rsidRPr="003E73CD" w:rsidRDefault="0061482C" w:rsidP="0061482C">
      <w:pPr>
        <w:pStyle w:val="BodyText"/>
        <w:rPr>
          <w:rFonts w:ascii="Cambria" w:hAnsi="Cambria"/>
          <w:szCs w:val="22"/>
        </w:rPr>
      </w:pPr>
    </w:p>
    <w:p w14:paraId="4092FFAD" w14:textId="77777777" w:rsidR="0061482C" w:rsidRPr="003E73CD" w:rsidRDefault="0061482C" w:rsidP="0061482C">
      <w:pPr>
        <w:pStyle w:val="BodyText"/>
        <w:rPr>
          <w:rFonts w:ascii="Cambria" w:hAnsi="Cambria"/>
          <w:szCs w:val="22"/>
        </w:rPr>
      </w:pPr>
    </w:p>
    <w:p w14:paraId="62676B2F" w14:textId="77777777" w:rsidR="0061482C" w:rsidRPr="003E73CD" w:rsidRDefault="0061482C" w:rsidP="0061482C">
      <w:pPr>
        <w:pStyle w:val="BodyText"/>
        <w:rPr>
          <w:rFonts w:ascii="Cambria" w:hAnsi="Cambria"/>
          <w:szCs w:val="22"/>
        </w:rPr>
      </w:pPr>
    </w:p>
    <w:p w14:paraId="3487D406" w14:textId="77777777" w:rsidR="0061482C" w:rsidRPr="003E73CD" w:rsidRDefault="0061482C" w:rsidP="0061482C">
      <w:pPr>
        <w:numPr>
          <w:ilvl w:val="0"/>
          <w:numId w:val="3"/>
        </w:numPr>
        <w:spacing w:line="480" w:lineRule="auto"/>
        <w:rPr>
          <w:b/>
          <w:sz w:val="22"/>
          <w:szCs w:val="22"/>
        </w:rPr>
      </w:pPr>
      <w:r w:rsidRPr="003E73CD">
        <w:rPr>
          <w:b/>
          <w:sz w:val="22"/>
          <w:szCs w:val="22"/>
        </w:rPr>
        <w:t>Wide local excision</w:t>
      </w:r>
    </w:p>
    <w:p w14:paraId="59DDBDE0" w14:textId="50FB6C85" w:rsidR="0061482C" w:rsidRPr="003E73CD" w:rsidRDefault="0061482C" w:rsidP="0061482C">
      <w:pPr>
        <w:pStyle w:val="BodyText"/>
        <w:ind w:firstLine="360"/>
        <w:rPr>
          <w:rFonts w:ascii="Cambria" w:hAnsi="Cambria"/>
          <w:szCs w:val="22"/>
        </w:rPr>
      </w:pPr>
      <w:r w:rsidRPr="003E73CD">
        <w:rPr>
          <w:rFonts w:ascii="Cambria" w:hAnsi="Cambria"/>
          <w:szCs w:val="22"/>
        </w:rPr>
        <w:t>Lymphoscintigraphy is especially important for patients who have previously had wide local excision because blue dye injection is sometimes not performed in order to avoid potentially permanent tattooing of the skin at the injection site (this skin would normally be excised as part of the wide local excision).  A number of studies have addressed the accuracy of sentinel node biopsy for patients who have already undergone wide local excision.</w:t>
      </w:r>
      <w:r w:rsidRPr="003E73CD">
        <w:rPr>
          <w:rFonts w:ascii="Cambria" w:hAnsi="Cambria"/>
          <w:szCs w:val="22"/>
        </w:rPr>
        <w:fldChar w:fldCharType="begin" w:fldLock="1"/>
      </w:r>
      <w:r w:rsidR="005676A9">
        <w:rPr>
          <w:rFonts w:ascii="Cambria" w:hAnsi="Cambria"/>
          <w:szCs w:val="22"/>
        </w:rPr>
        <w:instrText>ADDIN CSL_CITATION { "citationItems" : [ { "id" : "ITEM-1", "itemData" : { "ISSN" : "1072-7515", "PMID" : "10472924", "abstract" : "BACKGROUND: Lymphatic mapping and sentinel lymphadenectomy (LM/SL) are generally avoided in patients who have already undergone wide local excision (WLE) of a primary melanoma, because of concern that disruption of the cutaneous lymphatics might alter lymphatic flow to the sentinel node. We reviewed carefully chosen patients who had undergone LM/SL after WLE to identify circumstances that might make this approach otherwise safe and clinically accurate.\n\nSTUDY DESIGN: From our melanoma database of 8,300 patients, of whom 1,015 had undergone LM/SL, we retrospectively identified 47 patients who had previously undergone WLE. Patient and tumor characteristics were collected and compared with followup data from clinic files.\n\nRESULTS: Median WLE surgical margins before LM/SL were 2.0 cm and most patients had extremity lesions. Eleven of the 47 patients (23%) had tumor-involved sentinel nodes, and 8 of these patients (73%) had a solitary nodal metastasis. With a median followup period of 36 months, 3 sentinel node-negative patients developed nodal recurrences. Two of these patients had positive sentinel nodes on pathology re-review and were not considered failures of the lymphatic mapping surgical procedure. The third patient developed in-transit metastases and delayed nodal recurrence. An additional patient, who had a primary tumor on the trunk, developed a nodal recurrence in the basin opposite that identified by lymphoscintigraphy. The overall error rate of the technique was 4 in 36 (11%). This included 2 pathology misdiagnoses (5.6%), 1 nodal recurrence associated with in-transit regional metastases (2.8%), and 1 lymphatic mapping error (2.8%).\n\nCONCLUSIONS: LM/SL can be cautiously performed in patients who have undergone previous WLE if the primary resection margin was no greater than 2.0 cm and the primary was not in a region of ambiguous drainage. Lymphatic mapping may be inaccurate when melanomas have been resected with large margins, especially if the wound was closed with rotation flaps, and when melanomas are on the head and neck or trunk regions.", "author" : [ { "dropping-particle" : "", "family" : "Kelemen", "given" : "P R", "non-dropping-particle" : "", "parse-names" : false, "suffix" : "" }, { "dropping-particle" : "", "family" : "Essner", "given" : "R", "non-dropping-particle" : "", "parse-names" : false, "suffix" : "" }, { "dropping-particle" : "", "family" : "Foshag", "given" : "L J", "non-dropping-particle" : "", "parse-names" : false, "suffix" : "" }, { "dropping-particle" : "", "family" : "Morton", "given" : "D L", "non-dropping-particle" : "", "parse-names" : false, "suffix" : "" } ], "container-title" : "Journal of the American College of Surgeons", "id" : "ITEM-1", "issue" : "3", "issued" : { "date-parts" : [ [ "1999", "9" ] ] }, "page" : "247-52", "title" : "Lymphatic mapping and sentinel lymphadenectomy after wide local excision of primary melanoma.", "type" : "article-journal", "volume" : "189" }, "uris" : [ "http://www.mendeley.com/documents/?uuid=a85c1231-f378-4d15-b529-77aec2be786f" ] }, { "id" : "ITEM-2", "itemData" : { "ISSN" : "1068-9265", "PMID" : "10622508", "abstract" : "BACKGROUND: Initially, the technique of sentinel node biopsy involved the use of blue dye alone and was later supplemented with the use of an intraoperative probe after radiocolloid injection near the melanoma site. Ideally, it should be done before wide excision. To our knowledge, there is no information in the literature regarding the applicability or reliability of this technique after wide excision.\n\nMETHODS: We conducted a retrospective review of 142 patients (1993-1999) with melanomas &gt; or =1.0 mm or Clark's level &gt; or =IV. Of these, 116 patients had prior biopsy only, and 26 had wide excision. The mean melanoma thickness was 2.5 mm. The location of the primary lesion was in the upper extremity in 42 patients, the lower extremity in 33, the trunk in 49, and the head and neck area in 18.\n\nRESULTS: The sentinel node was identified in 88 (93%) of 95 nodal basins using the blue dye alone and in 65 (98.5%) of 66 basins using dye plus probe. The sentinel node was positive in 35 (25%) of the 142 patients and 38 (24%) of the 161 nodal basins. In a mean follow-up of 30 months of 115 basins with negative sentinel nodes, 3 (3%) later developed a palpable positive node in the same basin. In the group of dye alone, the sentinel node was identified in 40 (100%) of 40 extremity primaries and in 48 (87%) of 55 trunk and head and neck primary lesions (P = .02). Nine (35%) of the 26 patients with previous wide excision (25 with primary closure or skin graft, 1 with flap rotation) and 10 (32%) of 31 of nodal basins had a positive node; in 8 of the 9 patients, the positive node was also the sentinel node. The only patient with a positive node incidentally removed along with a histologically negative sentinel node was the one with a previous wide excision and flap rotation.\n\nCONCLUSIONS: Previous wide excision of the melanoma does not appear to negate the reliability of sentinel node biopsy, provided that no flap rotation was used to cover the defect.", "author" : [ { "dropping-particle" : "", "family" : "Karakousis", "given" : "C P", "non-dropping-particle" : "", "parse-names" : false, "suffix" : "" }, { "dropping-particle" : "", "family" : "Grigoropoulos", "given" : "P", "non-dropping-particle" : "", "parse-names" : false, "suffix" : "" } ], "container-title" : "Annals of surgical oncology", "id" : "ITEM-2", "issue" : "8", "issued" : { "date-parts" : [ [ "1999", "12" ] ] }, "page" : "785-9", "title" : "Sentinel node biopsy before and after wide excision of the primary melanoma.", "type" : "article-journal", "volume" : "6" }, "uris" : [ "http://www.mendeley.com/documents/?uuid=1781e9b6-97ec-4a8b-b612-8de700c3e9aa" ] }, { "id" : "ITEM-3", "itemData" : { "ISSN" : "1068-9265", "PMID" : "12734091", "abstract" : "BACKGROUND: Patients have traditionally been considered candidates for sentinel node biopsy (SNBx) only at the time of wide local excision (WLE). We hypothesized that patients with prior WLE may also be staged accurately with SNBx.\n\nMETHODS: Seventy-six patients, including 18 patients from the University of Virginia and 58 from a multicenter study of SNBx led by investigators at the University of Vermont, who had previous WLE for clinically localized melanoma underwent lymphoscintigraphy with SNBx. Median follow-up time was 38 months.\n\nRESULTS: Intraoperative identification of at least 1 sentinel node was accomplished in 75 patients (98.6%). The mean number of sentinel nodes removed per patient was 2.0. Eleven patients (15%) had positive sentinel nodes. Among the 64 patients with negative SNBx, 3 (4%) developed nodal recurrences in a sentinel node-negative basin simultaneous with systemic metastasis, and 1 (1%) developed an isolated first recurrence in a lymph node.\n\nCONCLUSIONS: This multicenter study more than doubles the published experience with SNBx after WLE and provides much-needed outcome data on recurrence after SNBx in these patients. These outcomes compare favorably with the reported literature for patients with SNBx at the time of WLE, suggesting that accurate staging of the regional lymph node bed is possible in patients after WLE.", "author" : [ { "dropping-particle" : "", "family" : "Evans", "given" : "Heather L", "non-dropping-particle" : "", "parse-names" : false, "suffix" : "" }, { "dropping-particle" : "", "family" : "Krag", "given" : "David N", "non-dropping-particle" : "", "parse-names" : false, "suffix" : "" }, { "dropping-particle" : "", "family" : "Teates", "given" : "C David", "non-dropping-particle" : "", "parse-names" : false, "suffix" : "" }, { "dropping-particle" : "", "family" : "Patterson", "given" : "James W", "non-dropping-particle" : "", "parse-names" : false, "suffix" : "" }, { "dropping-particle" : "", "family" : "Meijer", "given" : "Sybren", "non-dropping-particle" : "", "parse-names" : false, "suffix" : "" }, { "dropping-particle" : "", "family" : "Harlow", "given" : "Seth P", "non-dropping-particle" : "", "parse-names" : false, "suffix" : "" }, { "dropping-particle" : "", "family" : "Tanabe", "given" : "Kenneth K", "non-dropping-particle" : "", "parse-names" : false, "suffix" : "" }, { "dropping-particle" : "", "family" : "Loggie", "given" : "Brian W", "non-dropping-particle" : "", "parse-names" : false, "suffix" : "" }, { "dropping-particle" : "", "family" : "Whitworth", "given" : "Patrick W", "non-dropping-particle" : "", "parse-names" : false, "suffix" : "" }, { "dropping-particle" : "", "family" : "Kusminsky", "given" : "Roberto E", "non-dropping-particle" : "", "parse-names" : false, "suffix" : "" }, { "dropping-particle" : "", "family" : "Carp", "given" : "Ned Z", "non-dropping-particle" : "", "parse-names" : false, "suffix" : "" }, { "dropping-particle" : "", "family" : "Gadd", "given" : "Michelle A", "non-dropping-particle" : "", "parse-names" : false, "suffix" : "" }, { "dropping-particle" : "", "family" : "Slingluff", "given" : "Craig L", "non-dropping-particle" : "", "parse-names" : false, "suffix" : "" } ], "container-title" : "Annals of surgical oncology", "id" : "ITEM-3", "issue" : "4", "issued" : { "date-parts" : [ [ "2003", "5" ] ] }, "page" : "416-25", "title" : "Lymphoscintigraphy and sentinel node biopsy accurately stage melanoma in patients presenting after wide local excision.", "type" : "article-journal", "volume" : "10" }, "uris" : [ "http://www.mendeley.com/documents/?uuid=16238263-8888-48ac-944f-0e5b8d64b243" ] }, { "id" : "ITEM-4", "itemData" : { "DOI" : "10.1002/cncr.22320", "ISSN" : "0008543X", "PMID" : "17063497", "abstract" : "BACKGROUND: Sentinel lymph node (SLN) status is the most important prognostic factor with respect to the survival of patients with primary cutaneous melanoma. However, lymphatic mapping and SLN biopsies (LM/SLNBs) performed in patients who have had a wide local excision (WLE) may not accurately reflect the pathologic status of the draining lymph node basins. The purpose of this study was to assess the feasibility and accuracy of LM/SLNB in patients who have had a previous WLE.\n\nMETHODS: A single-institution database was examined to identify patients who had a WLE before LM/SLNB and patients who had a concomitant LM/SLNB. Primary clinicopathologic features (age, tumor thickness, and ulceration), SLN identification rate, SLN pathologic status, and the incidence and sites of recurrences were compared between patients with and without prior WLE.\n\nRESULTS: Of the 1395 patients identified, 104 had WLE before LM/SLNB. The mean preoperative WLE radial margin was 1.4 cm (median, 1.0 cm). LM/SLNB was successful in 103 of 104 (99%) patients. Age, tumor thickness, incidence of ulceration, and incidence of SLN positivity in the group with prior WLE were similar to those of the cohort of patients who had concomitant LM/SLNB and WLE (n = 1291). In 97 (93%) of the 104 prior-WLE patients, the surgical defects were closed by either primary closure or skin graft; 7 patients (7%) had rotational flaps. The median follow-up of these 104 patients was 51 months. Among the prior-WLE group, 19 patients (18%) had a positive SLNB; of these 19 patients, 4 (21%) had recurrences (3 distant failures and 1 local and distant failure). There were no lymph node recurrences-in a mapped or unmapped basin-in these 104 patients with a negative or positive SLNB.\n\nCONCLUSIONS: SLNs can be successfully identified and accurately reflect the status of the regional lymph node basin in carefully selected melanoma patients with a previous WLE. Prior WLE does not appear to adversely impact the ability to detect lymphatic metastases, although the utility of LM/SLNB in patients who have undergone extensive reconstruction of the primary excision site remains to be defined. Because more extensive surgery may be required to accomplish accurate lymph node staging in patients who have undergone prior WLE-including the possible removal of SLNs from additional lymph node basins and an additional surgical procedure-to minimize morbidity and cost, concomitant WLE and LM/SLNB is strongly preferred whenever possible.", "author" : [ { "dropping-particle" : "", "family" : "Gannon", "given" : "Christopher J.", "non-dropping-particle" : "", "parse-names" : false, "suffix" : "" }, { "dropping-particle" : "", "family" : "Rousseau", "given" : "Dennis L.", "non-dropping-particle" : "", "parse-names" : false, "suffix" : "" }, { "dropping-particle" : "", "family" : "Ross", "given" : "Merrick I.", "non-dropping-particle" : "", "parse-names" : false, "suffix" : "" }, { "dropping-particle" : "", "family" : "Johnson", "given" : "Marcella M.", "non-dropping-particle" : "", "parse-names" : false, "suffix" : "" }, { "dropping-particle" : "", "family" : "Lee", "given" : "Jeffrey E.", "non-dropping-particle" : "", "parse-names" : false, "suffix" : "" }, { "dropping-particle" : "", "family" : "Mansfield", "given" : "Paul F.", "non-dropping-particle" : "", "parse-names" : false, "suffix" : "" }, { "dropping-particle" : "", "family" : "Cormier", "given" : "Janice N.", "non-dropping-particle" : "", "parse-names" : false, "suffix" : "" }, { "dropping-particle" : "", "family" : "Prieto", "given" : "Victor G.", "non-dropping-particle" : "", "parse-names" : false, "suffix" : "" }, { "dropping-particle" : "", "family" : "Gershenwald", "given" : "Jeffrey E.", "non-dropping-particle" : "", "parse-names" : false, "suffix" : "" } ], "container-title" : "Cancer", "id" : "ITEM-4", "issue" : "11", "issued" : { "date-parts" : [ [ "2006", "12", "1" ] ] }, "page" : "2647-2652", "title" : "Accuracy of lymphatic mapping and sentinel lymph node biopsy after previous wide local excision in patients with primary melanoma", "type" : "article-journal", "volume" : "107" }, "uris" : [ "http://www.mendeley.com/documents/?uuid=4475c5f4-5a34-414a-8943-24c2415b8f2e" ] }, { "id" : "ITEM-5", "itemData" : { "ISSN" : "0008-428X", "PMID" : "11764876", "abstract" : "OBJECTIVE: To document experience with sentinel lymph-node biopsy in patients who have already undergone a wide local excision for melanoma because in many centres previous wide excision has been a contraindication for sentinel lymph-node biopsy.\n\nDESIGN: A prospective cohort study.\n\nSETTING: A tertiary care academic cancer centre.\n\nPATIENTS: One hundred patients who presented with cutaneous melanoma (depth &gt;1 mm or Clark level IV) after having undergone wide local excision of the primary lesion that was not situated in the head or neck. The follow-up was 3 years.\n\nINTERVENTIONS: Sentinel lymph-node biopsy. Patients with truncal melanoma had preoperative lymphoscintigraphy to document the nodal basins at risk. Technetium-99m sulfur colloid (0.5-1 mCi in 0.5 mL) was injected intradermally around the scar, and the sentinel lymph node was excised with the aid of a hand-held gamma detector.\n\nOUTCOME MEASURES: Accuracy of the biopsy and false-negative rates in this setting.\n\nRESULTS: Of the 100 patients, 44 had truncal and 56 had extremity lesions. The average tumour depth was 3.47 mm and 3.07 mm respectively. Thirty-one patients had a sentinel lymph node positive for melanoma metastasis. Biopsies were positive for melanoma in 18 (41%) truncal lesions and 13 (23%) extremity lesions. There were 3 (9%) false-negative sentinel lymph-node biopsies as diagnosed by clinically evident nodal disease subsequently appearing in the nodal basin subjected to biopsy. Two occurred in patients after large rotation flap closures of truncal lesions. The third patient had a subungual melanoma of the great toe. No disease was found in the 2 nodes dissected. Two of the 3 false-negative biopsy results were obtained before serial sections and immunohistochemical staining were used to examine the sentinel lymph nodes.\n\nCONCLUSIONS: Sentinel lymph-node biopsies can successfully identify clinically occult nodal metastases in patients who have had previous wide local excision of a melanoma, but the false-negative rate in patients with rotation flap closures should be taken into consideration.", "author" : [ { "dropping-particle" : "", "family" : "McCready", "given" : "D R", "non-dropping-particle" : "", "parse-names" : false, "suffix" : "" }, { "dropping-particle" : "", "family" : "Ghazarian", "given" : "D M", "non-dropping-particle" : "", "parse-names" : false, "suffix" : "" }, { "dropping-particle" : "", "family" : "Hershkop", "given" : "M S", "non-dropping-particle" : "", "parse-names" : false, "suffix" : "" }, { "dropping-particle" : "", "family" : "Walker", "given" : "J A", "non-dropping-particle" : "", "parse-names" : false, "suffix" : "" }, { "dropping-particle" : "", "family" : "Ambus", "given" : "U", "non-dropping-particle" : "", "parse-names" : false, "suffix" : "" }, { "dropping-particle" : "", "family" : "Quirt", "given" : "I C", "non-dropping-particle" : "", "parse-names" : false, "suffix" : "" } ], "container-title" : "Canadian journal of surgery. Journal canadien de chirurgie", "id" : "ITEM-5", "issue" : "6", "issued" : { "date-parts" : [ [ "2001", "12" ] ] }, "page" : "432-4", "title" : "Sentinel lymph-node biopsy after previous wide local excision for melanoma.", "type" : "article-journal", "volume" : "44" }, "uris" : [ "http://www.mendeley.com/documents/?uuid=d9cffed5-aab0-4111-93aa-600397adaea0" ] }, { "id" : "ITEM-6", "itemData" : { "DOI" : "10.1002/jso.10205", "ISSN" : "0022-4790", "PMID" : "12619055", "abstract" : "BACKGROUND AND OBJECTIVES: The role of sentinel lymph node biopsy (SLNB) in patients with a previous wide local excision (WLE) was examined with case-control methodology.\n\nMETHODS: A total of 168 consecutive cases of SLNB were performed in patients with truncal and extremity melanoma with tumor thickness of &gt; or = 1 mm between October 1997 and June 2000 and were followed prospectively. For comparison, 65 of the 103 SLNB patients referred to us after their WLE (cases) were matched by tumor thickness to 65 patients who had SLNB with concurrent WLE (controls). Radiocolloid (technetium-99m sulfur colloid) was used in all cases; in addition, vital blue dye (patent blue) was used in the control group. The two groups were followed for a median of 15.4 months.\n\nRESULTS: SLNs were identified in all patients with an average of 2.1 (cases) and 2.0 (controls) SLNs excised per patient (P = 0.77). Twenty one (32.3%) of those having SLNB after previous WLE (cases) and 23 (35.4%) of those with concurrent WLE and SLNB (controls) were found to have metastatic disease in the SLN. The only false-negative in this group was detected in clinical follow-up in a patient whose truncal WLE was previously closed with a rotation flap (case). There was no significant difference in relapse-free survival (P = 0.209) and overall survival (P = 0.692) between groups.\n\nCONCLUSIONS: SLNB is feasible in patients with previous WLE for extremity and truncal melanoma. Similar rates of sentinel positivity are found when compared with those in whom their WLE was done concurrently.", "author" : [ { "dropping-particle" : "", "family" : "Leong", "given" : "Wey L", "non-dropping-particle" : "", "parse-names" : false, "suffix" : "" }, { "dropping-particle" : "", "family" : "Ghazarian", "given" : "Danny M", "non-dropping-particle" : "", "parse-names" : false, "suffix" : "" }, { "dropping-particle" : "", "family" : "McCready", "given" : "David R", "non-dropping-particle" : "", "parse-names" : false, "suffix" : "" } ], "container-title" : "Journal of surgical oncology", "id" : "ITEM-6", "issue" : "3", "issued" : { "date-parts" : [ [ "2003", "3" ] ] }, "page" : "143-6", "title" : "Previous wide local excision of primary melanoma is not a contraindication for sentinel lymph node biopsy of the trunk and extremity.", "type" : "article-journal", "volume" : "82" }, "uris" : [ "http://www.mendeley.com/documents/?uuid=482701c4-9821-4b80-883a-df25ce8471a3" ] }, { "id" : "ITEM-7", "itemData" : { "ISSN" : "1068-9265", "PMID" : "12620917", "abstract" : "BACKGROUND: Harvesting the sentinel lymph node (SLN) is important in the management of patients with primary cutaneous melanoma. Selective sentinel lymphadenectomy (SSL) is generally performed at the time of wide local excision (WLE). The aim of our study was to determine whether delayed SSL is useful in detecting micrometastasis to the regional basin in patients with previous WLE of an extremity melanoma.\n\nMETHODS: Of 203 patients with a primary melanoma site located on the upper or lower extremity seen at the University of California, San Francisco/Mount Zion Melanoma Center from May 17, 1994, to March 23, 1999, 24 patients had a WLE of their extremity melanoma with adequate margins before referral. SSL was performed to assess micrometastasis in the regional lymph node basin after preoperative lymphoscintigraphy.\n\nRESULTS: At least 1 SLN was identified in all 24 patients. At a median follow-up of 3 years, two patients showed micrometastasis in the SLNs. One of these two patients developed recurrence, and all remaining patients showed no evidence of disease.\n\nCONCLUSIONS: Although it is generally advised that WLE should be performed simultaneously with SSL, delayed SSL after WLE of an extremity melanoma can still provide valuable staging information, which is critical for management of the patient.", "author" : [ { "dropping-particle" : "", "family" : "Leong", "given" : "Stanley P L", "non-dropping-particle" : "", "parse-names" : false, "suffix" : "" }, { "dropping-particle" : "", "family" : "Thelmo", "given" : "Marylou C", "non-dropping-particle" : "", "parse-names" : false, "suffix" : "" }, { "dropping-particle" : "", "family" : "Kim", "given" : "Robert P", "non-dropping-particle" : "", "parse-names" : false, "suffix" : "" }, { "dropping-particle" : "", "family" : "Gokhale", "given" : "Rahul", "non-dropping-particle" : "", "parse-names" : false, "suffix" : "" }, { "dropping-particle" : "", "family" : "Rhee", "given" : "Jennifer Y", "non-dropping-particle" : "", "parse-names" : false, "suffix" : "" }, { "dropping-particle" : "", "family" : "Achtem", "given" : "Theodore A", "non-dropping-particle" : "", "parse-names" : false, "suffix" : "" }, { "dropping-particle" : "", "family" : "Morita", "given" : "Eugene", "non-dropping-particle" : "", "parse-names" : false, "suffix" : "" }, { "dropping-particle" : "", "family" : "Allen", "given" : "Robert E", "non-dropping-particle" : "", "parse-names" : false, "suffix" : "" }, { "dropping-particle" : "", "family" : "Kashani-Sabet", "given" : "Mohammed", "non-dropping-particle" : "", "parse-names" : false, "suffix" : "" }, { "dropping-particle" : "", "family" : "Sagebiel", "given" : "Richard W", "non-dropping-particle" : "", "parse-names" : false, "suffix" : "" } ], "container-title" : "Annals of surgical oncology", "id" : "ITEM-7", "issue" : "2", "issued" : { "date-parts" : [ [ "2003", "3" ] ] }, "page" : "196-200", "title" : "Delayed harvesting of sentinel lymph nodes after previous wide local excision of extremity melanoma.", "type" : "article-journal", "volume" : "10" }, "uris" : [ "http://www.mendeley.com/documents/?uuid=ffe458a4-010e-4500-ac0d-ee3229732f4c" ] } ], "mendeley" : { "formattedCitation" : "&lt;sup&gt;195\u2013201&lt;/sup&gt;", "plainTextFormattedCitation" : "195\u2013201", "previouslyFormattedCitation" : "&lt;sup&gt;195\u2013201&lt;/sup&gt;" }, "properties" : { "noteIndex" : 0 }, "schema" : "https://github.com/citation-style-language/schema/raw/master/csl-citation.json" }</w:instrText>
      </w:r>
      <w:r w:rsidRPr="003E73CD">
        <w:rPr>
          <w:rFonts w:ascii="Cambria" w:hAnsi="Cambria"/>
          <w:szCs w:val="22"/>
        </w:rPr>
        <w:fldChar w:fldCharType="separate"/>
      </w:r>
      <w:r w:rsidR="00217FAC" w:rsidRPr="00217FAC">
        <w:rPr>
          <w:rFonts w:ascii="Cambria" w:hAnsi="Cambria"/>
          <w:noProof/>
          <w:szCs w:val="22"/>
          <w:vertAlign w:val="superscript"/>
        </w:rPr>
        <w:t>195–201</w:t>
      </w:r>
      <w:r w:rsidRPr="003E73CD">
        <w:rPr>
          <w:rFonts w:ascii="Cambria" w:hAnsi="Cambria"/>
          <w:szCs w:val="22"/>
        </w:rPr>
        <w:fldChar w:fldCharType="end"/>
      </w:r>
      <w:proofErr w:type="gramStart"/>
      <w:r w:rsidRPr="003E73CD">
        <w:rPr>
          <w:rFonts w:ascii="Cambria" w:hAnsi="Cambria"/>
          <w:szCs w:val="22"/>
        </w:rPr>
        <w:t xml:space="preserve">  The</w:t>
      </w:r>
      <w:proofErr w:type="gramEnd"/>
      <w:r w:rsidRPr="003E73CD">
        <w:rPr>
          <w:rFonts w:ascii="Cambria" w:hAnsi="Cambria"/>
          <w:szCs w:val="22"/>
        </w:rPr>
        <w:t xml:space="preserve"> details of these studies are summarized in T</w:t>
      </w:r>
      <w:r w:rsidR="002B3EC6">
        <w:rPr>
          <w:rFonts w:ascii="Cambria" w:hAnsi="Cambria"/>
          <w:szCs w:val="22"/>
        </w:rPr>
        <w:t>able 1.3</w:t>
      </w:r>
      <w:r w:rsidR="006C3DD8" w:rsidRPr="003E73CD">
        <w:rPr>
          <w:rFonts w:ascii="Cambria" w:hAnsi="Cambria"/>
          <w:szCs w:val="22"/>
        </w:rPr>
        <w:t>.1</w:t>
      </w:r>
      <w:r w:rsidRPr="003E73CD">
        <w:rPr>
          <w:rFonts w:ascii="Cambria" w:hAnsi="Cambria"/>
          <w:szCs w:val="22"/>
        </w:rPr>
        <w:t>.  Pooling the data from these studies provides information on 442 patients, the majority of whom had trunk and extremity melanomas.  The SN positivity rate is 24% and the false negative rate, including false negatives that were explained by other factors is 3%.  These rates compare favourably with sentinel node biopsy in patients who have not already undergone wide local excision.</w:t>
      </w:r>
      <w:r w:rsidRPr="003E73CD">
        <w:rPr>
          <w:rFonts w:ascii="Cambria" w:hAnsi="Cambria"/>
          <w:szCs w:val="22"/>
        </w:rPr>
        <w:fldChar w:fldCharType="begin" w:fldLock="1"/>
      </w:r>
      <w:r w:rsidR="00217FAC">
        <w:rPr>
          <w:rFonts w:ascii="Cambria" w:hAnsi="Cambria"/>
          <w:szCs w:val="22"/>
        </w:rPr>
        <w:instrText>ADDIN CSL_CITATION { "citationItems" : [ { "id" : "ITEM-1", "itemData" : { "DOI" : "10.1200/JCO.2010.33.1884", "ISSN" : "1527-7755", "PMID" : "21383281", "abstract" : "PURPOSE: To perform a meta-analysis of all published studies of sentinel lymph node (SLN) biopsy for staging patients with melanoma.\n\nMETHODS: Published literature in all languages between 1990 and 2009 was critically appraised. Primary outcomes evaluated included the proportion successfully mapped (PSM) and test performance including false-negative rate (FNR), post-test probability negative (PTPN), and positive predictive value in the same nodal basin recurrence.\n\nRESULTS: A total of 71 studies including 25,240 patients met full eligibility criteria. The average PSM was 98.1% (95% CI, 97.3% to 98.6%) and increased with the year of publication, female sex, ulceration, age, and the quality score of the studies. The FNR ranged from 0.0% to 34.0%, averaging 12.5% overall (95% CI, 11% to 14.2%). FNR increased with the length of follow-up (P = .002) but decreased with greater PSM (P = .001). PTPN averaged 3.4% (95% CI, 3.0% to 3.8%), which also increased in studies with longer follow-up, younger age, female sex, deeper Breslow thickness, and with tumor ulceration while decreasing with greater PSM (P &lt; .001). Approximately 20% of the patients with a positive SLN had additional lymph nodes in the complete lymph node dissection and 7.5% of the patients with positive SLN developed recurrence in the same nodal basin which was greater in studies that also reported higher FNR (P = .01).\n\nCONCLUSION: The estimated risk of nodal recurrence after a negative SLN biopsy was \u2264 5% supporting the use of this technology for staging patients with melanoma.", "author" : [ { "dropping-particle" : "", "family" : "Valsecchi", "given" : "Matias E", "non-dropping-particle" : "", "parse-names" : false, "suffix" : "" }, { "dropping-particle" : "", "family" : "Silbermins", "given" : "Damian", "non-dropping-particle" : "", "parse-names" : false, "suffix" : "" }, { "dropping-particle" : "", "family" : "Rosa", "given" : "Nicole", "non-dropping-particle" : "de", "parse-names" : false, "suffix" : "" }, { "dropping-particle" : "", "family" : "Wong", "given" : "Sandra L", "non-dropping-particle" : "", "parse-names" : false, "suffix" : "" }, { "dropping-particle" : "", "family" : "Lyman", "given" : "Gary H", "non-dropping-particle" : "", "parse-names" : false, "suffix" : "" } ], "container-title" : "Journal of clinical oncology : official journal of the American Society of Clinical Oncology", "id" : "ITEM-1", "issue" : "11", "issued" : { "date-parts" : [ [ "2011", "4", "10" ] ] }, "page" : "1479-87", "title" : "Lymphatic mapping and sentinel lymph node biopsy in patients with melanoma: a meta-analysis.", "type" : "article-journal", "volume" : "29" }, "uris" : [ "http://www.mendeley.com/documents/?uuid=7fa691c0-9976-43d3-84dc-62f15e78d9fb" ] } ], "mendeley" : { "formattedCitation" : "&lt;sup&gt;118&lt;/sup&gt;", "plainTextFormattedCitation" : "118", "previouslyFormattedCitation" : "&lt;sup&gt;118&lt;/sup&gt;" }, "properties" : { "noteIndex" : 0 }, "schema" : "https://github.com/citation-style-language/schema/raw/master/csl-citation.json" }</w:instrText>
      </w:r>
      <w:r w:rsidRPr="003E73CD">
        <w:rPr>
          <w:rFonts w:ascii="Cambria" w:hAnsi="Cambria"/>
          <w:szCs w:val="22"/>
        </w:rPr>
        <w:fldChar w:fldCharType="separate"/>
      </w:r>
      <w:r w:rsidR="00CE2A17" w:rsidRPr="00CE2A17">
        <w:rPr>
          <w:rFonts w:ascii="Cambria" w:hAnsi="Cambria"/>
          <w:noProof/>
          <w:szCs w:val="22"/>
          <w:vertAlign w:val="superscript"/>
        </w:rPr>
        <w:t>118</w:t>
      </w:r>
      <w:r w:rsidRPr="003E73CD">
        <w:rPr>
          <w:rFonts w:ascii="Cambria" w:hAnsi="Cambria"/>
          <w:szCs w:val="22"/>
        </w:rPr>
        <w:fldChar w:fldCharType="end"/>
      </w:r>
      <w:proofErr w:type="gramStart"/>
      <w:r w:rsidRPr="003E73CD">
        <w:rPr>
          <w:rFonts w:ascii="Cambria" w:hAnsi="Cambria"/>
          <w:szCs w:val="22"/>
        </w:rPr>
        <w:t xml:space="preserve">  More</w:t>
      </w:r>
      <w:proofErr w:type="gramEnd"/>
      <w:r w:rsidRPr="003E73CD">
        <w:rPr>
          <w:rFonts w:ascii="Cambria" w:hAnsi="Cambria"/>
          <w:szCs w:val="22"/>
        </w:rPr>
        <w:t xml:space="preserve"> detailed analysis of the 13 cases of false-negative sentinel node biopsy within these studies, conducted by the investigators, identified potential causes for the false-negative result, in 7 cases, that were unrelated to the fact that previous wide local excision had been performed.  These included incorrect histological analysis of the sentinel node in 2 cases, failure to identify an interval node in 1 case, initial in</w:t>
      </w:r>
      <w:r w:rsidR="009B1E00">
        <w:rPr>
          <w:rFonts w:ascii="Cambria" w:hAnsi="Cambria"/>
          <w:szCs w:val="22"/>
        </w:rPr>
        <w:t>-</w:t>
      </w:r>
      <w:r w:rsidRPr="003E73CD">
        <w:rPr>
          <w:rFonts w:ascii="Cambria" w:hAnsi="Cambria"/>
          <w:szCs w:val="22"/>
        </w:rPr>
        <w:t xml:space="preserve">transit metastasis prior to nodal recurrence in 1 case and systemic recurrence with nodal disease in 3 cases.   The importance of the method of wound closure or reconstruction following wide local excision was identified as a likely cause in 4 cases, in which a rotation flap, a flap which would have involved fairly extensive incisions and significant tissue undermining, was used.  In summary, the evidence suggests that for patients with primary melanoma on the trunk or extremities who have already undergone wide local excision, lymphoscintigraphy and sentinel node biopsy remain reliable, provided that a rotational flap has not been used in reconstruction.  For patients with head and neck melanoma there is inadequate data to support this view and, given the high concentration of lymphatic drainage pathways in this region, there may be a higher likelihood of altered lymphatic drainage as a result of wide local excision. </w:t>
      </w:r>
    </w:p>
    <w:p w14:paraId="2ACA1018" w14:textId="77777777" w:rsidR="0061482C" w:rsidRPr="003E73CD" w:rsidRDefault="0061482C" w:rsidP="0061482C">
      <w:pPr>
        <w:pStyle w:val="BodyText"/>
        <w:rPr>
          <w:rFonts w:ascii="Cambria" w:hAnsi="Cambria"/>
          <w:szCs w:val="22"/>
        </w:rPr>
      </w:pPr>
    </w:p>
    <w:p w14:paraId="24D83AC4" w14:textId="72796525" w:rsidR="0061482C" w:rsidRPr="003E73CD" w:rsidRDefault="002B3EC6" w:rsidP="0061482C">
      <w:pPr>
        <w:pStyle w:val="BodyText"/>
        <w:rPr>
          <w:rFonts w:ascii="Cambria" w:hAnsi="Cambria"/>
          <w:szCs w:val="22"/>
        </w:rPr>
      </w:pPr>
      <w:r>
        <w:rPr>
          <w:rFonts w:ascii="Cambria" w:hAnsi="Cambria"/>
          <w:szCs w:val="22"/>
        </w:rPr>
        <w:t>Table 1.3</w:t>
      </w:r>
      <w:r w:rsidR="00E84AB5" w:rsidRPr="003E73CD">
        <w:rPr>
          <w:rFonts w:ascii="Cambria" w:hAnsi="Cambria"/>
          <w:szCs w:val="22"/>
        </w:rPr>
        <w:t>.1</w:t>
      </w:r>
      <w:r w:rsidR="0061482C" w:rsidRPr="003E73CD">
        <w:rPr>
          <w:rFonts w:ascii="Cambria" w:hAnsi="Cambria"/>
          <w:szCs w:val="22"/>
        </w:rPr>
        <w:t xml:space="preserve">.  </w:t>
      </w:r>
      <w:proofErr w:type="gramStart"/>
      <w:r w:rsidR="0061482C" w:rsidRPr="003E73CD">
        <w:rPr>
          <w:rFonts w:ascii="Cambria" w:hAnsi="Cambria"/>
          <w:szCs w:val="22"/>
        </w:rPr>
        <w:t>Summary of studies examining the validity of lymphoscintigraphy and sentinel node biopsy for patients who have undergone previous wide local excision.</w:t>
      </w:r>
      <w:proofErr w:type="gram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3"/>
        <w:gridCol w:w="1419"/>
        <w:gridCol w:w="1419"/>
        <w:gridCol w:w="1419"/>
        <w:gridCol w:w="1420"/>
        <w:gridCol w:w="1420"/>
      </w:tblGrid>
      <w:tr w:rsidR="0061482C" w:rsidRPr="003E73CD" w14:paraId="4C598435" w14:textId="77777777" w:rsidTr="00717272">
        <w:tc>
          <w:tcPr>
            <w:tcW w:w="1419" w:type="dxa"/>
            <w:shd w:val="clear" w:color="auto" w:fill="auto"/>
          </w:tcPr>
          <w:p w14:paraId="16534713" w14:textId="77777777" w:rsidR="0061482C" w:rsidRPr="003E73CD" w:rsidRDefault="0061482C" w:rsidP="003D6176">
            <w:pPr>
              <w:pStyle w:val="BodyText"/>
              <w:spacing w:line="240" w:lineRule="auto"/>
              <w:rPr>
                <w:rFonts w:ascii="Cambria" w:hAnsi="Cambria"/>
                <w:szCs w:val="22"/>
              </w:rPr>
            </w:pPr>
            <w:r w:rsidRPr="003E73CD">
              <w:rPr>
                <w:rFonts w:ascii="Cambria" w:hAnsi="Cambria"/>
                <w:szCs w:val="22"/>
              </w:rPr>
              <w:t>Publication</w:t>
            </w:r>
          </w:p>
        </w:tc>
        <w:tc>
          <w:tcPr>
            <w:tcW w:w="1419" w:type="dxa"/>
            <w:shd w:val="clear" w:color="auto" w:fill="auto"/>
          </w:tcPr>
          <w:p w14:paraId="13DA5D86" w14:textId="77777777" w:rsidR="0061482C" w:rsidRPr="003E73CD" w:rsidRDefault="0061482C" w:rsidP="003D6176">
            <w:pPr>
              <w:pStyle w:val="BodyText"/>
              <w:spacing w:line="240" w:lineRule="auto"/>
              <w:rPr>
                <w:rFonts w:ascii="Cambria" w:hAnsi="Cambria"/>
                <w:szCs w:val="22"/>
              </w:rPr>
            </w:pPr>
            <w:r w:rsidRPr="003E73CD">
              <w:rPr>
                <w:rFonts w:ascii="Cambria" w:hAnsi="Cambria"/>
                <w:szCs w:val="22"/>
              </w:rPr>
              <w:t>Number of patients</w:t>
            </w:r>
          </w:p>
        </w:tc>
        <w:tc>
          <w:tcPr>
            <w:tcW w:w="1419" w:type="dxa"/>
            <w:shd w:val="clear" w:color="auto" w:fill="auto"/>
          </w:tcPr>
          <w:p w14:paraId="3B42AB4E" w14:textId="77777777" w:rsidR="0061482C" w:rsidRPr="003E73CD" w:rsidRDefault="0061482C" w:rsidP="003D6176">
            <w:pPr>
              <w:pStyle w:val="BodyText"/>
              <w:spacing w:line="240" w:lineRule="auto"/>
              <w:rPr>
                <w:rFonts w:ascii="Cambria" w:hAnsi="Cambria"/>
                <w:szCs w:val="22"/>
              </w:rPr>
            </w:pPr>
            <w:r w:rsidRPr="003E73CD">
              <w:rPr>
                <w:rFonts w:ascii="Cambria" w:hAnsi="Cambria"/>
                <w:szCs w:val="22"/>
              </w:rPr>
              <w:t>Tumour locations</w:t>
            </w:r>
          </w:p>
        </w:tc>
        <w:tc>
          <w:tcPr>
            <w:tcW w:w="1419" w:type="dxa"/>
            <w:shd w:val="clear" w:color="auto" w:fill="auto"/>
          </w:tcPr>
          <w:p w14:paraId="07B2B012" w14:textId="77777777" w:rsidR="0061482C" w:rsidRPr="003E73CD" w:rsidRDefault="0061482C" w:rsidP="003D6176">
            <w:pPr>
              <w:pStyle w:val="BodyText"/>
              <w:spacing w:line="240" w:lineRule="auto"/>
              <w:rPr>
                <w:rFonts w:ascii="Cambria" w:hAnsi="Cambria"/>
                <w:szCs w:val="22"/>
              </w:rPr>
            </w:pPr>
            <w:r w:rsidRPr="003E73CD">
              <w:rPr>
                <w:rFonts w:ascii="Cambria" w:hAnsi="Cambria"/>
                <w:szCs w:val="22"/>
              </w:rPr>
              <w:t>Number of patients with positive SNs</w:t>
            </w:r>
          </w:p>
        </w:tc>
        <w:tc>
          <w:tcPr>
            <w:tcW w:w="1420" w:type="dxa"/>
            <w:shd w:val="clear" w:color="auto" w:fill="auto"/>
          </w:tcPr>
          <w:p w14:paraId="6D19691E" w14:textId="77777777" w:rsidR="0061482C" w:rsidRPr="003E73CD" w:rsidRDefault="0061482C" w:rsidP="003D6176">
            <w:pPr>
              <w:pStyle w:val="BodyText"/>
              <w:spacing w:line="240" w:lineRule="auto"/>
              <w:rPr>
                <w:rFonts w:ascii="Cambria" w:hAnsi="Cambria"/>
                <w:szCs w:val="22"/>
              </w:rPr>
            </w:pPr>
            <w:r w:rsidRPr="003E73CD">
              <w:rPr>
                <w:rFonts w:ascii="Cambria" w:hAnsi="Cambria"/>
                <w:szCs w:val="22"/>
              </w:rPr>
              <w:t xml:space="preserve">Number of false negative SN biopsies </w:t>
            </w:r>
          </w:p>
        </w:tc>
        <w:tc>
          <w:tcPr>
            <w:tcW w:w="1420" w:type="dxa"/>
            <w:shd w:val="clear" w:color="auto" w:fill="auto"/>
          </w:tcPr>
          <w:p w14:paraId="02E2A827" w14:textId="77777777" w:rsidR="0061482C" w:rsidRPr="003E73CD" w:rsidRDefault="0061482C" w:rsidP="003D6176">
            <w:pPr>
              <w:pStyle w:val="BodyText"/>
              <w:spacing w:line="240" w:lineRule="auto"/>
              <w:rPr>
                <w:rFonts w:ascii="Cambria" w:hAnsi="Cambria"/>
                <w:szCs w:val="22"/>
              </w:rPr>
            </w:pPr>
            <w:r w:rsidRPr="003E73CD">
              <w:rPr>
                <w:rFonts w:ascii="Cambria" w:hAnsi="Cambria"/>
                <w:szCs w:val="22"/>
              </w:rPr>
              <w:t>Likely cause for false negative SN biopsies</w:t>
            </w:r>
          </w:p>
        </w:tc>
      </w:tr>
      <w:tr w:rsidR="0061482C" w:rsidRPr="003E73CD" w14:paraId="6D5E4B0E" w14:textId="77777777" w:rsidTr="00717272">
        <w:tc>
          <w:tcPr>
            <w:tcW w:w="1419" w:type="dxa"/>
            <w:shd w:val="clear" w:color="auto" w:fill="auto"/>
          </w:tcPr>
          <w:p w14:paraId="2131CD42" w14:textId="1061E242" w:rsidR="0061482C" w:rsidRPr="003E73CD" w:rsidRDefault="0061482C" w:rsidP="00217FAC">
            <w:pPr>
              <w:pStyle w:val="BodyText"/>
              <w:spacing w:line="240" w:lineRule="auto"/>
              <w:rPr>
                <w:rFonts w:ascii="Cambria" w:hAnsi="Cambria"/>
                <w:szCs w:val="22"/>
              </w:rPr>
            </w:pPr>
            <w:r w:rsidRPr="003E73CD">
              <w:rPr>
                <w:rFonts w:ascii="Cambria" w:hAnsi="Cambria"/>
                <w:szCs w:val="22"/>
              </w:rPr>
              <w:t xml:space="preserve">Karakousis and Grigoropoulos, 1999 </w:t>
            </w:r>
            <w:r w:rsidRPr="003E73CD">
              <w:rPr>
                <w:rFonts w:ascii="Cambria" w:hAnsi="Cambria"/>
                <w:szCs w:val="22"/>
              </w:rPr>
              <w:fldChar w:fldCharType="begin" w:fldLock="1"/>
            </w:r>
            <w:r w:rsidR="005676A9">
              <w:rPr>
                <w:rFonts w:ascii="Cambria" w:hAnsi="Cambria"/>
                <w:szCs w:val="22"/>
              </w:rPr>
              <w:instrText>ADDIN CSL_CITATION { "citationItems" : [ { "id" : "ITEM-1", "itemData" : { "ISSN" : "1068-9265", "PMID" : "10622508", "abstract" : "BACKGROUND: Initially, the technique of sentinel node biopsy involved the use of blue dye alone and was later supplemented with the use of an intraoperative probe after radiocolloid injection near the melanoma site. Ideally, it should be done before wide excision. To our knowledge, there is no information in the literature regarding the applicability or reliability of this technique after wide excision.\n\nMETHODS: We conducted a retrospective review of 142 patients (1993-1999) with melanomas &gt; or =1.0 mm or Clark's level &gt; or =IV. Of these, 116 patients had prior biopsy only, and 26 had wide excision. The mean melanoma thickness was 2.5 mm. The location of the primary lesion was in the upper extremity in 42 patients, the lower extremity in 33, the trunk in 49, and the head and neck area in 18.\n\nRESULTS: The sentinel node was identified in 88 (93%) of 95 nodal basins using the blue dye alone and in 65 (98.5%) of 66 basins using dye plus probe. The sentinel node was positive in 35 (25%) of the 142 patients and 38 (24%) of the 161 nodal basins. In a mean follow-up of 30 months of 115 basins with negative sentinel nodes, 3 (3%) later developed a palpable positive node in the same basin. In the group of dye alone, the sentinel node was identified in 40 (100%) of 40 extremity primaries and in 48 (87%) of 55 trunk and head and neck primary lesions (P = .02). Nine (35%) of the 26 patients with previous wide excision (25 with primary closure or skin graft, 1 with flap rotation) and 10 (32%) of 31 of nodal basins had a positive node; in 8 of the 9 patients, the positive node was also the sentinel node. The only patient with a positive node incidentally removed along with a histologically negative sentinel node was the one with a previous wide excision and flap rotation.\n\nCONCLUSIONS: Previous wide excision of the melanoma does not appear to negate the reliability of sentinel node biopsy, provided that no flap rotation was used to cover the defect.", "author" : [ { "dropping-particle" : "", "family" : "Karakousis", "given" : "C P", "non-dropping-particle" : "", "parse-names" : false, "suffix" : "" }, { "dropping-particle" : "", "family" : "Grigoropoulos", "given" : "P", "non-dropping-particle" : "", "parse-names" : false, "suffix" : "" } ], "container-title" : "Annals of surgical oncology", "id" : "ITEM-1", "issue" : "8", "issued" : { "date-parts" : [ [ "1999", "12" ] ] }, "page" : "785-9", "title" : "Sentinel node biopsy before and after wide excision of the primary melanoma.", "type" : "article-journal", "volume" : "6" }, "uris" : [ "http://www.mendeley.com/documents/?uuid=1781e9b6-97ec-4a8b-b612-8de700c3e9aa" ] } ], "mendeley" : { "formattedCitation" : "&lt;sup&gt;196&lt;/sup&gt;", "plainTextFormattedCitation" : "196", "previouslyFormattedCitation" : "&lt;sup&gt;196&lt;/sup&gt;" }, "properties" : { "noteIndex" : 0 }, "schema" : "https://github.com/citation-style-language/schema/raw/master/csl-citation.json" }</w:instrText>
            </w:r>
            <w:r w:rsidRPr="003E73CD">
              <w:rPr>
                <w:rFonts w:ascii="Cambria" w:hAnsi="Cambria"/>
                <w:szCs w:val="22"/>
              </w:rPr>
              <w:fldChar w:fldCharType="separate"/>
            </w:r>
            <w:r w:rsidR="00217FAC" w:rsidRPr="00217FAC">
              <w:rPr>
                <w:rFonts w:ascii="Cambria" w:hAnsi="Cambria"/>
                <w:noProof/>
                <w:szCs w:val="22"/>
                <w:vertAlign w:val="superscript"/>
              </w:rPr>
              <w:t>196</w:t>
            </w:r>
            <w:r w:rsidRPr="003E73CD">
              <w:rPr>
                <w:rFonts w:ascii="Cambria" w:hAnsi="Cambria"/>
                <w:szCs w:val="22"/>
              </w:rPr>
              <w:fldChar w:fldCharType="end"/>
            </w:r>
          </w:p>
        </w:tc>
        <w:tc>
          <w:tcPr>
            <w:tcW w:w="1419" w:type="dxa"/>
            <w:shd w:val="clear" w:color="auto" w:fill="auto"/>
          </w:tcPr>
          <w:p w14:paraId="0E9C2BF4" w14:textId="77777777" w:rsidR="0061482C" w:rsidRPr="003E73CD" w:rsidRDefault="0061482C" w:rsidP="003D6176">
            <w:pPr>
              <w:pStyle w:val="BodyText"/>
              <w:spacing w:line="240" w:lineRule="auto"/>
              <w:rPr>
                <w:rFonts w:ascii="Cambria" w:hAnsi="Cambria"/>
                <w:szCs w:val="22"/>
              </w:rPr>
            </w:pPr>
            <w:r w:rsidRPr="003E73CD">
              <w:rPr>
                <w:rFonts w:ascii="Cambria" w:hAnsi="Cambria"/>
                <w:szCs w:val="22"/>
              </w:rPr>
              <w:t>26</w:t>
            </w:r>
          </w:p>
        </w:tc>
        <w:tc>
          <w:tcPr>
            <w:tcW w:w="1419" w:type="dxa"/>
            <w:shd w:val="clear" w:color="auto" w:fill="auto"/>
          </w:tcPr>
          <w:p w14:paraId="184EF45A" w14:textId="77777777" w:rsidR="0061482C" w:rsidRPr="003E73CD" w:rsidRDefault="0061482C" w:rsidP="003D6176">
            <w:pPr>
              <w:pStyle w:val="BodyText"/>
              <w:spacing w:line="240" w:lineRule="auto"/>
              <w:rPr>
                <w:rFonts w:ascii="Cambria" w:hAnsi="Cambria"/>
                <w:szCs w:val="22"/>
              </w:rPr>
            </w:pPr>
            <w:r w:rsidRPr="003E73CD">
              <w:rPr>
                <w:rFonts w:ascii="Cambria" w:hAnsi="Cambria"/>
                <w:szCs w:val="22"/>
              </w:rPr>
              <w:t>All sites</w:t>
            </w:r>
          </w:p>
        </w:tc>
        <w:tc>
          <w:tcPr>
            <w:tcW w:w="1419" w:type="dxa"/>
            <w:shd w:val="clear" w:color="auto" w:fill="auto"/>
          </w:tcPr>
          <w:p w14:paraId="2800E9D4" w14:textId="77777777" w:rsidR="0061482C" w:rsidRPr="003E73CD" w:rsidRDefault="0061482C" w:rsidP="003D6176">
            <w:pPr>
              <w:pStyle w:val="BodyText"/>
              <w:spacing w:line="240" w:lineRule="auto"/>
              <w:rPr>
                <w:rFonts w:ascii="Cambria" w:hAnsi="Cambria"/>
                <w:szCs w:val="22"/>
              </w:rPr>
            </w:pPr>
            <w:r w:rsidRPr="003E73CD">
              <w:rPr>
                <w:rFonts w:ascii="Cambria" w:hAnsi="Cambria"/>
                <w:szCs w:val="22"/>
              </w:rPr>
              <w:t>9</w:t>
            </w:r>
          </w:p>
        </w:tc>
        <w:tc>
          <w:tcPr>
            <w:tcW w:w="1420" w:type="dxa"/>
            <w:shd w:val="clear" w:color="auto" w:fill="auto"/>
          </w:tcPr>
          <w:p w14:paraId="46172848" w14:textId="77777777" w:rsidR="0061482C" w:rsidRPr="003E73CD" w:rsidRDefault="0061482C" w:rsidP="003D6176">
            <w:pPr>
              <w:pStyle w:val="BodyText"/>
              <w:spacing w:line="240" w:lineRule="auto"/>
              <w:rPr>
                <w:rFonts w:ascii="Cambria" w:hAnsi="Cambria"/>
                <w:szCs w:val="22"/>
              </w:rPr>
            </w:pPr>
            <w:r w:rsidRPr="003E73CD">
              <w:rPr>
                <w:rFonts w:ascii="Cambria" w:hAnsi="Cambria"/>
                <w:szCs w:val="22"/>
              </w:rPr>
              <w:t>1</w:t>
            </w:r>
          </w:p>
        </w:tc>
        <w:tc>
          <w:tcPr>
            <w:tcW w:w="1420" w:type="dxa"/>
            <w:shd w:val="clear" w:color="auto" w:fill="auto"/>
          </w:tcPr>
          <w:p w14:paraId="017129D4" w14:textId="77777777" w:rsidR="0061482C" w:rsidRPr="003E73CD" w:rsidRDefault="0061482C" w:rsidP="003D6176">
            <w:pPr>
              <w:pStyle w:val="BodyText"/>
              <w:spacing w:line="240" w:lineRule="auto"/>
              <w:rPr>
                <w:rFonts w:ascii="Cambria" w:hAnsi="Cambria"/>
                <w:szCs w:val="22"/>
              </w:rPr>
            </w:pPr>
            <w:r w:rsidRPr="003E73CD">
              <w:rPr>
                <w:rFonts w:ascii="Cambria" w:hAnsi="Cambria"/>
                <w:szCs w:val="22"/>
              </w:rPr>
              <w:t>Rotation flap</w:t>
            </w:r>
          </w:p>
        </w:tc>
      </w:tr>
      <w:tr w:rsidR="0061482C" w:rsidRPr="003E73CD" w14:paraId="39423924" w14:textId="77777777" w:rsidTr="00717272">
        <w:tc>
          <w:tcPr>
            <w:tcW w:w="1419" w:type="dxa"/>
            <w:shd w:val="clear" w:color="auto" w:fill="auto"/>
          </w:tcPr>
          <w:p w14:paraId="55725C42" w14:textId="7BCE1175" w:rsidR="0061482C" w:rsidRPr="003E73CD" w:rsidRDefault="0061482C" w:rsidP="00217FAC">
            <w:pPr>
              <w:pStyle w:val="BodyText"/>
              <w:spacing w:line="240" w:lineRule="auto"/>
              <w:rPr>
                <w:rFonts w:ascii="Cambria" w:hAnsi="Cambria"/>
                <w:szCs w:val="22"/>
              </w:rPr>
            </w:pPr>
            <w:r w:rsidRPr="003E73CD">
              <w:rPr>
                <w:rFonts w:ascii="Cambria" w:hAnsi="Cambria"/>
                <w:szCs w:val="22"/>
              </w:rPr>
              <w:t xml:space="preserve">Kelemen et al., 1999 </w:t>
            </w:r>
            <w:r w:rsidRPr="003E73CD">
              <w:rPr>
                <w:rFonts w:ascii="Cambria" w:hAnsi="Cambria"/>
                <w:szCs w:val="22"/>
              </w:rPr>
              <w:fldChar w:fldCharType="begin" w:fldLock="1"/>
            </w:r>
            <w:r w:rsidR="005676A9">
              <w:rPr>
                <w:rFonts w:ascii="Cambria" w:hAnsi="Cambria"/>
                <w:szCs w:val="22"/>
              </w:rPr>
              <w:instrText>ADDIN CSL_CITATION { "citationItems" : [ { "id" : "ITEM-1", "itemData" : { "ISSN" : "1072-7515", "PMID" : "10472924", "abstract" : "BACKGROUND: Lymphatic mapping and sentinel lymphadenectomy (LM/SL) are generally avoided in patients who have already undergone wide local excision (WLE) of a primary melanoma, because of concern that disruption of the cutaneous lymphatics might alter lymphatic flow to the sentinel node. We reviewed carefully chosen patients who had undergone LM/SL after WLE to identify circumstances that might make this approach otherwise safe and clinically accurate.\n\nSTUDY DESIGN: From our melanoma database of 8,300 patients, of whom 1,015 had undergone LM/SL, we retrospectively identified 47 patients who had previously undergone WLE. Patient and tumor characteristics were collected and compared with followup data from clinic files.\n\nRESULTS: Median WLE surgical margins before LM/SL were 2.0 cm and most patients had extremity lesions. Eleven of the 47 patients (23%) had tumor-involved sentinel nodes, and 8 of these patients (73%) had a solitary nodal metastasis. With a median followup period of 36 months, 3 sentinel node-negative patients developed nodal recurrences. Two of these patients had positive sentinel nodes on pathology re-review and were not considered failures of the lymphatic mapping surgical procedure. The third patient developed in-transit metastases and delayed nodal recurrence. An additional patient, who had a primary tumor on the trunk, developed a nodal recurrence in the basin opposite that identified by lymphoscintigraphy. The overall error rate of the technique was 4 in 36 (11%). This included 2 pathology misdiagnoses (5.6%), 1 nodal recurrence associated with in-transit regional metastases (2.8%), and 1 lymphatic mapping error (2.8%).\n\nCONCLUSIONS: LM/SL can be cautiously performed in patients who have undergone previous WLE if the primary resection margin was no greater than 2.0 cm and the primary was not in a region of ambiguous drainage. Lymphatic mapping may be inaccurate when melanomas have been resected with large margins, especially if the wound was closed with rotation flaps, and when melanomas are on the head and neck or trunk regions.", "author" : [ { "dropping-particle" : "", "family" : "Kelemen", "given" : "P R", "non-dropping-particle" : "", "parse-names" : false, "suffix" : "" }, { "dropping-particle" : "", "family" : "Essner", "given" : "R", "non-dropping-particle" : "", "parse-names" : false, "suffix" : "" }, { "dropping-particle" : "", "family" : "Foshag", "given" : "L J", "non-dropping-particle" : "", "parse-names" : false, "suffix" : "" }, { "dropping-particle" : "", "family" : "Morton", "given" : "D L", "non-dropping-particle" : "", "parse-names" : false, "suffix" : "" } ], "container-title" : "Journal of the American College of Surgeons", "id" : "ITEM-1", "issue" : "3", "issued" : { "date-parts" : [ [ "1999", "9" ] ] }, "page" : "247-52", "title" : "Lymphatic mapping and sentinel lymphadenectomy after wide local excision of primary melanoma.", "type" : "article-journal", "volume" : "189" }, "uris" : [ "http://www.mendeley.com/documents/?uuid=a85c1231-f378-4d15-b529-77aec2be786f" ] } ], "mendeley" : { "formattedCitation" : "&lt;sup&gt;195&lt;/sup&gt;", "plainTextFormattedCitation" : "195", "previouslyFormattedCitation" : "&lt;sup&gt;195&lt;/sup&gt;" }, "properties" : { "noteIndex" : 0 }, "schema" : "https://github.com/citation-style-language/schema/raw/master/csl-citation.json" }</w:instrText>
            </w:r>
            <w:r w:rsidRPr="003E73CD">
              <w:rPr>
                <w:rFonts w:ascii="Cambria" w:hAnsi="Cambria"/>
                <w:szCs w:val="22"/>
              </w:rPr>
              <w:fldChar w:fldCharType="separate"/>
            </w:r>
            <w:r w:rsidR="00217FAC" w:rsidRPr="00217FAC">
              <w:rPr>
                <w:rFonts w:ascii="Cambria" w:hAnsi="Cambria"/>
                <w:noProof/>
                <w:szCs w:val="22"/>
                <w:vertAlign w:val="superscript"/>
              </w:rPr>
              <w:t>195</w:t>
            </w:r>
            <w:r w:rsidRPr="003E73CD">
              <w:rPr>
                <w:rFonts w:ascii="Cambria" w:hAnsi="Cambria"/>
                <w:szCs w:val="22"/>
              </w:rPr>
              <w:fldChar w:fldCharType="end"/>
            </w:r>
          </w:p>
        </w:tc>
        <w:tc>
          <w:tcPr>
            <w:tcW w:w="1419" w:type="dxa"/>
            <w:shd w:val="clear" w:color="auto" w:fill="auto"/>
          </w:tcPr>
          <w:p w14:paraId="1F4A453E" w14:textId="77777777" w:rsidR="0061482C" w:rsidRPr="003E73CD" w:rsidRDefault="0061482C" w:rsidP="003D6176">
            <w:pPr>
              <w:pStyle w:val="BodyText"/>
              <w:spacing w:line="240" w:lineRule="auto"/>
              <w:rPr>
                <w:rFonts w:ascii="Cambria" w:hAnsi="Cambria"/>
                <w:szCs w:val="22"/>
              </w:rPr>
            </w:pPr>
            <w:r w:rsidRPr="003E73CD">
              <w:rPr>
                <w:rFonts w:ascii="Cambria" w:hAnsi="Cambria"/>
                <w:szCs w:val="22"/>
              </w:rPr>
              <w:t>47</w:t>
            </w:r>
          </w:p>
        </w:tc>
        <w:tc>
          <w:tcPr>
            <w:tcW w:w="1419" w:type="dxa"/>
            <w:shd w:val="clear" w:color="auto" w:fill="auto"/>
          </w:tcPr>
          <w:p w14:paraId="7F4F1943" w14:textId="77777777" w:rsidR="0061482C" w:rsidRPr="003E73CD" w:rsidRDefault="0061482C" w:rsidP="003D6176">
            <w:pPr>
              <w:pStyle w:val="BodyText"/>
              <w:spacing w:line="240" w:lineRule="auto"/>
              <w:rPr>
                <w:rFonts w:ascii="Cambria" w:hAnsi="Cambria"/>
                <w:szCs w:val="22"/>
              </w:rPr>
            </w:pPr>
            <w:r w:rsidRPr="003E73CD">
              <w:rPr>
                <w:rFonts w:ascii="Cambria" w:hAnsi="Cambria"/>
                <w:szCs w:val="22"/>
              </w:rPr>
              <w:t>All sites</w:t>
            </w:r>
          </w:p>
        </w:tc>
        <w:tc>
          <w:tcPr>
            <w:tcW w:w="1419" w:type="dxa"/>
            <w:shd w:val="clear" w:color="auto" w:fill="auto"/>
          </w:tcPr>
          <w:p w14:paraId="188912F5" w14:textId="77777777" w:rsidR="0061482C" w:rsidRPr="003E73CD" w:rsidRDefault="0061482C" w:rsidP="003D6176">
            <w:pPr>
              <w:pStyle w:val="BodyText"/>
              <w:spacing w:line="240" w:lineRule="auto"/>
              <w:rPr>
                <w:rFonts w:ascii="Cambria" w:hAnsi="Cambria"/>
                <w:szCs w:val="22"/>
              </w:rPr>
            </w:pPr>
            <w:r w:rsidRPr="003E73CD">
              <w:rPr>
                <w:rFonts w:ascii="Cambria" w:hAnsi="Cambria"/>
                <w:szCs w:val="22"/>
              </w:rPr>
              <w:t>11</w:t>
            </w:r>
          </w:p>
        </w:tc>
        <w:tc>
          <w:tcPr>
            <w:tcW w:w="1420" w:type="dxa"/>
            <w:shd w:val="clear" w:color="auto" w:fill="auto"/>
          </w:tcPr>
          <w:p w14:paraId="5DA8FEF8" w14:textId="77777777" w:rsidR="0061482C" w:rsidRPr="003E73CD" w:rsidRDefault="0061482C" w:rsidP="003D6176">
            <w:pPr>
              <w:pStyle w:val="BodyText"/>
              <w:spacing w:line="240" w:lineRule="auto"/>
              <w:rPr>
                <w:rFonts w:ascii="Cambria" w:hAnsi="Cambria"/>
                <w:szCs w:val="22"/>
              </w:rPr>
            </w:pPr>
            <w:r w:rsidRPr="003E73CD">
              <w:rPr>
                <w:rFonts w:ascii="Cambria" w:hAnsi="Cambria"/>
                <w:szCs w:val="22"/>
              </w:rPr>
              <w:t>3</w:t>
            </w:r>
          </w:p>
        </w:tc>
        <w:tc>
          <w:tcPr>
            <w:tcW w:w="1420" w:type="dxa"/>
            <w:shd w:val="clear" w:color="auto" w:fill="auto"/>
          </w:tcPr>
          <w:p w14:paraId="374A5240" w14:textId="587F079A" w:rsidR="0061482C" w:rsidRPr="003E73CD" w:rsidRDefault="0061482C" w:rsidP="003D6176">
            <w:pPr>
              <w:pStyle w:val="BodyText"/>
              <w:spacing w:line="240" w:lineRule="auto"/>
              <w:rPr>
                <w:rFonts w:ascii="Cambria" w:hAnsi="Cambria"/>
                <w:szCs w:val="22"/>
              </w:rPr>
            </w:pPr>
            <w:r w:rsidRPr="003E73CD">
              <w:rPr>
                <w:rFonts w:ascii="Cambria" w:hAnsi="Cambria"/>
                <w:szCs w:val="22"/>
              </w:rPr>
              <w:t>Histology error in 2 cases + in</w:t>
            </w:r>
            <w:r w:rsidR="009B1E00">
              <w:rPr>
                <w:rFonts w:ascii="Cambria" w:hAnsi="Cambria"/>
                <w:szCs w:val="22"/>
              </w:rPr>
              <w:t>-</w:t>
            </w:r>
            <w:r w:rsidRPr="003E73CD">
              <w:rPr>
                <w:rFonts w:ascii="Cambria" w:hAnsi="Cambria"/>
                <w:szCs w:val="22"/>
              </w:rPr>
              <w:t>transit metastasis in other case</w:t>
            </w:r>
          </w:p>
        </w:tc>
      </w:tr>
      <w:tr w:rsidR="0061482C" w:rsidRPr="003E73CD" w14:paraId="17838F4B" w14:textId="77777777" w:rsidTr="00717272">
        <w:tc>
          <w:tcPr>
            <w:tcW w:w="1419" w:type="dxa"/>
            <w:shd w:val="clear" w:color="auto" w:fill="auto"/>
          </w:tcPr>
          <w:p w14:paraId="3C96F664" w14:textId="1C9C54E8" w:rsidR="0061482C" w:rsidRPr="003E73CD" w:rsidRDefault="0061482C" w:rsidP="00217FAC">
            <w:pPr>
              <w:pStyle w:val="BodyText"/>
              <w:spacing w:line="240" w:lineRule="auto"/>
              <w:rPr>
                <w:rFonts w:ascii="Cambria" w:hAnsi="Cambria"/>
                <w:szCs w:val="22"/>
              </w:rPr>
            </w:pPr>
            <w:r w:rsidRPr="003E73CD">
              <w:rPr>
                <w:rFonts w:ascii="Cambria" w:hAnsi="Cambria"/>
                <w:szCs w:val="22"/>
              </w:rPr>
              <w:t xml:space="preserve">McCready et al., 2001 </w:t>
            </w:r>
            <w:r w:rsidRPr="003E73CD">
              <w:rPr>
                <w:rFonts w:ascii="Cambria" w:hAnsi="Cambria"/>
                <w:szCs w:val="22"/>
              </w:rPr>
              <w:fldChar w:fldCharType="begin" w:fldLock="1"/>
            </w:r>
            <w:r w:rsidR="005676A9">
              <w:rPr>
                <w:rFonts w:ascii="Cambria" w:hAnsi="Cambria"/>
                <w:szCs w:val="22"/>
              </w:rPr>
              <w:instrText>ADDIN CSL_CITATION { "citationItems" : [ { "id" : "ITEM-1", "itemData" : { "ISSN" : "0008-428X", "PMID" : "11764876", "abstract" : "OBJECTIVE: To document experience with sentinel lymph-node biopsy in patients who have already undergone a wide local excision for melanoma because in many centres previous wide excision has been a contraindication for sentinel lymph-node biopsy.\n\nDESIGN: A prospective cohort study.\n\nSETTING: A tertiary care academic cancer centre.\n\nPATIENTS: One hundred patients who presented with cutaneous melanoma (depth &gt;1 mm or Clark level IV) after having undergone wide local excision of the primary lesion that was not situated in the head or neck. The follow-up was 3 years.\n\nINTERVENTIONS: Sentinel lymph-node biopsy. Patients with truncal melanoma had preoperative lymphoscintigraphy to document the nodal basins at risk. Technetium-99m sulfur colloid (0.5-1 mCi in 0.5 mL) was injected intradermally around the scar, and the sentinel lymph node was excised with the aid of a hand-held gamma detector.\n\nOUTCOME MEASURES: Accuracy of the biopsy and false-negative rates in this setting.\n\nRESULTS: Of the 100 patients, 44 had truncal and 56 had extremity lesions. The average tumour depth was 3.47 mm and 3.07 mm respectively. Thirty-one patients had a sentinel lymph node positive for melanoma metastasis. Biopsies were positive for melanoma in 18 (41%) truncal lesions and 13 (23%) extremity lesions. There were 3 (9%) false-negative sentinel lymph-node biopsies as diagnosed by clinically evident nodal disease subsequently appearing in the nodal basin subjected to biopsy. Two occurred in patients after large rotation flap closures of truncal lesions. The third patient had a subungual melanoma of the great toe. No disease was found in the 2 nodes dissected. Two of the 3 false-negative biopsy results were obtained before serial sections and immunohistochemical staining were used to examine the sentinel lymph nodes.\n\nCONCLUSIONS: Sentinel lymph-node biopsies can successfully identify clinically occult nodal metastases in patients who have had previous wide local excision of a melanoma, but the false-negative rate in patients with rotation flap closures should be taken into consideration.", "author" : [ { "dropping-particle" : "", "family" : "McCready", "given" : "D R", "non-dropping-particle" : "", "parse-names" : false, "suffix" : "" }, { "dropping-particle" : "", "family" : "Ghazarian", "given" : "D M", "non-dropping-particle" : "", "parse-names" : false, "suffix" : "" }, { "dropping-particle" : "", "family" : "Hershkop", "given" : "M S", "non-dropping-particle" : "", "parse-names" : false, "suffix" : "" }, { "dropping-particle" : "", "family" : "Walker", "given" : "J A", "non-dropping-particle" : "", "parse-names" : false, "suffix" : "" }, { "dropping-particle" : "", "family" : "Ambus", "given" : "U", "non-dropping-particle" : "", "parse-names" : false, "suffix" : "" }, { "dropping-particle" : "", "family" : "Quirt", "given" : "I C", "non-dropping-particle" : "", "parse-names" : false, "suffix" : "" } ], "container-title" : "Canadian journal of surgery. Journal canadien de chirurgie", "id" : "ITEM-1", "issue" : "6", "issued" : { "date-parts" : [ [ "2001", "12" ] ] }, "page" : "432-4", "title" : "Sentinel lymph-node biopsy after previous wide local excision for melanoma.", "type" : "article-journal", "volume" : "44" }, "uris" : [ "http://www.mendeley.com/documents/?uuid=d9cffed5-aab0-4111-93aa-600397adaea0" ] } ], "mendeley" : { "formattedCitation" : "&lt;sup&gt;199&lt;/sup&gt;", "plainTextFormattedCitation" : "199", "previouslyFormattedCitation" : "&lt;sup&gt;199&lt;/sup&gt;" }, "properties" : { "noteIndex" : 0 }, "schema" : "https://github.com/citation-style-language/schema/raw/master/csl-citation.json" }</w:instrText>
            </w:r>
            <w:r w:rsidRPr="003E73CD">
              <w:rPr>
                <w:rFonts w:ascii="Cambria" w:hAnsi="Cambria"/>
                <w:szCs w:val="22"/>
              </w:rPr>
              <w:fldChar w:fldCharType="separate"/>
            </w:r>
            <w:r w:rsidR="00217FAC" w:rsidRPr="00217FAC">
              <w:rPr>
                <w:rFonts w:ascii="Cambria" w:hAnsi="Cambria"/>
                <w:noProof/>
                <w:szCs w:val="22"/>
                <w:vertAlign w:val="superscript"/>
              </w:rPr>
              <w:t>199</w:t>
            </w:r>
            <w:r w:rsidRPr="003E73CD">
              <w:rPr>
                <w:rFonts w:ascii="Cambria" w:hAnsi="Cambria"/>
                <w:szCs w:val="22"/>
              </w:rPr>
              <w:fldChar w:fldCharType="end"/>
            </w:r>
          </w:p>
        </w:tc>
        <w:tc>
          <w:tcPr>
            <w:tcW w:w="1419" w:type="dxa"/>
            <w:shd w:val="clear" w:color="auto" w:fill="auto"/>
          </w:tcPr>
          <w:p w14:paraId="06772BC7" w14:textId="77777777" w:rsidR="0061482C" w:rsidRPr="003E73CD" w:rsidRDefault="0061482C" w:rsidP="003D6176">
            <w:pPr>
              <w:pStyle w:val="BodyText"/>
              <w:spacing w:line="240" w:lineRule="auto"/>
              <w:rPr>
                <w:rFonts w:ascii="Cambria" w:hAnsi="Cambria"/>
                <w:szCs w:val="22"/>
              </w:rPr>
            </w:pPr>
            <w:r w:rsidRPr="003E73CD">
              <w:rPr>
                <w:rFonts w:ascii="Cambria" w:hAnsi="Cambria"/>
                <w:szCs w:val="22"/>
              </w:rPr>
              <w:t>100</w:t>
            </w:r>
          </w:p>
        </w:tc>
        <w:tc>
          <w:tcPr>
            <w:tcW w:w="1419" w:type="dxa"/>
            <w:shd w:val="clear" w:color="auto" w:fill="auto"/>
          </w:tcPr>
          <w:p w14:paraId="24D735C8" w14:textId="77777777" w:rsidR="0061482C" w:rsidRPr="003E73CD" w:rsidRDefault="0061482C" w:rsidP="003D6176">
            <w:pPr>
              <w:pStyle w:val="BodyText"/>
              <w:spacing w:line="240" w:lineRule="auto"/>
              <w:rPr>
                <w:rFonts w:ascii="Cambria" w:hAnsi="Cambria"/>
                <w:szCs w:val="22"/>
              </w:rPr>
            </w:pPr>
            <w:r w:rsidRPr="003E73CD">
              <w:rPr>
                <w:rFonts w:ascii="Cambria" w:hAnsi="Cambria"/>
                <w:szCs w:val="22"/>
              </w:rPr>
              <w:t>Head + neck excluded</w:t>
            </w:r>
          </w:p>
        </w:tc>
        <w:tc>
          <w:tcPr>
            <w:tcW w:w="1419" w:type="dxa"/>
            <w:shd w:val="clear" w:color="auto" w:fill="auto"/>
          </w:tcPr>
          <w:p w14:paraId="6F36EDE1" w14:textId="77777777" w:rsidR="0061482C" w:rsidRPr="003E73CD" w:rsidRDefault="0061482C" w:rsidP="003D6176">
            <w:pPr>
              <w:pStyle w:val="BodyText"/>
              <w:spacing w:line="240" w:lineRule="auto"/>
              <w:rPr>
                <w:rFonts w:ascii="Cambria" w:hAnsi="Cambria"/>
                <w:szCs w:val="22"/>
              </w:rPr>
            </w:pPr>
            <w:r w:rsidRPr="003E73CD">
              <w:rPr>
                <w:rFonts w:ascii="Cambria" w:hAnsi="Cambria"/>
                <w:szCs w:val="22"/>
              </w:rPr>
              <w:t>31</w:t>
            </w:r>
          </w:p>
        </w:tc>
        <w:tc>
          <w:tcPr>
            <w:tcW w:w="1420" w:type="dxa"/>
            <w:shd w:val="clear" w:color="auto" w:fill="auto"/>
          </w:tcPr>
          <w:p w14:paraId="2950C1BB" w14:textId="77777777" w:rsidR="0061482C" w:rsidRPr="003E73CD" w:rsidRDefault="0061482C" w:rsidP="003D6176">
            <w:pPr>
              <w:pStyle w:val="BodyText"/>
              <w:spacing w:line="240" w:lineRule="auto"/>
              <w:rPr>
                <w:rFonts w:ascii="Cambria" w:hAnsi="Cambria"/>
                <w:szCs w:val="22"/>
              </w:rPr>
            </w:pPr>
            <w:r w:rsidRPr="003E73CD">
              <w:rPr>
                <w:rFonts w:ascii="Cambria" w:hAnsi="Cambria"/>
                <w:szCs w:val="22"/>
              </w:rPr>
              <w:t>3</w:t>
            </w:r>
          </w:p>
        </w:tc>
        <w:tc>
          <w:tcPr>
            <w:tcW w:w="1420" w:type="dxa"/>
            <w:shd w:val="clear" w:color="auto" w:fill="auto"/>
          </w:tcPr>
          <w:p w14:paraId="1A24F97A" w14:textId="77777777" w:rsidR="0061482C" w:rsidRPr="003E73CD" w:rsidRDefault="0061482C" w:rsidP="003D6176">
            <w:pPr>
              <w:pStyle w:val="BodyText"/>
              <w:spacing w:line="240" w:lineRule="auto"/>
              <w:rPr>
                <w:rFonts w:ascii="Cambria" w:hAnsi="Cambria"/>
                <w:szCs w:val="22"/>
              </w:rPr>
            </w:pPr>
            <w:r w:rsidRPr="003E73CD">
              <w:rPr>
                <w:rFonts w:ascii="Cambria" w:hAnsi="Cambria"/>
                <w:szCs w:val="22"/>
              </w:rPr>
              <w:t>Rotation flap in 2 cases</w:t>
            </w:r>
          </w:p>
        </w:tc>
      </w:tr>
      <w:tr w:rsidR="0061482C" w:rsidRPr="003E73CD" w14:paraId="3F734DD8" w14:textId="77777777" w:rsidTr="00717272">
        <w:tc>
          <w:tcPr>
            <w:tcW w:w="1419" w:type="dxa"/>
            <w:shd w:val="clear" w:color="auto" w:fill="auto"/>
          </w:tcPr>
          <w:p w14:paraId="2D1CFF26" w14:textId="3B9DCC31" w:rsidR="0061482C" w:rsidRPr="003E73CD" w:rsidRDefault="0061482C" w:rsidP="00217FAC">
            <w:pPr>
              <w:pStyle w:val="BodyText"/>
              <w:spacing w:line="240" w:lineRule="auto"/>
              <w:rPr>
                <w:rFonts w:ascii="Cambria" w:hAnsi="Cambria"/>
                <w:szCs w:val="22"/>
              </w:rPr>
            </w:pPr>
            <w:r w:rsidRPr="003E73CD">
              <w:rPr>
                <w:rFonts w:ascii="Cambria" w:hAnsi="Cambria"/>
                <w:szCs w:val="22"/>
              </w:rPr>
              <w:t xml:space="preserve">Leong et al., 2003 </w:t>
            </w:r>
            <w:r w:rsidRPr="003E73CD">
              <w:rPr>
                <w:rFonts w:ascii="Cambria" w:hAnsi="Cambria"/>
                <w:szCs w:val="22"/>
              </w:rPr>
              <w:fldChar w:fldCharType="begin" w:fldLock="1"/>
            </w:r>
            <w:r w:rsidR="005676A9">
              <w:rPr>
                <w:rFonts w:ascii="Cambria" w:hAnsi="Cambria"/>
                <w:szCs w:val="22"/>
              </w:rPr>
              <w:instrText>ADDIN CSL_CITATION { "citationItems" : [ { "id" : "ITEM-1", "itemData" : { "ISSN" : "1068-9265", "PMID" : "12620917", "abstract" : "BACKGROUND: Harvesting the sentinel lymph node (SLN) is important in the management of patients with primary cutaneous melanoma. Selective sentinel lymphadenectomy (SSL) is generally performed at the time of wide local excision (WLE). The aim of our study was to determine whether delayed SSL is useful in detecting micrometastasis to the regional basin in patients with previous WLE of an extremity melanoma.\n\nMETHODS: Of 203 patients with a primary melanoma site located on the upper or lower extremity seen at the University of California, San Francisco/Mount Zion Melanoma Center from May 17, 1994, to March 23, 1999, 24 patients had a WLE of their extremity melanoma with adequate margins before referral. SSL was performed to assess micrometastasis in the regional lymph node basin after preoperative lymphoscintigraphy.\n\nRESULTS: At least 1 SLN was identified in all 24 patients. At a median follow-up of 3 years, two patients showed micrometastasis in the SLNs. One of these two patients developed recurrence, and all remaining patients showed no evidence of disease.\n\nCONCLUSIONS: Although it is generally advised that WLE should be performed simultaneously with SSL, delayed SSL after WLE of an extremity melanoma can still provide valuable staging information, which is critical for management of the patient.", "author" : [ { "dropping-particle" : "", "family" : "Leong", "given" : "Stanley P L", "non-dropping-particle" : "", "parse-names" : false, "suffix" : "" }, { "dropping-particle" : "", "family" : "Thelmo", "given" : "Marylou C", "non-dropping-particle" : "", "parse-names" : false, "suffix" : "" }, { "dropping-particle" : "", "family" : "Kim", "given" : "Robert P", "non-dropping-particle" : "", "parse-names" : false, "suffix" : "" }, { "dropping-particle" : "", "family" : "Gokhale", "given" : "Rahul", "non-dropping-particle" : "", "parse-names" : false, "suffix" : "" }, { "dropping-particle" : "", "family" : "Rhee", "given" : "Jennifer Y", "non-dropping-particle" : "", "parse-names" : false, "suffix" : "" }, { "dropping-particle" : "", "family" : "Achtem", "given" : "Theodore A", "non-dropping-particle" : "", "parse-names" : false, "suffix" : "" }, { "dropping-particle" : "", "family" : "Morita", "given" : "Eugene", "non-dropping-particle" : "", "parse-names" : false, "suffix" : "" }, { "dropping-particle" : "", "family" : "Allen", "given" : "Robert E", "non-dropping-particle" : "", "parse-names" : false, "suffix" : "" }, { "dropping-particle" : "", "family" : "Kashani-Sabet", "given" : "Mohammed", "non-dropping-particle" : "", "parse-names" : false, "suffix" : "" }, { "dropping-particle" : "", "family" : "Sagebiel", "given" : "Richard W", "non-dropping-particle" : "", "parse-names" : false, "suffix" : "" } ], "container-title" : "Annals of surgical oncology", "id" : "ITEM-1", "issue" : "2", "issued" : { "date-parts" : [ [ "2003", "3" ] ] }, "page" : "196-200", "title" : "Delayed harvesting of sentinel lymph nodes after previous wide local excision of extremity melanoma.", "type" : "article-journal", "volume" : "10" }, "uris" : [ "http://www.mendeley.com/documents/?uuid=ffe458a4-010e-4500-ac0d-ee3229732f4c" ] } ], "mendeley" : { "formattedCitation" : "&lt;sup&gt;201&lt;/sup&gt;", "plainTextFormattedCitation" : "201", "previouslyFormattedCitation" : "&lt;sup&gt;201&lt;/sup&gt;" }, "properties" : { "noteIndex" : 0 }, "schema" : "https://github.com/citation-style-language/schema/raw/master/csl-citation.json" }</w:instrText>
            </w:r>
            <w:r w:rsidRPr="003E73CD">
              <w:rPr>
                <w:rFonts w:ascii="Cambria" w:hAnsi="Cambria"/>
                <w:szCs w:val="22"/>
              </w:rPr>
              <w:fldChar w:fldCharType="separate"/>
            </w:r>
            <w:r w:rsidR="00217FAC" w:rsidRPr="00217FAC">
              <w:rPr>
                <w:rFonts w:ascii="Cambria" w:hAnsi="Cambria"/>
                <w:noProof/>
                <w:szCs w:val="22"/>
                <w:vertAlign w:val="superscript"/>
              </w:rPr>
              <w:t>201</w:t>
            </w:r>
            <w:r w:rsidRPr="003E73CD">
              <w:rPr>
                <w:rFonts w:ascii="Cambria" w:hAnsi="Cambria"/>
                <w:szCs w:val="22"/>
              </w:rPr>
              <w:fldChar w:fldCharType="end"/>
            </w:r>
          </w:p>
        </w:tc>
        <w:tc>
          <w:tcPr>
            <w:tcW w:w="1419" w:type="dxa"/>
            <w:shd w:val="clear" w:color="auto" w:fill="auto"/>
          </w:tcPr>
          <w:p w14:paraId="4C75128C" w14:textId="77777777" w:rsidR="0061482C" w:rsidRPr="003E73CD" w:rsidRDefault="0061482C" w:rsidP="003D6176">
            <w:pPr>
              <w:pStyle w:val="BodyText"/>
              <w:spacing w:line="240" w:lineRule="auto"/>
              <w:rPr>
                <w:rFonts w:ascii="Cambria" w:hAnsi="Cambria"/>
                <w:szCs w:val="22"/>
              </w:rPr>
            </w:pPr>
            <w:r w:rsidRPr="003E73CD">
              <w:rPr>
                <w:rFonts w:ascii="Cambria" w:hAnsi="Cambria"/>
                <w:szCs w:val="22"/>
              </w:rPr>
              <w:t>24</w:t>
            </w:r>
          </w:p>
        </w:tc>
        <w:tc>
          <w:tcPr>
            <w:tcW w:w="1419" w:type="dxa"/>
            <w:shd w:val="clear" w:color="auto" w:fill="auto"/>
          </w:tcPr>
          <w:p w14:paraId="4255521C" w14:textId="77777777" w:rsidR="0061482C" w:rsidRPr="003E73CD" w:rsidRDefault="0061482C" w:rsidP="003D6176">
            <w:pPr>
              <w:pStyle w:val="BodyText"/>
              <w:spacing w:line="240" w:lineRule="auto"/>
              <w:rPr>
                <w:rFonts w:ascii="Cambria" w:hAnsi="Cambria"/>
                <w:szCs w:val="22"/>
              </w:rPr>
            </w:pPr>
            <w:r w:rsidRPr="003E73CD">
              <w:rPr>
                <w:rFonts w:ascii="Cambria" w:hAnsi="Cambria"/>
                <w:szCs w:val="22"/>
              </w:rPr>
              <w:t>Limbs only</w:t>
            </w:r>
          </w:p>
        </w:tc>
        <w:tc>
          <w:tcPr>
            <w:tcW w:w="1419" w:type="dxa"/>
            <w:shd w:val="clear" w:color="auto" w:fill="auto"/>
          </w:tcPr>
          <w:p w14:paraId="5E3BE06D" w14:textId="77777777" w:rsidR="0061482C" w:rsidRPr="003E73CD" w:rsidRDefault="0061482C" w:rsidP="003D6176">
            <w:pPr>
              <w:pStyle w:val="BodyText"/>
              <w:spacing w:line="240" w:lineRule="auto"/>
              <w:rPr>
                <w:rFonts w:ascii="Cambria" w:hAnsi="Cambria"/>
                <w:szCs w:val="22"/>
              </w:rPr>
            </w:pPr>
            <w:r w:rsidRPr="003E73CD">
              <w:rPr>
                <w:rFonts w:ascii="Cambria" w:hAnsi="Cambria"/>
                <w:szCs w:val="22"/>
              </w:rPr>
              <w:t>2</w:t>
            </w:r>
          </w:p>
        </w:tc>
        <w:tc>
          <w:tcPr>
            <w:tcW w:w="1420" w:type="dxa"/>
            <w:shd w:val="clear" w:color="auto" w:fill="auto"/>
          </w:tcPr>
          <w:p w14:paraId="3A1D90C9" w14:textId="77777777" w:rsidR="0061482C" w:rsidRPr="003E73CD" w:rsidRDefault="0061482C" w:rsidP="003D6176">
            <w:pPr>
              <w:pStyle w:val="BodyText"/>
              <w:spacing w:line="240" w:lineRule="auto"/>
              <w:rPr>
                <w:rFonts w:ascii="Cambria" w:hAnsi="Cambria"/>
                <w:szCs w:val="22"/>
              </w:rPr>
            </w:pPr>
            <w:r w:rsidRPr="003E73CD">
              <w:rPr>
                <w:rFonts w:ascii="Cambria" w:hAnsi="Cambria"/>
                <w:szCs w:val="22"/>
              </w:rPr>
              <w:t>1</w:t>
            </w:r>
          </w:p>
        </w:tc>
        <w:tc>
          <w:tcPr>
            <w:tcW w:w="1420" w:type="dxa"/>
            <w:shd w:val="clear" w:color="auto" w:fill="auto"/>
          </w:tcPr>
          <w:p w14:paraId="1B484B09" w14:textId="77777777" w:rsidR="0061482C" w:rsidRPr="003E73CD" w:rsidRDefault="0061482C" w:rsidP="003D6176">
            <w:pPr>
              <w:pStyle w:val="BodyText"/>
              <w:spacing w:line="240" w:lineRule="auto"/>
              <w:rPr>
                <w:rFonts w:ascii="Cambria" w:hAnsi="Cambria"/>
                <w:szCs w:val="22"/>
              </w:rPr>
            </w:pPr>
            <w:r w:rsidRPr="003E73CD">
              <w:rPr>
                <w:rFonts w:ascii="Cambria" w:hAnsi="Cambria"/>
                <w:szCs w:val="22"/>
              </w:rPr>
              <w:t>Interval node missed</w:t>
            </w:r>
          </w:p>
        </w:tc>
      </w:tr>
      <w:tr w:rsidR="0061482C" w:rsidRPr="003E73CD" w14:paraId="4EFC3EEC" w14:textId="77777777" w:rsidTr="00717272">
        <w:tc>
          <w:tcPr>
            <w:tcW w:w="1419" w:type="dxa"/>
            <w:shd w:val="clear" w:color="auto" w:fill="auto"/>
          </w:tcPr>
          <w:p w14:paraId="457E2C70" w14:textId="240905CB" w:rsidR="0061482C" w:rsidRPr="003E73CD" w:rsidRDefault="0061482C" w:rsidP="00217FAC">
            <w:pPr>
              <w:pStyle w:val="BodyText"/>
              <w:spacing w:line="240" w:lineRule="auto"/>
              <w:rPr>
                <w:rFonts w:ascii="Cambria" w:hAnsi="Cambria"/>
                <w:szCs w:val="22"/>
              </w:rPr>
            </w:pPr>
            <w:r w:rsidRPr="003E73CD">
              <w:rPr>
                <w:rFonts w:ascii="Cambria" w:hAnsi="Cambria"/>
                <w:szCs w:val="22"/>
              </w:rPr>
              <w:t xml:space="preserve">Leong, Ghazarian and McCready, 2003 </w:t>
            </w:r>
            <w:r w:rsidRPr="003E73CD">
              <w:rPr>
                <w:rFonts w:ascii="Cambria" w:hAnsi="Cambria"/>
                <w:szCs w:val="22"/>
              </w:rPr>
              <w:fldChar w:fldCharType="begin" w:fldLock="1"/>
            </w:r>
            <w:r w:rsidR="005676A9">
              <w:rPr>
                <w:rFonts w:ascii="Cambria" w:hAnsi="Cambria"/>
                <w:szCs w:val="22"/>
              </w:rPr>
              <w:instrText>ADDIN CSL_CITATION { "citationItems" : [ { "id" : "ITEM-1", "itemData" : { "DOI" : "10.1002/jso.10205", "ISSN" : "0022-4790", "PMID" : "12619055", "abstract" : "BACKGROUND AND OBJECTIVES: The role of sentinel lymph node biopsy (SLNB) in patients with a previous wide local excision (WLE) was examined with case-control methodology.\n\nMETHODS: A total of 168 consecutive cases of SLNB were performed in patients with truncal and extremity melanoma with tumor thickness of &gt; or = 1 mm between October 1997 and June 2000 and were followed prospectively. For comparison, 65 of the 103 SLNB patients referred to us after their WLE (cases) were matched by tumor thickness to 65 patients who had SLNB with concurrent WLE (controls). Radiocolloid (technetium-99m sulfur colloid) was used in all cases; in addition, vital blue dye (patent blue) was used in the control group. The two groups were followed for a median of 15.4 months.\n\nRESULTS: SLNs were identified in all patients with an average of 2.1 (cases) and 2.0 (controls) SLNs excised per patient (P = 0.77). Twenty one (32.3%) of those having SLNB after previous WLE (cases) and 23 (35.4%) of those with concurrent WLE and SLNB (controls) were found to have metastatic disease in the SLN. The only false-negative in this group was detected in clinical follow-up in a patient whose truncal WLE was previously closed with a rotation flap (case). There was no significant difference in relapse-free survival (P = 0.209) and overall survival (P = 0.692) between groups.\n\nCONCLUSIONS: SLNB is feasible in patients with previous WLE for extremity and truncal melanoma. Similar rates of sentinel positivity are found when compared with those in whom their WLE was done concurrently.", "author" : [ { "dropping-particle" : "", "family" : "Leong", "given" : "Wey L", "non-dropping-particle" : "", "parse-names" : false, "suffix" : "" }, { "dropping-particle" : "", "family" : "Ghazarian", "given" : "Danny M", "non-dropping-particle" : "", "parse-names" : false, "suffix" : "" }, { "dropping-particle" : "", "family" : "McCready", "given" : "David R", "non-dropping-particle" : "", "parse-names" : false, "suffix" : "" } ], "container-title" : "Journal of surgical oncology", "id" : "ITEM-1", "issue" : "3", "issued" : { "date-parts" : [ [ "2003", "3" ] ] }, "page" : "143-6", "title" : "Previous wide local excision of primary melanoma is not a contraindication for sentinel lymph node biopsy of the trunk and extremity.", "type" : "article-journal", "volume" : "82" }, "uris" : [ "http://www.mendeley.com/documents/?uuid=482701c4-9821-4b80-883a-df25ce8471a3" ] } ], "mendeley" : { "formattedCitation" : "&lt;sup&gt;200&lt;/sup&gt;", "plainTextFormattedCitation" : "200", "previouslyFormattedCitation" : "&lt;sup&gt;200&lt;/sup&gt;" }, "properties" : { "noteIndex" : 0 }, "schema" : "https://github.com/citation-style-language/schema/raw/master/csl-citation.json" }</w:instrText>
            </w:r>
            <w:r w:rsidRPr="003E73CD">
              <w:rPr>
                <w:rFonts w:ascii="Cambria" w:hAnsi="Cambria"/>
                <w:szCs w:val="22"/>
              </w:rPr>
              <w:fldChar w:fldCharType="separate"/>
            </w:r>
            <w:r w:rsidR="00217FAC" w:rsidRPr="00217FAC">
              <w:rPr>
                <w:rFonts w:ascii="Cambria" w:hAnsi="Cambria"/>
                <w:noProof/>
                <w:szCs w:val="22"/>
                <w:vertAlign w:val="superscript"/>
              </w:rPr>
              <w:t>200</w:t>
            </w:r>
            <w:r w:rsidRPr="003E73CD">
              <w:rPr>
                <w:rFonts w:ascii="Cambria" w:hAnsi="Cambria"/>
                <w:szCs w:val="22"/>
              </w:rPr>
              <w:fldChar w:fldCharType="end"/>
            </w:r>
          </w:p>
        </w:tc>
        <w:tc>
          <w:tcPr>
            <w:tcW w:w="1419" w:type="dxa"/>
            <w:shd w:val="clear" w:color="auto" w:fill="auto"/>
          </w:tcPr>
          <w:p w14:paraId="147B9DC8" w14:textId="77777777" w:rsidR="0061482C" w:rsidRPr="003E73CD" w:rsidRDefault="0061482C" w:rsidP="003D6176">
            <w:pPr>
              <w:pStyle w:val="BodyText"/>
              <w:spacing w:line="240" w:lineRule="auto"/>
              <w:rPr>
                <w:rFonts w:ascii="Cambria" w:hAnsi="Cambria"/>
                <w:szCs w:val="22"/>
              </w:rPr>
            </w:pPr>
            <w:r w:rsidRPr="003E73CD">
              <w:rPr>
                <w:rFonts w:ascii="Cambria" w:hAnsi="Cambria"/>
                <w:szCs w:val="22"/>
              </w:rPr>
              <w:t>65</w:t>
            </w:r>
          </w:p>
        </w:tc>
        <w:tc>
          <w:tcPr>
            <w:tcW w:w="1419" w:type="dxa"/>
            <w:shd w:val="clear" w:color="auto" w:fill="auto"/>
          </w:tcPr>
          <w:p w14:paraId="6560B402" w14:textId="77777777" w:rsidR="0061482C" w:rsidRPr="003E73CD" w:rsidRDefault="0061482C" w:rsidP="003D6176">
            <w:pPr>
              <w:pStyle w:val="BodyText"/>
              <w:spacing w:line="240" w:lineRule="auto"/>
              <w:rPr>
                <w:rFonts w:ascii="Cambria" w:hAnsi="Cambria"/>
                <w:szCs w:val="22"/>
              </w:rPr>
            </w:pPr>
            <w:r w:rsidRPr="003E73CD">
              <w:rPr>
                <w:rFonts w:ascii="Cambria" w:hAnsi="Cambria"/>
                <w:szCs w:val="22"/>
              </w:rPr>
              <w:t>Head + neck excluded</w:t>
            </w:r>
          </w:p>
        </w:tc>
        <w:tc>
          <w:tcPr>
            <w:tcW w:w="1419" w:type="dxa"/>
            <w:shd w:val="clear" w:color="auto" w:fill="auto"/>
          </w:tcPr>
          <w:p w14:paraId="49E68CF7" w14:textId="77777777" w:rsidR="0061482C" w:rsidRPr="003E73CD" w:rsidRDefault="0061482C" w:rsidP="003D6176">
            <w:pPr>
              <w:pStyle w:val="BodyText"/>
              <w:spacing w:line="240" w:lineRule="auto"/>
              <w:rPr>
                <w:rFonts w:ascii="Cambria" w:hAnsi="Cambria"/>
                <w:szCs w:val="22"/>
              </w:rPr>
            </w:pPr>
            <w:r w:rsidRPr="003E73CD">
              <w:rPr>
                <w:rFonts w:ascii="Cambria" w:hAnsi="Cambria"/>
                <w:szCs w:val="22"/>
              </w:rPr>
              <w:t>21</w:t>
            </w:r>
          </w:p>
        </w:tc>
        <w:tc>
          <w:tcPr>
            <w:tcW w:w="1420" w:type="dxa"/>
            <w:shd w:val="clear" w:color="auto" w:fill="auto"/>
          </w:tcPr>
          <w:p w14:paraId="2CBAAA36" w14:textId="77777777" w:rsidR="0061482C" w:rsidRPr="003E73CD" w:rsidRDefault="0061482C" w:rsidP="003D6176">
            <w:pPr>
              <w:pStyle w:val="BodyText"/>
              <w:spacing w:line="240" w:lineRule="auto"/>
              <w:rPr>
                <w:rFonts w:ascii="Cambria" w:hAnsi="Cambria"/>
                <w:szCs w:val="22"/>
              </w:rPr>
            </w:pPr>
            <w:r w:rsidRPr="003E73CD">
              <w:rPr>
                <w:rFonts w:ascii="Cambria" w:hAnsi="Cambria"/>
                <w:szCs w:val="22"/>
              </w:rPr>
              <w:t>1</w:t>
            </w:r>
          </w:p>
        </w:tc>
        <w:tc>
          <w:tcPr>
            <w:tcW w:w="1420" w:type="dxa"/>
            <w:shd w:val="clear" w:color="auto" w:fill="auto"/>
          </w:tcPr>
          <w:p w14:paraId="1020A23A" w14:textId="77777777" w:rsidR="0061482C" w:rsidRPr="003E73CD" w:rsidRDefault="0061482C" w:rsidP="003D6176">
            <w:pPr>
              <w:pStyle w:val="BodyText"/>
              <w:spacing w:line="240" w:lineRule="auto"/>
              <w:rPr>
                <w:rFonts w:ascii="Cambria" w:hAnsi="Cambria"/>
                <w:szCs w:val="22"/>
              </w:rPr>
            </w:pPr>
            <w:r w:rsidRPr="003E73CD">
              <w:rPr>
                <w:rFonts w:ascii="Cambria" w:hAnsi="Cambria"/>
                <w:szCs w:val="22"/>
              </w:rPr>
              <w:t>Rotation flap</w:t>
            </w:r>
          </w:p>
        </w:tc>
      </w:tr>
      <w:tr w:rsidR="0061482C" w:rsidRPr="003E73CD" w14:paraId="553FC360" w14:textId="77777777" w:rsidTr="00717272">
        <w:tc>
          <w:tcPr>
            <w:tcW w:w="1419" w:type="dxa"/>
            <w:shd w:val="clear" w:color="auto" w:fill="auto"/>
          </w:tcPr>
          <w:p w14:paraId="3E06B1E3" w14:textId="21BDBF86" w:rsidR="0061482C" w:rsidRPr="003E73CD" w:rsidRDefault="0061482C" w:rsidP="00217FAC">
            <w:pPr>
              <w:pStyle w:val="BodyText"/>
              <w:spacing w:line="240" w:lineRule="auto"/>
              <w:rPr>
                <w:rFonts w:ascii="Cambria" w:hAnsi="Cambria"/>
                <w:szCs w:val="22"/>
              </w:rPr>
            </w:pPr>
            <w:r w:rsidRPr="003E73CD">
              <w:rPr>
                <w:rFonts w:ascii="Cambria" w:hAnsi="Cambria"/>
                <w:szCs w:val="22"/>
              </w:rPr>
              <w:t xml:space="preserve">Evans et al., 2003 </w:t>
            </w:r>
            <w:r w:rsidRPr="003E73CD">
              <w:rPr>
                <w:rFonts w:ascii="Cambria" w:hAnsi="Cambria"/>
                <w:szCs w:val="22"/>
              </w:rPr>
              <w:fldChar w:fldCharType="begin" w:fldLock="1"/>
            </w:r>
            <w:r w:rsidR="005676A9">
              <w:rPr>
                <w:rFonts w:ascii="Cambria" w:hAnsi="Cambria"/>
                <w:szCs w:val="22"/>
              </w:rPr>
              <w:instrText>ADDIN CSL_CITATION { "citationItems" : [ { "id" : "ITEM-1", "itemData" : { "ISSN" : "1068-9265", "PMID" : "12734091", "abstract" : "BACKGROUND: Patients have traditionally been considered candidates for sentinel node biopsy (SNBx) only at the time of wide local excision (WLE). We hypothesized that patients with prior WLE may also be staged accurately with SNBx.\n\nMETHODS: Seventy-six patients, including 18 patients from the University of Virginia and 58 from a multicenter study of SNBx led by investigators at the University of Vermont, who had previous WLE for clinically localized melanoma underwent lymphoscintigraphy with SNBx. Median follow-up time was 38 months.\n\nRESULTS: Intraoperative identification of at least 1 sentinel node was accomplished in 75 patients (98.6%). The mean number of sentinel nodes removed per patient was 2.0. Eleven patients (15%) had positive sentinel nodes. Among the 64 patients with negative SNBx, 3 (4%) developed nodal recurrences in a sentinel node-negative basin simultaneous with systemic metastasis, and 1 (1%) developed an isolated first recurrence in a lymph node.\n\nCONCLUSIONS: This multicenter study more than doubles the published experience with SNBx after WLE and provides much-needed outcome data on recurrence after SNBx in these patients. These outcomes compare favorably with the reported literature for patients with SNBx at the time of WLE, suggesting that accurate staging of the regional lymph node bed is possible in patients after WLE.", "author" : [ { "dropping-particle" : "", "family" : "Evans", "given" : "Heather L", "non-dropping-particle" : "", "parse-names" : false, "suffix" : "" }, { "dropping-particle" : "", "family" : "Krag", "given" : "David N", "non-dropping-particle" : "", "parse-names" : false, "suffix" : "" }, { "dropping-particle" : "", "family" : "Teates", "given" : "C David", "non-dropping-particle" : "", "parse-names" : false, "suffix" : "" }, { "dropping-particle" : "", "family" : "Patterson", "given" : "James W", "non-dropping-particle" : "", "parse-names" : false, "suffix" : "" }, { "dropping-particle" : "", "family" : "Meijer", "given" : "Sybren", "non-dropping-particle" : "", "parse-names" : false, "suffix" : "" }, { "dropping-particle" : "", "family" : "Harlow", "given" : "Seth P", "non-dropping-particle" : "", "parse-names" : false, "suffix" : "" }, { "dropping-particle" : "", "family" : "Tanabe", "given" : "Kenneth K", "non-dropping-particle" : "", "parse-names" : false, "suffix" : "" }, { "dropping-particle" : "", "family" : "Loggie", "given" : "Brian W", "non-dropping-particle" : "", "parse-names" : false, "suffix" : "" }, { "dropping-particle" : "", "family" : "Whitworth", "given" : "Patrick W", "non-dropping-particle" : "", "parse-names" : false, "suffix" : "" }, { "dropping-particle" : "", "family" : "Kusminsky", "given" : "Roberto E", "non-dropping-particle" : "", "parse-names" : false, "suffix" : "" }, { "dropping-particle" : "", "family" : "Carp", "given" : "Ned Z", "non-dropping-particle" : "", "parse-names" : false, "suffix" : "" }, { "dropping-particle" : "", "family" : "Gadd", "given" : "Michelle A", "non-dropping-particle" : "", "parse-names" : false, "suffix" : "" }, { "dropping-particle" : "", "family" : "Slingluff", "given" : "Craig L", "non-dropping-particle" : "", "parse-names" : false, "suffix" : "" } ], "container-title" : "Annals of surgical oncology", "id" : "ITEM-1", "issue" : "4", "issued" : { "date-parts" : [ [ "2003", "5" ] ] }, "page" : "416-25", "title" : "Lymphoscintigraphy and sentinel node biopsy accurately stage melanoma in patients presenting after wide local excision.", "type" : "article-journal", "volume" : "10" }, "uris" : [ "http://www.mendeley.com/documents/?uuid=16238263-8888-48ac-944f-0e5b8d64b243" ] } ], "mendeley" : { "formattedCitation" : "&lt;sup&gt;197&lt;/sup&gt;", "plainTextFormattedCitation" : "197", "previouslyFormattedCitation" : "&lt;sup&gt;197&lt;/sup&gt;" }, "properties" : { "noteIndex" : 0 }, "schema" : "https://github.com/citation-style-language/schema/raw/master/csl-citation.json" }</w:instrText>
            </w:r>
            <w:r w:rsidRPr="003E73CD">
              <w:rPr>
                <w:rFonts w:ascii="Cambria" w:hAnsi="Cambria"/>
                <w:szCs w:val="22"/>
              </w:rPr>
              <w:fldChar w:fldCharType="separate"/>
            </w:r>
            <w:r w:rsidR="00217FAC" w:rsidRPr="00217FAC">
              <w:rPr>
                <w:rFonts w:ascii="Cambria" w:hAnsi="Cambria"/>
                <w:noProof/>
                <w:szCs w:val="22"/>
                <w:vertAlign w:val="superscript"/>
              </w:rPr>
              <w:t>197</w:t>
            </w:r>
            <w:r w:rsidRPr="003E73CD">
              <w:rPr>
                <w:rFonts w:ascii="Cambria" w:hAnsi="Cambria"/>
                <w:szCs w:val="22"/>
              </w:rPr>
              <w:fldChar w:fldCharType="end"/>
            </w:r>
          </w:p>
        </w:tc>
        <w:tc>
          <w:tcPr>
            <w:tcW w:w="1419" w:type="dxa"/>
            <w:shd w:val="clear" w:color="auto" w:fill="auto"/>
          </w:tcPr>
          <w:p w14:paraId="21E31640" w14:textId="77777777" w:rsidR="0061482C" w:rsidRPr="003E73CD" w:rsidRDefault="0061482C" w:rsidP="003D6176">
            <w:pPr>
              <w:pStyle w:val="BodyText"/>
              <w:spacing w:line="240" w:lineRule="auto"/>
              <w:rPr>
                <w:rFonts w:ascii="Cambria" w:hAnsi="Cambria"/>
                <w:szCs w:val="22"/>
              </w:rPr>
            </w:pPr>
            <w:r w:rsidRPr="003E73CD">
              <w:rPr>
                <w:rFonts w:ascii="Cambria" w:hAnsi="Cambria"/>
                <w:szCs w:val="22"/>
              </w:rPr>
              <w:t>76</w:t>
            </w:r>
          </w:p>
        </w:tc>
        <w:tc>
          <w:tcPr>
            <w:tcW w:w="1419" w:type="dxa"/>
            <w:shd w:val="clear" w:color="auto" w:fill="auto"/>
          </w:tcPr>
          <w:p w14:paraId="1FD9655A" w14:textId="77777777" w:rsidR="0061482C" w:rsidRPr="003E73CD" w:rsidRDefault="0061482C" w:rsidP="003D6176">
            <w:pPr>
              <w:pStyle w:val="BodyText"/>
              <w:spacing w:line="240" w:lineRule="auto"/>
              <w:rPr>
                <w:rFonts w:ascii="Cambria" w:hAnsi="Cambria"/>
                <w:szCs w:val="22"/>
              </w:rPr>
            </w:pPr>
            <w:r w:rsidRPr="003E73CD">
              <w:rPr>
                <w:rFonts w:ascii="Cambria" w:hAnsi="Cambria"/>
                <w:szCs w:val="22"/>
              </w:rPr>
              <w:t>Head + neck excluded</w:t>
            </w:r>
          </w:p>
        </w:tc>
        <w:tc>
          <w:tcPr>
            <w:tcW w:w="1419" w:type="dxa"/>
            <w:shd w:val="clear" w:color="auto" w:fill="auto"/>
          </w:tcPr>
          <w:p w14:paraId="7211E7D6" w14:textId="77777777" w:rsidR="0061482C" w:rsidRPr="003E73CD" w:rsidRDefault="0061482C" w:rsidP="003D6176">
            <w:pPr>
              <w:pStyle w:val="BodyText"/>
              <w:spacing w:line="240" w:lineRule="auto"/>
              <w:rPr>
                <w:rFonts w:ascii="Cambria" w:hAnsi="Cambria"/>
                <w:szCs w:val="22"/>
              </w:rPr>
            </w:pPr>
            <w:r w:rsidRPr="003E73CD">
              <w:rPr>
                <w:rFonts w:ascii="Cambria" w:hAnsi="Cambria"/>
                <w:szCs w:val="22"/>
              </w:rPr>
              <w:t>11</w:t>
            </w:r>
          </w:p>
        </w:tc>
        <w:tc>
          <w:tcPr>
            <w:tcW w:w="1420" w:type="dxa"/>
            <w:shd w:val="clear" w:color="auto" w:fill="auto"/>
          </w:tcPr>
          <w:p w14:paraId="33F7FB26" w14:textId="77777777" w:rsidR="0061482C" w:rsidRPr="003E73CD" w:rsidRDefault="0061482C" w:rsidP="003D6176">
            <w:pPr>
              <w:pStyle w:val="BodyText"/>
              <w:spacing w:line="240" w:lineRule="auto"/>
              <w:rPr>
                <w:rFonts w:ascii="Cambria" w:hAnsi="Cambria"/>
                <w:szCs w:val="22"/>
              </w:rPr>
            </w:pPr>
            <w:r w:rsidRPr="003E73CD">
              <w:rPr>
                <w:rFonts w:ascii="Cambria" w:hAnsi="Cambria"/>
                <w:szCs w:val="22"/>
              </w:rPr>
              <w:t xml:space="preserve">4 </w:t>
            </w:r>
          </w:p>
        </w:tc>
        <w:tc>
          <w:tcPr>
            <w:tcW w:w="1420" w:type="dxa"/>
            <w:shd w:val="clear" w:color="auto" w:fill="auto"/>
          </w:tcPr>
          <w:p w14:paraId="4B6AA4C4" w14:textId="77777777" w:rsidR="0061482C" w:rsidRPr="003E73CD" w:rsidRDefault="0061482C" w:rsidP="003D6176">
            <w:pPr>
              <w:pStyle w:val="BodyText"/>
              <w:spacing w:line="240" w:lineRule="auto"/>
              <w:rPr>
                <w:rFonts w:ascii="Cambria" w:hAnsi="Cambria"/>
                <w:szCs w:val="22"/>
              </w:rPr>
            </w:pPr>
            <w:r w:rsidRPr="003E73CD">
              <w:rPr>
                <w:rFonts w:ascii="Cambria" w:hAnsi="Cambria"/>
                <w:szCs w:val="22"/>
              </w:rPr>
              <w:t>3 had systemic disease plus nodal recurrence</w:t>
            </w:r>
          </w:p>
        </w:tc>
      </w:tr>
      <w:tr w:rsidR="0061482C" w:rsidRPr="003E73CD" w14:paraId="641B8954" w14:textId="77777777" w:rsidTr="00717272">
        <w:tc>
          <w:tcPr>
            <w:tcW w:w="1419" w:type="dxa"/>
            <w:shd w:val="clear" w:color="auto" w:fill="auto"/>
          </w:tcPr>
          <w:p w14:paraId="0A37215B" w14:textId="6412B1D1" w:rsidR="0061482C" w:rsidRPr="003E73CD" w:rsidRDefault="0061482C" w:rsidP="00217FAC">
            <w:pPr>
              <w:pStyle w:val="BodyText"/>
              <w:spacing w:line="240" w:lineRule="auto"/>
              <w:rPr>
                <w:rFonts w:ascii="Cambria" w:hAnsi="Cambria"/>
                <w:szCs w:val="22"/>
              </w:rPr>
            </w:pPr>
            <w:r w:rsidRPr="003E73CD">
              <w:rPr>
                <w:rFonts w:ascii="Cambria" w:hAnsi="Cambria"/>
                <w:szCs w:val="22"/>
              </w:rPr>
              <w:t xml:space="preserve">Gannon et al., 2006 </w:t>
            </w:r>
            <w:r w:rsidRPr="003E73CD">
              <w:rPr>
                <w:rFonts w:ascii="Cambria" w:hAnsi="Cambria"/>
                <w:szCs w:val="22"/>
              </w:rPr>
              <w:fldChar w:fldCharType="begin" w:fldLock="1"/>
            </w:r>
            <w:r w:rsidR="005676A9">
              <w:rPr>
                <w:rFonts w:ascii="Cambria" w:hAnsi="Cambria"/>
                <w:szCs w:val="22"/>
              </w:rPr>
              <w:instrText>ADDIN CSL_CITATION { "citationItems" : [ { "id" : "ITEM-1", "itemData" : { "DOI" : "10.1002/cncr.22320", "ISSN" : "0008543X", "PMID" : "17063497", "abstract" : "BACKGROUND: Sentinel lymph node (SLN) status is the most important prognostic factor with respect to the survival of patients with primary cutaneous melanoma. However, lymphatic mapping and SLN biopsies (LM/SLNBs) performed in patients who have had a wide local excision (WLE) may not accurately reflect the pathologic status of the draining lymph node basins. The purpose of this study was to assess the feasibility and accuracy of LM/SLNB in patients who have had a previous WLE.\n\nMETHODS: A single-institution database was examined to identify patients who had a WLE before LM/SLNB and patients who had a concomitant LM/SLNB. Primary clinicopathologic features (age, tumor thickness, and ulceration), SLN identification rate, SLN pathologic status, and the incidence and sites of recurrences were compared between patients with and without prior WLE.\n\nRESULTS: Of the 1395 patients identified, 104 had WLE before LM/SLNB. The mean preoperative WLE radial margin was 1.4 cm (median, 1.0 cm). LM/SLNB was successful in 103 of 104 (99%) patients. Age, tumor thickness, incidence of ulceration, and incidence of SLN positivity in the group with prior WLE were similar to those of the cohort of patients who had concomitant LM/SLNB and WLE (n = 1291). In 97 (93%) of the 104 prior-WLE patients, the surgical defects were closed by either primary closure or skin graft; 7 patients (7%) had rotational flaps. The median follow-up of these 104 patients was 51 months. Among the prior-WLE group, 19 patients (18%) had a positive SLNB; of these 19 patients, 4 (21%) had recurrences (3 distant failures and 1 local and distant failure). There were no lymph node recurrences-in a mapped or unmapped basin-in these 104 patients with a negative or positive SLNB.\n\nCONCLUSIONS: SLNs can be successfully identified and accurately reflect the status of the regional lymph node basin in carefully selected melanoma patients with a previous WLE. Prior WLE does not appear to adversely impact the ability to detect lymphatic metastases, although the utility of LM/SLNB in patients who have undergone extensive reconstruction of the primary excision site remains to be defined. Because more extensive surgery may be required to accomplish accurate lymph node staging in patients who have undergone prior WLE-including the possible removal of SLNs from additional lymph node basins and an additional surgical procedure-to minimize morbidity and cost, concomitant WLE and LM/SLNB is strongly preferred whenever possible.", "author" : [ { "dropping-particle" : "", "family" : "Gannon", "given" : "Christopher J.", "non-dropping-particle" : "", "parse-names" : false, "suffix" : "" }, { "dropping-particle" : "", "family" : "Rousseau", "given" : "Dennis L.", "non-dropping-particle" : "", "parse-names" : false, "suffix" : "" }, { "dropping-particle" : "", "family" : "Ross", "given" : "Merrick I.", "non-dropping-particle" : "", "parse-names" : false, "suffix" : "" }, { "dropping-particle" : "", "family" : "Johnson", "given" : "Marcella M.", "non-dropping-particle" : "", "parse-names" : false, "suffix" : "" }, { "dropping-particle" : "", "family" : "Lee", "given" : "Jeffrey E.", "non-dropping-particle" : "", "parse-names" : false, "suffix" : "" }, { "dropping-particle" : "", "family" : "Mansfield", "given" : "Paul F.", "non-dropping-particle" : "", "parse-names" : false, "suffix" : "" }, { "dropping-particle" : "", "family" : "Cormier", "given" : "Janice N.", "non-dropping-particle" : "", "parse-names" : false, "suffix" : "" }, { "dropping-particle" : "", "family" : "Prieto", "given" : "Victor G.", "non-dropping-particle" : "", "parse-names" : false, "suffix" : "" }, { "dropping-particle" : "", "family" : "Gershenwald", "given" : "Jeffrey E.", "non-dropping-particle" : "", "parse-names" : false, "suffix" : "" } ], "container-title" : "Cancer", "id" : "ITEM-1", "issue" : "11", "issued" : { "date-parts" : [ [ "2006", "12", "1" ] ] }, "page" : "2647-2652", "title" : "Accuracy of lymphatic mapping and sentinel lymph node biopsy after previous wide local excision in patients with primary melanoma", "type" : "article-journal", "volume" : "107" }, "uris" : [ "http://www.mendeley.com/documents/?uuid=4475c5f4-5a34-414a-8943-24c2415b8f2e" ] } ], "mendeley" : { "formattedCitation" : "&lt;sup&gt;198&lt;/sup&gt;", "plainTextFormattedCitation" : "198", "previouslyFormattedCitation" : "&lt;sup&gt;198&lt;/sup&gt;" }, "properties" : { "noteIndex" : 0 }, "schema" : "https://github.com/citation-style-language/schema/raw/master/csl-citation.json" }</w:instrText>
            </w:r>
            <w:r w:rsidRPr="003E73CD">
              <w:rPr>
                <w:rFonts w:ascii="Cambria" w:hAnsi="Cambria"/>
                <w:szCs w:val="22"/>
              </w:rPr>
              <w:fldChar w:fldCharType="separate"/>
            </w:r>
            <w:r w:rsidR="00217FAC" w:rsidRPr="00217FAC">
              <w:rPr>
                <w:rFonts w:ascii="Cambria" w:hAnsi="Cambria"/>
                <w:noProof/>
                <w:szCs w:val="22"/>
                <w:vertAlign w:val="superscript"/>
              </w:rPr>
              <w:t>198</w:t>
            </w:r>
            <w:r w:rsidRPr="003E73CD">
              <w:rPr>
                <w:rFonts w:ascii="Cambria" w:hAnsi="Cambria"/>
                <w:szCs w:val="22"/>
              </w:rPr>
              <w:fldChar w:fldCharType="end"/>
            </w:r>
          </w:p>
        </w:tc>
        <w:tc>
          <w:tcPr>
            <w:tcW w:w="1419" w:type="dxa"/>
            <w:shd w:val="clear" w:color="auto" w:fill="auto"/>
          </w:tcPr>
          <w:p w14:paraId="00074D9F" w14:textId="77777777" w:rsidR="0061482C" w:rsidRPr="003E73CD" w:rsidRDefault="0061482C" w:rsidP="003D6176">
            <w:pPr>
              <w:pStyle w:val="BodyText"/>
              <w:spacing w:line="240" w:lineRule="auto"/>
              <w:rPr>
                <w:rFonts w:ascii="Cambria" w:hAnsi="Cambria"/>
                <w:szCs w:val="22"/>
              </w:rPr>
            </w:pPr>
            <w:r w:rsidRPr="003E73CD">
              <w:rPr>
                <w:rFonts w:ascii="Cambria" w:hAnsi="Cambria"/>
                <w:szCs w:val="22"/>
              </w:rPr>
              <w:t>104</w:t>
            </w:r>
          </w:p>
        </w:tc>
        <w:tc>
          <w:tcPr>
            <w:tcW w:w="1419" w:type="dxa"/>
            <w:shd w:val="clear" w:color="auto" w:fill="auto"/>
          </w:tcPr>
          <w:p w14:paraId="33396AA9" w14:textId="77777777" w:rsidR="0061482C" w:rsidRPr="003E73CD" w:rsidRDefault="0061482C" w:rsidP="003D6176">
            <w:pPr>
              <w:pStyle w:val="BodyText"/>
              <w:spacing w:line="240" w:lineRule="auto"/>
              <w:rPr>
                <w:rFonts w:ascii="Cambria" w:hAnsi="Cambria"/>
                <w:szCs w:val="22"/>
              </w:rPr>
            </w:pPr>
            <w:r w:rsidRPr="003E73CD">
              <w:rPr>
                <w:rFonts w:ascii="Cambria" w:hAnsi="Cambria"/>
                <w:szCs w:val="22"/>
              </w:rPr>
              <w:t>All sites, but excluded rotation flaps</w:t>
            </w:r>
          </w:p>
        </w:tc>
        <w:tc>
          <w:tcPr>
            <w:tcW w:w="1419" w:type="dxa"/>
            <w:shd w:val="clear" w:color="auto" w:fill="auto"/>
          </w:tcPr>
          <w:p w14:paraId="3CBD9B14" w14:textId="77777777" w:rsidR="0061482C" w:rsidRPr="003E73CD" w:rsidRDefault="0061482C" w:rsidP="003D6176">
            <w:pPr>
              <w:pStyle w:val="BodyText"/>
              <w:spacing w:line="240" w:lineRule="auto"/>
              <w:rPr>
                <w:rFonts w:ascii="Cambria" w:hAnsi="Cambria"/>
                <w:szCs w:val="22"/>
              </w:rPr>
            </w:pPr>
            <w:r w:rsidRPr="003E73CD">
              <w:rPr>
                <w:rFonts w:ascii="Cambria" w:hAnsi="Cambria"/>
                <w:szCs w:val="22"/>
              </w:rPr>
              <w:t>19</w:t>
            </w:r>
          </w:p>
        </w:tc>
        <w:tc>
          <w:tcPr>
            <w:tcW w:w="1420" w:type="dxa"/>
            <w:shd w:val="clear" w:color="auto" w:fill="auto"/>
          </w:tcPr>
          <w:p w14:paraId="50F332E5" w14:textId="77777777" w:rsidR="0061482C" w:rsidRPr="003E73CD" w:rsidRDefault="0061482C" w:rsidP="003D6176">
            <w:pPr>
              <w:pStyle w:val="BodyText"/>
              <w:spacing w:line="240" w:lineRule="auto"/>
              <w:rPr>
                <w:rFonts w:ascii="Cambria" w:hAnsi="Cambria"/>
                <w:szCs w:val="22"/>
              </w:rPr>
            </w:pPr>
            <w:r w:rsidRPr="003E73CD">
              <w:rPr>
                <w:rFonts w:ascii="Cambria" w:hAnsi="Cambria"/>
                <w:szCs w:val="22"/>
              </w:rPr>
              <w:t>0</w:t>
            </w:r>
          </w:p>
        </w:tc>
        <w:tc>
          <w:tcPr>
            <w:tcW w:w="1420" w:type="dxa"/>
            <w:shd w:val="clear" w:color="auto" w:fill="auto"/>
          </w:tcPr>
          <w:p w14:paraId="1CF452DC" w14:textId="77777777" w:rsidR="0061482C" w:rsidRPr="003E73CD" w:rsidRDefault="0061482C" w:rsidP="003D6176">
            <w:pPr>
              <w:pStyle w:val="BodyText"/>
              <w:spacing w:line="240" w:lineRule="auto"/>
              <w:rPr>
                <w:rFonts w:ascii="Cambria" w:hAnsi="Cambria"/>
                <w:szCs w:val="22"/>
              </w:rPr>
            </w:pPr>
            <w:r w:rsidRPr="003E73CD">
              <w:rPr>
                <w:rFonts w:ascii="Cambria" w:hAnsi="Cambria"/>
                <w:szCs w:val="22"/>
              </w:rPr>
              <w:t>Not applicable</w:t>
            </w:r>
          </w:p>
        </w:tc>
      </w:tr>
      <w:tr w:rsidR="0061482C" w:rsidRPr="003E73CD" w14:paraId="10B4F652" w14:textId="77777777" w:rsidTr="00717272">
        <w:tc>
          <w:tcPr>
            <w:tcW w:w="1419" w:type="dxa"/>
            <w:shd w:val="clear" w:color="auto" w:fill="auto"/>
          </w:tcPr>
          <w:p w14:paraId="0F703954" w14:textId="77777777" w:rsidR="0061482C" w:rsidRPr="003E73CD" w:rsidRDefault="0061482C" w:rsidP="003D6176">
            <w:pPr>
              <w:pStyle w:val="BodyText"/>
              <w:spacing w:line="240" w:lineRule="auto"/>
              <w:rPr>
                <w:rFonts w:ascii="Cambria" w:hAnsi="Cambria"/>
                <w:b/>
                <w:szCs w:val="22"/>
              </w:rPr>
            </w:pPr>
            <w:r w:rsidRPr="003E73CD">
              <w:rPr>
                <w:rFonts w:ascii="Cambria" w:hAnsi="Cambria"/>
                <w:b/>
                <w:szCs w:val="22"/>
              </w:rPr>
              <w:t>Pooled data from above studies</w:t>
            </w:r>
          </w:p>
        </w:tc>
        <w:tc>
          <w:tcPr>
            <w:tcW w:w="1419" w:type="dxa"/>
            <w:shd w:val="clear" w:color="auto" w:fill="auto"/>
          </w:tcPr>
          <w:p w14:paraId="5F540EE0" w14:textId="77777777" w:rsidR="0061482C" w:rsidRPr="003E73CD" w:rsidRDefault="0061482C" w:rsidP="003D6176">
            <w:pPr>
              <w:pStyle w:val="BodyText"/>
              <w:spacing w:line="240" w:lineRule="auto"/>
              <w:rPr>
                <w:rFonts w:ascii="Cambria" w:hAnsi="Cambria"/>
                <w:b/>
                <w:szCs w:val="22"/>
              </w:rPr>
            </w:pPr>
            <w:r w:rsidRPr="003E73CD">
              <w:rPr>
                <w:rFonts w:ascii="Cambria" w:hAnsi="Cambria"/>
                <w:b/>
                <w:szCs w:val="22"/>
              </w:rPr>
              <w:t>442</w:t>
            </w:r>
          </w:p>
        </w:tc>
        <w:tc>
          <w:tcPr>
            <w:tcW w:w="1419" w:type="dxa"/>
            <w:shd w:val="clear" w:color="auto" w:fill="auto"/>
          </w:tcPr>
          <w:p w14:paraId="36CB8C87" w14:textId="77777777" w:rsidR="0061482C" w:rsidRPr="003E73CD" w:rsidRDefault="0061482C" w:rsidP="003D6176">
            <w:pPr>
              <w:pStyle w:val="BodyText"/>
              <w:spacing w:line="240" w:lineRule="auto"/>
              <w:rPr>
                <w:rFonts w:ascii="Cambria" w:hAnsi="Cambria"/>
                <w:b/>
                <w:szCs w:val="22"/>
              </w:rPr>
            </w:pPr>
            <w:r w:rsidRPr="003E73CD">
              <w:rPr>
                <w:rFonts w:ascii="Cambria" w:hAnsi="Cambria"/>
                <w:b/>
                <w:szCs w:val="22"/>
              </w:rPr>
              <w:t>Mainly trunk and limb</w:t>
            </w:r>
          </w:p>
        </w:tc>
        <w:tc>
          <w:tcPr>
            <w:tcW w:w="1419" w:type="dxa"/>
            <w:shd w:val="clear" w:color="auto" w:fill="auto"/>
          </w:tcPr>
          <w:p w14:paraId="39DAF920" w14:textId="77777777" w:rsidR="0061482C" w:rsidRPr="003E73CD" w:rsidRDefault="0061482C" w:rsidP="003D6176">
            <w:pPr>
              <w:pStyle w:val="BodyText"/>
              <w:spacing w:line="240" w:lineRule="auto"/>
              <w:rPr>
                <w:rFonts w:ascii="Cambria" w:hAnsi="Cambria"/>
                <w:b/>
                <w:szCs w:val="22"/>
              </w:rPr>
            </w:pPr>
            <w:r w:rsidRPr="003E73CD">
              <w:rPr>
                <w:rFonts w:ascii="Cambria" w:hAnsi="Cambria"/>
                <w:b/>
                <w:szCs w:val="22"/>
              </w:rPr>
              <w:t>104 (24%)</w:t>
            </w:r>
          </w:p>
        </w:tc>
        <w:tc>
          <w:tcPr>
            <w:tcW w:w="1420" w:type="dxa"/>
            <w:shd w:val="clear" w:color="auto" w:fill="auto"/>
          </w:tcPr>
          <w:p w14:paraId="2094118D" w14:textId="77777777" w:rsidR="0061482C" w:rsidRPr="003E73CD" w:rsidRDefault="0061482C" w:rsidP="003D6176">
            <w:pPr>
              <w:pStyle w:val="BodyText"/>
              <w:spacing w:line="240" w:lineRule="auto"/>
              <w:rPr>
                <w:rFonts w:ascii="Cambria" w:hAnsi="Cambria"/>
                <w:b/>
                <w:szCs w:val="22"/>
              </w:rPr>
            </w:pPr>
            <w:r w:rsidRPr="003E73CD">
              <w:rPr>
                <w:rFonts w:ascii="Cambria" w:hAnsi="Cambria"/>
                <w:b/>
                <w:szCs w:val="22"/>
              </w:rPr>
              <w:t>13 (3%)</w:t>
            </w:r>
          </w:p>
        </w:tc>
        <w:tc>
          <w:tcPr>
            <w:tcW w:w="1420" w:type="dxa"/>
            <w:shd w:val="clear" w:color="auto" w:fill="auto"/>
          </w:tcPr>
          <w:p w14:paraId="6B72084A" w14:textId="77777777" w:rsidR="0061482C" w:rsidRPr="003E73CD" w:rsidRDefault="0061482C" w:rsidP="003D6176">
            <w:pPr>
              <w:pStyle w:val="BodyText"/>
              <w:spacing w:line="240" w:lineRule="auto"/>
              <w:rPr>
                <w:rFonts w:ascii="Cambria" w:hAnsi="Cambria"/>
                <w:b/>
                <w:szCs w:val="22"/>
              </w:rPr>
            </w:pPr>
          </w:p>
        </w:tc>
      </w:tr>
    </w:tbl>
    <w:p w14:paraId="095A6FF3" w14:textId="6E35D3EC" w:rsidR="0061482C" w:rsidRPr="003E73CD" w:rsidRDefault="007D7218" w:rsidP="0061482C">
      <w:pPr>
        <w:pStyle w:val="BodyText"/>
        <w:rPr>
          <w:rFonts w:ascii="Cambria" w:hAnsi="Cambria"/>
          <w:szCs w:val="22"/>
        </w:rPr>
      </w:pPr>
      <w:r w:rsidRPr="003E73CD">
        <w:rPr>
          <w:rFonts w:ascii="Cambria" w:hAnsi="Cambria"/>
          <w:szCs w:val="22"/>
        </w:rPr>
        <w:t>SN = sentinel node</w:t>
      </w:r>
    </w:p>
    <w:p w14:paraId="1FAF8EE6" w14:textId="77777777" w:rsidR="007D7218" w:rsidRPr="003E73CD" w:rsidRDefault="007D7218">
      <w:pPr>
        <w:rPr>
          <w:b/>
          <w:sz w:val="22"/>
          <w:szCs w:val="22"/>
        </w:rPr>
      </w:pPr>
      <w:r w:rsidRPr="003E73CD">
        <w:rPr>
          <w:b/>
          <w:sz w:val="22"/>
          <w:szCs w:val="22"/>
        </w:rPr>
        <w:br w:type="page"/>
      </w:r>
    </w:p>
    <w:p w14:paraId="6D856DAE" w14:textId="07032BAF" w:rsidR="0061482C" w:rsidRPr="003E73CD" w:rsidRDefault="0061482C" w:rsidP="0061482C">
      <w:pPr>
        <w:spacing w:line="480" w:lineRule="auto"/>
        <w:rPr>
          <w:b/>
          <w:sz w:val="22"/>
          <w:szCs w:val="22"/>
        </w:rPr>
      </w:pPr>
      <w:r w:rsidRPr="003E73CD">
        <w:rPr>
          <w:b/>
          <w:sz w:val="22"/>
          <w:szCs w:val="22"/>
        </w:rPr>
        <w:t>D.  Regional node surgery</w:t>
      </w:r>
    </w:p>
    <w:p w14:paraId="32CD9317" w14:textId="742C587B" w:rsidR="0061482C" w:rsidRPr="003E73CD" w:rsidRDefault="0061482C" w:rsidP="0061482C">
      <w:pPr>
        <w:spacing w:line="480" w:lineRule="auto"/>
        <w:ind w:firstLine="720"/>
        <w:rPr>
          <w:sz w:val="22"/>
          <w:szCs w:val="22"/>
        </w:rPr>
      </w:pPr>
      <w:r w:rsidRPr="003E73CD">
        <w:rPr>
          <w:sz w:val="22"/>
          <w:szCs w:val="22"/>
        </w:rPr>
        <w:t>The effects of regional node surgery on lymphatic drainage patterns have been described by Rees et al in a series of 10 patients with primary melanoma of the trunk.</w:t>
      </w:r>
      <w:r w:rsidRPr="003E73CD">
        <w:rPr>
          <w:sz w:val="22"/>
          <w:szCs w:val="22"/>
        </w:rPr>
        <w:fldChar w:fldCharType="begin" w:fldLock="1"/>
      </w:r>
      <w:r w:rsidR="005676A9">
        <w:rPr>
          <w:sz w:val="22"/>
          <w:szCs w:val="22"/>
        </w:rPr>
        <w:instrText>ADDIN CSL_CITATION { "citationItems" : [ { "id" : "ITEM-1", "itemData" : { "ISSN" : "0008-543X", "PMID" : "7388748", "abstract" : "Radionucleotide scanning with colloidal 198Au and 99Tc sulfur colloid was used to evaluate preoperative and postoperative lymphatic drainage in 10 patients with primary malignant melanoma of the trunk. After an intradermal injection of radionucleotide aroung the primary melanoma site, tomographic scanning was performed to identify the regional lymph nodes to which the radionucleotide drained. Approximately one year following lymphadenectomy, each patient was rescanned to see if the lymphatic drainage had changed. Of the 10 patients tested, 8 had postoperative drainage patterns that differed from the preoperative scans. Three patients had no drainage to the lymphadenectomy site, which two patients retained some drainage to the lymphadenectomy sites but also showed drainage to a new site. One patient retained drainage to only one of two preoperative sites, and 2 patients had no identifiable lymphatic drainage postoperatively. Thus, interruption of lymphatic channels is temporary, and new routes that may differ from preoperative ones generally develop within one to two years.", "author" : [ { "dropping-particle" : "V", "family" : "Rees", "given" : "W", "non-dropping-particle" : "", "parse-names" : false, "suffix" : "" }, { "dropping-particle" : "", "family" : "Robinson", "given" : "D S", "non-dropping-particle" : "", "parse-names" : false, "suffix" : "" }, { "dropping-particle" : "", "family" : "Holmes", "given" : "E C", "non-dropping-particle" : "", "parse-names" : false, "suffix" : "" }, { "dropping-particle" : "", "family" : "Morton", "given" : "D L", "non-dropping-particle" : "", "parse-names" : false, "suffix" : "" } ], "container-title" : "Cancer", "id" : "ITEM-1", "issue" : "12", "issued" : { "date-parts" : [ [ "1980", "6", "15" ] ] }, "page" : "3045-9", "title" : "Altered lymphatic drainage following lymphadenectomy.", "type" : "article-journal", "volume" : "45" }, "uris" : [ "http://www.mendeley.com/documents/?uuid=058cc0d1-54cf-41bb-9957-fbf678bbc499" ] } ], "mendeley" : { "formattedCitation" : "&lt;sup&gt;202&lt;/sup&gt;", "plainTextFormattedCitation" : "202", "previouslyFormattedCitation" : "&lt;sup&gt;202&lt;/sup&gt;" }, "properties" : { "noteIndex" : 0 }, "schema" : "https://github.com/citation-style-language/schema/raw/master/csl-citation.json" }</w:instrText>
      </w:r>
      <w:r w:rsidRPr="003E73CD">
        <w:rPr>
          <w:sz w:val="22"/>
          <w:szCs w:val="22"/>
        </w:rPr>
        <w:fldChar w:fldCharType="separate"/>
      </w:r>
      <w:r w:rsidR="00217FAC" w:rsidRPr="00217FAC">
        <w:rPr>
          <w:noProof/>
          <w:sz w:val="22"/>
          <w:szCs w:val="22"/>
          <w:vertAlign w:val="superscript"/>
        </w:rPr>
        <w:t>202</w:t>
      </w:r>
      <w:r w:rsidRPr="003E73CD">
        <w:rPr>
          <w:sz w:val="22"/>
          <w:szCs w:val="22"/>
        </w:rPr>
        <w:fldChar w:fldCharType="end"/>
      </w:r>
      <w:proofErr w:type="gramStart"/>
      <w:r w:rsidRPr="003E73CD">
        <w:rPr>
          <w:sz w:val="22"/>
          <w:szCs w:val="22"/>
        </w:rPr>
        <w:t xml:space="preserve">  Following</w:t>
      </w:r>
      <w:proofErr w:type="gramEnd"/>
      <w:r w:rsidRPr="003E73CD">
        <w:rPr>
          <w:sz w:val="22"/>
          <w:szCs w:val="22"/>
        </w:rPr>
        <w:t xml:space="preserve"> lymphoscintigraphy, eight patients underwent wide local excision and sentinel node biopsy.  The remaining two patients had already undergone wide local excision and so received sentinel node biopsy only.  All patients had regional node dissections and repeat lymphoscintigrams 12 to 23 months post-operatively.  In 8 patients, including the two patients who had their lymphoscintigrams after wide local excision had been previously performed, the lymphatic drainage pattern had changed.  Unusual patterns of lymphatic drainage undoubtedly occur in patients who have previously undergone regional node surgery.  Figure </w:t>
      </w:r>
      <w:r w:rsidR="002B3EC6">
        <w:rPr>
          <w:sz w:val="22"/>
          <w:szCs w:val="22"/>
        </w:rPr>
        <w:t>1.3</w:t>
      </w:r>
      <w:r w:rsidR="006C3DD8" w:rsidRPr="003E73CD">
        <w:rPr>
          <w:sz w:val="22"/>
          <w:szCs w:val="22"/>
        </w:rPr>
        <w:t>.5</w:t>
      </w:r>
      <w:r w:rsidRPr="003E73CD">
        <w:rPr>
          <w:sz w:val="22"/>
          <w:szCs w:val="22"/>
        </w:rPr>
        <w:t xml:space="preserve"> shows the lymphoscintigram of a patient who had previously undergone a left neck dissection.   In certain cases these unusually located sentinel nodes have contained metastases, thus demonstrating that new functional lymphatic drainage pathways can form following surgery and suggesting that any regional node surgery taking place between the time of development of primary tumour and lymphoscintigraphy is </w:t>
      </w:r>
      <w:r w:rsidR="007D7218" w:rsidRPr="003E73CD">
        <w:rPr>
          <w:sz w:val="22"/>
          <w:szCs w:val="22"/>
        </w:rPr>
        <w:t>likely to cause considerable in</w:t>
      </w:r>
      <w:r w:rsidRPr="003E73CD">
        <w:rPr>
          <w:sz w:val="22"/>
          <w:szCs w:val="22"/>
        </w:rPr>
        <w:t>accuracy.</w:t>
      </w:r>
    </w:p>
    <w:p w14:paraId="13909BF8" w14:textId="77777777" w:rsidR="0061482C" w:rsidRPr="003E73CD" w:rsidRDefault="0061482C" w:rsidP="0061482C">
      <w:pPr>
        <w:spacing w:line="480" w:lineRule="auto"/>
        <w:rPr>
          <w:sz w:val="22"/>
          <w:szCs w:val="22"/>
        </w:rPr>
      </w:pPr>
    </w:p>
    <w:p w14:paraId="2DBC3EEE" w14:textId="77777777" w:rsidR="0061482C" w:rsidRPr="003E73CD" w:rsidRDefault="0061482C" w:rsidP="0061482C">
      <w:pPr>
        <w:spacing w:line="480" w:lineRule="auto"/>
        <w:rPr>
          <w:sz w:val="22"/>
          <w:szCs w:val="22"/>
        </w:rPr>
      </w:pPr>
    </w:p>
    <w:p w14:paraId="29C6EF07" w14:textId="77777777" w:rsidR="0061482C" w:rsidRPr="003E73CD" w:rsidRDefault="0061482C" w:rsidP="0061482C">
      <w:pPr>
        <w:spacing w:line="480" w:lineRule="auto"/>
        <w:rPr>
          <w:sz w:val="22"/>
          <w:szCs w:val="22"/>
        </w:rPr>
      </w:pPr>
    </w:p>
    <w:p w14:paraId="4FCCACB8" w14:textId="77777777" w:rsidR="0061482C" w:rsidRPr="003E73CD" w:rsidRDefault="0061482C" w:rsidP="0061482C">
      <w:pPr>
        <w:spacing w:line="480" w:lineRule="auto"/>
        <w:rPr>
          <w:sz w:val="22"/>
          <w:szCs w:val="22"/>
        </w:rPr>
      </w:pPr>
    </w:p>
    <w:p w14:paraId="7A0AEC20" w14:textId="77777777" w:rsidR="0061482C" w:rsidRPr="003E73CD" w:rsidRDefault="0061482C" w:rsidP="0061482C">
      <w:pPr>
        <w:spacing w:line="480" w:lineRule="auto"/>
        <w:rPr>
          <w:sz w:val="22"/>
          <w:szCs w:val="22"/>
        </w:rPr>
      </w:pPr>
    </w:p>
    <w:p w14:paraId="10118D4D" w14:textId="77777777" w:rsidR="0061482C" w:rsidRPr="003E73CD" w:rsidRDefault="0061482C" w:rsidP="0061482C">
      <w:pPr>
        <w:spacing w:line="480" w:lineRule="auto"/>
        <w:rPr>
          <w:sz w:val="22"/>
          <w:szCs w:val="22"/>
        </w:rPr>
      </w:pPr>
    </w:p>
    <w:p w14:paraId="0C667840" w14:textId="77777777" w:rsidR="0061482C" w:rsidRPr="003E73CD" w:rsidRDefault="0061482C" w:rsidP="0061482C">
      <w:pPr>
        <w:spacing w:line="480" w:lineRule="auto"/>
        <w:rPr>
          <w:sz w:val="22"/>
          <w:szCs w:val="22"/>
        </w:rPr>
      </w:pPr>
    </w:p>
    <w:p w14:paraId="521FE858" w14:textId="77777777" w:rsidR="0061482C" w:rsidRPr="003E73CD" w:rsidRDefault="0061482C" w:rsidP="0061482C">
      <w:pPr>
        <w:spacing w:line="480" w:lineRule="auto"/>
        <w:rPr>
          <w:sz w:val="22"/>
          <w:szCs w:val="22"/>
        </w:rPr>
      </w:pPr>
    </w:p>
    <w:p w14:paraId="2D21618B" w14:textId="77777777" w:rsidR="0061482C" w:rsidRPr="003E73CD" w:rsidRDefault="0061482C" w:rsidP="0061482C">
      <w:pPr>
        <w:spacing w:line="480" w:lineRule="auto"/>
        <w:rPr>
          <w:sz w:val="22"/>
          <w:szCs w:val="22"/>
        </w:rPr>
      </w:pPr>
    </w:p>
    <w:p w14:paraId="74A7E8B6" w14:textId="77777777" w:rsidR="0061482C" w:rsidRPr="003E73CD" w:rsidRDefault="0061482C" w:rsidP="0061482C">
      <w:pPr>
        <w:spacing w:line="480" w:lineRule="auto"/>
        <w:rPr>
          <w:sz w:val="22"/>
          <w:szCs w:val="22"/>
        </w:rPr>
      </w:pPr>
    </w:p>
    <w:p w14:paraId="68977870" w14:textId="77777777" w:rsidR="0061482C" w:rsidRPr="003E73CD" w:rsidRDefault="0061482C" w:rsidP="0061482C">
      <w:pPr>
        <w:spacing w:line="480" w:lineRule="auto"/>
        <w:rPr>
          <w:sz w:val="22"/>
          <w:szCs w:val="22"/>
        </w:rPr>
      </w:pPr>
    </w:p>
    <w:p w14:paraId="15F4574D" w14:textId="1F7E9EDD" w:rsidR="0061482C" w:rsidRPr="003E73CD" w:rsidRDefault="005C6DB7" w:rsidP="007D7218">
      <w:pPr>
        <w:spacing w:line="480" w:lineRule="auto"/>
        <w:rPr>
          <w:sz w:val="22"/>
          <w:szCs w:val="22"/>
        </w:rPr>
      </w:pPr>
      <w:r w:rsidRPr="003E73CD">
        <w:rPr>
          <w:sz w:val="22"/>
          <w:szCs w:val="22"/>
        </w:rPr>
        <w:br w:type="page"/>
      </w:r>
      <w:r w:rsidR="002B3EC6">
        <w:rPr>
          <w:sz w:val="22"/>
          <w:szCs w:val="22"/>
        </w:rPr>
        <w:t>Figure 1.3</w:t>
      </w:r>
      <w:r w:rsidR="006C3DD8" w:rsidRPr="003E73CD">
        <w:rPr>
          <w:sz w:val="22"/>
          <w:szCs w:val="22"/>
        </w:rPr>
        <w:t>.5</w:t>
      </w:r>
      <w:r w:rsidR="0061482C" w:rsidRPr="003E73CD">
        <w:rPr>
          <w:sz w:val="22"/>
          <w:szCs w:val="22"/>
        </w:rPr>
        <w:t xml:space="preserve">.  </w:t>
      </w:r>
      <w:proofErr w:type="gramStart"/>
      <w:r w:rsidR="00A80435" w:rsidRPr="003E73CD">
        <w:rPr>
          <w:sz w:val="22"/>
          <w:szCs w:val="22"/>
        </w:rPr>
        <w:t>The effect previous nodal surgery.</w:t>
      </w:r>
      <w:proofErr w:type="gramEnd"/>
      <w:r w:rsidR="00A80435" w:rsidRPr="003E73CD">
        <w:rPr>
          <w:sz w:val="22"/>
          <w:szCs w:val="22"/>
        </w:rPr>
        <w:t xml:space="preserve">  </w:t>
      </w:r>
      <w:proofErr w:type="gramStart"/>
      <w:r w:rsidR="0061482C" w:rsidRPr="003E73CD">
        <w:rPr>
          <w:sz w:val="22"/>
          <w:szCs w:val="22"/>
        </w:rPr>
        <w:t>A lymphoscintigram from a patient with a primary tumour site on the left forehead.</w:t>
      </w:r>
      <w:proofErr w:type="gramEnd"/>
      <w:r w:rsidR="0061482C" w:rsidRPr="003E73CD">
        <w:rPr>
          <w:sz w:val="22"/>
          <w:szCs w:val="22"/>
        </w:rPr>
        <w:t xml:space="preserve">  Uptake of radiocolloid can be clearly seen passing via a lymphatic channel on the left side of the face, down to the neck and then crossing the midline of the neck to a sentinel node on the contra-lateral neck.  This patient had previously undergone a left neck dissection. </w:t>
      </w:r>
    </w:p>
    <w:p w14:paraId="44F5FE19" w14:textId="77777777" w:rsidR="007D7218" w:rsidRPr="003E73CD" w:rsidRDefault="007D7218" w:rsidP="007D7218">
      <w:pPr>
        <w:rPr>
          <w:sz w:val="22"/>
          <w:szCs w:val="22"/>
        </w:rPr>
      </w:pPr>
    </w:p>
    <w:p w14:paraId="59C5ED0D" w14:textId="77777777" w:rsidR="0061482C" w:rsidRPr="003E73CD" w:rsidRDefault="0061482C" w:rsidP="0061482C">
      <w:pPr>
        <w:spacing w:line="480" w:lineRule="auto"/>
        <w:rPr>
          <w:sz w:val="22"/>
          <w:szCs w:val="22"/>
        </w:rPr>
      </w:pPr>
      <w:r w:rsidRPr="003E73CD">
        <w:rPr>
          <w:noProof/>
          <w:sz w:val="22"/>
          <w:szCs w:val="22"/>
        </w:rPr>
        <w:drawing>
          <wp:inline distT="0" distB="0" distL="0" distR="0" wp14:anchorId="7764700C" wp14:editId="1A420F93">
            <wp:extent cx="3538220" cy="2732216"/>
            <wp:effectExtent l="0" t="0" r="0" b="1143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538220" cy="2732216"/>
                    </a:xfrm>
                    <a:prstGeom prst="rect">
                      <a:avLst/>
                    </a:prstGeom>
                    <a:noFill/>
                    <a:ln>
                      <a:noFill/>
                    </a:ln>
                  </pic:spPr>
                </pic:pic>
              </a:graphicData>
            </a:graphic>
          </wp:inline>
        </w:drawing>
      </w:r>
    </w:p>
    <w:p w14:paraId="1569261A" w14:textId="77777777" w:rsidR="0061482C" w:rsidRPr="003E73CD" w:rsidRDefault="0061482C" w:rsidP="0061482C">
      <w:pPr>
        <w:spacing w:line="480" w:lineRule="auto"/>
        <w:rPr>
          <w:sz w:val="22"/>
          <w:szCs w:val="22"/>
        </w:rPr>
      </w:pPr>
    </w:p>
    <w:p w14:paraId="7DE7759B" w14:textId="77777777" w:rsidR="0061482C" w:rsidRPr="003E73CD" w:rsidRDefault="0061482C" w:rsidP="0061482C">
      <w:pPr>
        <w:spacing w:line="480" w:lineRule="auto"/>
        <w:rPr>
          <w:sz w:val="22"/>
          <w:szCs w:val="22"/>
        </w:rPr>
      </w:pPr>
      <w:r w:rsidRPr="003E73CD">
        <w:rPr>
          <w:noProof/>
          <w:sz w:val="22"/>
          <w:szCs w:val="22"/>
        </w:rPr>
        <w:drawing>
          <wp:inline distT="0" distB="0" distL="0" distR="0" wp14:anchorId="163C934D" wp14:editId="741148AE">
            <wp:extent cx="4452620" cy="356725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54147" cy="3568474"/>
                    </a:xfrm>
                    <a:prstGeom prst="rect">
                      <a:avLst/>
                    </a:prstGeom>
                    <a:noFill/>
                    <a:ln>
                      <a:noFill/>
                    </a:ln>
                  </pic:spPr>
                </pic:pic>
              </a:graphicData>
            </a:graphic>
          </wp:inline>
        </w:drawing>
      </w:r>
    </w:p>
    <w:p w14:paraId="5B7DAAE4" w14:textId="77777777" w:rsidR="0061482C" w:rsidRPr="003E73CD" w:rsidRDefault="0061482C" w:rsidP="0061482C">
      <w:pPr>
        <w:pStyle w:val="Heading1"/>
        <w:rPr>
          <w:rFonts w:ascii="Cambria" w:hAnsi="Cambria"/>
          <w:szCs w:val="22"/>
        </w:rPr>
      </w:pPr>
      <w:r w:rsidRPr="003E73CD">
        <w:rPr>
          <w:rFonts w:ascii="Cambria" w:hAnsi="Cambria"/>
          <w:szCs w:val="22"/>
        </w:rPr>
        <w:t>Effects of previous radiotherapy</w:t>
      </w:r>
    </w:p>
    <w:p w14:paraId="7F11C5B1" w14:textId="5095E1D8" w:rsidR="0061482C" w:rsidRPr="003E73CD" w:rsidRDefault="0061482C" w:rsidP="0061482C">
      <w:pPr>
        <w:spacing w:line="480" w:lineRule="auto"/>
        <w:ind w:firstLine="720"/>
        <w:rPr>
          <w:sz w:val="22"/>
          <w:szCs w:val="22"/>
        </w:rPr>
      </w:pPr>
      <w:r w:rsidRPr="003E73CD">
        <w:rPr>
          <w:sz w:val="22"/>
          <w:szCs w:val="22"/>
        </w:rPr>
        <w:t>Patients who have received radiotherapy treatment to the area of skin occupied by the tumour or to the regional lymph node field have often also had surgery to one or both areas and so it is difficult to determine whether observed effects are the result of surgery, radiotherapy or a combination.  There are isolated cases where patients have received only radiotherapy prior to surgery and a sentinel node could not be found.  The destruction of lymphatics by radiotherapy has been proposed as a cause for failure to identify sentinel nodes in a patient undergoing sentinel node biopsy for vulval cancer.</w:t>
      </w:r>
      <w:r w:rsidRPr="003E73CD">
        <w:rPr>
          <w:sz w:val="22"/>
          <w:szCs w:val="22"/>
        </w:rPr>
        <w:fldChar w:fldCharType="begin" w:fldLock="1"/>
      </w:r>
      <w:r w:rsidR="005676A9">
        <w:rPr>
          <w:sz w:val="22"/>
          <w:szCs w:val="22"/>
        </w:rPr>
        <w:instrText>ADDIN CSL_CITATION { "citationItems" : [ { "id" : "ITEM-1", "itemData" : { "ISSN" : "0392-2936", "PMID" : "14584664", "abstract" : "A case of a 70-year-old patient with advanced local vulvar cancer is presented. Treatment with neo-adjuvant chemo-radiotherapy for two courses was administered and two weeks after completion of treatment the patient underwent wide local excision with bilateral inguino-femoral lymph node dissection through three separate incisions. Two methods for the evaluation of sentinel nodes--lymphoscintigraphy and intraoperative gamma hand-held probe and blue dye injection, did not detect any sentinel node on either side. Groin-node dissection revealed 23 negative nodes. It is our hypothesis that the non-visualization of sentinel nodes in this patient was due to post-irradiation damage to the lymph channels.", "author" : [ { "dropping-particle" : "", "family" : "Levavi", "given" : "H", "non-dropping-particle" : "", "parse-names" : false, "suffix" : "" }, { "dropping-particle" : "", "family" : "Sabah", "given" : "G", "non-dropping-particle" : "", "parse-names" : false, "suffix" : "" }, { "dropping-particle" : "", "family" : "Hardoff", "given" : "R", "non-dropping-particle" : "", "parse-names" : false, "suffix" : "" }, { "dropping-particle" : "", "family" : "Koren", "given" : "C", "non-dropping-particle" : "", "parse-names" : false, "suffix" : "" }, { "dropping-particle" : "", "family" : "Gutman", "given" : "H", "non-dropping-particle" : "", "parse-names" : false, "suffix" : "" } ], "container-title" : "European journal of gynaecological oncology", "id" : "ITEM-1", "issue" : "5", "issued" : { "date-parts" : [ [ "2003", "1" ] ] }, "page" : "433-4", "title" : "Failure of sentinel node identification following neo-adjuvant chemo-radiotherapy for locally advanced squamous cell carcinoma of the vulva.", "type" : "article-journal", "volume" : "24" }, "uris" : [ "http://www.mendeley.com/documents/?uuid=9201b4a0-6c7c-4988-865d-07fa3bb48209" ] } ], "mendeley" : { "formattedCitation" : "&lt;sup&gt;203&lt;/sup&gt;", "plainTextFormattedCitation" : "203", "previouslyFormattedCitation" : "&lt;sup&gt;203&lt;/sup&gt;" }, "properties" : { "noteIndex" : 0 }, "schema" : "https://github.com/citation-style-language/schema/raw/master/csl-citation.json" }</w:instrText>
      </w:r>
      <w:r w:rsidRPr="003E73CD">
        <w:rPr>
          <w:sz w:val="22"/>
          <w:szCs w:val="22"/>
        </w:rPr>
        <w:fldChar w:fldCharType="separate"/>
      </w:r>
      <w:r w:rsidR="00217FAC" w:rsidRPr="00217FAC">
        <w:rPr>
          <w:noProof/>
          <w:sz w:val="22"/>
          <w:szCs w:val="22"/>
          <w:vertAlign w:val="superscript"/>
        </w:rPr>
        <w:t>203</w:t>
      </w:r>
      <w:r w:rsidRPr="003E73CD">
        <w:rPr>
          <w:sz w:val="22"/>
          <w:szCs w:val="22"/>
        </w:rPr>
        <w:fldChar w:fldCharType="end"/>
      </w:r>
      <w:proofErr w:type="gramStart"/>
      <w:r w:rsidRPr="003E73CD">
        <w:rPr>
          <w:sz w:val="22"/>
          <w:szCs w:val="22"/>
        </w:rPr>
        <w:t xml:space="preserve">  No</w:t>
      </w:r>
      <w:proofErr w:type="gramEnd"/>
      <w:r w:rsidRPr="003E73CD">
        <w:rPr>
          <w:sz w:val="22"/>
          <w:szCs w:val="22"/>
        </w:rPr>
        <w:t xml:space="preserve"> case reports were identified involving lymphoscintigraphy pre-and post-radiotherapy to provide more substantial evidence for changes in lymphatic drainage patterns resulting from radiotherapy.</w:t>
      </w:r>
    </w:p>
    <w:p w14:paraId="67DA0179" w14:textId="77777777" w:rsidR="0061482C" w:rsidRPr="003E73CD" w:rsidRDefault="0061482C" w:rsidP="0061482C">
      <w:pPr>
        <w:pStyle w:val="Heading1"/>
        <w:rPr>
          <w:rFonts w:ascii="Cambria" w:hAnsi="Cambria"/>
          <w:szCs w:val="22"/>
        </w:rPr>
      </w:pPr>
    </w:p>
    <w:p w14:paraId="317767A2" w14:textId="77777777" w:rsidR="0061482C" w:rsidRPr="003E73CD" w:rsidRDefault="0061482C" w:rsidP="0061482C">
      <w:pPr>
        <w:spacing w:line="480" w:lineRule="auto"/>
        <w:rPr>
          <w:sz w:val="22"/>
          <w:szCs w:val="22"/>
        </w:rPr>
      </w:pPr>
    </w:p>
    <w:p w14:paraId="0D539927" w14:textId="77777777" w:rsidR="00D42395" w:rsidRPr="003E73CD" w:rsidRDefault="00D42395">
      <w:pPr>
        <w:rPr>
          <w:rFonts w:eastAsia="Times New Roman"/>
          <w:b/>
          <w:sz w:val="22"/>
          <w:szCs w:val="22"/>
        </w:rPr>
      </w:pPr>
      <w:r w:rsidRPr="003E73CD">
        <w:rPr>
          <w:szCs w:val="22"/>
        </w:rPr>
        <w:br w:type="page"/>
      </w:r>
    </w:p>
    <w:p w14:paraId="4CCF822D" w14:textId="479AD93C" w:rsidR="0061482C" w:rsidRPr="003E73CD" w:rsidRDefault="0061482C" w:rsidP="0061482C">
      <w:pPr>
        <w:pStyle w:val="Heading1"/>
        <w:rPr>
          <w:rFonts w:ascii="Cambria" w:hAnsi="Cambria"/>
          <w:szCs w:val="22"/>
        </w:rPr>
      </w:pPr>
      <w:r w:rsidRPr="003E73CD">
        <w:rPr>
          <w:rFonts w:ascii="Cambria" w:hAnsi="Cambria"/>
          <w:szCs w:val="22"/>
        </w:rPr>
        <w:t>P</w:t>
      </w:r>
      <w:r w:rsidR="00D42395" w:rsidRPr="003E73CD">
        <w:rPr>
          <w:rFonts w:ascii="Cambria" w:hAnsi="Cambria"/>
          <w:szCs w:val="22"/>
        </w:rPr>
        <w:t>roblematic</w:t>
      </w:r>
      <w:r w:rsidRPr="003E73CD">
        <w:rPr>
          <w:rFonts w:ascii="Cambria" w:hAnsi="Cambria"/>
          <w:szCs w:val="22"/>
        </w:rPr>
        <w:t xml:space="preserve"> lymphoscintigraphy </w:t>
      </w:r>
      <w:r w:rsidR="00D42395" w:rsidRPr="003E73CD">
        <w:rPr>
          <w:rFonts w:ascii="Cambria" w:hAnsi="Cambria"/>
          <w:szCs w:val="22"/>
        </w:rPr>
        <w:t>results and their practical implications</w:t>
      </w:r>
    </w:p>
    <w:p w14:paraId="1A8CAFEF" w14:textId="77777777" w:rsidR="00D42395" w:rsidRPr="003E73CD" w:rsidRDefault="00D42395" w:rsidP="00D42395"/>
    <w:p w14:paraId="4FC1C765" w14:textId="77777777" w:rsidR="0061482C" w:rsidRPr="003E73CD" w:rsidRDefault="0061482C" w:rsidP="0061482C">
      <w:pPr>
        <w:spacing w:line="480" w:lineRule="auto"/>
        <w:ind w:firstLine="720"/>
        <w:rPr>
          <w:sz w:val="22"/>
          <w:szCs w:val="22"/>
        </w:rPr>
      </w:pPr>
      <w:r w:rsidRPr="003E73CD">
        <w:rPr>
          <w:sz w:val="22"/>
          <w:szCs w:val="22"/>
        </w:rPr>
        <w:t>In the absence of exclusive identification of all sentinel nodes there are four potential situations that could exist.  These are as follows:</w:t>
      </w:r>
    </w:p>
    <w:p w14:paraId="580B5FBB" w14:textId="77777777" w:rsidR="0061482C" w:rsidRPr="003E73CD" w:rsidRDefault="0061482C" w:rsidP="0061482C">
      <w:pPr>
        <w:numPr>
          <w:ilvl w:val="0"/>
          <w:numId w:val="2"/>
        </w:numPr>
        <w:spacing w:line="480" w:lineRule="auto"/>
        <w:rPr>
          <w:sz w:val="22"/>
          <w:szCs w:val="22"/>
        </w:rPr>
      </w:pPr>
      <w:r w:rsidRPr="003E73CD">
        <w:rPr>
          <w:sz w:val="22"/>
          <w:szCs w:val="22"/>
        </w:rPr>
        <w:t>Identification of non-lymphatic tissue as sentinel nodes.</w:t>
      </w:r>
    </w:p>
    <w:p w14:paraId="4764744E" w14:textId="77777777" w:rsidR="0061482C" w:rsidRPr="003E73CD" w:rsidRDefault="0061482C" w:rsidP="0061482C">
      <w:pPr>
        <w:numPr>
          <w:ilvl w:val="0"/>
          <w:numId w:val="2"/>
        </w:numPr>
        <w:spacing w:line="480" w:lineRule="auto"/>
        <w:rPr>
          <w:sz w:val="22"/>
          <w:szCs w:val="22"/>
        </w:rPr>
      </w:pPr>
      <w:r w:rsidRPr="003E73CD">
        <w:rPr>
          <w:sz w:val="22"/>
          <w:szCs w:val="22"/>
        </w:rPr>
        <w:t>Identification of non-sentinel nodes as sentinel nodes.</w:t>
      </w:r>
    </w:p>
    <w:p w14:paraId="73CEB956" w14:textId="77777777" w:rsidR="0061482C" w:rsidRPr="003E73CD" w:rsidRDefault="0061482C" w:rsidP="0061482C">
      <w:pPr>
        <w:numPr>
          <w:ilvl w:val="0"/>
          <w:numId w:val="2"/>
        </w:numPr>
        <w:spacing w:line="480" w:lineRule="auto"/>
        <w:rPr>
          <w:sz w:val="22"/>
          <w:szCs w:val="22"/>
        </w:rPr>
      </w:pPr>
      <w:r w:rsidRPr="003E73CD">
        <w:rPr>
          <w:sz w:val="22"/>
          <w:szCs w:val="22"/>
        </w:rPr>
        <w:t>Identification of some but not all sentinel nodes.</w:t>
      </w:r>
    </w:p>
    <w:p w14:paraId="5CA912C0" w14:textId="77777777" w:rsidR="0061482C" w:rsidRPr="003E73CD" w:rsidRDefault="0061482C" w:rsidP="0061482C">
      <w:pPr>
        <w:numPr>
          <w:ilvl w:val="0"/>
          <w:numId w:val="2"/>
        </w:numPr>
        <w:spacing w:line="480" w:lineRule="auto"/>
        <w:rPr>
          <w:sz w:val="22"/>
          <w:szCs w:val="22"/>
        </w:rPr>
      </w:pPr>
      <w:r w:rsidRPr="003E73CD">
        <w:rPr>
          <w:sz w:val="22"/>
          <w:szCs w:val="22"/>
        </w:rPr>
        <w:t>No sentinel nodes identified (non-localization).</w:t>
      </w:r>
    </w:p>
    <w:p w14:paraId="5D4128FD" w14:textId="77777777" w:rsidR="0061482C" w:rsidRPr="003E73CD" w:rsidRDefault="0061482C" w:rsidP="0061482C">
      <w:pPr>
        <w:pStyle w:val="Heading1"/>
        <w:rPr>
          <w:rFonts w:ascii="Cambria" w:hAnsi="Cambria"/>
          <w:b w:val="0"/>
          <w:szCs w:val="22"/>
        </w:rPr>
      </w:pPr>
      <w:r w:rsidRPr="003E73CD">
        <w:rPr>
          <w:rFonts w:ascii="Cambria" w:hAnsi="Cambria"/>
          <w:b w:val="0"/>
          <w:szCs w:val="22"/>
        </w:rPr>
        <w:t xml:space="preserve">From a practical point of view for the surgeon performing sentinel node biopsy, non-localization and the identification of very large numbers of “sentinel” nodes in different node fields are the only two situations that will have immediately apparent implications regarding possible inaccuracy or failure of the procedure.  </w:t>
      </w:r>
    </w:p>
    <w:p w14:paraId="27CE5890" w14:textId="77777777" w:rsidR="0061482C" w:rsidRPr="003E73CD" w:rsidRDefault="0061482C" w:rsidP="0061482C">
      <w:pPr>
        <w:spacing w:line="480" w:lineRule="auto"/>
        <w:rPr>
          <w:sz w:val="22"/>
          <w:szCs w:val="22"/>
        </w:rPr>
      </w:pPr>
    </w:p>
    <w:p w14:paraId="3228604F" w14:textId="77777777" w:rsidR="0061482C" w:rsidRPr="003E73CD" w:rsidRDefault="0061482C" w:rsidP="0061482C">
      <w:pPr>
        <w:pStyle w:val="Heading1"/>
        <w:rPr>
          <w:szCs w:val="22"/>
        </w:rPr>
      </w:pPr>
      <w:r w:rsidRPr="003E73CD">
        <w:rPr>
          <w:rFonts w:ascii="Cambria" w:hAnsi="Cambria"/>
          <w:szCs w:val="22"/>
        </w:rPr>
        <w:t xml:space="preserve">1. Identification of non-lymphatic tissue as sentinel nodes.  </w:t>
      </w:r>
    </w:p>
    <w:p w14:paraId="520381ED" w14:textId="53A47E16" w:rsidR="0061482C" w:rsidRPr="003E73CD" w:rsidRDefault="0061482C" w:rsidP="0061482C">
      <w:pPr>
        <w:pStyle w:val="Heading1"/>
        <w:ind w:firstLine="720"/>
        <w:rPr>
          <w:rFonts w:ascii="Cambria" w:hAnsi="Cambria"/>
          <w:b w:val="0"/>
          <w:szCs w:val="22"/>
        </w:rPr>
      </w:pPr>
      <w:r w:rsidRPr="003E73CD">
        <w:rPr>
          <w:rFonts w:ascii="Cambria" w:hAnsi="Cambria"/>
          <w:b w:val="0"/>
          <w:szCs w:val="22"/>
        </w:rPr>
        <w:t>There are three situations where non-lymphatic uptake may occur, but in only two situations is this likely to be mistakenly interpreted as uptake in sentinel nodes.  The first is contamination of skin or clothing with radiocolloid which may give obvious anomalous results or may produce patterns consistent with sentinel node uptake, the second is uptake of free isotope (not bound to colloid) into non-lymphatic structures, such as the thyroid gland, which could again be mistaken for sentinel node uptake (see previou</w:t>
      </w:r>
      <w:r w:rsidR="002B3EC6">
        <w:rPr>
          <w:rFonts w:ascii="Cambria" w:hAnsi="Cambria"/>
          <w:b w:val="0"/>
          <w:szCs w:val="22"/>
        </w:rPr>
        <w:t>s discussion and Figures 1.3.3 and 1.3</w:t>
      </w:r>
      <w:r w:rsidR="006C3DD8" w:rsidRPr="003E73CD">
        <w:rPr>
          <w:rFonts w:ascii="Cambria" w:hAnsi="Cambria"/>
          <w:b w:val="0"/>
          <w:szCs w:val="22"/>
        </w:rPr>
        <w:t>.1</w:t>
      </w:r>
      <w:r w:rsidRPr="003E73CD">
        <w:rPr>
          <w:rFonts w:ascii="Cambria" w:hAnsi="Cambria"/>
          <w:b w:val="0"/>
          <w:szCs w:val="22"/>
        </w:rPr>
        <w:t>).  The third situation where non-lymphatic uptake occurs is systemic</w:t>
      </w:r>
      <w:r w:rsidR="002B3EC6">
        <w:rPr>
          <w:rFonts w:ascii="Cambria" w:hAnsi="Cambria"/>
          <w:b w:val="0"/>
          <w:szCs w:val="22"/>
        </w:rPr>
        <w:t xml:space="preserve"> uptake and is shown in Figure 1.3</w:t>
      </w:r>
      <w:r w:rsidR="006C3DD8" w:rsidRPr="003E73CD">
        <w:rPr>
          <w:rFonts w:ascii="Cambria" w:hAnsi="Cambria"/>
          <w:b w:val="0"/>
          <w:szCs w:val="22"/>
        </w:rPr>
        <w:t>.6</w:t>
      </w:r>
      <w:r w:rsidRPr="003E73CD">
        <w:rPr>
          <w:rFonts w:ascii="Cambria" w:hAnsi="Cambria"/>
          <w:b w:val="0"/>
          <w:szCs w:val="22"/>
        </w:rPr>
        <w:t>.  The pattern of uptake in this situation follows the vasculature and is clearly not within lymph nodes.  This should therefore be easily recognized as anomalous.</w:t>
      </w:r>
    </w:p>
    <w:p w14:paraId="6B9C4905" w14:textId="77777777" w:rsidR="0061482C" w:rsidRPr="003E73CD" w:rsidRDefault="0061482C" w:rsidP="0061482C">
      <w:pPr>
        <w:spacing w:line="480" w:lineRule="auto"/>
        <w:rPr>
          <w:sz w:val="22"/>
          <w:szCs w:val="22"/>
        </w:rPr>
      </w:pPr>
    </w:p>
    <w:p w14:paraId="65AA428B" w14:textId="77777777" w:rsidR="0061482C" w:rsidRPr="003E73CD" w:rsidRDefault="0061482C" w:rsidP="0061482C">
      <w:pPr>
        <w:spacing w:line="480" w:lineRule="auto"/>
        <w:rPr>
          <w:sz w:val="22"/>
          <w:szCs w:val="22"/>
        </w:rPr>
      </w:pPr>
    </w:p>
    <w:p w14:paraId="4FC7C6E8" w14:textId="77777777" w:rsidR="0061482C" w:rsidRPr="003E73CD" w:rsidRDefault="0061482C" w:rsidP="0061482C">
      <w:pPr>
        <w:spacing w:line="480" w:lineRule="auto"/>
        <w:rPr>
          <w:sz w:val="22"/>
          <w:szCs w:val="22"/>
        </w:rPr>
      </w:pPr>
    </w:p>
    <w:p w14:paraId="3E268826" w14:textId="24BB7AD2" w:rsidR="0061482C" w:rsidRPr="003E73CD" w:rsidRDefault="005C6DB7" w:rsidP="00D42395">
      <w:pPr>
        <w:spacing w:line="480" w:lineRule="auto"/>
        <w:rPr>
          <w:sz w:val="22"/>
          <w:szCs w:val="22"/>
        </w:rPr>
      </w:pPr>
      <w:r w:rsidRPr="003E73CD">
        <w:rPr>
          <w:sz w:val="22"/>
          <w:szCs w:val="22"/>
        </w:rPr>
        <w:br w:type="page"/>
      </w:r>
      <w:r w:rsidR="002B3EC6">
        <w:rPr>
          <w:sz w:val="22"/>
          <w:szCs w:val="22"/>
        </w:rPr>
        <w:t>Figure 1.3</w:t>
      </w:r>
      <w:r w:rsidR="006C3DD8" w:rsidRPr="003E73CD">
        <w:rPr>
          <w:sz w:val="22"/>
          <w:szCs w:val="22"/>
        </w:rPr>
        <w:t>.6</w:t>
      </w:r>
      <w:r w:rsidR="0061482C" w:rsidRPr="003E73CD">
        <w:rPr>
          <w:sz w:val="22"/>
          <w:szCs w:val="22"/>
        </w:rPr>
        <w:t xml:space="preserve">.  </w:t>
      </w:r>
      <w:proofErr w:type="gramStart"/>
      <w:r w:rsidR="00A80435" w:rsidRPr="003E73CD">
        <w:rPr>
          <w:sz w:val="22"/>
          <w:szCs w:val="22"/>
        </w:rPr>
        <w:t>Systemic uptake of radiocolloid.</w:t>
      </w:r>
      <w:proofErr w:type="gramEnd"/>
      <w:r w:rsidR="00A80435" w:rsidRPr="003E73CD">
        <w:rPr>
          <w:sz w:val="22"/>
          <w:szCs w:val="22"/>
        </w:rPr>
        <w:t xml:space="preserve">  </w:t>
      </w:r>
      <w:proofErr w:type="gramStart"/>
      <w:r w:rsidR="0061482C" w:rsidRPr="003E73CD">
        <w:rPr>
          <w:sz w:val="22"/>
          <w:szCs w:val="22"/>
        </w:rPr>
        <w:t>A lymphoscintigram following injection of radiocolloid around a primary tumour site on the scalp.</w:t>
      </w:r>
      <w:proofErr w:type="gramEnd"/>
      <w:r w:rsidR="0061482C" w:rsidRPr="003E73CD">
        <w:rPr>
          <w:sz w:val="22"/>
          <w:szCs w:val="22"/>
        </w:rPr>
        <w:t xml:space="preserve">  No lymphatic uptake is seen but uptake is apparent in a pattern corresponding to the vasculature of the upper body</w:t>
      </w:r>
      <w:r w:rsidR="00D42395" w:rsidRPr="003E73CD">
        <w:rPr>
          <w:sz w:val="22"/>
          <w:szCs w:val="22"/>
        </w:rPr>
        <w:t>.</w:t>
      </w:r>
    </w:p>
    <w:p w14:paraId="0655D48A" w14:textId="77777777" w:rsidR="00D42395" w:rsidRPr="003E73CD" w:rsidRDefault="00D42395" w:rsidP="00D42395">
      <w:pPr>
        <w:rPr>
          <w:sz w:val="22"/>
          <w:szCs w:val="22"/>
        </w:rPr>
      </w:pPr>
    </w:p>
    <w:p w14:paraId="25C774F9" w14:textId="77777777" w:rsidR="00D42395" w:rsidRPr="003E73CD" w:rsidRDefault="00D42395" w:rsidP="00D42395">
      <w:pPr>
        <w:rPr>
          <w:sz w:val="22"/>
          <w:szCs w:val="22"/>
        </w:rPr>
      </w:pPr>
    </w:p>
    <w:p w14:paraId="6741F9C9" w14:textId="77777777" w:rsidR="0061482C" w:rsidRPr="003E73CD" w:rsidRDefault="0061482C" w:rsidP="0061482C">
      <w:pPr>
        <w:spacing w:line="480" w:lineRule="auto"/>
        <w:rPr>
          <w:sz w:val="22"/>
          <w:szCs w:val="22"/>
        </w:rPr>
      </w:pPr>
      <w:r w:rsidRPr="003E73CD">
        <w:rPr>
          <w:noProof/>
          <w:sz w:val="22"/>
          <w:szCs w:val="22"/>
        </w:rPr>
        <w:drawing>
          <wp:inline distT="0" distB="0" distL="0" distR="0" wp14:anchorId="68E52C5E" wp14:editId="3AE3FE58">
            <wp:extent cx="5262880" cy="424688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62880" cy="4246880"/>
                    </a:xfrm>
                    <a:prstGeom prst="rect">
                      <a:avLst/>
                    </a:prstGeom>
                    <a:noFill/>
                    <a:ln>
                      <a:noFill/>
                    </a:ln>
                  </pic:spPr>
                </pic:pic>
              </a:graphicData>
            </a:graphic>
          </wp:inline>
        </w:drawing>
      </w:r>
    </w:p>
    <w:p w14:paraId="69188802" w14:textId="77777777" w:rsidR="0061482C" w:rsidRPr="003E73CD" w:rsidRDefault="0061482C" w:rsidP="0061482C">
      <w:pPr>
        <w:spacing w:line="480" w:lineRule="auto"/>
        <w:rPr>
          <w:sz w:val="22"/>
          <w:szCs w:val="22"/>
        </w:rPr>
      </w:pPr>
    </w:p>
    <w:p w14:paraId="6D269575" w14:textId="77777777" w:rsidR="0061482C" w:rsidRPr="003E73CD" w:rsidRDefault="0061482C" w:rsidP="0061482C"/>
    <w:p w14:paraId="7C409672" w14:textId="77777777" w:rsidR="0061482C" w:rsidRPr="003E73CD" w:rsidRDefault="0061482C" w:rsidP="0061482C"/>
    <w:p w14:paraId="54D897D0" w14:textId="77777777" w:rsidR="0061482C" w:rsidRPr="003E73CD" w:rsidRDefault="0061482C" w:rsidP="0061482C">
      <w:pPr>
        <w:spacing w:line="480" w:lineRule="auto"/>
        <w:rPr>
          <w:sz w:val="22"/>
          <w:szCs w:val="22"/>
        </w:rPr>
      </w:pPr>
    </w:p>
    <w:p w14:paraId="1444DEE8" w14:textId="77777777" w:rsidR="0061482C" w:rsidRPr="003E73CD" w:rsidRDefault="0061482C" w:rsidP="0061482C">
      <w:pPr>
        <w:pStyle w:val="Heading1"/>
        <w:rPr>
          <w:rFonts w:ascii="Cambria" w:hAnsi="Cambria"/>
          <w:szCs w:val="22"/>
        </w:rPr>
      </w:pPr>
    </w:p>
    <w:p w14:paraId="312823AD" w14:textId="77777777" w:rsidR="0061482C" w:rsidRPr="003E73CD" w:rsidRDefault="0061482C" w:rsidP="0061482C">
      <w:pPr>
        <w:pStyle w:val="Heading1"/>
        <w:rPr>
          <w:rFonts w:ascii="Cambria" w:hAnsi="Cambria"/>
          <w:szCs w:val="22"/>
        </w:rPr>
      </w:pPr>
      <w:r w:rsidRPr="003E73CD">
        <w:rPr>
          <w:rFonts w:ascii="Cambria" w:hAnsi="Cambria"/>
          <w:szCs w:val="22"/>
        </w:rPr>
        <w:t>2. Non-sentinel nodes identified as sentinel nodes</w:t>
      </w:r>
    </w:p>
    <w:p w14:paraId="6BED82EE" w14:textId="4C145AF6" w:rsidR="0061482C" w:rsidRPr="003E73CD" w:rsidRDefault="0061482C" w:rsidP="0061482C">
      <w:pPr>
        <w:spacing w:line="480" w:lineRule="auto"/>
        <w:ind w:firstLine="720"/>
        <w:rPr>
          <w:sz w:val="22"/>
          <w:szCs w:val="22"/>
          <w:lang w:val="en-AU"/>
        </w:rPr>
      </w:pPr>
      <w:r w:rsidRPr="003E73CD">
        <w:rPr>
          <w:sz w:val="22"/>
          <w:szCs w:val="22"/>
          <w:lang w:val="en-AU"/>
        </w:rPr>
        <w:t>The clinical relevance of sentinel nodes in certain sites</w:t>
      </w:r>
      <w:r w:rsidR="00457A72" w:rsidRPr="003E73CD">
        <w:rPr>
          <w:sz w:val="22"/>
          <w:szCs w:val="22"/>
          <w:lang w:val="en-AU"/>
        </w:rPr>
        <w:t>,</w:t>
      </w:r>
      <w:r w:rsidRPr="003E73CD">
        <w:rPr>
          <w:sz w:val="22"/>
          <w:szCs w:val="22"/>
          <w:lang w:val="en-AU"/>
        </w:rPr>
        <w:t xml:space="preserve"> as identified by lymphoscintigraphy</w:t>
      </w:r>
      <w:r w:rsidR="00457A72" w:rsidRPr="003E73CD">
        <w:rPr>
          <w:sz w:val="22"/>
          <w:szCs w:val="22"/>
          <w:lang w:val="en-AU"/>
        </w:rPr>
        <w:t>,</w:t>
      </w:r>
      <w:r w:rsidRPr="003E73CD">
        <w:rPr>
          <w:sz w:val="22"/>
          <w:szCs w:val="22"/>
          <w:lang w:val="en-AU"/>
        </w:rPr>
        <w:t xml:space="preserve"> has been called </w:t>
      </w:r>
      <w:r w:rsidR="00FF250B" w:rsidRPr="003E73CD">
        <w:rPr>
          <w:sz w:val="22"/>
          <w:szCs w:val="22"/>
          <w:lang w:val="en-AU"/>
        </w:rPr>
        <w:t>into question by some surgeons</w:t>
      </w:r>
      <w:r w:rsidRPr="003E73CD">
        <w:rPr>
          <w:sz w:val="22"/>
          <w:szCs w:val="22"/>
          <w:lang w:val="en-AU"/>
        </w:rPr>
        <w:t xml:space="preserve">.  The observation that a high percentage of metastases are found at clinically predicted sites and the concern that sentinel nodes identified by lymphoscintigraphy may not all be clinically relevant can be addressed by considering the limitations of the technique of lymphoscintigraphy.  It is widely recognised that the number of sentinel nodes identified by lymphoscintigraphy is to some extent dependent on the particle size of the radiocolloid and the interpretations of the nuclear medicine physician, especially when lymphatic channels are not visualised entering the sentinel node(s).  These factors could lead to second-tier nodes being confused for sentinel nodes and in the literature such nodes are often referred to as “false” versus “true” sentinel nodes.  However, failure to identify lymphatic channels could not account for identification of clinically irrelevant lymphatic drainage to two or more </w:t>
      </w:r>
      <w:proofErr w:type="gramStart"/>
      <w:r w:rsidRPr="003E73CD">
        <w:rPr>
          <w:sz w:val="22"/>
          <w:szCs w:val="22"/>
          <w:lang w:val="en-AU"/>
        </w:rPr>
        <w:t>anatomically-distinct</w:t>
      </w:r>
      <w:proofErr w:type="gramEnd"/>
      <w:r w:rsidRPr="003E73CD">
        <w:rPr>
          <w:sz w:val="22"/>
          <w:szCs w:val="22"/>
          <w:lang w:val="en-AU"/>
        </w:rPr>
        <w:t xml:space="preserve"> nodal basins.  In this situation it would be theoretically possible to see lymphatic channels draining into nodes in each basin but for some of those nodes not to be draining the primary tumour site.  All the nodes with lymphatic channels draining directly to them would typically be defined as “true” sentinel nodes but strictly some would be “false” sentinel nodes.  The existence of two distinct groups within the “true” sentinel nodes: the “true-true” sentinel nodes with the higher probability of harbouring metastases, and the “apparent- or false-true” sentinel nodes with a low probability of harbouring metastases is an inherent limitation of lymphoscintigraphy, which may not be simply of theoretical interest.  The head and neck, an area with a reputation for unpredictable lymphatic drainage and drainage to high numbers of sentinel nodes at different nodal sites, is an area where this situation could be a problem.  If injected radiocolloid disperses over an area of skin that is greater than the area occupied by the tumour</w:t>
      </w:r>
      <w:r w:rsidR="00457A72" w:rsidRPr="003E73CD">
        <w:rPr>
          <w:sz w:val="22"/>
          <w:szCs w:val="22"/>
          <w:lang w:val="en-AU"/>
        </w:rPr>
        <w:t>,</w:t>
      </w:r>
      <w:r w:rsidRPr="003E73CD">
        <w:rPr>
          <w:sz w:val="22"/>
          <w:szCs w:val="22"/>
          <w:lang w:val="en-AU"/>
        </w:rPr>
        <w:t xml:space="preserve"> and includes drainage to lymph nodes not draining the tumour site</w:t>
      </w:r>
      <w:r w:rsidR="00457A72" w:rsidRPr="003E73CD">
        <w:rPr>
          <w:sz w:val="22"/>
          <w:szCs w:val="22"/>
          <w:lang w:val="en-AU"/>
        </w:rPr>
        <w:t>,</w:t>
      </w:r>
      <w:r w:rsidRPr="003E73CD">
        <w:rPr>
          <w:sz w:val="22"/>
          <w:szCs w:val="22"/>
          <w:lang w:val="en-AU"/>
        </w:rPr>
        <w:t xml:space="preserve"> this would result in a reduced ratio of positive to negative nodes in the sentinel nodes removed, as the true sentinel nodes are the nodes most likely to contain metastatic disease.  There would however be no alteration in the overall result of sentinel node biopsy i.e. positive or negative, provided that all nodes identified as “sentinel” were removed. </w:t>
      </w:r>
    </w:p>
    <w:p w14:paraId="11C4D18F" w14:textId="0E1C6F2B" w:rsidR="0061482C" w:rsidRPr="003E73CD" w:rsidRDefault="0061482C" w:rsidP="0061482C">
      <w:pPr>
        <w:spacing w:line="480" w:lineRule="auto"/>
        <w:rPr>
          <w:sz w:val="22"/>
          <w:szCs w:val="22"/>
          <w:lang w:val="en-AU"/>
        </w:rPr>
      </w:pPr>
      <w:r w:rsidRPr="003E73CD">
        <w:rPr>
          <w:sz w:val="22"/>
          <w:szCs w:val="22"/>
          <w:lang w:val="en-AU"/>
        </w:rPr>
        <w:t xml:space="preserve"> </w:t>
      </w:r>
      <w:r w:rsidRPr="003E73CD">
        <w:rPr>
          <w:sz w:val="22"/>
          <w:szCs w:val="22"/>
          <w:lang w:val="en-AU"/>
        </w:rPr>
        <w:tab/>
        <w:t>The potential clinical importance of this theoretical situation for tumours on the head and neck can be highlighted by taking the example of a tumour that is close to the midline but not on the midline.  The injected radiocolloid may dissipate across the midline into skin with a different lymphatic drainage from the primary tumour skin and be taken up by lymphatics to contralateral lymph nodes.  These will be identified as sentinel nodes and will need to be removed as part of the sentinel node biopsy procedure but will have a low probability of harbouring metastases as they did not drain the area of skin occupied by the tumour.  The result for the patient would be an extra scar, an increased risk of complications and a longer operation, all for no benefit</w:t>
      </w:r>
      <w:r w:rsidR="00457A72" w:rsidRPr="003E73CD">
        <w:rPr>
          <w:sz w:val="22"/>
          <w:szCs w:val="22"/>
          <w:lang w:val="en-AU"/>
        </w:rPr>
        <w:t>;</w:t>
      </w:r>
      <w:r w:rsidRPr="003E73CD">
        <w:rPr>
          <w:sz w:val="22"/>
          <w:szCs w:val="22"/>
          <w:lang w:val="en-AU"/>
        </w:rPr>
        <w:t xml:space="preserve"> or worse still, a decision by the surgeon not to go ahead with sentinel node biopsy because of the likely morbidity, and a resultant failure to ob</w:t>
      </w:r>
      <w:r w:rsidR="00457A72" w:rsidRPr="003E73CD">
        <w:rPr>
          <w:sz w:val="22"/>
          <w:szCs w:val="22"/>
          <w:lang w:val="en-AU"/>
        </w:rPr>
        <w:t>tain any prognostic information</w:t>
      </w:r>
      <w:r w:rsidRPr="003E73CD">
        <w:rPr>
          <w:sz w:val="22"/>
          <w:szCs w:val="22"/>
          <w:lang w:val="en-AU"/>
        </w:rPr>
        <w:t xml:space="preserve">. </w:t>
      </w:r>
    </w:p>
    <w:p w14:paraId="46A82068" w14:textId="77777777" w:rsidR="0061482C" w:rsidRPr="003E73CD" w:rsidRDefault="0061482C" w:rsidP="0061482C">
      <w:pPr>
        <w:spacing w:line="480" w:lineRule="auto"/>
        <w:ind w:firstLine="720"/>
        <w:rPr>
          <w:sz w:val="22"/>
          <w:szCs w:val="22"/>
          <w:lang w:val="en-AU"/>
        </w:rPr>
      </w:pPr>
      <w:r w:rsidRPr="003E73CD">
        <w:rPr>
          <w:sz w:val="22"/>
          <w:szCs w:val="22"/>
          <w:lang w:val="en-AU"/>
        </w:rPr>
        <w:t xml:space="preserve">The question of the relative clinical significance of sentinel nodes at certain nodal sites and the suggestion that sentinel nodes at certain sites should be dismissed as clinically-irrelevant, and therefore not biopsied, requires further consideration.  If the number of lymph nodes found at each site is accounted for, the low rate of positivity observed at certain sites can be explained.  Comparing the pre-auricular region with the post-auricular region, the average number of lymph nodes at each site will differ, with a higher number of nodes being located in the pre-auricular region.  If it is assumed that each lymph node draining skin within the head and neck region drains a similar sized area of skin and has an equal chance of harbouring metastasis when a tumour is located within the skin that it drains, then the likelihood of observing positive sentinel nodes at a particular nodal site in a patient population would be related to the mean total number of skin-draining nodes at that site.  Sites with more nodes would more frequently be sites where sentinel nodes would be found and hence more frequently sites of positive sentinel nodes.  In order to compare the sentinel node positivity rates for different anatomical regions, the observed rate of sentinel node positivity would need to be divided by the average number of skin-draining lymph nodes found in that region.  Sites with fewer nodes, such as the post-auricular region, would be less frequent sites of positive sentinel nodes even though the individual nodes within those sites may have the same chance of being positive as nodes at other sites.  It is certainly true that positive sentinel nodes are much more commonly found in the pre-auricular region than the post-auricular region.  However, this observation should not lead to an erroneous conclusion that post-auricular sentinel nodes are </w:t>
      </w:r>
      <w:proofErr w:type="gramStart"/>
      <w:r w:rsidRPr="003E73CD">
        <w:rPr>
          <w:sz w:val="22"/>
          <w:szCs w:val="22"/>
          <w:lang w:val="en-AU"/>
        </w:rPr>
        <w:t>clinically-irrelevant</w:t>
      </w:r>
      <w:proofErr w:type="gramEnd"/>
      <w:r w:rsidRPr="003E73CD">
        <w:rPr>
          <w:sz w:val="22"/>
          <w:szCs w:val="22"/>
          <w:lang w:val="en-AU"/>
        </w:rPr>
        <w:t>.   The fact that positive sentinel nodes can occasionally be found in the post-auricular region provides support for the principle and technique of sentinel node biopsy.</w:t>
      </w:r>
    </w:p>
    <w:p w14:paraId="3AF01E3B" w14:textId="77777777" w:rsidR="0061482C" w:rsidRPr="003E73CD" w:rsidRDefault="0061482C" w:rsidP="0061482C">
      <w:pPr>
        <w:spacing w:line="480" w:lineRule="auto"/>
        <w:rPr>
          <w:sz w:val="22"/>
          <w:szCs w:val="22"/>
          <w:lang w:val="en-AU"/>
        </w:rPr>
      </w:pPr>
    </w:p>
    <w:p w14:paraId="28C49F37" w14:textId="77777777" w:rsidR="0061482C" w:rsidRPr="003E73CD" w:rsidRDefault="0061482C" w:rsidP="0061482C">
      <w:pPr>
        <w:pStyle w:val="Heading1"/>
        <w:rPr>
          <w:rFonts w:ascii="Cambria" w:hAnsi="Cambria"/>
          <w:szCs w:val="22"/>
        </w:rPr>
      </w:pPr>
      <w:r w:rsidRPr="003E73CD">
        <w:rPr>
          <w:rFonts w:ascii="Cambria" w:hAnsi="Cambria"/>
          <w:szCs w:val="22"/>
        </w:rPr>
        <w:t>3. Identification of some but not all sentinel nodes</w:t>
      </w:r>
    </w:p>
    <w:p w14:paraId="1A1CDC65" w14:textId="77777777" w:rsidR="0061482C" w:rsidRPr="003E73CD" w:rsidRDefault="0061482C" w:rsidP="0061482C">
      <w:pPr>
        <w:spacing w:line="480" w:lineRule="auto"/>
        <w:ind w:firstLine="720"/>
        <w:rPr>
          <w:sz w:val="22"/>
          <w:szCs w:val="22"/>
        </w:rPr>
      </w:pPr>
      <w:r w:rsidRPr="003E73CD">
        <w:rPr>
          <w:sz w:val="22"/>
          <w:szCs w:val="22"/>
        </w:rPr>
        <w:t>The number of cases in which some but not all sentinel nodes are identified is impossible to determine because there is no method for indisputably identifying all sentinel nodes in vivo and so neither the nuclear medicine physician nor the surgeon will be aware of such cases when they occur.  These cases could account for a proportion of recurrences in the same or separate nodal basins following both positive and negative sentinel node biopsy procedures.  The majority of the unidentified sentinel nodes that remained in situ would not contain metastatic disease.  False negative sentinel node biopsies resulting from previously unidentified sentinel nodes in the same nodal basin would be difficult to conclusively differentiate from false negatives occurring as a result of surgical failure to remove the correctly-identified sentinel nodes.</w:t>
      </w:r>
    </w:p>
    <w:p w14:paraId="603FD93E" w14:textId="5527B250" w:rsidR="0061482C" w:rsidRPr="003E73CD" w:rsidRDefault="0061482C" w:rsidP="0061482C">
      <w:pPr>
        <w:spacing w:line="480" w:lineRule="auto"/>
        <w:ind w:firstLine="720"/>
        <w:rPr>
          <w:sz w:val="22"/>
          <w:szCs w:val="22"/>
        </w:rPr>
      </w:pPr>
      <w:r w:rsidRPr="003E73CD">
        <w:rPr>
          <w:sz w:val="22"/>
          <w:szCs w:val="22"/>
        </w:rPr>
        <w:t xml:space="preserve">There are several possible situations where failure to identify all sentinel nodes by lymphoscintigraphy may occur.  Firstly, </w:t>
      </w:r>
      <w:proofErr w:type="gramStart"/>
      <w:r w:rsidRPr="003E73CD">
        <w:rPr>
          <w:sz w:val="22"/>
          <w:szCs w:val="22"/>
        </w:rPr>
        <w:t>unexpected concomitant drainage to more distant or unusual nodal sites should be detected by the nuclear medicine physician, in all cases,</w:t>
      </w:r>
      <w:proofErr w:type="gramEnd"/>
      <w:r w:rsidRPr="003E73CD">
        <w:rPr>
          <w:sz w:val="22"/>
          <w:szCs w:val="22"/>
        </w:rPr>
        <w:t xml:space="preserve"> by ensuring that every possible drainage site is imaged.  Secondly, </w:t>
      </w:r>
      <w:proofErr w:type="gramStart"/>
      <w:r w:rsidRPr="003E73CD">
        <w:rPr>
          <w:sz w:val="22"/>
          <w:szCs w:val="22"/>
        </w:rPr>
        <w:t>sentinel nodes obscured by primary site activity should be carefully sought by the surgeon</w:t>
      </w:r>
      <w:proofErr w:type="gramEnd"/>
      <w:r w:rsidRPr="003E73CD">
        <w:rPr>
          <w:sz w:val="22"/>
          <w:szCs w:val="22"/>
        </w:rPr>
        <w:t xml:space="preserve"> whenever the primary overlies a nodal basin.  This is particularly the case in the head and neck where the distance between primary site and </w:t>
      </w:r>
      <w:r w:rsidR="00717272" w:rsidRPr="003E73CD">
        <w:rPr>
          <w:sz w:val="22"/>
          <w:szCs w:val="22"/>
        </w:rPr>
        <w:t xml:space="preserve">regional nodes is often small. </w:t>
      </w:r>
      <w:r w:rsidRPr="003E73CD">
        <w:rPr>
          <w:sz w:val="22"/>
          <w:szCs w:val="22"/>
        </w:rPr>
        <w:t xml:space="preserve"> The sentinel nodes are not always the hottest nodes or the closest nodes to the primary site.</w:t>
      </w:r>
      <w:r w:rsidRPr="003E73CD">
        <w:rPr>
          <w:sz w:val="22"/>
          <w:szCs w:val="22"/>
        </w:rPr>
        <w:fldChar w:fldCharType="begin" w:fldLock="1"/>
      </w:r>
      <w:r w:rsidR="001C6CB8">
        <w:rPr>
          <w:sz w:val="22"/>
          <w:szCs w:val="22"/>
        </w:rPr>
        <w:instrText>ADDIN CSL_CITATION { "citationItems" : [ { "id" : "ITEM-1", "itemData" : { "ISSN" : "0003-4932", "PMID" : "10522715", "abstract" : "OBJECTIVE: To evaluate the multicenter application of intraoperative lymphatic mapping, sentinel lymphadenectomy, and selective complete lymph node dissection (LM/SL/SCLND) for the management of early-stage melanoma.\n\nSUMMARY BACKGROUND DATA: The multidisciplinary technique of LM/SL/SCLND has been widely adopted, but not validated in a multicenter trial. The authors began the international Multicenter Selective Lymphadenectomy Trial (MSLT) 5 years ago to evaluate the survival of patients with early-stage primary melanoma after wide excision alone versus wide excision plus LM/SL/SCLND. This study examined the accuracy of LM/SL/SCLND in the MSLT, using the experience of the organizing center (John Wayne Cancer Institute [JWCI]) as a standard for comparison.\n\nMETHODS: Before entering patients into the randomization phase, each center in the MSLT was required to finish a 30-case learning phase with complete nuclear medicine, pathology, and surgical review. Selection of MSLT patients in the LM/SL/SCLND treatment arm was based on complete pathologic and surgical data. The comparison group of JWCI patients was selected using these criteria: primary cutaneous melanoma having a thickness &gt; or =1 mm with a Clark level &gt; or =III, or a thickness &lt;1 mm with a Clark level &gt; or =IV (MSLT criterion); LM/SL performed between June 1, 1985, and December 30, 1998; and patient not entered in the MSLT. The accuracy of LM/SL/SCLND was determined by comparing the rates of sentinel node (SN) identification and the incidence of SN metastases in the MSLT and JWCI groups.\n\nRESULTS: There were 551 patients in the MSLT group and 584 patients in the JWCI group. In both groups, LM performed with blue dye plus a radiocolloid was more successful (99.1 %) than LM performed with blue dye alone (95.2%) (p = 0.014). After a center had completed the 30-case learning phase, the success of SN identification in the MSLT group was independent of the center's case volume or experience in the MSLT.\n\nCONCLUSIONS: Lymphatic mapping and sentinel lymphadenectomy can be successfully learned and applied in a standardized fashion with high accuracy by centers worldwide. Successful SN identification rates of 97% can be achieved, and the incidence of nodal metastases approaches that of the organizing center. A multidisciplinary approach (surgery, nuclear medicine, and pathology) and a learning phase of &gt; or =30 consecutive cases per center are sufficient for mastery of LM/SL in cutaneous melanoma. Lymphati\u2026", "author" : [ { "dropping-particle" : "", "family" : "Morton", "given" : "D L", "non-dropping-particle" : "", "parse-names" : false, "suffix" : "" }, { "dropping-particle" : "", "family" : "Thompson", "given" : "J F", "non-dropping-particle" : "", "parse-names" : false, "suffix" : "" }, { "dropping-particle" : "", "family" : "Essner", "given" : "R", "non-dropping-particle" : "", "parse-names" : false, "suffix" : "" }, { "dropping-particle" : "", "family" : "Elashoff", "given" : "R", "non-dropping-particle" : "", "parse-names" : false, "suffix" : "" }, { "dropping-particle" : "", "family" : "Stern", "given" : "S L", "non-dropping-particle" : "", "parse-names" : false, "suffix" : "" }, { "dropping-particle" : "", "family" : "Nieweg", "given" : "O E", "non-dropping-particle" : "", "parse-names" : false, "suffix" : "" }, { "dropping-particle" : "", "family" : "Roses", "given" : "D F", "non-dropping-particle" : "", "parse-names" : false, "suffix" : "" }, { "dropping-particle" : "", "family" : "Karakousis", "given" : "C P", "non-dropping-particle" : "", "parse-names" : false, "suffix" : "" }, { "dropping-particle" : "", "family" : "Mozzillo", "given" : "N", "non-dropping-particle" : "", "parse-names" : false, "suffix" : "" }, { "dropping-particle" : "", "family" : "Reintgen", "given" : "D", "non-dropping-particle" : "", "parse-names" : false, "suffix" : "" }, { "dropping-particle" : "", "family" : "Wang", "given" : "H J", "non-dropping-particle" : "", "parse-names" : false, "suffix" : "" }, { "dropping-particle" : "", "family" : "Glass", "given" : "E C", "non-dropping-particle" : "", "parse-names" : false, "suffix" : "" }, { "dropping-particle" : "", "family" : "Cochran", "given" : "A J", "non-dropping-particle" : "", "parse-names" : false, "suffix" : "" } ], "container-title" : "Annals of surgery", "id" : "ITEM-1", "issue" : "4", "issued" : { "date-parts" : [ [ "1999", "10" ] ] }, "page" : "453-63; discussion 463-5", "title" : "Validation of the accuracy of intraoperative lymphatic mapping and sentinel lymphadenectomy for early-stage melanoma: a multicenter trial. Multicenter Selective Lymphadenectomy Trial Group.", "type" : "article-journal", "volume" : "230" }, "uris" : [ "http://www.mendeley.com/documents/?uuid=de224c39-9824-497f-80fc-721220f39b8d" ] } ], "mendeley" : { "formattedCitation" : "&lt;sup&gt;113&lt;/sup&gt;", "plainTextFormattedCitation" : "113", "previouslyFormattedCitation" : "&lt;sup&gt;113&lt;/sup&gt;"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113</w:t>
      </w:r>
      <w:r w:rsidRPr="003E73CD">
        <w:rPr>
          <w:sz w:val="22"/>
          <w:szCs w:val="22"/>
        </w:rPr>
        <w:fldChar w:fldCharType="end"/>
      </w:r>
      <w:proofErr w:type="gramStart"/>
      <w:r w:rsidRPr="003E73CD">
        <w:rPr>
          <w:sz w:val="22"/>
          <w:szCs w:val="22"/>
        </w:rPr>
        <w:t xml:space="preserve">  In</w:t>
      </w:r>
      <w:proofErr w:type="gramEnd"/>
      <w:r w:rsidRPr="003E73CD">
        <w:rPr>
          <w:sz w:val="22"/>
          <w:szCs w:val="22"/>
        </w:rPr>
        <w:t xml:space="preserve"> the absence of visualisation of lymphatic channels draining directly to each node or passing via another node, the decision regarding their identification as a sentinel or non-sentinel node rests on the experience of the nuclear medicine physician and is therefore subjective.   The development of single-photon emission computed tomography (SPECT-CT) as an adjunct in lymphoscintigraphy has been shown to improve detection of sentinel nodes.</w:t>
      </w:r>
      <w:r w:rsidRPr="003E73CD">
        <w:rPr>
          <w:sz w:val="22"/>
          <w:szCs w:val="22"/>
        </w:rPr>
        <w:fldChar w:fldCharType="begin" w:fldLock="1"/>
      </w:r>
      <w:r w:rsidR="005676A9">
        <w:rPr>
          <w:sz w:val="22"/>
          <w:szCs w:val="22"/>
        </w:rPr>
        <w:instrText>ADDIN CSL_CITATION { "citationItems" : [ { "id" : "ITEM-1", "itemData" : { "DOI" : "10.4103/1450-1147.150543", "ISSN" : "1450-1147", "PMID" : "25709544", "abstract" : "Single-photon emission computed tomography-computed tomography (SPECT-CT) allows for physiological and anatomical co-registration in sentinel lymph node (SLN) mapping and offers additional benefits over conventional planar imaging. However, the clinical relevance when considering added costs and radiation burden of these reported benefits remains somewhat uncertain. This study aimed to evaluate the possible added value of SPECT-CT and intra-operative gamma-probe use over planar imaging alone in the South African setting. 80 patients with breast cancer or malignant melanoma underwent both planar and SPECT-CT imaging for SLN mapping. We assessed and compared the number of nodes detected on each study, false positive and negative findings, changes in surgical approach and or patient management. In all cases where a sentinel node was identified, SPECT-CT was more accurate anatomically. There was a significant change in surgical approach in 30 cases - breast cancer (n = 13; P 0.001) and malignant melanoma (n = 17; P 0.0002). In 4 cases a node not identified on planar imaging was seen on SPECT-CT. In 16 cases additional echelon nodes were identified. False positives were excluded by SPECT-CT in 12 cases. The addition of SPECT-CT and use of intra-operative gamma-probe to planar imaging offers important benefits in patients who present with breast cancer and melanoma. These benefits include increased nodal detection, elimination of false positives and negatives and improved anatomical localization that ultimately aids and expedites surgical management. This has been demonstrated in the context of industrialized country previously and has now also been confirmed in the setting of a emerging-market nation.", "author" : [ { "dropping-particle" : "", "family" : "Bennie", "given" : "George", "non-dropping-particle" : "", "parse-names" : false, "suffix" : "" }, { "dropping-particle" : "", "family" : "Vorster", "given" : "Mariza", "non-dropping-particle" : "", "parse-names" : false, "suffix" : "" }, { "dropping-particle" : "", "family" : "Buscombe", "given" : "John", "non-dropping-particle" : "", "parse-names" : false, "suffix" : "" }, { "dropping-particle" : "", "family" : "Sathekge", "given" : "Mike", "non-dropping-particle" : "", "parse-names" : false, "suffix" : "" } ], "container-title" : "World journal of nuclear medicine", "id" : "ITEM-1", "issue" : "1", "issued" : { "date-parts" : [ [ "2015", "1" ] ] }, "page" : "41-6", "title" : "The Added Value of a Single-photon Emission Computed Tomography-Computed Tomography in Sentinel Lymph Node Mapping in Patients with Breast Cancer and Malignant Melanoma.", "type" : "article-journal", "volume" : "14" }, "uris" : [ "http://www.mendeley.com/documents/?uuid=5d220dfe-503e-44ad-8e65-1b6ec3e43379" ] }, { "id" : "ITEM-2", "itemData" : { "ISSN" : "0161-5505", "PMID" : "12960185", "abstract" : "UNLABELLED: Lymphoscintigraphy is performed before sentinel node (SN) biopsy for SN mapping. It is of clinical importance mainly if the tumor is located in body parts with ambiguous lymph node drainage. The purpose of this study was to assess the clinical benefit of fused SPECT/CT images to planar images for SN mapping.\n\nMETHODS: Thirty-four consecutive patients with cutaneous malignant melanoma (n = 28) and squamous cell carcinoma (n = 6) and scheduled for SN biopsy were enrolled. Primary tumors were located in the trunk (n = 12), in the extremities (n = 12), in the head and neck (n = 9), and in the penis (n = 1). Scintigraphy was performed using a hybrid gamma-camera/low-dose CT system. Planar images and fused SPECT/CT images were interpreted separately.\n\nRESULTS: SPECT/CT identified multiple draining basins in 6 of 12 patients (50%) with trunk melanoma and in 3 of 9 patients (33%) with head and neck melanoma or mucosal tumor. In 9 of 21 patients (43%) with a primary tumor located in the head and neck or trunk region, SPECT/CT-fused images identified SNs that were missed on planar images, 2 of which were involved with tumor. Three of the 9 nodes were located close to the injection site and were hidden by its scattered radiation, and 2 were in-transit nodes. Another 4 nodes, identified on fused images only, were located in an additional basin to those identified on planar images. Fused images were of no added value either in patients with limb melanoma or in a patient with a penile melanoma.\n\nCONCLUSION: SPECT/CT SN mapping provides additional data that are of clinical relevance to SN biopsy in patients with trunk or head and neck melanoma and in patients with mucosal head and neck tumor.", "author" : [ { "dropping-particle" : "", "family" : "Even-Sapir", "given" : "Einat", "non-dropping-particle" : "", "parse-names" : false, "suffix" : "" }, { "dropping-particle" : "", "family" : "Lerman", "given" : "Hedva", "non-dropping-particle" : "", "parse-names" : false, "suffix" : "" }, { "dropping-particle" : "", "family" : "Lievshitz", "given" : "Genady", "non-dropping-particle" : "", "parse-names" : false, "suffix" : "" }, { "dropping-particle" : "", "family" : "Khafif", "given" : "Avi", "non-dropping-particle" : "", "parse-names" : false, "suffix" : "" }, { "dropping-particle" : "", "family" : "Fliss", "given" : "Dan M", "non-dropping-particle" : "", "parse-names" : false, "suffix" : "" }, { "dropping-particle" : "", "family" : "Schwartz", "given" : "Arnon", "non-dropping-particle" : "", "parse-names" : false, "suffix" : "" }, { "dropping-particle" : "", "family" : "Gur", "given" : "Eyal", "non-dropping-particle" : "", "parse-names" : false, "suffix" : "" }, { "dropping-particle" : "", "family" : "Skornick", "given" : "Yehuda", "non-dropping-particle" : "", "parse-names" : false, "suffix" : "" }, { "dropping-particle" : "", "family" : "Schneebaum", "given" : "Shlomo", "non-dropping-particle" : "", "parse-names" : false, "suffix" : "" } ], "container-title" : "Journal of nuclear medicine : official publication, Society of Nuclear Medicine", "id" : "ITEM-2", "issue" : "9", "issued" : { "date-parts" : [ [ "2003", "9" ] ] }, "page" : "1413-20", "title" : "Lymphoscintigraphy for sentinel node mapping using a hybrid SPECT/CT system.", "type" : "article-journal", "volume" : "44" }, "uris" : [ "http://www.mendeley.com/documents/?uuid=9ccf1975-1841-467b-b485-a47761ee2695" ] } ], "mendeley" : { "formattedCitation" : "&lt;sup&gt;193,204&lt;/sup&gt;", "plainTextFormattedCitation" : "193,204", "previouslyFormattedCitation" : "&lt;sup&gt;193,204&lt;/sup&gt;" }, "properties" : { "noteIndex" : 0 }, "schema" : "https://github.com/citation-style-language/schema/raw/master/csl-citation.json" }</w:instrText>
      </w:r>
      <w:r w:rsidRPr="003E73CD">
        <w:rPr>
          <w:sz w:val="22"/>
          <w:szCs w:val="22"/>
        </w:rPr>
        <w:fldChar w:fldCharType="separate"/>
      </w:r>
      <w:r w:rsidR="00217FAC" w:rsidRPr="00217FAC">
        <w:rPr>
          <w:noProof/>
          <w:sz w:val="22"/>
          <w:szCs w:val="22"/>
          <w:vertAlign w:val="superscript"/>
        </w:rPr>
        <w:t>193,204</w:t>
      </w:r>
      <w:r w:rsidRPr="003E73CD">
        <w:rPr>
          <w:sz w:val="22"/>
          <w:szCs w:val="22"/>
        </w:rPr>
        <w:fldChar w:fldCharType="end"/>
      </w:r>
    </w:p>
    <w:p w14:paraId="0C7E1577" w14:textId="45474FA3" w:rsidR="0061482C" w:rsidRPr="003E73CD" w:rsidRDefault="0061482C" w:rsidP="0061482C">
      <w:pPr>
        <w:spacing w:line="480" w:lineRule="auto"/>
        <w:ind w:firstLine="720"/>
        <w:rPr>
          <w:sz w:val="22"/>
          <w:szCs w:val="22"/>
        </w:rPr>
      </w:pPr>
      <w:r w:rsidRPr="003E73CD">
        <w:rPr>
          <w:sz w:val="22"/>
          <w:szCs w:val="22"/>
        </w:rPr>
        <w:t>Finally, between the time of development of the primary tumour and lymphoscintigraphy, any process that results in physical disruption or blockage of the draining lymphatics could potentially affect the accuracy of lymphoscintigraphy.  Examples include radiotherapy, surgery, infection, inflammation and neoplastic processes at the primary tumour site, the region where the lymphatics travel between primary tumour site and sentinel nodes or at the regional nodes.</w:t>
      </w:r>
      <w:r w:rsidRPr="003E73CD">
        <w:rPr>
          <w:sz w:val="22"/>
          <w:szCs w:val="22"/>
        </w:rPr>
        <w:fldChar w:fldCharType="begin" w:fldLock="1"/>
      </w:r>
      <w:r w:rsidR="005676A9">
        <w:rPr>
          <w:sz w:val="22"/>
          <w:szCs w:val="22"/>
        </w:rPr>
        <w:instrText>ADDIN CSL_CITATION { "citationItems" : [ { "id" : "ITEM-1", "itemData" : { "DOI" : "10.1097/CMR.0b013e32832166b7", "ISSN" : "1473-5636", "PMID" : "19262412", "abstract" : "The aim of this study was to describe how metastatic melanoma obstructing lymphatic flow to sentinel nodes can result in a false-negative sentinel node biopsy and to show that the use of ultrasound in conjunction with preoperative lymphoscintigraphy can avoid this potential diagnostic pitfall. A series of three patients in whom metastatic melanoma obstructed lymphatic flow to sentinel nodes is reported. In these patients, lymphoscintigraphy failed to identify nodes containing metastatic disease. This resulted in a false-negative sentinel node biopsy result in two patients. A sentinel node biopsy was not carried out in the third patient, but the same dilemma was encountered. These cases provide further insights into the dynamics of lymphatic flow and suggest possible reasons for occasional inaccuracy of sentinel node biopsy. They also highlight the advantages of using ultrasound to assess lymph nodes in any node fields to which lymphatic drainage occurs from a primary tumour site.", "author" : [ { "dropping-particle" : "", "family" : "Lam", "given" : "Tai K", "non-dropping-particle" : "", "parse-names" : false, "suffix" : "" }, { "dropping-particle" : "", "family" : "Uren", "given" : "Roger F", "non-dropping-particle" : "", "parse-names" : false, "suffix" : "" }, { "dropping-particle" : "", "family" : "Scolyer", "given" : "Richard A", "non-dropping-particle" : "", "parse-names" : false, "suffix" : "" }, { "dropping-particle" : "", "family" : "Quinn", "given" : "Michael J", "non-dropping-particle" : "", "parse-names" : false, "suffix" : "" }, { "dropping-particle" : "", "family" : "Shannon", "given" : "Kerwin F", "non-dropping-particle" : "", "parse-names" : false, "suffix" : "" }, { "dropping-particle" : "", "family" : "Thompson", "given" : "John F", "non-dropping-particle" : "", "parse-names" : false, "suffix" : "" } ], "container-title" : "Melanoma research", "id" : "ITEM-1", "issue" : "2", "issued" : { "date-parts" : [ [ "2009", "4" ] ] }, "page" : "94-9", "title" : "False-negative sentinel node biopsy because of obstruction of lymphatics by metastatic melanoma: the value of ultrasound in conjunction with preoperative lymphoscintigraphy.", "type" : "article-journal", "volume" : "19" }, "uris" : [ "http://www.mendeley.com/documents/?uuid=7bcaf538-ebf3-4361-9087-a1bfa9105ed1" ] }, { "id" : "ITEM-2", "itemData" : { "ISSN" : "0363-9762", "PMID" : "15483481", "abstract" : "OBJECTIVES: The sentinel lymph node approach has almost become the standard procedure of choice in the management of patients with early breast cancer. The status of sentinel nodes, whether or not pathologically involved by cancer cells, represents those of the axillary nodes with a negative predictive value of almost 100%. If the axillary lymphatic nodal drainage is altered, alternative lymphatic pathways and accordingly sentinel node location will be changed.\n\nMETHODS: In this article, 4 patients are presented, 3 with recurrent breast cancer who had already undergone lumpectomy, axillary node dissection, and radiotherapy in the past and 1 with primary breast cancer after surgical removal of a malignant melanoma on her back and had axillary node dissection on the same side as the breast cancer. These patients underwent lymphoscintigraphy followed by sentinel node localization using the gamma probe and also blue dye injection during surgery.\n\nRESULTS: All patients showed alternate lymphatic pathways, 1 had an ipsilateral internal mammary node and crossed lymphatics to a contralateral axillary node, 2 had intramammary sentinel nodes, and 1 had an internal mammary on the same side. Pathologic examination of the intramammary and contralateral sentinel nodes were negative for metastases. Internal mammary sentinel nodes were not biopsied.\n\nCONCLUSION: We feel that sentinel node lymphoscintigraphy should be done even in patients who have altered lymphatic pathways resulting from previous axillary node dissection. It allows identifying and biopsy of the sentinel node at its new unpredicted location.", "author" : [ { "dropping-particle" : "", "family" : "Sood", "given" : "Aswani", "non-dropping-particle" : "", "parse-names" : false, "suffix" : "" }, { "dropping-particle" : "", "family" : "Youssef", "given" : "Irini M", "non-dropping-particle" : "", "parse-names" : false, "suffix" : "" }, { "dropping-particle" : "", "family" : "Heiba", "given" : "Sherif I", "non-dropping-particle" : "", "parse-names" : false, "suffix" : "" }, { "dropping-particle" : "", "family" : "El-Zeftawy", "given" : "Hossam", "non-dropping-particle" : "", "parse-names" : false, "suffix" : "" }, { "dropping-particle" : "", "family" : "Axelrod", "given" : "Deborah", "non-dropping-particle" : "", "parse-names" : false, "suffix" : "" }, { "dropping-particle" : "", "family" : "Seigel", "given" : "Beth", "non-dropping-particle" : "", "parse-names" : false, "suffix" : "" }, { "dropping-particle" : "", "family" : "Mills", "given" : "Christopher", "non-dropping-particle" : "", "parse-names" : false, "suffix" : "" }, { "dropping-particle" : "", "family" : "Abdel-Dayem", "given" : "Hussein M", "non-dropping-particle" : "", "parse-names" : false, "suffix" : "" } ], "container-title" : "Clinical nuclear medicine", "id" : "ITEM-2", "issue" : "11", "issued" : { "date-parts" : [ [ "2004", "11" ] ] }, "page" : "698-702", "title" : "Alternative lymphatic pathway after previous axillary node dissection in recurrent/primary breast cancer.", "type" : "article-journal", "volume" : "29" }, "uris" : [ "http://www.mendeley.com/documents/?uuid=a9989541-0dbd-4a19-852f-895b4b5bc0e8" ] }, { "id" : "ITEM-3", "itemData" : { "ISSN" : "1068-9265", "PMID" : "10622508", "abstract" : "BACKGROUND: Initially, the technique of sentinel node biopsy involved the use of blue dye alone and was later supplemented with the use of an intraoperative probe after radiocolloid injection near the melanoma site. Ideally, it should be done before wide excision. To our knowledge, there is no information in the literature regarding the applicability or reliability of this technique after wide excision.\n\nMETHODS: We conducted a retrospective review of 142 patients (1993-1999) with melanomas &gt; or =1.0 mm or Clark's level &gt; or =IV. Of these, 116 patients had prior biopsy only, and 26 had wide excision. The mean melanoma thickness was 2.5 mm. The location of the primary lesion was in the upper extremity in 42 patients, the lower extremity in 33, the trunk in 49, and the head and neck area in 18.\n\nRESULTS: The sentinel node was identified in 88 (93%) of 95 nodal basins using the blue dye alone and in 65 (98.5%) of 66 basins using dye plus probe. The sentinel node was positive in 35 (25%) of the 142 patients and 38 (24%) of the 161 nodal basins. In a mean follow-up of 30 months of 115 basins with negative sentinel nodes, 3 (3%) later developed a palpable positive node in the same basin. In the group of dye alone, the sentinel node was identified in 40 (100%) of 40 extremity primaries and in 48 (87%) of 55 trunk and head and neck primary lesions (P = .02). Nine (35%) of the 26 patients with previous wide excision (25 with primary closure or skin graft, 1 with flap rotation) and 10 (32%) of 31 of nodal basins had a positive node; in 8 of the 9 patients, the positive node was also the sentinel node. The only patient with a positive node incidentally removed along with a histologically negative sentinel node was the one with a previous wide excision and flap rotation.\n\nCONCLUSIONS: Previous wide excision of the melanoma does not appear to negate the reliability of sentinel node biopsy, provided that no flap rotation was used to cover the defect.", "author" : [ { "dropping-particle" : "", "family" : "Karakousis", "given" : "C P", "non-dropping-particle" : "", "parse-names" : false, "suffix" : "" }, { "dropping-particle" : "", "family" : "Grigoropoulos", "given" : "P", "non-dropping-particle" : "", "parse-names" : false, "suffix" : "" } ], "container-title" : "Annals of surgical oncology", "id" : "ITEM-3", "issue" : "8", "issued" : { "date-parts" : [ [ "1999", "12" ] ] }, "page" : "785-9", "title" : "Sentinel node biopsy before and after wide excision of the primary melanoma.", "type" : "article-journal", "volume" : "6" }, "uris" : [ "http://www.mendeley.com/documents/?uuid=1781e9b6-97ec-4a8b-b612-8de700c3e9aa" ] }, { "id" : "ITEM-4", "itemData" : { "ISSN" : "0008-428X", "PMID" : "11764876", "abstract" : "OBJECTIVE: To document experience with sentinel lymph-node biopsy in patients who have already undergone a wide local excision for melanoma because in many centres previous wide excision has been a contraindication for sentinel lymph-node biopsy.\n\nDESIGN: A prospective cohort study.\n\nSETTING: A tertiary care academic cancer centre.\n\nPATIENTS: One hundred patients who presented with cutaneous melanoma (depth &gt;1 mm or Clark level IV) after having undergone wide local excision of the primary lesion that was not situated in the head or neck. The follow-up was 3 years.\n\nINTERVENTIONS: Sentinel lymph-node biopsy. Patients with truncal melanoma had preoperative lymphoscintigraphy to document the nodal basins at risk. Technetium-99m sulfur colloid (0.5-1 mCi in 0.5 mL) was injected intradermally around the scar, and the sentinel lymph node was excised with the aid of a hand-held gamma detector.\n\nOUTCOME MEASURES: Accuracy of the biopsy and false-negative rates in this setting.\n\nRESULTS: Of the 100 patients, 44 had truncal and 56 had extremity lesions. The average tumour depth was 3.47 mm and 3.07 mm respectively. Thirty-one patients had a sentinel lymph node positive for melanoma metastasis. Biopsies were positive for melanoma in 18 (41%) truncal lesions and 13 (23%) extremity lesions. There were 3 (9%) false-negative sentinel lymph-node biopsies as diagnosed by clinically evident nodal disease subsequently appearing in the nodal basin subjected to biopsy. Two occurred in patients after large rotation flap closures of truncal lesions. The third patient had a subungual melanoma of the great toe. No disease was found in the 2 nodes dissected. Two of the 3 false-negative biopsy results were obtained before serial sections and immunohistochemical staining were used to examine the sentinel lymph nodes.\n\nCONCLUSIONS: Sentinel lymph-node biopsies can successfully identify clinically occult nodal metastases in patients who have had previous wide local excision of a melanoma, but the false-negative rate in patients with rotation flap closures should be taken into consideration.", "author" : [ { "dropping-particle" : "", "family" : "McCready", "given" : "D R", "non-dropping-particle" : "", "parse-names" : false, "suffix" : "" }, { "dropping-particle" : "", "family" : "Ghazarian", "given" : "D M", "non-dropping-particle" : "", "parse-names" : false, "suffix" : "" }, { "dropping-particle" : "", "family" : "Hershkop", "given" : "M S", "non-dropping-particle" : "", "parse-names" : false, "suffix" : "" }, { "dropping-particle" : "", "family" : "Walker", "given" : "J A", "non-dropping-particle" : "", "parse-names" : false, "suffix" : "" }, { "dropping-particle" : "", "family" : "Ambus", "given" : "U", "non-dropping-particle" : "", "parse-names" : false, "suffix" : "" }, { "dropping-particle" : "", "family" : "Quirt", "given" : "I C", "non-dropping-particle" : "", "parse-names" : false, "suffix" : "" } ], "container-title" : "Canadian journal of surgery. Journal canadien de chirurgie", "id" : "ITEM-4", "issue" : "6", "issued" : { "date-parts" : [ [ "2001", "12" ] ] }, "page" : "432-4", "title" : "Sentinel lymph-node biopsy after previous wide local excision for melanoma.", "type" : "article-journal", "volume" : "44" }, "uris" : [ "http://www.mendeley.com/documents/?uuid=d9cffed5-aab0-4111-93aa-600397adaea0" ] }, { "id" : "ITEM-5", "itemData" : { "DOI" : "10.1002/jso.10205", "ISSN" : "0022-4790", "PMID" : "12619055", "abstract" : "BACKGROUND AND OBJECTIVES: The role of sentinel lymph node biopsy (SLNB) in patients with a previous wide local excision (WLE) was examined with case-control methodology.\n\nMETHODS: A total of 168 consecutive cases of SLNB were performed in patients with truncal and extremity melanoma with tumor thickness of &gt; or = 1 mm between October 1997 and June 2000 and were followed prospectively. For comparison, 65 of the 103 SLNB patients referred to us after their WLE (cases) were matched by tumor thickness to 65 patients who had SLNB with concurrent WLE (controls). Radiocolloid (technetium-99m sulfur colloid) was used in all cases; in addition, vital blue dye (patent blue) was used in the control group. The two groups were followed for a median of 15.4 months.\n\nRESULTS: SLNs were identified in all patients with an average of 2.1 (cases) and 2.0 (controls) SLNs excised per patient (P = 0.77). Twenty one (32.3%) of those having SLNB after previous WLE (cases) and 23 (35.4%) of those with concurrent WLE and SLNB (controls) were found to have metastatic disease in the SLN. The only false-negative in this group was detected in clinical follow-up in a patient whose truncal WLE was previously closed with a rotation flap (case). There was no significant difference in relapse-free survival (P = 0.209) and overall survival (P = 0.692) between groups.\n\nCONCLUSIONS: SLNB is feasible in patients with previous WLE for extremity and truncal melanoma. Similar rates of sentinel positivity are found when compared with those in whom their WLE was done concurrently.", "author" : [ { "dropping-particle" : "", "family" : "Leong", "given" : "Wey L", "non-dropping-particle" : "", "parse-names" : false, "suffix" : "" }, { "dropping-particle" : "", "family" : "Ghazarian", "given" : "Danny M", "non-dropping-particle" : "", "parse-names" : false, "suffix" : "" }, { "dropping-particle" : "", "family" : "McCready", "given" : "David R", "non-dropping-particle" : "", "parse-names" : false, "suffix" : "" } ], "container-title" : "Journal of surgical oncology", "id" : "ITEM-5", "issue" : "3", "issued" : { "date-parts" : [ [ "2003", "3" ] ] }, "page" : "143-6", "title" : "Previous wide local excision of primary melanoma is not a contraindication for sentinel lymph node biopsy of the trunk and extremity.", "type" : "article-journal", "volume" : "82" }, "uris" : [ "http://www.mendeley.com/documents/?uuid=482701c4-9821-4b80-883a-df25ce8471a3" ] }, { "id" : "ITEM-6", "itemData" : { "DOI" : "10.1097/SAP.0b013e3181a42d4a", "ISSN" : "1536-3708", "PMID" : "20864825", "abstract" : "Sentinel lymph nodes (SLNs) are examined for occult melanoma metastases for accurate staging to dictate optimal therapy. The aim of this case series was to discuss clinical challenges in SLN biopsy. Ten challenging cases were identified from over 700 melanoma patients with SLN biopsy for primary cutaneous melanoma at the Yale Cancer Center Melanoma Unit. These cases were complicated by issues of (1) visualization of SLN, (2) concurrent and topographically close melanomas, (3) aberrant lymphatic drainage outside standard basins, (4) altered lymphatic drainage secondary to surgery, and (5) access to SLN. This case series identifies complex clinical scenarios encountered with SLN biopsy that should be familiar to a surgeon involved in the surgical care of melanoma patients.", "author" : [ { "dropping-particle" : "", "family" : "Silverio", "given" : "Amanda", "non-dropping-particle" : "", "parse-names" : false, "suffix" : "" }, { "dropping-particle" : "", "family" : "McRae", "given" : "Matthew", "non-dropping-particle" : "", "parse-names" : false, "suffix" : "" }, { "dropping-particle" : "", "family" : "Ariyan", "given" : "Stephan", "non-dropping-particle" : "", "parse-names" : false, "suffix" : "" }, { "dropping-particle" : "", "family" : "Narayan", "given" : "Deepak", "non-dropping-particle" : "", "parse-names" : false, "suffix" : "" } ], "container-title" : "Annals of plastic surgery", "id" : "ITEM-6", "issue" : "4", "issued" : { "date-parts" : [ [ "2010", "10" ] ] }, "page" : "418-24", "title" : "Management of the difficult sentinel lymph node in patients with primary cutaneous melanoma.", "type" : "article-journal", "volume" : "65" }, "uris" : [ "http://www.mendeley.com/documents/?uuid=1549b29c-c4ee-43da-bad0-92ba25789723" ] } ], "mendeley" : { "formattedCitation" : "&lt;sup&gt;196,199,200,205\u2013207&lt;/sup&gt;", "plainTextFormattedCitation" : "196,199,200,205\u2013207", "previouslyFormattedCitation" : "&lt;sup&gt;196,199,200,205\u2013207&lt;/sup&gt;" }, "properties" : { "noteIndex" : 0 }, "schema" : "https://github.com/citation-style-language/schema/raw/master/csl-citation.json" }</w:instrText>
      </w:r>
      <w:r w:rsidRPr="003E73CD">
        <w:rPr>
          <w:sz w:val="22"/>
          <w:szCs w:val="22"/>
        </w:rPr>
        <w:fldChar w:fldCharType="separate"/>
      </w:r>
      <w:r w:rsidR="00217FAC" w:rsidRPr="00217FAC">
        <w:rPr>
          <w:noProof/>
          <w:sz w:val="22"/>
          <w:szCs w:val="22"/>
          <w:vertAlign w:val="superscript"/>
        </w:rPr>
        <w:t>196,199,200,205–207</w:t>
      </w:r>
      <w:r w:rsidRPr="003E73CD">
        <w:rPr>
          <w:sz w:val="22"/>
          <w:szCs w:val="22"/>
        </w:rPr>
        <w:fldChar w:fldCharType="end"/>
      </w:r>
      <w:proofErr w:type="gramStart"/>
      <w:r w:rsidRPr="003E73CD">
        <w:rPr>
          <w:sz w:val="22"/>
          <w:szCs w:val="22"/>
        </w:rPr>
        <w:t xml:space="preserve">  The</w:t>
      </w:r>
      <w:proofErr w:type="gramEnd"/>
      <w:r w:rsidRPr="003E73CD">
        <w:rPr>
          <w:sz w:val="22"/>
          <w:szCs w:val="22"/>
        </w:rPr>
        <w:t xml:space="preserve"> likely effect of previous nodal surgery to the neck can be seen in the patient who underwent lymphoscintigraphy for a primary tumour located on the left forehead and had previously</w:t>
      </w:r>
      <w:r w:rsidR="006C3DD8" w:rsidRPr="003E73CD">
        <w:rPr>
          <w:sz w:val="22"/>
          <w:szCs w:val="22"/>
        </w:rPr>
        <w:t xml:space="preserve"> had a neck </w:t>
      </w:r>
      <w:r w:rsidR="002B3EC6">
        <w:rPr>
          <w:sz w:val="22"/>
          <w:szCs w:val="22"/>
        </w:rPr>
        <w:t>dissection (Figure 1.3</w:t>
      </w:r>
      <w:r w:rsidR="006C3DD8" w:rsidRPr="003E73CD">
        <w:rPr>
          <w:sz w:val="22"/>
          <w:szCs w:val="22"/>
        </w:rPr>
        <w:t>.5</w:t>
      </w:r>
      <w:r w:rsidRPr="003E73CD">
        <w:rPr>
          <w:sz w:val="22"/>
          <w:szCs w:val="22"/>
        </w:rPr>
        <w:t>).</w:t>
      </w:r>
    </w:p>
    <w:p w14:paraId="5C0A25F5" w14:textId="77777777" w:rsidR="0061482C" w:rsidRPr="003E73CD" w:rsidRDefault="0061482C" w:rsidP="0061482C">
      <w:pPr>
        <w:spacing w:line="480" w:lineRule="auto"/>
        <w:rPr>
          <w:sz w:val="22"/>
          <w:szCs w:val="22"/>
          <w:lang w:val="en-AU"/>
        </w:rPr>
      </w:pPr>
    </w:p>
    <w:p w14:paraId="0C5F1CE5" w14:textId="00FFB4FA" w:rsidR="0061482C" w:rsidRPr="003E73CD" w:rsidRDefault="0061482C" w:rsidP="0061482C">
      <w:pPr>
        <w:pStyle w:val="Heading1"/>
        <w:rPr>
          <w:rFonts w:ascii="Cambria" w:hAnsi="Cambria"/>
          <w:szCs w:val="22"/>
        </w:rPr>
      </w:pPr>
      <w:r w:rsidRPr="003E73CD">
        <w:rPr>
          <w:rFonts w:ascii="Cambria" w:hAnsi="Cambria"/>
          <w:szCs w:val="22"/>
        </w:rPr>
        <w:t>4. No sentinel nodes identifie</w:t>
      </w:r>
      <w:r w:rsidR="00E02D2D" w:rsidRPr="003E73CD">
        <w:rPr>
          <w:rFonts w:ascii="Cambria" w:hAnsi="Cambria"/>
          <w:szCs w:val="22"/>
        </w:rPr>
        <w:t>d (</w:t>
      </w:r>
      <w:r w:rsidRPr="003E73CD">
        <w:rPr>
          <w:rFonts w:ascii="Cambria" w:hAnsi="Cambria"/>
          <w:szCs w:val="22"/>
        </w:rPr>
        <w:t>non-localization)</w:t>
      </w:r>
    </w:p>
    <w:p w14:paraId="37E43E74" w14:textId="7C300508" w:rsidR="0061482C" w:rsidRPr="003E73CD" w:rsidRDefault="0061482C" w:rsidP="0061482C">
      <w:pPr>
        <w:spacing w:line="480" w:lineRule="auto"/>
        <w:ind w:firstLine="720"/>
        <w:rPr>
          <w:sz w:val="22"/>
          <w:szCs w:val="22"/>
        </w:rPr>
      </w:pPr>
      <w:r w:rsidRPr="003E73CD">
        <w:rPr>
          <w:sz w:val="22"/>
          <w:szCs w:val="22"/>
        </w:rPr>
        <w:t xml:space="preserve">A pre-operative lymphoscintigram that does not demonstrate drainage to any lymph nodes places the surgeon in a compromised position with an increased risk of failure or false negative sentinel node biopsy.  The options are to proceed with the planned wide local excision with or without an attempt to identify sentinel nodes intra-operatively, or to postpone surgery and repeat lymphoscintigraphy in the hope that the result will be more informative.  By proceeding with wide local excision, there is a theoretical chance that lymphatic drainage pathways may be disrupted and make subsequent lymphoscintigraphy inaccurate.  However, studies to date investigating the effect of prior wide local excision on sentinel node biopsy </w:t>
      </w:r>
      <w:r w:rsidR="002B3EC6">
        <w:rPr>
          <w:sz w:val="22"/>
          <w:szCs w:val="22"/>
        </w:rPr>
        <w:t>(see Table 1.3</w:t>
      </w:r>
      <w:r w:rsidR="006C3DD8" w:rsidRPr="003E73CD">
        <w:rPr>
          <w:sz w:val="22"/>
          <w:szCs w:val="22"/>
        </w:rPr>
        <w:t>.1</w:t>
      </w:r>
      <w:r w:rsidRPr="003E73CD">
        <w:rPr>
          <w:sz w:val="22"/>
          <w:szCs w:val="22"/>
        </w:rPr>
        <w:t>) suggest that this is not necessarily the case unless reconstruction with a rotation flap is performed.</w:t>
      </w:r>
      <w:r w:rsidRPr="003E73CD">
        <w:rPr>
          <w:sz w:val="22"/>
          <w:szCs w:val="22"/>
        </w:rPr>
        <w:fldChar w:fldCharType="begin" w:fldLock="1"/>
      </w:r>
      <w:r w:rsidR="005676A9">
        <w:rPr>
          <w:sz w:val="22"/>
          <w:szCs w:val="22"/>
        </w:rPr>
        <w:instrText>ADDIN CSL_CITATION { "citationItems" : [ { "id" : "ITEM-1", "itemData" : { "ISSN" : "1072-7515", "PMID" : "10472924", "abstract" : "BACKGROUND: Lymphatic mapping and sentinel lymphadenectomy (LM/SL) are generally avoided in patients who have already undergone wide local excision (WLE) of a primary melanoma, because of concern that disruption of the cutaneous lymphatics might alter lymphatic flow to the sentinel node. We reviewed carefully chosen patients who had undergone LM/SL after WLE to identify circumstances that might make this approach otherwise safe and clinically accurate.\n\nSTUDY DESIGN: From our melanoma database of 8,300 patients, of whom 1,015 had undergone LM/SL, we retrospectively identified 47 patients who had previously undergone WLE. Patient and tumor characteristics were collected and compared with followup data from clinic files.\n\nRESULTS: Median WLE surgical margins before LM/SL were 2.0 cm and most patients had extremity lesions. Eleven of the 47 patients (23%) had tumor-involved sentinel nodes, and 8 of these patients (73%) had a solitary nodal metastasis. With a median followup period of 36 months, 3 sentinel node-negative patients developed nodal recurrences. Two of these patients had positive sentinel nodes on pathology re-review and were not considered failures of the lymphatic mapping surgical procedure. The third patient developed in-transit metastases and delayed nodal recurrence. An additional patient, who had a primary tumor on the trunk, developed a nodal recurrence in the basin opposite that identified by lymphoscintigraphy. The overall error rate of the technique was 4 in 36 (11%). This included 2 pathology misdiagnoses (5.6%), 1 nodal recurrence associated with in-transit regional metastases (2.8%), and 1 lymphatic mapping error (2.8%).\n\nCONCLUSIONS: LM/SL can be cautiously performed in patients who have undergone previous WLE if the primary resection margin was no greater than 2.0 cm and the primary was not in a region of ambiguous drainage. Lymphatic mapping may be inaccurate when melanomas have been resected with large margins, especially if the wound was closed with rotation flaps, and when melanomas are on the head and neck or trunk regions.", "author" : [ { "dropping-particle" : "", "family" : "Kelemen", "given" : "P R", "non-dropping-particle" : "", "parse-names" : false, "suffix" : "" }, { "dropping-particle" : "", "family" : "Essner", "given" : "R", "non-dropping-particle" : "", "parse-names" : false, "suffix" : "" }, { "dropping-particle" : "", "family" : "Foshag", "given" : "L J", "non-dropping-particle" : "", "parse-names" : false, "suffix" : "" }, { "dropping-particle" : "", "family" : "Morton", "given" : "D L", "non-dropping-particle" : "", "parse-names" : false, "suffix" : "" } ], "container-title" : "Journal of the American College of Surgeons", "id" : "ITEM-1", "issue" : "3", "issued" : { "date-parts" : [ [ "1999", "9" ] ] }, "page" : "247-52", "title" : "Lymphatic mapping and sentinel lymphadenectomy after wide local excision of primary melanoma.", "type" : "article-journal", "volume" : "189" }, "uris" : [ "http://www.mendeley.com/documents/?uuid=a85c1231-f378-4d15-b529-77aec2be786f" ] }, { "id" : "ITEM-2", "itemData" : { "ISSN" : "1068-9265", "PMID" : "10622508", "abstract" : "BACKGROUND: Initially, the technique of sentinel node biopsy involved the use of blue dye alone and was later supplemented with the use of an intraoperative probe after radiocolloid injection near the melanoma site. Ideally, it should be done before wide excision. To our knowledge, there is no information in the literature regarding the applicability or reliability of this technique after wide excision.\n\nMETHODS: We conducted a retrospective review of 142 patients (1993-1999) with melanomas &gt; or =1.0 mm or Clark's level &gt; or =IV. Of these, 116 patients had prior biopsy only, and 26 had wide excision. The mean melanoma thickness was 2.5 mm. The location of the primary lesion was in the upper extremity in 42 patients, the lower extremity in 33, the trunk in 49, and the head and neck area in 18.\n\nRESULTS: The sentinel node was identified in 88 (93%) of 95 nodal basins using the blue dye alone and in 65 (98.5%) of 66 basins using dye plus probe. The sentinel node was positive in 35 (25%) of the 142 patients and 38 (24%) of the 161 nodal basins. In a mean follow-up of 30 months of 115 basins with negative sentinel nodes, 3 (3%) later developed a palpable positive node in the same basin. In the group of dye alone, the sentinel node was identified in 40 (100%) of 40 extremity primaries and in 48 (87%) of 55 trunk and head and neck primary lesions (P = .02). Nine (35%) of the 26 patients with previous wide excision (25 with primary closure or skin graft, 1 with flap rotation) and 10 (32%) of 31 of nodal basins had a positive node; in 8 of the 9 patients, the positive node was also the sentinel node. The only patient with a positive node incidentally removed along with a histologically negative sentinel node was the one with a previous wide excision and flap rotation.\n\nCONCLUSIONS: Previous wide excision of the melanoma does not appear to negate the reliability of sentinel node biopsy, provided that no flap rotation was used to cover the defect.", "author" : [ { "dropping-particle" : "", "family" : "Karakousis", "given" : "C P", "non-dropping-particle" : "", "parse-names" : false, "suffix" : "" }, { "dropping-particle" : "", "family" : "Grigoropoulos", "given" : "P", "non-dropping-particle" : "", "parse-names" : false, "suffix" : "" } ], "container-title" : "Annals of surgical oncology", "id" : "ITEM-2", "issue" : "8", "issued" : { "date-parts" : [ [ "1999", "12" ] ] }, "page" : "785-9", "title" : "Sentinel node biopsy before and after wide excision of the primary melanoma.", "type" : "article-journal", "volume" : "6" }, "uris" : [ "http://www.mendeley.com/documents/?uuid=1781e9b6-97ec-4a8b-b612-8de700c3e9aa" ] }, { "id" : "ITEM-3", "itemData" : { "ISSN" : "1068-9265", "PMID" : "12734091", "abstract" : "BACKGROUND: Patients have traditionally been considered candidates for sentinel node biopsy (SNBx) only at the time of wide local excision (WLE). We hypothesized that patients with prior WLE may also be staged accurately with SNBx.\n\nMETHODS: Seventy-six patients, including 18 patients from the University of Virginia and 58 from a multicenter study of SNBx led by investigators at the University of Vermont, who had previous WLE for clinically localized melanoma underwent lymphoscintigraphy with SNBx. Median follow-up time was 38 months.\n\nRESULTS: Intraoperative identification of at least 1 sentinel node was accomplished in 75 patients (98.6%). The mean number of sentinel nodes removed per patient was 2.0. Eleven patients (15%) had positive sentinel nodes. Among the 64 patients with negative SNBx, 3 (4%) developed nodal recurrences in a sentinel node-negative basin simultaneous with systemic metastasis, and 1 (1%) developed an isolated first recurrence in a lymph node.\n\nCONCLUSIONS: This multicenter study more than doubles the published experience with SNBx after WLE and provides much-needed outcome data on recurrence after SNBx in these patients. These outcomes compare favorably with the reported literature for patients with SNBx at the time of WLE, suggesting that accurate staging of the regional lymph node bed is possible in patients after WLE.", "author" : [ { "dropping-particle" : "", "family" : "Evans", "given" : "Heather L", "non-dropping-particle" : "", "parse-names" : false, "suffix" : "" }, { "dropping-particle" : "", "family" : "Krag", "given" : "David N", "non-dropping-particle" : "", "parse-names" : false, "suffix" : "" }, { "dropping-particle" : "", "family" : "Teates", "given" : "C David", "non-dropping-particle" : "", "parse-names" : false, "suffix" : "" }, { "dropping-particle" : "", "family" : "Patterson", "given" : "James W", "non-dropping-particle" : "", "parse-names" : false, "suffix" : "" }, { "dropping-particle" : "", "family" : "Meijer", "given" : "Sybren", "non-dropping-particle" : "", "parse-names" : false, "suffix" : "" }, { "dropping-particle" : "", "family" : "Harlow", "given" : "Seth P", "non-dropping-particle" : "", "parse-names" : false, "suffix" : "" }, { "dropping-particle" : "", "family" : "Tanabe", "given" : "Kenneth K", "non-dropping-particle" : "", "parse-names" : false, "suffix" : "" }, { "dropping-particle" : "", "family" : "Loggie", "given" : "Brian W", "non-dropping-particle" : "", "parse-names" : false, "suffix" : "" }, { "dropping-particle" : "", "family" : "Whitworth", "given" : "Patrick W", "non-dropping-particle" : "", "parse-names" : false, "suffix" : "" }, { "dropping-particle" : "", "family" : "Kusminsky", "given" : "Roberto E", "non-dropping-particle" : "", "parse-names" : false, "suffix" : "" }, { "dropping-particle" : "", "family" : "Carp", "given" : "Ned Z", "non-dropping-particle" : "", "parse-names" : false, "suffix" : "" }, { "dropping-particle" : "", "family" : "Gadd", "given" : "Michelle A", "non-dropping-particle" : "", "parse-names" : false, "suffix" : "" }, { "dropping-particle" : "", "family" : "Slingluff", "given" : "Craig L", "non-dropping-particle" : "", "parse-names" : false, "suffix" : "" } ], "container-title" : "Annals of surgical oncology", "id" : "ITEM-3", "issue" : "4", "issued" : { "date-parts" : [ [ "2003", "5" ] ] }, "page" : "416-25", "title" : "Lymphoscintigraphy and sentinel node biopsy accurately stage melanoma in patients presenting after wide local excision.", "type" : "article-journal", "volume" : "10" }, "uris" : [ "http://www.mendeley.com/documents/?uuid=16238263-8888-48ac-944f-0e5b8d64b243" ] }, { "id" : "ITEM-4", "itemData" : { "DOI" : "10.1002/cncr.22320", "ISSN" : "0008543X", "PMID" : "17063497", "abstract" : "BACKGROUND: Sentinel lymph node (SLN) status is the most important prognostic factor with respect to the survival of patients with primary cutaneous melanoma. However, lymphatic mapping and SLN biopsies (LM/SLNBs) performed in patients who have had a wide local excision (WLE) may not accurately reflect the pathologic status of the draining lymph node basins. The purpose of this study was to assess the feasibility and accuracy of LM/SLNB in patients who have had a previous WLE.\n\nMETHODS: A single-institution database was examined to identify patients who had a WLE before LM/SLNB and patients who had a concomitant LM/SLNB. Primary clinicopathologic features (age, tumor thickness, and ulceration), SLN identification rate, SLN pathologic status, and the incidence and sites of recurrences were compared between patients with and without prior WLE.\n\nRESULTS: Of the 1395 patients identified, 104 had WLE before LM/SLNB. The mean preoperative WLE radial margin was 1.4 cm (median, 1.0 cm). LM/SLNB was successful in 103 of 104 (99%) patients. Age, tumor thickness, incidence of ulceration, and incidence of SLN positivity in the group with prior WLE were similar to those of the cohort of patients who had concomitant LM/SLNB and WLE (n = 1291). In 97 (93%) of the 104 prior-WLE patients, the surgical defects were closed by either primary closure or skin graft; 7 patients (7%) had rotational flaps. The median follow-up of these 104 patients was 51 months. Among the prior-WLE group, 19 patients (18%) had a positive SLNB; of these 19 patients, 4 (21%) had recurrences (3 distant failures and 1 local and distant failure). There were no lymph node recurrences-in a mapped or unmapped basin-in these 104 patients with a negative or positive SLNB.\n\nCONCLUSIONS: SLNs can be successfully identified and accurately reflect the status of the regional lymph node basin in carefully selected melanoma patients with a previous WLE. Prior WLE does not appear to adversely impact the ability to detect lymphatic metastases, although the utility of LM/SLNB in patients who have undergone extensive reconstruction of the primary excision site remains to be defined. Because more extensive surgery may be required to accomplish accurate lymph node staging in patients who have undergone prior WLE-including the possible removal of SLNs from additional lymph node basins and an additional surgical procedure-to minimize morbidity and cost, concomitant WLE and LM/SLNB is strongly preferred whenever possible.", "author" : [ { "dropping-particle" : "", "family" : "Gannon", "given" : "Christopher J.", "non-dropping-particle" : "", "parse-names" : false, "suffix" : "" }, { "dropping-particle" : "", "family" : "Rousseau", "given" : "Dennis L.", "non-dropping-particle" : "", "parse-names" : false, "suffix" : "" }, { "dropping-particle" : "", "family" : "Ross", "given" : "Merrick I.", "non-dropping-particle" : "", "parse-names" : false, "suffix" : "" }, { "dropping-particle" : "", "family" : "Johnson", "given" : "Marcella M.", "non-dropping-particle" : "", "parse-names" : false, "suffix" : "" }, { "dropping-particle" : "", "family" : "Lee", "given" : "Jeffrey E.", "non-dropping-particle" : "", "parse-names" : false, "suffix" : "" }, { "dropping-particle" : "", "family" : "Mansfield", "given" : "Paul F.", "non-dropping-particle" : "", "parse-names" : false, "suffix" : "" }, { "dropping-particle" : "", "family" : "Cormier", "given" : "Janice N.", "non-dropping-particle" : "", "parse-names" : false, "suffix" : "" }, { "dropping-particle" : "", "family" : "Prieto", "given" : "Victor G.", "non-dropping-particle" : "", "parse-names" : false, "suffix" : "" }, { "dropping-particle" : "", "family" : "Gershenwald", "given" : "Jeffrey E.", "non-dropping-particle" : "", "parse-names" : false, "suffix" : "" } ], "container-title" : "Cancer", "id" : "ITEM-4", "issue" : "11", "issued" : { "date-parts" : [ [ "2006", "12", "1" ] ] }, "page" : "2647-2652", "title" : "Accuracy of lymphatic mapping and sentinel lymph node biopsy after previous wide local excision in patients with primary melanoma", "type" : "article-journal", "volume" : "107" }, "uris" : [ "http://www.mendeley.com/documents/?uuid=4475c5f4-5a34-414a-8943-24c2415b8f2e" ] }, { "id" : "ITEM-5", "itemData" : { "ISSN" : "0008-428X", "PMID" : "11764876", "abstract" : "OBJECTIVE: To document experience with sentinel lymph-node biopsy in patients who have already undergone a wide local excision for melanoma because in many centres previous wide excision has been a contraindication for sentinel lymph-node biopsy.\n\nDESIGN: A prospective cohort study.\n\nSETTING: A tertiary care academic cancer centre.\n\nPATIENTS: One hundred patients who presented with cutaneous melanoma (depth &gt;1 mm or Clark level IV) after having undergone wide local excision of the primary lesion that was not situated in the head or neck. The follow-up was 3 years.\n\nINTERVENTIONS: Sentinel lymph-node biopsy. Patients with truncal melanoma had preoperative lymphoscintigraphy to document the nodal basins at risk. Technetium-99m sulfur colloid (0.5-1 mCi in 0.5 mL) was injected intradermally around the scar, and the sentinel lymph node was excised with the aid of a hand-held gamma detector.\n\nOUTCOME MEASURES: Accuracy of the biopsy and false-negative rates in this setting.\n\nRESULTS: Of the 100 patients, 44 had truncal and 56 had extremity lesions. The average tumour depth was 3.47 mm and 3.07 mm respectively. Thirty-one patients had a sentinel lymph node positive for melanoma metastasis. Biopsies were positive for melanoma in 18 (41%) truncal lesions and 13 (23%) extremity lesions. There were 3 (9%) false-negative sentinel lymph-node biopsies as diagnosed by clinically evident nodal disease subsequently appearing in the nodal basin subjected to biopsy. Two occurred in patients after large rotation flap closures of truncal lesions. The third patient had a subungual melanoma of the great toe. No disease was found in the 2 nodes dissected. Two of the 3 false-negative biopsy results were obtained before serial sections and immunohistochemical staining were used to examine the sentinel lymph nodes.\n\nCONCLUSIONS: Sentinel lymph-node biopsies can successfully identify clinically occult nodal metastases in patients who have had previous wide local excision of a melanoma, but the false-negative rate in patients with rotation flap closures should be taken into consideration.", "author" : [ { "dropping-particle" : "", "family" : "McCready", "given" : "D R", "non-dropping-particle" : "", "parse-names" : false, "suffix" : "" }, { "dropping-particle" : "", "family" : "Ghazarian", "given" : "D M", "non-dropping-particle" : "", "parse-names" : false, "suffix" : "" }, { "dropping-particle" : "", "family" : "Hershkop", "given" : "M S", "non-dropping-particle" : "", "parse-names" : false, "suffix" : "" }, { "dropping-particle" : "", "family" : "Walker", "given" : "J A", "non-dropping-particle" : "", "parse-names" : false, "suffix" : "" }, { "dropping-particle" : "", "family" : "Ambus", "given" : "U", "non-dropping-particle" : "", "parse-names" : false, "suffix" : "" }, { "dropping-particle" : "", "family" : "Quirt", "given" : "I C", "non-dropping-particle" : "", "parse-names" : false, "suffix" : "" } ], "container-title" : "Canadian journal of surgery. Journal canadien de chirurgie", "id" : "ITEM-5", "issue" : "6", "issued" : { "date-parts" : [ [ "2001", "12" ] ] }, "page" : "432-4", "title" : "Sentinel lymph-node biopsy after previous wide local excision for melanoma.", "type" : "article-journal", "volume" : "44" }, "uris" : [ "http://www.mendeley.com/documents/?uuid=d9cffed5-aab0-4111-93aa-600397adaea0" ] }, { "id" : "ITEM-6", "itemData" : { "DOI" : "10.1002/jso.10205", "ISSN" : "0022-4790", "PMID" : "12619055", "abstract" : "BACKGROUND AND OBJECTIVES: The role of sentinel lymph node biopsy (SLNB) in patients with a previous wide local excision (WLE) was examined with case-control methodology.\n\nMETHODS: A total of 168 consecutive cases of SLNB were performed in patients with truncal and extremity melanoma with tumor thickness of &gt; or = 1 mm between October 1997 and June 2000 and were followed prospectively. For comparison, 65 of the 103 SLNB patients referred to us after their WLE (cases) were matched by tumor thickness to 65 patients who had SLNB with concurrent WLE (controls). Radiocolloid (technetium-99m sulfur colloid) was used in all cases; in addition, vital blue dye (patent blue) was used in the control group. The two groups were followed for a median of 15.4 months.\n\nRESULTS: SLNs were identified in all patients with an average of 2.1 (cases) and 2.0 (controls) SLNs excised per patient (P = 0.77). Twenty one (32.3%) of those having SLNB after previous WLE (cases) and 23 (35.4%) of those with concurrent WLE and SLNB (controls) were found to have metastatic disease in the SLN. The only false-negative in this group was detected in clinical follow-up in a patient whose truncal WLE was previously closed with a rotation flap (case). There was no significant difference in relapse-free survival (P = 0.209) and overall survival (P = 0.692) between groups.\n\nCONCLUSIONS: SLNB is feasible in patients with previous WLE for extremity and truncal melanoma. Similar rates of sentinel positivity are found when compared with those in whom their WLE was done concurrently.", "author" : [ { "dropping-particle" : "", "family" : "Leong", "given" : "Wey L", "non-dropping-particle" : "", "parse-names" : false, "suffix" : "" }, { "dropping-particle" : "", "family" : "Ghazarian", "given" : "Danny M", "non-dropping-particle" : "", "parse-names" : false, "suffix" : "" }, { "dropping-particle" : "", "family" : "McCready", "given" : "David R", "non-dropping-particle" : "", "parse-names" : false, "suffix" : "" } ], "container-title" : "Journal of surgical oncology", "id" : "ITEM-6", "issue" : "3", "issued" : { "date-parts" : [ [ "2003", "3" ] ] }, "page" : "143-6", "title" : "Previous wide local excision of primary melanoma is not a contraindication for sentinel lymph node biopsy of the trunk and extremity.", "type" : "article-journal", "volume" : "82" }, "uris" : [ "http://www.mendeley.com/documents/?uuid=482701c4-9821-4b80-883a-df25ce8471a3" ] }, { "id" : "ITEM-7", "itemData" : { "ISSN" : "1068-9265", "PMID" : "12620917", "abstract" : "BACKGROUND: Harvesting the sentinel lymph node (SLN) is important in the management of patients with primary cutaneous melanoma. Selective sentinel lymphadenectomy (SSL) is generally performed at the time of wide local excision (WLE). The aim of our study was to determine whether delayed SSL is useful in detecting micrometastasis to the regional basin in patients with previous WLE of an extremity melanoma.\n\nMETHODS: Of 203 patients with a primary melanoma site located on the upper or lower extremity seen at the University of California, San Francisco/Mount Zion Melanoma Center from May 17, 1994, to March 23, 1999, 24 patients had a WLE of their extremity melanoma with adequate margins before referral. SSL was performed to assess micrometastasis in the regional lymph node basin after preoperative lymphoscintigraphy.\n\nRESULTS: At least 1 SLN was identified in all 24 patients. At a median follow-up of 3 years, two patients showed micrometastasis in the SLNs. One of these two patients developed recurrence, and all remaining patients showed no evidence of disease.\n\nCONCLUSIONS: Although it is generally advised that WLE should be performed simultaneously with SSL, delayed SSL after WLE of an extremity melanoma can still provide valuable staging information, which is critical for management of the patient.", "author" : [ { "dropping-particle" : "", "family" : "Leong", "given" : "Stanley P L", "non-dropping-particle" : "", "parse-names" : false, "suffix" : "" }, { "dropping-particle" : "", "family" : "Thelmo", "given" : "Marylou C", "non-dropping-particle" : "", "parse-names" : false, "suffix" : "" }, { "dropping-particle" : "", "family" : "Kim", "given" : "Robert P", "non-dropping-particle" : "", "parse-names" : false, "suffix" : "" }, { "dropping-particle" : "", "family" : "Gokhale", "given" : "Rahul", "non-dropping-particle" : "", "parse-names" : false, "suffix" : "" }, { "dropping-particle" : "", "family" : "Rhee", "given" : "Jennifer Y", "non-dropping-particle" : "", "parse-names" : false, "suffix" : "" }, { "dropping-particle" : "", "family" : "Achtem", "given" : "Theodore A", "non-dropping-particle" : "", "parse-names" : false, "suffix" : "" }, { "dropping-particle" : "", "family" : "Morita", "given" : "Eugene", "non-dropping-particle" : "", "parse-names" : false, "suffix" : "" }, { "dropping-particle" : "", "family" : "Allen", "given" : "Robert E", "non-dropping-particle" : "", "parse-names" : false, "suffix" : "" }, { "dropping-particle" : "", "family" : "Kashani-Sabet", "given" : "Mohammed", "non-dropping-particle" : "", "parse-names" : false, "suffix" : "" }, { "dropping-particle" : "", "family" : "Sagebiel", "given" : "Richard W", "non-dropping-particle" : "", "parse-names" : false, "suffix" : "" } ], "container-title" : "Annals of surgical oncology", "id" : "ITEM-7", "issue" : "2", "issued" : { "date-parts" : [ [ "2003", "3" ] ] }, "page" : "196-200", "title" : "Delayed harvesting of sentinel lymph nodes after previous wide local excision of extremity melanoma.", "type" : "article-journal", "volume" : "10" }, "uris" : [ "http://www.mendeley.com/documents/?uuid=ffe458a4-010e-4500-ac0d-ee3229732f4c" ] } ], "mendeley" : { "formattedCitation" : "&lt;sup&gt;195\u2013201&lt;/sup&gt;", "plainTextFormattedCitation" : "195\u2013201", "previouslyFormattedCitation" : "&lt;sup&gt;195\u2013201&lt;/sup&gt;" }, "properties" : { "noteIndex" : 0 }, "schema" : "https://github.com/citation-style-language/schema/raw/master/csl-citation.json" }</w:instrText>
      </w:r>
      <w:r w:rsidRPr="003E73CD">
        <w:rPr>
          <w:sz w:val="22"/>
          <w:szCs w:val="22"/>
        </w:rPr>
        <w:fldChar w:fldCharType="separate"/>
      </w:r>
      <w:r w:rsidR="00217FAC" w:rsidRPr="00217FAC">
        <w:rPr>
          <w:noProof/>
          <w:sz w:val="22"/>
          <w:szCs w:val="22"/>
          <w:vertAlign w:val="superscript"/>
        </w:rPr>
        <w:t>195–201</w:t>
      </w:r>
      <w:r w:rsidRPr="003E73CD">
        <w:rPr>
          <w:sz w:val="22"/>
          <w:szCs w:val="22"/>
        </w:rPr>
        <w:fldChar w:fldCharType="end"/>
      </w:r>
      <w:proofErr w:type="gramStart"/>
      <w:r w:rsidRPr="003E73CD">
        <w:rPr>
          <w:sz w:val="22"/>
          <w:szCs w:val="22"/>
        </w:rPr>
        <w:t xml:space="preserve">  Postponing</w:t>
      </w:r>
      <w:proofErr w:type="gramEnd"/>
      <w:r w:rsidRPr="003E73CD">
        <w:rPr>
          <w:sz w:val="22"/>
          <w:szCs w:val="22"/>
        </w:rPr>
        <w:t xml:space="preserve"> surgery to repeat lymphoscintigraphy results in wasted operating theatre time, but more importantly causes disruption and anxiety for the patient, especially if the primary tumour has not been completely excised.  The repeat lymphoscintigram may also fail to demonstrate drainage to lymph nodes.  In order to determine the most appropriate course of action for the individual patient several factors should be considered.  These include whether or not the primary lesion has been completely excised, the likelihood of the primary tumour lying directly over the nodal basin that contains the sentinel nodes, and the possibility of technical factors related to lymphoscintigraphy that could have produced an inaccurate result.  When the primary tumour has not been completely excised then it would seem sensible that this should take priority and wide local excision should go ahead with or without blue dye injection and an attempt at sentinel node biopsy.  For primary tumours located directly over nodal basins</w:t>
      </w:r>
      <w:r w:rsidR="00E02D2D" w:rsidRPr="003E73CD">
        <w:rPr>
          <w:sz w:val="22"/>
          <w:szCs w:val="22"/>
        </w:rPr>
        <w:t>, SPECT CT can be considered and</w:t>
      </w:r>
      <w:r w:rsidRPr="003E73CD">
        <w:rPr>
          <w:sz w:val="22"/>
          <w:szCs w:val="22"/>
        </w:rPr>
        <w:t xml:space="preserve"> blue dye can be injected as usual and wide excision performed.  Once the primary site radioactivity is removed, the gamma probe can be used to examine the underlying nodal basin and any blue lymphatic channels can be followed to sentinel nodes whose uptake of tracer had previously been obscured by primary site activity.  These cases can be described as “apparent non-localization” in contrast to “true non-localization” where no evidence can be found for movement of tracer via the lymphatics.  True non-localization should be suspected when the primary site was not overlying a known lymphatic basin and early scanning failed to demonstrate any lymphatic channels.  The risk of non-localization appears to be higher for primary tumour sites on the scalp and cheek.  Both sites have a rich lymphatic and vascular network.  A case of true non-localizat</w:t>
      </w:r>
      <w:r w:rsidR="002B3EC6">
        <w:rPr>
          <w:sz w:val="22"/>
          <w:szCs w:val="22"/>
        </w:rPr>
        <w:t>ion is demonstrated in Figure 1.3.6</w:t>
      </w:r>
      <w:r w:rsidRPr="003E73CD">
        <w:rPr>
          <w:sz w:val="22"/>
          <w:szCs w:val="22"/>
        </w:rPr>
        <w:t>.  The excision biopsy site on the anterior scalp was injected with tracer and uptake was seen only in a distribution corresponding to the vasculature of the upper body.  Stadelmann et al. performed repeat lymphoscintigrams in 2 of 5 patients whose initial lymphoscintigrams had failed to demonstrate lymphatic uptake of tracer.</w:t>
      </w:r>
      <w:r w:rsidRPr="003E73CD">
        <w:rPr>
          <w:sz w:val="22"/>
          <w:szCs w:val="22"/>
        </w:rPr>
        <w:fldChar w:fldCharType="begin" w:fldLock="1"/>
      </w:r>
      <w:r w:rsidR="005676A9">
        <w:rPr>
          <w:sz w:val="22"/>
          <w:szCs w:val="22"/>
        </w:rPr>
        <w:instrText>ADDIN CSL_CITATION { "citationItems" : [ { "id" : "ITEM-1", "itemData" : { "ISSN" : "0148-7043", "PMID" : "15166975", "abstract" : "INTRODUCTION: Lymphatic drainage pathways in the head and neck region are more variable than in any other location of the body. Occasionally, head and neck lymphoscintograms fail to identify a definitive lymphatic drainage pattern, making preoperative and intraoperative identification of sentinel nodes very difficult. The purpose of this study was to determine the incidence of nonlocalization on lymphoscintigraphy of sentinel nodes in patients with head and neck cutaneous malignancies.\n\nMETHODS: A retrospective chart review was conducted of a single surgeon's (WKS) 135 consecutive head and neck melanoma and Merkel cell cancer patients from August 1997 to August 2002. In all cases. technetium-99m sulfur colloid was the radioactive tracer used by the nuclear medicine department to perform the lymphoscintograms.\n\nRESULTS: Of the 135 patients, 74 underwent preoperative lymphoscintigraphy in preparation for performing a sentinel lymph node biopsy. Of these 74 patients, 5 (6.8%) were found to have nonlocalization of a sentinel node(s). Of the 5 patients who failed to localize, 3 had primary lesions near the midline scalp, while 2 had primary lesions located on the cheek. Two of the 5 patients underwent reinjection of the radioisotope by the treating surgeon (WKS) but failed to further localize the radiotracer. All 5 patients went on to have wide local excision of the primary cancer on the day of the lymphoscintogram, as well as undergoing intraoperative examination of all head and neck nodal basins with a handheld gamma detector. No focal areas of radiation were identified and no lymph nodes were biopsied. To date, 1 patient has developed distant metastases and has succumbed to her disease. The remaining 4 patients are free of disease.\n\nCONCLUSION: In a series of 135 consecutive patients with head and neck cutaneous malignancies, 74 of whom were treated with preoperative lymphoscintograms, a nonlocalization rate of 6.8% was found. This is a significant rate of nonlocalization and reflects either the inherent difficulty in imaging the head and neck region and/or the possible rapid rate of dye washout via multiple lymphatic drainage pathways that exist in this location.", "author" : [ { "dropping-particle" : "", "family" : "Stadelmann", "given" : "Wayne K", "non-dropping-particle" : "", "parse-names" : false, "suffix" : "" }, { "dropping-particle" : "", "family" : "Cobbins", "given" : "Lorri", "non-dropping-particle" : "", "parse-names" : false, "suffix" : "" }, { "dropping-particle" : "", "family" : "Lentsch", "given" : "Eric J", "non-dropping-particle" : "", "parse-names" : false, "suffix" : "" } ], "container-title" : "Annals of plastic surgery", "id" : "ITEM-1", "issue" : "6", "issued" : { "date-parts" : [ [ "2004", "6" ] ] }, "page" : "546-9; discussion 550", "title" : "Incidence of nonlocalization of sentinel lymph nodes using preoperative lymphoscintigraphy in 74 consecutive head and neck melanoma and Merkel cell carcinoma patients.", "type" : "article-journal", "volume" : "52" }, "uris" : [ "http://www.mendeley.com/documents/?uuid=6d86aa98-f6e6-4172-b4da-f7a8944baf98" ] } ], "mendeley" : { "formattedCitation" : "&lt;sup&gt;208&lt;/sup&gt;", "plainTextFormattedCitation" : "208", "previouslyFormattedCitation" : "&lt;sup&gt;208&lt;/sup&gt;" }, "properties" : { "noteIndex" : 0 }, "schema" : "https://github.com/citation-style-language/schema/raw/master/csl-citation.json" }</w:instrText>
      </w:r>
      <w:r w:rsidRPr="003E73CD">
        <w:rPr>
          <w:sz w:val="22"/>
          <w:szCs w:val="22"/>
        </w:rPr>
        <w:fldChar w:fldCharType="separate"/>
      </w:r>
      <w:r w:rsidR="00217FAC" w:rsidRPr="00217FAC">
        <w:rPr>
          <w:noProof/>
          <w:sz w:val="22"/>
          <w:szCs w:val="22"/>
          <w:vertAlign w:val="superscript"/>
        </w:rPr>
        <w:t>208</w:t>
      </w:r>
      <w:r w:rsidRPr="003E73CD">
        <w:rPr>
          <w:sz w:val="22"/>
          <w:szCs w:val="22"/>
        </w:rPr>
        <w:fldChar w:fldCharType="end"/>
      </w:r>
      <w:proofErr w:type="gramStart"/>
      <w:r w:rsidRPr="003E73CD">
        <w:rPr>
          <w:sz w:val="22"/>
          <w:szCs w:val="22"/>
        </w:rPr>
        <w:t xml:space="preserve">  They</w:t>
      </w:r>
      <w:proofErr w:type="gramEnd"/>
      <w:r w:rsidRPr="003E73CD">
        <w:rPr>
          <w:sz w:val="22"/>
          <w:szCs w:val="22"/>
        </w:rPr>
        <w:t xml:space="preserve"> found that the repeat lymphoscintigrams produced the same result.</w:t>
      </w:r>
    </w:p>
    <w:p w14:paraId="4A3CC9FF" w14:textId="0AEA84D9" w:rsidR="0061482C" w:rsidRPr="003E73CD" w:rsidRDefault="0061482C" w:rsidP="0061482C">
      <w:pPr>
        <w:spacing w:line="480" w:lineRule="auto"/>
        <w:ind w:firstLine="720"/>
        <w:rPr>
          <w:sz w:val="22"/>
          <w:szCs w:val="22"/>
        </w:rPr>
      </w:pPr>
      <w:r w:rsidRPr="003E73CD">
        <w:rPr>
          <w:sz w:val="22"/>
          <w:szCs w:val="22"/>
        </w:rPr>
        <w:t>For all cases, the possibility of inadvertent intravascular injection, systemic uptake, or a problem with the tracer should be considered.  Using the technique of four intradermal injections around the primary site, the likelihood of four consecutive inadvertent intravascular injections and no lymphatic uptake is minimal.  The mechanism for apparent systemic uptake into the venous system that is occasionally seen is as yet unknown.  Rapid lymphatic uptake and passage through the regional nodal basin(s) has been suggested by some as an explanation, but is not scientifically plausible because once tracer is taken up by lymph nodes it typically remains detectable within them for at least 24 hours.</w:t>
      </w:r>
      <w:r w:rsidRPr="003E73CD">
        <w:rPr>
          <w:sz w:val="22"/>
          <w:szCs w:val="22"/>
        </w:rPr>
        <w:fldChar w:fldCharType="begin" w:fldLock="1"/>
      </w:r>
      <w:r w:rsidR="001C6CB8">
        <w:rPr>
          <w:sz w:val="22"/>
          <w:szCs w:val="22"/>
        </w:rPr>
        <w:instrText>ADDIN CSL_CITATION { "citationItems" : [ { "id" : "ITEM-1", "itemData" : { "ISSN" : "0960-8931", "PMID" : "9464623", "abstract" : "For patients with melanoma the 'sentinel' lymph node biopsy technique, although simple in concept, has the potential to provide misleading information if great care is not taken to ensure accurate sentinel node (SN) identification. The method initially reported involved lymphatic mapping by injection of blue dye around the primary melanoma site. Preoperative lymphoscintigraphy was subsequently shown to improve both the speed and accuracy of SN identification. More recently, intraoperative use of a hand-held gamma probe has been recommended, and it is likely that maximum reliability of SN biopsy will be achieved if all three manoeuvres are undertaken. As originally described, use of a gamma probe intraoperatively followed injection of tracer a short time before the surgical procedure. We report a simpler method of confirming SN identity with a gamma probe, using residual activity in the node following lymphoscintigraphy the previous day. In 21 patients close concordance with preoperative lymphoscintigram results and intraoperative findings after blue dye injection confirmed the reliability of the technique. Avoiding the need for repeat isotope administration on the day of surgery simplifies logistics, reduces costs, minimizes inconvenience and radiation dose for patients, and eliminates potential health and safety problems for operating theatre staff.", "author" : [ { "dropping-particle" : "", "family" : "Thompson", "given" : "J F", "non-dropping-particle" : "", "parse-names" : false, "suffix" : "" }, { "dropping-particle" : "", "family" : "Niewind", "given" : "P", "non-dropping-particle" : "", "parse-names" : false, "suffix" : "" }, { "dropping-particle" : "", "family" : "Uren", "given" : "R F", "non-dropping-particle" : "", "parse-names" : false, "suffix" : "" }, { "dropping-particle" : "", "family" : "Bosch", "given" : "C M", "non-dropping-particle" : "", "parse-names" : false, "suffix" : "" }, { "dropping-particle" : "", "family" : "Howman-Giles", "given" : "R", "non-dropping-particle" : "", "parse-names" : false, "suffix" : "" }, { "dropping-particle" : "", "family" : "Vrouenraets", "given" : "B C", "non-dropping-particle" : "", "parse-names" : false, "suffix" : "" } ], "container-title" : "Melanoma research", "id" : "ITEM-1", "issue" : "6", "issued" : { "date-parts" : [ [ "1997", "12" ] ] }, "page" : "500-6", "title" : "Single-dose isotope injection for both preoperative lymphoscintigraphy and intraoperative sentinel lymph node identification in melanoma patients.", "type" : "article-journal", "volume" : "7" }, "uris" : [ "http://www.mendeley.com/documents/?uuid=4b258767-3438-462e-962a-686ffdd8509e" ] } ], "mendeley" : { "formattedCitation" : "&lt;sup&gt;114&lt;/sup&gt;", "plainTextFormattedCitation" : "114", "previouslyFormattedCitation" : "&lt;sup&gt;114&lt;/sup&gt;"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114</w:t>
      </w:r>
      <w:r w:rsidRPr="003E73CD">
        <w:rPr>
          <w:sz w:val="22"/>
          <w:szCs w:val="22"/>
        </w:rPr>
        <w:fldChar w:fldCharType="end"/>
      </w:r>
      <w:proofErr w:type="gramStart"/>
      <w:r w:rsidRPr="003E73CD">
        <w:rPr>
          <w:sz w:val="22"/>
          <w:szCs w:val="22"/>
        </w:rPr>
        <w:t xml:space="preserve">  The</w:t>
      </w:r>
      <w:proofErr w:type="gramEnd"/>
      <w:r w:rsidRPr="003E73CD">
        <w:rPr>
          <w:sz w:val="22"/>
          <w:szCs w:val="22"/>
        </w:rPr>
        <w:t xml:space="preserve"> possibility that the sentinel nodes lie in an unpredicted nodal basin that has not been imaged should always be considered, but routine imaging of all possible draining nodal basins at the time of lymphoscintigraphy should virtually eliminate this error.  The observation of systemic uptake in the absence of lymphatic uptake could be explained on the basis of findings from anatomical studies on lymphatics that have demonstrated connections between lymphatics and veins.  The existence of such connections between afferent lymphatics from the primary tumour site and veins in the region could allow tracer, and lymph containing malignant cells, to enter the systemic circulation without ever passing through a lymph node.  This could thus explain not only cases of true non-localization but also why some patients develop distant metastases in the absence of regional nodal metastases.  There could therefore be two groups of patients: those in whom there is no direct pathway from the afferent lymphatics to the vascular system and so all lymph is filtered by lymph nodes and those in whom a lymphaticovenous connection allows passage of lymph directly from a tumour site to the bloodstream.  The former group could </w:t>
      </w:r>
      <w:r w:rsidR="00E02D2D" w:rsidRPr="003E73CD">
        <w:rPr>
          <w:sz w:val="22"/>
          <w:szCs w:val="22"/>
        </w:rPr>
        <w:t xml:space="preserve">demonstrate patterns of metastasis that </w:t>
      </w:r>
      <w:r w:rsidRPr="003E73CD">
        <w:rPr>
          <w:sz w:val="22"/>
          <w:szCs w:val="22"/>
        </w:rPr>
        <w:t xml:space="preserve">conform to either the “incubator” or the “marker” theory of metastasis, whereas those with a direct route to the vascular system could only be expected to conform to the “marker” theory, as nodal metastases could only occur due to tumour cells circulating within the bloodstream becoming trapped within lymph nodes.  These lymph nodes would not be sentinel nodes and this mechanism could </w:t>
      </w:r>
      <w:r w:rsidR="00B76B1C" w:rsidRPr="003E73CD">
        <w:rPr>
          <w:sz w:val="22"/>
          <w:szCs w:val="22"/>
        </w:rPr>
        <w:t>therefore explain some cases of false-</w:t>
      </w:r>
      <w:r w:rsidRPr="003E73CD">
        <w:rPr>
          <w:sz w:val="22"/>
          <w:szCs w:val="22"/>
        </w:rPr>
        <w:t xml:space="preserve">negative sentinel node biopsy.  </w:t>
      </w:r>
    </w:p>
    <w:p w14:paraId="191E1E05" w14:textId="19F302AD" w:rsidR="0061482C" w:rsidRPr="003E73CD" w:rsidRDefault="0061482C" w:rsidP="0061482C">
      <w:pPr>
        <w:spacing w:line="480" w:lineRule="auto"/>
        <w:ind w:firstLine="720"/>
        <w:rPr>
          <w:sz w:val="22"/>
          <w:szCs w:val="22"/>
        </w:rPr>
      </w:pPr>
      <w:r w:rsidRPr="003E73CD">
        <w:rPr>
          <w:sz w:val="22"/>
          <w:szCs w:val="22"/>
        </w:rPr>
        <w:t>It has been suggested that a sentinel node that is grossly involved by metastatic disease or another unrelated disease process may be non-functioning and therefore fail to demonstrate any uptake of tracer.  For this reason, the surgeon should have no hesitation in excising an apparently non-sentinel node that appears abnormal at operation.  However, Kamath et al performed lymphoscintigraphy in 8 patients with a grossly involved nodal basi</w:t>
      </w:r>
      <w:r w:rsidR="00B76B1C" w:rsidRPr="003E73CD">
        <w:rPr>
          <w:sz w:val="22"/>
          <w:szCs w:val="22"/>
        </w:rPr>
        <w:t>n and found that</w:t>
      </w:r>
      <w:r w:rsidRPr="003E73CD">
        <w:rPr>
          <w:sz w:val="22"/>
          <w:szCs w:val="22"/>
        </w:rPr>
        <w:t xml:space="preserve"> 14 of 16 sentinel nodes contained tumour with the sentinel node being the grossly palpable node in each case.</w:t>
      </w:r>
      <w:r w:rsidRPr="003E73CD">
        <w:rPr>
          <w:sz w:val="22"/>
          <w:szCs w:val="22"/>
        </w:rPr>
        <w:fldChar w:fldCharType="begin" w:fldLock="1"/>
      </w:r>
      <w:r w:rsidR="005676A9">
        <w:rPr>
          <w:sz w:val="22"/>
          <w:szCs w:val="22"/>
        </w:rPr>
        <w:instrText>ADDIN CSL_CITATION { "citationItems" : [ { "id" : "ITEM-1", "itemData" : { "ISSN" : "1068-9265", "PMID" : "10379854", "abstract" : "BACKGROUND: The development of lymphatic mapping techniques has facilitated the identification of the sentinel lymph node (SLN), the first node in the regional basin into which cutaneous lymphatics flow from a particular skin area. Previous studies have shown that SLN histology reflects the histology of the entire basin, because melanoma metastases progress in an orderly fashion, involving the SLN before higher nodes in the basin become involved with metastatic disease. It is uncertain whether these orderly cutaneous lymphatic flow patterns are maintained in grossly involved basins. Lymphatic mapping was performed in a population of melanoma patients with clinically palpable lymphadenopathy to address this question. We aimed to determine whether the presence of gross nodal disease in the basin alters lymphatic flow into that basin so that lymphatic mapping techniques are not applicable, and, in patients referred with a grossly involved basin, whether preoperative lymphoscintigraphy should be performed to identify other regional basins at risk for metastases.\n\nMETHODS: Eight patients presented with grossly palpable disease in the regional basin and underwent preoperative lymphoscintigraphy. All patients with palpable disease and all basins indicated by lymphoscintigraphy to be at risk were dissected. Three patients presented with clinically palpable nodes at the time of diagnosis, and five developed nodal disease on clinical follow-up after undergoing initial wide local excision only. A total of 10 basins in the eight patients were dissected. Of these, eight of the basins had grossly palpable regional nodal disease, and the other two basins were identified by preoperative lymphoscintigraphy as being at risk for metastases. The SLN was identified with intraoperative mapping, harvested, and submitted to pathology. Complete therapeutic lymph node dissections were performed following the SLN harvest in the basins with grossly palpable disease. SLN biopsy alone was performed in the two basins that did not have clinically palpable adenopathy but showed cutaneous lymphatic flow from the scintigram.\n\nRESULTS: Sixteen SLNs were harvested from these eight basins with grossly palpable disease, and 14 (87.5%) contained tumor. In each case, one of the SLNs was the grossly palpable node, and in six of the basins (75%) it was the only site of melanoma metastases. An additional 190 higher level, non-SLNs were removed, 32 (16.8%) of which contained microscopic foci of me\u2026", "author" : [ { "dropping-particle" : "", "family" : "Kamath", "given" : "D", "non-dropping-particle" : "", "parse-names" : false, "suffix" : "" }, { "dropping-particle" : "", "family" : "Brobeil", "given" : "A", "non-dropping-particle" : "", "parse-names" : false, "suffix" : "" }, { "dropping-particle" : "", "family" : "Stall", "given" : "A", "non-dropping-particle" : "", "parse-names" : false, "suffix" : "" }, { "dropping-particle" : "", "family" : "Lyman", "given" : "G", "non-dropping-particle" : "", "parse-names" : false, "suffix" : "" }, { "dropping-particle" : "", "family" : "Cruse", "given" : "C W", "non-dropping-particle" : "", "parse-names" : false, "suffix" : "" }, { "dropping-particle" : "", "family" : "Glass", "given" : "F", "non-dropping-particle" : "", "parse-names" : false, "suffix" : "" }, { "dropping-particle" : "", "family" : "Fenske", "given" : "N", "non-dropping-particle" : "", "parse-names" : false, "suffix" : "" }, { "dropping-particle" : "", "family" : "Messina", "given" : "J", "non-dropping-particle" : "", "parse-names" : false, "suffix" : "" }, { "dropping-particle" : "", "family" : "Berman", "given" : "C", "non-dropping-particle" : "", "parse-names" : false, "suffix" : "" }, { "dropping-particle" : "", "family" : "Reintgen", "given" : "D", "non-dropping-particle" : "", "parse-names" : false, "suffix" : "" } ], "container-title" : "Annals of surgical oncology", "id" : "ITEM-1", "issue" : "4", "issued" : { "date-parts" : [ [ "1999", "6" ] ] }, "page" : "345-9", "title" : "Cutaneous lymphatic drainage in patients with grossly involved nodal basins.", "type" : "article-journal", "volume" : "6" }, "uris" : [ "http://www.mendeley.com/documents/?uuid=7e043db5-f238-45c2-92a8-9491b9f6b8df" ] } ], "mendeley" : { "formattedCitation" : "&lt;sup&gt;209&lt;/sup&gt;", "plainTextFormattedCitation" : "209", "previouslyFormattedCitation" : "&lt;sup&gt;209&lt;/sup&gt;" }, "properties" : { "noteIndex" : 0 }, "schema" : "https://github.com/citation-style-language/schema/raw/master/csl-citation.json" }</w:instrText>
      </w:r>
      <w:r w:rsidRPr="003E73CD">
        <w:rPr>
          <w:sz w:val="22"/>
          <w:szCs w:val="22"/>
        </w:rPr>
        <w:fldChar w:fldCharType="separate"/>
      </w:r>
      <w:r w:rsidR="00217FAC" w:rsidRPr="00217FAC">
        <w:rPr>
          <w:noProof/>
          <w:sz w:val="22"/>
          <w:szCs w:val="22"/>
          <w:vertAlign w:val="superscript"/>
        </w:rPr>
        <w:t>209</w:t>
      </w:r>
      <w:r w:rsidRPr="003E73CD">
        <w:rPr>
          <w:sz w:val="22"/>
          <w:szCs w:val="22"/>
        </w:rPr>
        <w:fldChar w:fldCharType="end"/>
      </w:r>
      <w:proofErr w:type="gramStart"/>
      <w:r w:rsidRPr="003E73CD">
        <w:rPr>
          <w:sz w:val="22"/>
          <w:szCs w:val="22"/>
        </w:rPr>
        <w:t xml:space="preserve">  It</w:t>
      </w:r>
      <w:proofErr w:type="gramEnd"/>
      <w:r w:rsidRPr="003E73CD">
        <w:rPr>
          <w:sz w:val="22"/>
          <w:szCs w:val="22"/>
        </w:rPr>
        <w:t xml:space="preserve"> therefore seems that if grossly involved nodes remained capable of uptake of radioactive colloid then impalpable, grossly normal nodes are most unlikely to be non-functioning. </w:t>
      </w:r>
    </w:p>
    <w:p w14:paraId="33726C40" w14:textId="77777777" w:rsidR="0061482C" w:rsidRPr="003E73CD" w:rsidRDefault="0061482C" w:rsidP="0061482C">
      <w:pPr>
        <w:pStyle w:val="Heading1"/>
        <w:rPr>
          <w:rFonts w:ascii="Cambria" w:hAnsi="Cambria"/>
          <w:szCs w:val="22"/>
        </w:rPr>
      </w:pPr>
    </w:p>
    <w:p w14:paraId="47AFA333" w14:textId="77777777" w:rsidR="0061482C" w:rsidRPr="003E73CD" w:rsidRDefault="0061482C" w:rsidP="0061482C">
      <w:pPr>
        <w:pStyle w:val="Heading1"/>
        <w:rPr>
          <w:rFonts w:ascii="Cambria" w:hAnsi="Cambria"/>
          <w:szCs w:val="22"/>
        </w:rPr>
      </w:pPr>
      <w:r w:rsidRPr="003E73CD">
        <w:rPr>
          <w:rFonts w:ascii="Cambria" w:hAnsi="Cambria"/>
          <w:szCs w:val="22"/>
        </w:rPr>
        <w:t>Conclusions</w:t>
      </w:r>
    </w:p>
    <w:p w14:paraId="3814AE19" w14:textId="20457222" w:rsidR="0061482C" w:rsidRPr="003E73CD" w:rsidRDefault="0061482C" w:rsidP="0061482C">
      <w:pPr>
        <w:spacing w:line="480" w:lineRule="auto"/>
        <w:ind w:firstLine="720"/>
        <w:rPr>
          <w:sz w:val="22"/>
          <w:szCs w:val="22"/>
        </w:rPr>
      </w:pPr>
      <w:r w:rsidRPr="003E73CD">
        <w:rPr>
          <w:sz w:val="22"/>
          <w:szCs w:val="22"/>
        </w:rPr>
        <w:t xml:space="preserve">In this section potential factors that could affect the accuracy of lymphoscintigraphy have been identified by systematic analysis of the process.  The available literature that supports or rejects each factor as a possible source of inaccuracy has been reviewed and clinical examples have been provided to support the factors identified and highlight some of the potential pitfalls for those involved in either performing or interpreting lymphoscintigrams.  The aim of sentinel node biopsy is to accurately identify, remove and histologically analyse all lymph nodes that receive direct lymphatic drainage from the primary tumour site so that all cases in which occult metastasis has occurred are identified.  This review highlights that the success of the procedure is dependent on the accuracy and quality of each individual step in the process.  Lymphoscintigraphy is the first component in the sentinel node biopsy procedure and so inaccuracy at this stage will jeopardise the whole procedure.  An awareness of the potential situations in which individual steps can result in inaccuracy should allow their identification and in some cases action can be taken to avoid inaccuracy, thus preventing it from translating to inaccuracy of the </w:t>
      </w:r>
      <w:r w:rsidR="006D5E83" w:rsidRPr="003E73CD">
        <w:rPr>
          <w:sz w:val="22"/>
          <w:szCs w:val="22"/>
        </w:rPr>
        <w:t xml:space="preserve">sentinel node procedure itself.  The </w:t>
      </w:r>
      <w:r w:rsidR="00450640" w:rsidRPr="003E73CD">
        <w:rPr>
          <w:sz w:val="22"/>
          <w:szCs w:val="22"/>
        </w:rPr>
        <w:t>European Association of Nuclear Medicine have recently produced guidelines for lymphoscintigraphy and sentinel lymph node biopsy in melanoma which should lead to increased standardization of the procedure and avoidance of some of the common pitfalls.</w:t>
      </w:r>
      <w:r w:rsidR="00450640" w:rsidRPr="003E73CD">
        <w:rPr>
          <w:sz w:val="22"/>
          <w:szCs w:val="22"/>
        </w:rPr>
        <w:fldChar w:fldCharType="begin" w:fldLock="1"/>
      </w:r>
      <w:r w:rsidR="005676A9">
        <w:rPr>
          <w:sz w:val="22"/>
          <w:szCs w:val="22"/>
        </w:rPr>
        <w:instrText>ADDIN CSL_CITATION { "citationItems" : [ { "id" : "ITEM-1", "itemData" : { "DOI" : "10.1007/s00259-015-3135-1", "ISSN" : "1619-7089", "PMID" : "26205952", "abstract" : "PURPOSE: Sentinel lymph node biopsy is an essential staging tool in patients with clinically localized melanoma. The harvesting of a sentinel lymph node entails a sequence of procedures with participation of specialists in nuclear medicine, radiology, surgery and pathology. The aim of this document is to provide guidelines for nuclear medicine physicians performing lymphoscintigraphy for sentinel lymph node detection in patients with melanoma.\n\nMETHODS: These practice guidelines were written and have been approved by the European Association of Nuclear Medicine (EANM) to promote high-quality lymphoscintigraphy. The final result has been discussed by distinguished experts from the EANM Oncology Committee, national nuclear medicine societies, the European Society of Surgical Oncology (ESSO) and the European Association for Research and Treatment of Cancer (EORTC) melanoma group. The document has been endorsed by the Society of Nuclear Medicine and Molecular Imaging (SNMMI).\n\nCONCLUSION: The present practice guidelines will help nuclear medicine practitioners play their essential role in providing high-quality lymphatic mapping for the care of melanoma patients.", "author" : [ { "dropping-particle" : "", "family" : "Bluemel", "given" : "Christina", "non-dropping-particle" : "", "parse-names" : false, "suffix" : "" }, { "dropping-particle" : "", "family" : "Herrmann", "given" : "Ken", "non-dropping-particle" : "", "parse-names" : false, "suffix" : "" }, { "dropping-particle" : "", "family" : "Giammarile", "given" : "Francesco", "non-dropping-particle" : "", "parse-names" : false, "suffix" : "" }, { "dropping-particle" : "", "family" : "Nieweg", "given" : "Omgo E", "non-dropping-particle" : "", "parse-names" : false, "suffix" : "" }, { "dropping-particle" : "", "family" : "Dubreuil", "given" : "Julien", "non-dropping-particle" : "", "parse-names" : false, "suffix" : "" }, { "dropping-particle" : "", "family" : "Testori", "given" : "Alessandro", "non-dropping-particle" : "", "parse-names" : false, "suffix" : "" }, { "dropping-particle" : "", "family" : "Audisio", "given" : "Riccardo A", "non-dropping-particle" : "", "parse-names" : false, "suffix" : "" }, { "dropping-particle" : "", "family" : "Zoras", "given" : "Odysseas", "non-dropping-particle" : "", "parse-names" : false, "suffix" : "" }, { "dropping-particle" : "", "family" : "Lassmann", "given" : "Michael", "non-dropping-particle" : "", "parse-names" : false, "suffix" : "" }, { "dropping-particle" : "", "family" : "Chakera", "given" : "Annette H", "non-dropping-particle" : "", "parse-names" : false, "suffix" : "" }, { "dropping-particle" : "", "family" : "Uren", "given" : "Roger", "non-dropping-particle" : "", "parse-names" : false, "suffix" : "" }, { "dropping-particle" : "", "family" : "Chondrogiannis", "given" : "Sotirios", "non-dropping-particle" : "", "parse-names" : false, "suffix" : "" }, { "dropping-particle" : "", "family" : "Colletti", "given" : "Patrick M", "non-dropping-particle" : "", "parse-names" : false, "suffix" : "" }, { "dropping-particle" : "", "family" : "Rubello", "given" : "Domenico", "non-dropping-particle" : "", "parse-names" : false, "suffix" : "" } ], "container-title" : "European journal of nuclear medicine and molecular imaging", "id" : "ITEM-1", "issue" : "11", "issued" : { "date-parts" : [ [ "2015", "10" ] ] }, "page" : "1750-66", "title" : "EANM practice guidelines for lymphoscintigraphy and sentinel lymph node biopsy in melanoma.", "type" : "article-journal", "volume" : "42" }, "uris" : [ "http://www.mendeley.com/documents/?uuid=ac06e546-a22a-4552-82cc-e02611d81f0a" ] } ], "mendeley" : { "formattedCitation" : "&lt;sup&gt;210&lt;/sup&gt;", "plainTextFormattedCitation" : "210", "previouslyFormattedCitation" : "&lt;sup&gt;210&lt;/sup&gt;" }, "properties" : { "noteIndex" : 0 }, "schema" : "https://github.com/citation-style-language/schema/raw/master/csl-citation.json" }</w:instrText>
      </w:r>
      <w:r w:rsidR="00450640" w:rsidRPr="003E73CD">
        <w:rPr>
          <w:sz w:val="22"/>
          <w:szCs w:val="22"/>
        </w:rPr>
        <w:fldChar w:fldCharType="separate"/>
      </w:r>
      <w:r w:rsidR="00217FAC" w:rsidRPr="00217FAC">
        <w:rPr>
          <w:noProof/>
          <w:sz w:val="22"/>
          <w:szCs w:val="22"/>
          <w:vertAlign w:val="superscript"/>
        </w:rPr>
        <w:t>210</w:t>
      </w:r>
      <w:r w:rsidR="00450640" w:rsidRPr="003E73CD">
        <w:rPr>
          <w:sz w:val="22"/>
          <w:szCs w:val="22"/>
        </w:rPr>
        <w:fldChar w:fldCharType="end"/>
      </w:r>
    </w:p>
    <w:p w14:paraId="0C67D55E" w14:textId="77777777" w:rsidR="0061482C" w:rsidRPr="003E73CD" w:rsidRDefault="0061482C" w:rsidP="0061482C">
      <w:pPr>
        <w:spacing w:line="480" w:lineRule="auto"/>
        <w:rPr>
          <w:sz w:val="22"/>
          <w:szCs w:val="22"/>
        </w:rPr>
      </w:pPr>
    </w:p>
    <w:p w14:paraId="06713A4A" w14:textId="77777777" w:rsidR="0061482C" w:rsidRPr="003E73CD" w:rsidRDefault="0061482C" w:rsidP="0061482C">
      <w:pPr>
        <w:spacing w:line="480" w:lineRule="auto"/>
        <w:rPr>
          <w:sz w:val="22"/>
          <w:szCs w:val="22"/>
        </w:rPr>
      </w:pPr>
    </w:p>
    <w:p w14:paraId="40D5D2C5" w14:textId="77777777" w:rsidR="0061482C" w:rsidRPr="003E73CD" w:rsidRDefault="0061482C" w:rsidP="0061482C">
      <w:pPr>
        <w:spacing w:line="480" w:lineRule="auto"/>
        <w:rPr>
          <w:sz w:val="22"/>
          <w:szCs w:val="22"/>
        </w:rPr>
      </w:pPr>
    </w:p>
    <w:p w14:paraId="4EB09437" w14:textId="77777777" w:rsidR="009F3345" w:rsidRDefault="0061482C"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r w:rsidRPr="003E73CD">
        <w:rPr>
          <w:sz w:val="22"/>
          <w:szCs w:val="22"/>
        </w:rPr>
        <w:br w:type="page"/>
      </w:r>
    </w:p>
    <w:p w14:paraId="6732D479"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240E25A3"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4DC6A579"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58C6E2D4"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60F8D0FB"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44761196"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008D909F"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51F1D12B" w14:textId="2141ABAD"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r>
        <w:rPr>
          <w:sz w:val="48"/>
          <w:szCs w:val="48"/>
        </w:rPr>
        <w:t>Section 2</w:t>
      </w:r>
    </w:p>
    <w:p w14:paraId="44F23B4F"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1BDA1F17"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19E78395"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61AFB6E1"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2D07C815"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1E938826"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1CDAEE54"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15F5BBCC"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0F324C31"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17A1A76E"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2FA0E035"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49C62267"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51229864"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373D1F67"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0F682E37" w14:textId="6F63C34B" w:rsidR="009F3345" w:rsidRPr="009F3345" w:rsidRDefault="009F3345" w:rsidP="009F3345">
      <w:pPr>
        <w:pBdr>
          <w:top w:val="single" w:sz="4" w:space="1" w:color="auto" w:shadow="1"/>
          <w:left w:val="single" w:sz="4" w:space="4" w:color="auto" w:shadow="1"/>
          <w:bottom w:val="single" w:sz="4" w:space="1" w:color="auto" w:shadow="1"/>
          <w:right w:val="single" w:sz="4" w:space="4" w:color="auto" w:shadow="1"/>
        </w:pBdr>
        <w:rPr>
          <w:b/>
          <w:sz w:val="48"/>
          <w:szCs w:val="48"/>
          <w:bdr w:val="single" w:sz="4" w:space="0" w:color="auto" w:shadow="1"/>
        </w:rPr>
      </w:pPr>
      <w:r>
        <w:rPr>
          <w:sz w:val="22"/>
          <w:szCs w:val="22"/>
        </w:rPr>
        <w:br w:type="page"/>
      </w:r>
    </w:p>
    <w:p w14:paraId="59B9C919" w14:textId="57771B89" w:rsidR="00DD5F0C" w:rsidRPr="003E73CD" w:rsidRDefault="00DD5F0C" w:rsidP="00DD5F0C">
      <w:pPr>
        <w:spacing w:line="480" w:lineRule="auto"/>
        <w:rPr>
          <w:sz w:val="22"/>
          <w:szCs w:val="22"/>
        </w:rPr>
      </w:pPr>
      <w:r w:rsidRPr="003E73CD">
        <w:rPr>
          <w:b/>
          <w:sz w:val="28"/>
          <w:szCs w:val="28"/>
        </w:rPr>
        <w:t xml:space="preserve">Section 2 – </w:t>
      </w:r>
      <w:proofErr w:type="gramStart"/>
      <w:r w:rsidRPr="003E73CD">
        <w:rPr>
          <w:b/>
          <w:sz w:val="28"/>
          <w:szCs w:val="28"/>
        </w:rPr>
        <w:t>Lymphatic mapping</w:t>
      </w:r>
      <w:proofErr w:type="gramEnd"/>
      <w:r w:rsidRPr="003E73CD">
        <w:rPr>
          <w:b/>
          <w:sz w:val="28"/>
          <w:szCs w:val="28"/>
        </w:rPr>
        <w:t xml:space="preserve"> studies</w:t>
      </w:r>
    </w:p>
    <w:p w14:paraId="47649FA5" w14:textId="77777777" w:rsidR="00DD5F0C" w:rsidRPr="003E73CD" w:rsidRDefault="00DD5F0C" w:rsidP="00DD5F0C">
      <w:pPr>
        <w:spacing w:line="480" w:lineRule="auto"/>
        <w:rPr>
          <w:sz w:val="22"/>
          <w:szCs w:val="22"/>
        </w:rPr>
      </w:pPr>
      <w:r w:rsidRPr="003E73CD">
        <w:rPr>
          <w:sz w:val="22"/>
          <w:szCs w:val="22"/>
        </w:rPr>
        <w:tab/>
      </w:r>
    </w:p>
    <w:p w14:paraId="7A4D556E" w14:textId="77777777" w:rsidR="00DD5F0C" w:rsidRPr="003E73CD" w:rsidRDefault="00DD5F0C" w:rsidP="00DD5F0C">
      <w:pPr>
        <w:spacing w:line="480" w:lineRule="auto"/>
        <w:ind w:firstLine="720"/>
        <w:rPr>
          <w:sz w:val="22"/>
          <w:szCs w:val="22"/>
        </w:rPr>
      </w:pPr>
      <w:r w:rsidRPr="003E73CD">
        <w:rPr>
          <w:sz w:val="22"/>
          <w:szCs w:val="22"/>
        </w:rPr>
        <w:t>This section addresses the following questions:</w:t>
      </w:r>
    </w:p>
    <w:p w14:paraId="5BE3E5DF" w14:textId="6C48AA22" w:rsidR="00DD5F0C" w:rsidRPr="003E73CD" w:rsidRDefault="00DD5F0C" w:rsidP="00DD5F0C">
      <w:pPr>
        <w:spacing w:line="480" w:lineRule="auto"/>
        <w:rPr>
          <w:sz w:val="22"/>
          <w:szCs w:val="22"/>
        </w:rPr>
      </w:pPr>
      <w:r w:rsidRPr="003E73CD">
        <w:rPr>
          <w:sz w:val="22"/>
          <w:szCs w:val="22"/>
        </w:rPr>
        <w:t>- How frequently does non-l</w:t>
      </w:r>
      <w:r w:rsidR="002B3EC6">
        <w:rPr>
          <w:sz w:val="22"/>
          <w:szCs w:val="22"/>
        </w:rPr>
        <w:t>ocalization occur? – Section 2.1</w:t>
      </w:r>
    </w:p>
    <w:p w14:paraId="50F689DB" w14:textId="4801E94A" w:rsidR="00DD5F0C" w:rsidRPr="003E73CD" w:rsidRDefault="00DD5F0C" w:rsidP="00DD5F0C">
      <w:pPr>
        <w:spacing w:line="480" w:lineRule="auto"/>
        <w:rPr>
          <w:sz w:val="22"/>
          <w:szCs w:val="22"/>
        </w:rPr>
      </w:pPr>
      <w:r w:rsidRPr="003E73CD">
        <w:rPr>
          <w:sz w:val="22"/>
          <w:szCs w:val="22"/>
        </w:rPr>
        <w:t>- What are the types and causes of n</w:t>
      </w:r>
      <w:r w:rsidR="002B3EC6">
        <w:rPr>
          <w:sz w:val="22"/>
          <w:szCs w:val="22"/>
        </w:rPr>
        <w:t>on-localization? – Section 2.1</w:t>
      </w:r>
    </w:p>
    <w:p w14:paraId="1D137B57" w14:textId="499270CB" w:rsidR="00DD5F0C" w:rsidRPr="003E73CD" w:rsidRDefault="00DD5F0C" w:rsidP="00DD5F0C">
      <w:pPr>
        <w:spacing w:line="480" w:lineRule="auto"/>
        <w:rPr>
          <w:sz w:val="22"/>
          <w:szCs w:val="22"/>
        </w:rPr>
      </w:pPr>
      <w:r w:rsidRPr="003E73CD">
        <w:rPr>
          <w:sz w:val="22"/>
          <w:szCs w:val="22"/>
        </w:rPr>
        <w:t>- What is the likely effect of non-localization on the outcome of sen</w:t>
      </w:r>
      <w:r w:rsidR="002B3EC6">
        <w:rPr>
          <w:sz w:val="22"/>
          <w:szCs w:val="22"/>
        </w:rPr>
        <w:t>tinel node biopsy? – Section 2.1</w:t>
      </w:r>
    </w:p>
    <w:p w14:paraId="0F6F77D9" w14:textId="015D7ED5" w:rsidR="00DD5F0C" w:rsidRPr="003E73CD" w:rsidRDefault="00DD5F0C" w:rsidP="00DD5F0C">
      <w:pPr>
        <w:spacing w:line="480" w:lineRule="auto"/>
        <w:rPr>
          <w:sz w:val="22"/>
          <w:szCs w:val="22"/>
        </w:rPr>
      </w:pPr>
      <w:r w:rsidRPr="003E73CD">
        <w:rPr>
          <w:sz w:val="22"/>
          <w:szCs w:val="22"/>
        </w:rPr>
        <w:t xml:space="preserve">- Can </w:t>
      </w:r>
      <w:proofErr w:type="gramStart"/>
      <w:r w:rsidRPr="003E73CD">
        <w:rPr>
          <w:sz w:val="22"/>
          <w:szCs w:val="22"/>
        </w:rPr>
        <w:t>the unpredictability of lymphatic drainage patterns from the head and neck be reduced by examining drainage patterns from smaller subdivisions of</w:t>
      </w:r>
      <w:proofErr w:type="gramEnd"/>
      <w:r w:rsidRPr="003E73CD">
        <w:rPr>
          <w:sz w:val="22"/>
          <w:szCs w:val="22"/>
        </w:rPr>
        <w:t xml:space="preserve"> </w:t>
      </w:r>
      <w:r w:rsidR="002B3EC6">
        <w:rPr>
          <w:sz w:val="22"/>
          <w:szCs w:val="22"/>
        </w:rPr>
        <w:t>the head and neck? – Section 2.2</w:t>
      </w:r>
    </w:p>
    <w:p w14:paraId="42557EFF" w14:textId="3627E181" w:rsidR="00DD5F0C" w:rsidRPr="003E73CD" w:rsidRDefault="00DD5F0C" w:rsidP="00DD5F0C">
      <w:pPr>
        <w:spacing w:line="480" w:lineRule="auto"/>
        <w:rPr>
          <w:sz w:val="22"/>
          <w:szCs w:val="22"/>
        </w:rPr>
      </w:pPr>
      <w:r w:rsidRPr="003E73CD">
        <w:rPr>
          <w:sz w:val="22"/>
          <w:szCs w:val="22"/>
        </w:rPr>
        <w:t>- Can refinements be made to recommendations for selective neck dissections based on information on the patterns of lymphatic drainage from specific site</w:t>
      </w:r>
      <w:r w:rsidR="002B3EC6">
        <w:rPr>
          <w:sz w:val="22"/>
          <w:szCs w:val="22"/>
        </w:rPr>
        <w:t>s on the forehead? – Section 2.2</w:t>
      </w:r>
    </w:p>
    <w:p w14:paraId="64F5DB32" w14:textId="77777777" w:rsidR="00DD5F0C" w:rsidRPr="003E73CD" w:rsidRDefault="00DD5F0C" w:rsidP="00DD5F0C">
      <w:pPr>
        <w:spacing w:line="480" w:lineRule="auto"/>
        <w:rPr>
          <w:sz w:val="22"/>
          <w:szCs w:val="22"/>
        </w:rPr>
      </w:pPr>
      <w:r w:rsidRPr="003E73CD">
        <w:rPr>
          <w:sz w:val="22"/>
          <w:szCs w:val="22"/>
        </w:rPr>
        <w:tab/>
      </w:r>
    </w:p>
    <w:p w14:paraId="46E6EFD8" w14:textId="137D9A07" w:rsidR="00DD5F0C" w:rsidRPr="003E73CD" w:rsidRDefault="002B3EC6" w:rsidP="00DD5F0C">
      <w:pPr>
        <w:spacing w:line="480" w:lineRule="auto"/>
        <w:ind w:firstLine="720"/>
        <w:rPr>
          <w:sz w:val="22"/>
          <w:szCs w:val="22"/>
        </w:rPr>
      </w:pPr>
      <w:r>
        <w:rPr>
          <w:sz w:val="22"/>
          <w:szCs w:val="22"/>
        </w:rPr>
        <w:t>Section 2.2</w:t>
      </w:r>
      <w:r w:rsidR="00DD5F0C" w:rsidRPr="003E73CD">
        <w:rPr>
          <w:sz w:val="22"/>
          <w:szCs w:val="22"/>
        </w:rPr>
        <w:t xml:space="preserve"> is included (with permission) as it was when published in Journal of Plastic and Reconstructive Surgery in 2014.</w:t>
      </w:r>
    </w:p>
    <w:p w14:paraId="248C13C7" w14:textId="77777777" w:rsidR="00DD5F0C" w:rsidRPr="003E73CD" w:rsidRDefault="00DD5F0C" w:rsidP="00DD5F0C">
      <w:pPr>
        <w:spacing w:line="480" w:lineRule="auto"/>
        <w:rPr>
          <w:sz w:val="22"/>
          <w:szCs w:val="22"/>
        </w:rPr>
      </w:pPr>
      <w:r w:rsidRPr="003E73CD">
        <w:rPr>
          <w:sz w:val="22"/>
          <w:szCs w:val="22"/>
        </w:rPr>
        <w:tab/>
      </w:r>
    </w:p>
    <w:p w14:paraId="16AF2F64" w14:textId="77777777" w:rsidR="00DD5F0C" w:rsidRDefault="00DD5F0C">
      <w:pPr>
        <w:rPr>
          <w:sz w:val="22"/>
          <w:szCs w:val="22"/>
        </w:rPr>
      </w:pPr>
      <w:r>
        <w:rPr>
          <w:sz w:val="22"/>
          <w:szCs w:val="22"/>
        </w:rPr>
        <w:br w:type="page"/>
      </w:r>
    </w:p>
    <w:p w14:paraId="660397A5" w14:textId="6BB34F42" w:rsidR="0061482C" w:rsidRPr="003E73CD" w:rsidRDefault="002B3EC6" w:rsidP="0061482C">
      <w:pPr>
        <w:tabs>
          <w:tab w:val="left" w:pos="1134"/>
        </w:tabs>
        <w:spacing w:line="480" w:lineRule="auto"/>
        <w:rPr>
          <w:sz w:val="28"/>
          <w:szCs w:val="28"/>
        </w:rPr>
      </w:pPr>
      <w:r>
        <w:rPr>
          <w:sz w:val="28"/>
          <w:szCs w:val="28"/>
        </w:rPr>
        <w:t>Section 2.1</w:t>
      </w:r>
      <w:r w:rsidR="0061482C" w:rsidRPr="003E73CD">
        <w:rPr>
          <w:sz w:val="28"/>
          <w:szCs w:val="28"/>
        </w:rPr>
        <w:t>: Failure to identify sentinel nodes (non-localization) using lymphosc</w:t>
      </w:r>
      <w:r w:rsidR="00B33B9A" w:rsidRPr="003E73CD">
        <w:rPr>
          <w:sz w:val="28"/>
          <w:szCs w:val="28"/>
        </w:rPr>
        <w:t>intigraphy for cutaneous tumours</w:t>
      </w:r>
      <w:r w:rsidR="0061482C" w:rsidRPr="003E73CD">
        <w:rPr>
          <w:sz w:val="28"/>
          <w:szCs w:val="28"/>
        </w:rPr>
        <w:t>: Its frequency and causes.</w:t>
      </w:r>
    </w:p>
    <w:p w14:paraId="32DD8B1B" w14:textId="77777777" w:rsidR="0061482C" w:rsidRPr="003E73CD" w:rsidRDefault="0061482C" w:rsidP="0061482C">
      <w:pPr>
        <w:spacing w:line="480" w:lineRule="auto"/>
        <w:rPr>
          <w:sz w:val="22"/>
          <w:szCs w:val="22"/>
          <w:lang w:val="en-AU"/>
        </w:rPr>
      </w:pPr>
    </w:p>
    <w:p w14:paraId="782E4F71" w14:textId="77777777" w:rsidR="0061482C" w:rsidRPr="003E73CD" w:rsidRDefault="0061482C" w:rsidP="0061482C">
      <w:pPr>
        <w:spacing w:line="480" w:lineRule="auto"/>
        <w:rPr>
          <w:b/>
          <w:sz w:val="22"/>
          <w:szCs w:val="22"/>
        </w:rPr>
      </w:pPr>
      <w:r w:rsidRPr="003E73CD">
        <w:rPr>
          <w:b/>
          <w:sz w:val="22"/>
          <w:szCs w:val="22"/>
        </w:rPr>
        <w:t>Abstract</w:t>
      </w:r>
    </w:p>
    <w:p w14:paraId="23AA8A94" w14:textId="77777777" w:rsidR="0061482C" w:rsidRPr="003E73CD" w:rsidRDefault="0061482C" w:rsidP="0061482C">
      <w:pPr>
        <w:spacing w:line="480" w:lineRule="auto"/>
        <w:rPr>
          <w:sz w:val="22"/>
          <w:szCs w:val="22"/>
        </w:rPr>
      </w:pPr>
      <w:r w:rsidRPr="003E73CD">
        <w:rPr>
          <w:sz w:val="22"/>
          <w:szCs w:val="22"/>
        </w:rPr>
        <w:t>Aims: For patients with a primary melanoma and no evidence of metastatic disease, the presence or absence of micrometastases within the sentinel node(s) provides the most powerful prognostic information. Failure to identify any sentinel nodes using lymphoscintigraphy prior to sentinel node biopsy (non-localization) appears to be relatively uncommon.  However, when it does occur it creates a dilemma for the surgeon and their patient.  This study aimed to document the frequency of non-localization and to identify specific reasons why it might occur in order to guide management for future cases of non-localization.</w:t>
      </w:r>
    </w:p>
    <w:p w14:paraId="6093123A" w14:textId="77777777" w:rsidR="0061482C" w:rsidRPr="003E73CD" w:rsidRDefault="0061482C" w:rsidP="0061482C">
      <w:pPr>
        <w:spacing w:line="480" w:lineRule="auto"/>
        <w:rPr>
          <w:sz w:val="22"/>
          <w:szCs w:val="22"/>
        </w:rPr>
      </w:pPr>
    </w:p>
    <w:p w14:paraId="052F1956" w14:textId="77777777" w:rsidR="0061482C" w:rsidRPr="003E73CD" w:rsidRDefault="0061482C" w:rsidP="0061482C">
      <w:pPr>
        <w:spacing w:line="480" w:lineRule="auto"/>
        <w:rPr>
          <w:sz w:val="22"/>
          <w:szCs w:val="22"/>
        </w:rPr>
      </w:pPr>
      <w:r w:rsidRPr="003E73CD">
        <w:rPr>
          <w:sz w:val="22"/>
          <w:szCs w:val="22"/>
        </w:rPr>
        <w:t xml:space="preserve">Methods: Data were extracted from a </w:t>
      </w:r>
      <w:proofErr w:type="gramStart"/>
      <w:r w:rsidRPr="003E73CD">
        <w:rPr>
          <w:sz w:val="22"/>
          <w:szCs w:val="22"/>
        </w:rPr>
        <w:t>prospectively-maintained</w:t>
      </w:r>
      <w:proofErr w:type="gramEnd"/>
      <w:r w:rsidRPr="003E73CD">
        <w:rPr>
          <w:sz w:val="22"/>
          <w:szCs w:val="22"/>
        </w:rPr>
        <w:t xml:space="preserve"> database containing details of lymphoscintigrams performed on patients with cutaneous melanomas and merkel cell tumours between 1989 and 2007.  All patients in whom non-localization occurred using lymphoscintigraphy were identified.  The </w:t>
      </w:r>
      <w:proofErr w:type="gramStart"/>
      <w:r w:rsidRPr="003E73CD">
        <w:rPr>
          <w:sz w:val="22"/>
          <w:szCs w:val="22"/>
        </w:rPr>
        <w:t>prospectively-maintained</w:t>
      </w:r>
      <w:proofErr w:type="gramEnd"/>
      <w:r w:rsidRPr="003E73CD">
        <w:rPr>
          <w:sz w:val="22"/>
          <w:szCs w:val="22"/>
        </w:rPr>
        <w:t xml:space="preserve"> database of the Melanoma Institute of Australia (formerly Sydney Melanoma Unit) was then searched to obtain further information that might assist in identifying causes of non-localization in this group of patients.  </w:t>
      </w:r>
    </w:p>
    <w:p w14:paraId="7AEB98AF" w14:textId="77777777" w:rsidR="0061482C" w:rsidRPr="003E73CD" w:rsidRDefault="0061482C" w:rsidP="0061482C">
      <w:pPr>
        <w:spacing w:line="480" w:lineRule="auto"/>
        <w:rPr>
          <w:sz w:val="22"/>
          <w:szCs w:val="22"/>
        </w:rPr>
      </w:pPr>
    </w:p>
    <w:p w14:paraId="3B4D645D" w14:textId="77777777" w:rsidR="0061482C" w:rsidRPr="003E73CD" w:rsidRDefault="0061482C" w:rsidP="0061482C">
      <w:pPr>
        <w:spacing w:line="480" w:lineRule="auto"/>
        <w:rPr>
          <w:sz w:val="22"/>
          <w:szCs w:val="22"/>
          <w:lang w:val="en-AU"/>
        </w:rPr>
      </w:pPr>
      <w:r w:rsidRPr="003E73CD">
        <w:rPr>
          <w:sz w:val="22"/>
          <w:szCs w:val="22"/>
        </w:rPr>
        <w:t xml:space="preserve">Results: Non-localization occurred in 0.3% of patients (18/5600 patients).  </w:t>
      </w:r>
      <w:r w:rsidRPr="003E73CD">
        <w:rPr>
          <w:sz w:val="22"/>
          <w:szCs w:val="22"/>
          <w:lang w:val="en-AU"/>
        </w:rPr>
        <w:t>There were plausible patient-related or technical factors to account for non-localization in 14 out of 18 cases.  Of the 4 cases in which no patient-related or technical factors could be identified, 3 primary tumour sites were located near the midline at the scalp vertex and 1 was located on the cheek in the malar region.</w:t>
      </w:r>
    </w:p>
    <w:p w14:paraId="2310281E" w14:textId="77777777" w:rsidR="0061482C" w:rsidRPr="003E73CD" w:rsidRDefault="0061482C" w:rsidP="0061482C">
      <w:pPr>
        <w:spacing w:line="480" w:lineRule="auto"/>
        <w:rPr>
          <w:sz w:val="22"/>
          <w:szCs w:val="22"/>
        </w:rPr>
      </w:pPr>
    </w:p>
    <w:p w14:paraId="3DDFC2B1" w14:textId="77777777" w:rsidR="0061482C" w:rsidRPr="003E73CD" w:rsidRDefault="0061482C" w:rsidP="0061482C">
      <w:pPr>
        <w:spacing w:line="480" w:lineRule="auto"/>
        <w:rPr>
          <w:sz w:val="22"/>
          <w:szCs w:val="22"/>
        </w:rPr>
      </w:pPr>
      <w:r w:rsidRPr="003E73CD">
        <w:rPr>
          <w:sz w:val="22"/>
          <w:szCs w:val="22"/>
        </w:rPr>
        <w:t>Conclusion: Failure to identify any sentinel nodes for patients undergoing lymphoscintigraphy for cutaneous tumours is rare (0.3% of cases) and technical or patient-related factors can be identified in the majority of cases.  The midline scalp vertex and malar cheek regions appear to be locations where physiological non-localization can occur, possibly due to the presence of direct lymphaticovenous connections.</w:t>
      </w:r>
    </w:p>
    <w:p w14:paraId="4C3CD831" w14:textId="77777777" w:rsidR="0061482C" w:rsidRPr="003E73CD" w:rsidRDefault="0061482C" w:rsidP="0061482C">
      <w:pPr>
        <w:spacing w:line="480" w:lineRule="auto"/>
        <w:rPr>
          <w:sz w:val="22"/>
          <w:szCs w:val="22"/>
        </w:rPr>
      </w:pPr>
    </w:p>
    <w:p w14:paraId="553EAC1D" w14:textId="77777777" w:rsidR="0061482C" w:rsidRPr="003E73CD" w:rsidRDefault="0061482C" w:rsidP="0061482C">
      <w:pPr>
        <w:spacing w:line="480" w:lineRule="auto"/>
        <w:rPr>
          <w:sz w:val="22"/>
          <w:szCs w:val="22"/>
        </w:rPr>
      </w:pPr>
    </w:p>
    <w:p w14:paraId="605DA5FB" w14:textId="77777777" w:rsidR="0061482C" w:rsidRPr="003E73CD" w:rsidRDefault="0061482C" w:rsidP="0061482C">
      <w:pPr>
        <w:spacing w:line="480" w:lineRule="auto"/>
        <w:rPr>
          <w:sz w:val="22"/>
          <w:szCs w:val="22"/>
        </w:rPr>
      </w:pPr>
    </w:p>
    <w:p w14:paraId="03B57909" w14:textId="77777777" w:rsidR="0061482C" w:rsidRPr="003E73CD" w:rsidRDefault="0061482C" w:rsidP="0061482C">
      <w:pPr>
        <w:spacing w:line="480" w:lineRule="auto"/>
        <w:rPr>
          <w:sz w:val="22"/>
          <w:szCs w:val="22"/>
        </w:rPr>
      </w:pPr>
    </w:p>
    <w:p w14:paraId="63F1027E" w14:textId="77777777" w:rsidR="0061482C" w:rsidRPr="003E73CD" w:rsidRDefault="0061482C" w:rsidP="0061482C">
      <w:pPr>
        <w:spacing w:line="480" w:lineRule="auto"/>
        <w:rPr>
          <w:sz w:val="22"/>
          <w:szCs w:val="22"/>
        </w:rPr>
      </w:pPr>
    </w:p>
    <w:p w14:paraId="2FF98CC4" w14:textId="77777777" w:rsidR="0061482C" w:rsidRPr="003E73CD" w:rsidRDefault="0061482C" w:rsidP="0061482C">
      <w:pPr>
        <w:spacing w:line="480" w:lineRule="auto"/>
        <w:rPr>
          <w:sz w:val="22"/>
          <w:szCs w:val="22"/>
        </w:rPr>
      </w:pPr>
    </w:p>
    <w:p w14:paraId="139A11C0" w14:textId="77777777" w:rsidR="0061482C" w:rsidRPr="003E73CD" w:rsidRDefault="0061482C" w:rsidP="0061482C">
      <w:pPr>
        <w:pStyle w:val="Heading1"/>
        <w:rPr>
          <w:rFonts w:ascii="Cambria" w:hAnsi="Cambria"/>
          <w:szCs w:val="22"/>
        </w:rPr>
      </w:pPr>
      <w:r w:rsidRPr="003E73CD">
        <w:rPr>
          <w:rFonts w:ascii="Cambria" w:hAnsi="Cambria"/>
          <w:szCs w:val="22"/>
        </w:rPr>
        <w:br w:type="page"/>
        <w:t>Introduction</w:t>
      </w:r>
    </w:p>
    <w:p w14:paraId="18A79E5C" w14:textId="49A68DF4" w:rsidR="0061482C" w:rsidRPr="003E73CD" w:rsidRDefault="0061482C" w:rsidP="0061482C">
      <w:pPr>
        <w:spacing w:line="480" w:lineRule="auto"/>
        <w:ind w:firstLine="720"/>
        <w:rPr>
          <w:sz w:val="22"/>
          <w:szCs w:val="22"/>
        </w:rPr>
      </w:pPr>
      <w:r w:rsidRPr="003E73CD">
        <w:rPr>
          <w:sz w:val="22"/>
          <w:szCs w:val="22"/>
        </w:rPr>
        <w:t>The aim of sentinel node biopsy in any patient with melanoma or other cutaneous tumour is to detect and remove all lymph nodes that receive direct lymphatic drainage from the site of the primary tumour.  Lymphoscintigraphy plays a key role in this process by providing information on the location of the sentinel nodes, and is especially valuable when drainage occurs to distant nodal basins or to unexpected locations.</w:t>
      </w:r>
      <w:r w:rsidRPr="003E73CD">
        <w:rPr>
          <w:sz w:val="22"/>
          <w:szCs w:val="22"/>
        </w:rPr>
        <w:fldChar w:fldCharType="begin" w:fldLock="1"/>
      </w:r>
      <w:r w:rsidR="001C6CB8">
        <w:rPr>
          <w:sz w:val="22"/>
          <w:szCs w:val="22"/>
        </w:rPr>
        <w:instrText>ADDIN CSL_CITATION { "citationItems" : [ { "id" : "ITEM-1", "itemData" : { "ISSN" : "0960-7404", "PMID" : "8305972", "abstract" : "The initial draining lymph node (sentinel node) has been successfully localized using intraoperative vital dye mapping and reportedly is predictive of regional nodal metastases in Clinical- Stage 1 melanoma. In an animal model, we previously established the technique of gamma-probe-guided localization of the technetium-99 sulfur colloid labelled sentinel node and found its sensitivity equal to vital dye mapping. We now report our initial experience using gamma-probe-guided localization to identify and then surgically remove the first draining lymph node(s) in 10 malignant melanoma patients. Lymphoscintigraphy was used to confirm localization. We conclude that this technique: (a) reliably localizes the sentinel node draining the site of a primary melanoma, (b) allows the lymphatic bed to be checked intraoperatively verifying complete sentinel node biopsy, and (c) is relatively simple and can be performed under local anaesthesia.", "author" : [ { "dropping-particle" : "", "family" : "Alex", "given" : "J C", "non-dropping-particle" : "", "parse-names" : false, "suffix" : "" }, { "dropping-particle" : "", "family" : "Weaver", "given" : "D L", "non-dropping-particle" : "", "parse-names" : false, "suffix" : "" }, { "dropping-particle" : "", "family" : "Fairbank", "given" : "J T", "non-dropping-particle" : "", "parse-names" : false, "suffix" : "" }, { "dropping-particle" : "", "family" : "Rankin", "given" : "B S", "non-dropping-particle" : "", "parse-names" : false, "suffix" : "" }, { "dropping-particle" : "", "family" : "Krag", "given" : "D N", "non-dropping-particle" : "", "parse-names" : false, "suffix" : "" } ], "container-title" : "Surgical oncology", "id" : "ITEM-1", "issue" : "5", "issued" : { "date-parts" : [ [ "1993", "10" ] ] }, "page" : "303-8", "title" : "Gamma-probe-guided lymph node localization in malignant melanoma.", "type" : "article-journal", "volume" : "2" }, "uris" : [ "http://www.mendeley.com/documents/?uuid=a3ccc6bd-ed02-4255-a2c2-d1bc76401c5a" ] }, { "id" : "ITEM-2", "itemData" : { "ISSN" : "0161-5505", "PMID" : "8355060", "abstract" : "Lymphoscintigraphy was performed in 209 patients with high-risk melanoma of the trunk referred to the Sydney Melanoma Unit and considered for lymph node dissection. Lymphoscintigraphy accurately defined the draining lymph node groups and was 94% sensitive in detecting draining sites that contained metastases. When combined with the clinical finding of palpable lymph nodes, the sensitivity rose to 98%. Most patients showed lymph drainage to one or two node groups and only 22 patients showed drainage to 3 or more node groups. The major lymph channels could also be marked on the skin prior to incontinuity dissection. Most patients had multiple draining lymph channels and these often diverged significantly from each other in the path to the draining node group. The number and location of interval nodes could be determined and marked on the skin. These and the major lymph channels could thus be excised at the time of surgery. Unusual drainage patterns were sometimes seen; for example, three patients displayed a new lymph pathway with direct drainage from the back anteriorly to the para-aortic nodes. The location of the sentinel nodes in each draining lymph-node group could also be marked on the skin prior to surgery, enabling quick and accurate identification of this node, using the blue-dye technique if biopsy were to be performed. These findings lead us to recommend lymphoscintigraphy prior to wide local excision in patients with truncal melanoma who are candidates for surgery. Lymphoscintigraphy results will help plan surgery and lead to minimum surgical intervention, consistent with effective surgical management.", "author" : [ { "dropping-particle" : "", "family" : "Uren", "given" : "R F", "non-dropping-particle" : "", "parse-names" : false, "suffix" : "" }, { "dropping-particle" : "", "family" : "Howman-Giles", "given" : "R B", "non-dropping-particle" : "", "parse-names" : false, "suffix" : "" }, { "dropping-particle" : "", "family" : "Shaw", "given" : "H M", "non-dropping-particle" : "", "parse-names" : false, "suffix" : "" }, { "dropping-particle" : "", "family" : "Thompson", "given" : "J F", "non-dropping-particle" : "", "parse-names" : false, "suffix" : "" }, { "dropping-particle" : "", "family" : "McCarthy", "given" : "W H", "non-dropping-particle" : "", "parse-names" : false, "suffix" : "" } ], "container-title" : "Journal of nuclear medicine : official publication, Society of Nuclear Medicine", "id" : "ITEM-2", "issue" : "9", "issued" : { "date-parts" : [ [ "1993", "9" ] ] }, "page" : "1435-40", "title" : "Lymphoscintigraphy in high-risk melanoma of the trunk: predicting draining node groups, defining lymphatic channels and locating the sentinel node.", "type" : "article-journal", "volume" : "34" }, "uris" : [ "http://www.mendeley.com/documents/?uuid=274338cb-ae32-48f7-bdbd-96e8755842db" ] } ], "mendeley" : { "formattedCitation" : "&lt;sup&gt;99,112&lt;/sup&gt;", "plainTextFormattedCitation" : "99,112", "previouslyFormattedCitation" : "&lt;sup&gt;99,112&lt;/sup&gt;"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99,112</w:t>
      </w:r>
      <w:r w:rsidRPr="003E73CD">
        <w:rPr>
          <w:sz w:val="22"/>
          <w:szCs w:val="22"/>
        </w:rPr>
        <w:fldChar w:fldCharType="end"/>
      </w:r>
      <w:proofErr w:type="gramStart"/>
      <w:r w:rsidRPr="003E73CD">
        <w:rPr>
          <w:sz w:val="22"/>
          <w:szCs w:val="22"/>
        </w:rPr>
        <w:t xml:space="preserve">  It</w:t>
      </w:r>
      <w:proofErr w:type="gramEnd"/>
      <w:r w:rsidRPr="003E73CD">
        <w:rPr>
          <w:sz w:val="22"/>
          <w:szCs w:val="22"/>
        </w:rPr>
        <w:t xml:space="preserve"> has been established that the accuracy and success of sentinel node biopsy increase when pre-operative lymphoscintigraphy is performed.</w:t>
      </w:r>
      <w:r w:rsidRPr="003E73CD">
        <w:rPr>
          <w:sz w:val="22"/>
          <w:szCs w:val="22"/>
        </w:rPr>
        <w:fldChar w:fldCharType="begin" w:fldLock="1"/>
      </w:r>
      <w:r w:rsidR="001C6CB8">
        <w:rPr>
          <w:sz w:val="22"/>
          <w:szCs w:val="22"/>
        </w:rPr>
        <w:instrText>ADDIN CSL_CITATION { "citationItems" : [ { "id" : "ITEM-1", "itemData" : { "ISSN" : "0003-4932", "PMID" : "10522715", "abstract" : "OBJECTIVE: To evaluate the multicenter application of intraoperative lymphatic mapping, sentinel lymphadenectomy, and selective complete lymph node dissection (LM/SL/SCLND) for the management of early-stage melanoma.\n\nSUMMARY BACKGROUND DATA: The multidisciplinary technique of LM/SL/SCLND has been widely adopted, but not validated in a multicenter trial. The authors began the international Multicenter Selective Lymphadenectomy Trial (MSLT) 5 years ago to evaluate the survival of patients with early-stage primary melanoma after wide excision alone versus wide excision plus LM/SL/SCLND. This study examined the accuracy of LM/SL/SCLND in the MSLT, using the experience of the organizing center (John Wayne Cancer Institute [JWCI]) as a standard for comparison.\n\nMETHODS: Before entering patients into the randomization phase, each center in the MSLT was required to finish a 30-case learning phase with complete nuclear medicine, pathology, and surgical review. Selection of MSLT patients in the LM/SL/SCLND treatment arm was based on complete pathologic and surgical data. The comparison group of JWCI patients was selected using these criteria: primary cutaneous melanoma having a thickness &gt; or =1 mm with a Clark level &gt; or =III, or a thickness &lt;1 mm with a Clark level &gt; or =IV (MSLT criterion); LM/SL performed between June 1, 1985, and December 30, 1998; and patient not entered in the MSLT. The accuracy of LM/SL/SCLND was determined by comparing the rates of sentinel node (SN) identification and the incidence of SN metastases in the MSLT and JWCI groups.\n\nRESULTS: There were 551 patients in the MSLT group and 584 patients in the JWCI group. In both groups, LM performed with blue dye plus a radiocolloid was more successful (99.1 %) than LM performed with blue dye alone (95.2%) (p = 0.014). After a center had completed the 30-case learning phase, the success of SN identification in the MSLT group was independent of the center's case volume or experience in the MSLT.\n\nCONCLUSIONS: Lymphatic mapping and sentinel lymphadenectomy can be successfully learned and applied in a standardized fashion with high accuracy by centers worldwide. Successful SN identification rates of 97% can be achieved, and the incidence of nodal metastases approaches that of the organizing center. A multidisciplinary approach (surgery, nuclear medicine, and pathology) and a learning phase of &gt; or =30 consecutive cases per center are sufficient for mastery of LM/SL in cutaneous melanoma. Lymphati\u2026", "author" : [ { "dropping-particle" : "", "family" : "Morton", "given" : "D L", "non-dropping-particle" : "", "parse-names" : false, "suffix" : "" }, { "dropping-particle" : "", "family" : "Thompson", "given" : "J F", "non-dropping-particle" : "", "parse-names" : false, "suffix" : "" }, { "dropping-particle" : "", "family" : "Essner", "given" : "R", "non-dropping-particle" : "", "parse-names" : false, "suffix" : "" }, { "dropping-particle" : "", "family" : "Elashoff", "given" : "R", "non-dropping-particle" : "", "parse-names" : false, "suffix" : "" }, { "dropping-particle" : "", "family" : "Stern", "given" : "S L", "non-dropping-particle" : "", "parse-names" : false, "suffix" : "" }, { "dropping-particle" : "", "family" : "Nieweg", "given" : "O E", "non-dropping-particle" : "", "parse-names" : false, "suffix" : "" }, { "dropping-particle" : "", "family" : "Roses", "given" : "D F", "non-dropping-particle" : "", "parse-names" : false, "suffix" : "" }, { "dropping-particle" : "", "family" : "Karakousis", "given" : "C P", "non-dropping-particle" : "", "parse-names" : false, "suffix" : "" }, { "dropping-particle" : "", "family" : "Mozzillo", "given" : "N", "non-dropping-particle" : "", "parse-names" : false, "suffix" : "" }, { "dropping-particle" : "", "family" : "Reintgen", "given" : "D", "non-dropping-particle" : "", "parse-names" : false, "suffix" : "" }, { "dropping-particle" : "", "family" : "Wang", "given" : "H J", "non-dropping-particle" : "", "parse-names" : false, "suffix" : "" }, { "dropping-particle" : "", "family" : "Glass", "given" : "E C", "non-dropping-particle" : "", "parse-names" : false, "suffix" : "" }, { "dropping-particle" : "", "family" : "Cochran", "given" : "A J", "non-dropping-particle" : "", "parse-names" : false, "suffix" : "" } ], "container-title" : "Annals of surgery", "id" : "ITEM-1", "issue" : "4", "issued" : { "date-parts" : [ [ "1999", "10" ] ] }, "page" : "453-63; discussion 463-5", "title" : "Validation of the accuracy of intraoperative lymphatic mapping and sentinel lymphadenectomy for early-stage melanoma: a multicenter trial. Multicenter Selective Lymphadenectomy Trial Group.", "type" : "article-journal", "volume" : "230" }, "uris" : [ "http://www.mendeley.com/documents/?uuid=de224c39-9824-497f-80fc-721220f39b8d" ] } ], "mendeley" : { "formattedCitation" : "&lt;sup&gt;113&lt;/sup&gt;", "plainTextFormattedCitation" : "113", "previouslyFormattedCitation" : "&lt;sup&gt;113&lt;/sup&gt;"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113</w:t>
      </w:r>
      <w:r w:rsidRPr="003E73CD">
        <w:rPr>
          <w:sz w:val="22"/>
          <w:szCs w:val="22"/>
        </w:rPr>
        <w:fldChar w:fldCharType="end"/>
      </w:r>
      <w:proofErr w:type="gramStart"/>
      <w:r w:rsidRPr="003E73CD">
        <w:rPr>
          <w:sz w:val="22"/>
          <w:szCs w:val="22"/>
        </w:rPr>
        <w:t xml:space="preserve">  On</w:t>
      </w:r>
      <w:proofErr w:type="gramEnd"/>
      <w:r w:rsidRPr="003E73CD">
        <w:rPr>
          <w:sz w:val="22"/>
          <w:szCs w:val="22"/>
        </w:rPr>
        <w:t xml:space="preserve"> rare occasions lymphoscintigraphy fails to identify any sentinel nodes and this is termed non-localization.  This situation creates a dilemma for the surgeon who must decide whether to proceed with sentinel node biopsy in the hope that blue dye injection and use of the intra-operative gamma probe will successfully identify sentinel node(s), or to postpone the procedure and repeat the lymphoscintigram at a later date.  Delaying surgery has obvious implications for the patient and the medical resource, and there is no evidence to indicate an increased likelihood of success with repeat lymphoscintigraphy.</w:t>
      </w:r>
      <w:r w:rsidRPr="003E73CD">
        <w:rPr>
          <w:sz w:val="22"/>
          <w:szCs w:val="22"/>
        </w:rPr>
        <w:fldChar w:fldCharType="begin" w:fldLock="1"/>
      </w:r>
      <w:r w:rsidR="005676A9">
        <w:rPr>
          <w:sz w:val="22"/>
          <w:szCs w:val="22"/>
        </w:rPr>
        <w:instrText>ADDIN CSL_CITATION { "citationItems" : [ { "id" : "ITEM-1", "itemData" : { "ISSN" : "0148-7043", "PMID" : "15166975", "abstract" : "INTRODUCTION: Lymphatic drainage pathways in the head and neck region are more variable than in any other location of the body. Occasionally, head and neck lymphoscintograms fail to identify a definitive lymphatic drainage pattern, making preoperative and intraoperative identification of sentinel nodes very difficult. The purpose of this study was to determine the incidence of nonlocalization on lymphoscintigraphy of sentinel nodes in patients with head and neck cutaneous malignancies.\n\nMETHODS: A retrospective chart review was conducted of a single surgeon's (WKS) 135 consecutive head and neck melanoma and Merkel cell cancer patients from August 1997 to August 2002. In all cases. technetium-99m sulfur colloid was the radioactive tracer used by the nuclear medicine department to perform the lymphoscintograms.\n\nRESULTS: Of the 135 patients, 74 underwent preoperative lymphoscintigraphy in preparation for performing a sentinel lymph node biopsy. Of these 74 patients, 5 (6.8%) were found to have nonlocalization of a sentinel node(s). Of the 5 patients who failed to localize, 3 had primary lesions near the midline scalp, while 2 had primary lesions located on the cheek. Two of the 5 patients underwent reinjection of the radioisotope by the treating surgeon (WKS) but failed to further localize the radiotracer. All 5 patients went on to have wide local excision of the primary cancer on the day of the lymphoscintogram, as well as undergoing intraoperative examination of all head and neck nodal basins with a handheld gamma detector. No focal areas of radiation were identified and no lymph nodes were biopsied. To date, 1 patient has developed distant metastases and has succumbed to her disease. The remaining 4 patients are free of disease.\n\nCONCLUSION: In a series of 135 consecutive patients with head and neck cutaneous malignancies, 74 of whom were treated with preoperative lymphoscintograms, a nonlocalization rate of 6.8% was found. This is a significant rate of nonlocalization and reflects either the inherent difficulty in imaging the head and neck region and/or the possible rapid rate of dye washout via multiple lymphatic drainage pathways that exist in this location.", "author" : [ { "dropping-particle" : "", "family" : "Stadelmann", "given" : "Wayne K", "non-dropping-particle" : "", "parse-names" : false, "suffix" : "" }, { "dropping-particle" : "", "family" : "Cobbins", "given" : "Lorri", "non-dropping-particle" : "", "parse-names" : false, "suffix" : "" }, { "dropping-particle" : "", "family" : "Lentsch", "given" : "Eric J", "non-dropping-particle" : "", "parse-names" : false, "suffix" : "" } ], "container-title" : "Annals of plastic surgery", "id" : "ITEM-1", "issue" : "6", "issued" : { "date-parts" : [ [ "2004", "6" ] ] }, "page" : "546-9; discussion 550", "title" : "Incidence of nonlocalization of sentinel lymph nodes using preoperative lymphoscintigraphy in 74 consecutive head and neck melanoma and Merkel cell carcinoma patients.", "type" : "article-journal", "volume" : "52" }, "uris" : [ "http://www.mendeley.com/documents/?uuid=6d86aa98-f6e6-4172-b4da-f7a8944baf98" ] } ], "mendeley" : { "formattedCitation" : "&lt;sup&gt;208&lt;/sup&gt;", "plainTextFormattedCitation" : "208", "previouslyFormattedCitation" : "&lt;sup&gt;208&lt;/sup&gt;" }, "properties" : { "noteIndex" : 0 }, "schema" : "https://github.com/citation-style-language/schema/raw/master/csl-citation.json" }</w:instrText>
      </w:r>
      <w:r w:rsidRPr="003E73CD">
        <w:rPr>
          <w:sz w:val="22"/>
          <w:szCs w:val="22"/>
        </w:rPr>
        <w:fldChar w:fldCharType="separate"/>
      </w:r>
      <w:r w:rsidR="00217FAC" w:rsidRPr="00217FAC">
        <w:rPr>
          <w:noProof/>
          <w:sz w:val="22"/>
          <w:szCs w:val="22"/>
          <w:vertAlign w:val="superscript"/>
        </w:rPr>
        <w:t>208</w:t>
      </w:r>
      <w:r w:rsidRPr="003E73CD">
        <w:rPr>
          <w:sz w:val="22"/>
          <w:szCs w:val="22"/>
        </w:rPr>
        <w:fldChar w:fldCharType="end"/>
      </w:r>
    </w:p>
    <w:p w14:paraId="7172FE52" w14:textId="5DED0C9D" w:rsidR="0061482C" w:rsidRPr="003E73CD" w:rsidRDefault="0061482C" w:rsidP="0061482C">
      <w:pPr>
        <w:spacing w:line="480" w:lineRule="auto"/>
        <w:ind w:firstLine="720"/>
        <w:rPr>
          <w:sz w:val="22"/>
          <w:szCs w:val="22"/>
        </w:rPr>
      </w:pPr>
      <w:r w:rsidRPr="003E73CD">
        <w:rPr>
          <w:sz w:val="22"/>
          <w:szCs w:val="22"/>
        </w:rPr>
        <w:t>The actual incidence of non-localization on lymphoscintigraphy is not widely documented, but appears to be higher for tumours located on the head and neck.  It has been recorded in relatively small studies for the head and neck as between 5% and 7%.</w:t>
      </w:r>
      <w:r w:rsidRPr="003E73CD">
        <w:rPr>
          <w:sz w:val="22"/>
          <w:szCs w:val="22"/>
        </w:rPr>
        <w:fldChar w:fldCharType="begin" w:fldLock="1"/>
      </w:r>
      <w:r w:rsidR="005676A9">
        <w:rPr>
          <w:sz w:val="22"/>
          <w:szCs w:val="22"/>
        </w:rPr>
        <w:instrText>ADDIN CSL_CITATION { "citationItems" : [ { "id" : "ITEM-1", "itemData" : { "DOI" : "10.1007/s10434-001-0716-y", "ISSN" : "1068-9265", "author" : [ { "dropping-particle" : "", "family" : "Medina-Franco", "given" : "Heriberto", "non-dropping-particle" : "", "parse-names" : false, "suffix" : "" }, { "dropping-particle" : "", "family" : "Beenken", "given" : "Samuel W.", "non-dropping-particle" : "", "parse-names" : false, "suffix" : "" }, { "dropping-particle" : "", "family" : "Heslin", "given" : "Martin J.", "non-dropping-particle" : "", "parse-names" : false, "suffix" : "" }, { "dropping-particle" : "", "family" : "Urist", "given" : "Marshall M.", "non-dropping-particle" : "", "parse-names" : false, "suffix" : "" } ], "container-title" : "Annals of Surgical Oncology", "id" : "ITEM-1", "issue" : "9", "issued" : { "date-parts" : [ [ "2001", "3", "16" ] ] }, "page" : "716-719", "title" : "Sentinel Node Biopsy for Cutaneous Melanoma in the Head and Neck", "type" : "article-journal", "volume" : "8" }, "uris" : [ "http://www.mendeley.com/documents/?uuid=b2235a56-2c31-4cf0-914f-7be67e88b33c" ] }, { "id" : "ITEM-2", "itemData" : { "ISSN" : "0148-7043", "PMID" : "15166975", "abstract" : "INTRODUCTION: Lymphatic drainage pathways in the head and neck region are more variable than in any other location of the body. Occasionally, head and neck lymphoscintograms fail to identify a definitive lymphatic drainage pattern, making preoperative and intraoperative identification of sentinel nodes very difficult. The purpose of this study was to determine the incidence of nonlocalization on lymphoscintigraphy of sentinel nodes in patients with head and neck cutaneous malignancies.\n\nMETHODS: A retrospective chart review was conducted of a single surgeon's (WKS) 135 consecutive head and neck melanoma and Merkel cell cancer patients from August 1997 to August 2002. In all cases. technetium-99m sulfur colloid was the radioactive tracer used by the nuclear medicine department to perform the lymphoscintograms.\n\nRESULTS: Of the 135 patients, 74 underwent preoperative lymphoscintigraphy in preparation for performing a sentinel lymph node biopsy. Of these 74 patients, 5 (6.8%) were found to have nonlocalization of a sentinel node(s). Of the 5 patients who failed to localize, 3 had primary lesions near the midline scalp, while 2 had primary lesions located on the cheek. Two of the 5 patients underwent reinjection of the radioisotope by the treating surgeon (WKS) but failed to further localize the radiotracer. All 5 patients went on to have wide local excision of the primary cancer on the day of the lymphoscintogram, as well as undergoing intraoperative examination of all head and neck nodal basins with a handheld gamma detector. No focal areas of radiation were identified and no lymph nodes were biopsied. To date, 1 patient has developed distant metastases and has succumbed to her disease. The remaining 4 patients are free of disease.\n\nCONCLUSION: In a series of 135 consecutive patients with head and neck cutaneous malignancies, 74 of whom were treated with preoperative lymphoscintograms, a nonlocalization rate of 6.8% was found. This is a significant rate of nonlocalization and reflects either the inherent difficulty in imaging the head and neck region and/or the possible rapid rate of dye washout via multiple lymphatic drainage pathways that exist in this location.", "author" : [ { "dropping-particle" : "", "family" : "Stadelmann", "given" : "Wayne K", "non-dropping-particle" : "", "parse-names" : false, "suffix" : "" }, { "dropping-particle" : "", "family" : "Cobbins", "given" : "Lorri", "non-dropping-particle" : "", "parse-names" : false, "suffix" : "" }, { "dropping-particle" : "", "family" : "Lentsch", "given" : "Eric J", "non-dropping-particle" : "", "parse-names" : false, "suffix" : "" } ], "container-title" : "Annals of plastic surgery", "id" : "ITEM-2", "issue" : "6", "issued" : { "date-parts" : [ [ "2004", "6" ] ] }, "page" : "546-9; discussion 550", "title" : "Incidence of nonlocalization of sentinel lymph nodes using preoperative lymphoscintigraphy in 74 consecutive head and neck melanoma and Merkel cell carcinoma patients.", "type" : "article-journal", "volume" : "52" }, "uris" : [ "http://www.mendeley.com/documents/?uuid=6d86aa98-f6e6-4172-b4da-f7a8944baf98" ] } ], "mendeley" : { "formattedCitation" : "&lt;sup&gt;208,211&lt;/sup&gt;", "plainTextFormattedCitation" : "208,211", "previouslyFormattedCitation" : "&lt;sup&gt;208,211&lt;/sup&gt;" }, "properties" : { "noteIndex" : 0 }, "schema" : "https://github.com/citation-style-language/schema/raw/master/csl-citation.json" }</w:instrText>
      </w:r>
      <w:r w:rsidRPr="003E73CD">
        <w:rPr>
          <w:sz w:val="22"/>
          <w:szCs w:val="22"/>
        </w:rPr>
        <w:fldChar w:fldCharType="separate"/>
      </w:r>
      <w:r w:rsidR="00217FAC" w:rsidRPr="00217FAC">
        <w:rPr>
          <w:noProof/>
          <w:sz w:val="22"/>
          <w:szCs w:val="22"/>
          <w:vertAlign w:val="superscript"/>
        </w:rPr>
        <w:t>208,211</w:t>
      </w:r>
      <w:r w:rsidRPr="003E73CD">
        <w:rPr>
          <w:sz w:val="22"/>
          <w:szCs w:val="22"/>
        </w:rPr>
        <w:fldChar w:fldCharType="end"/>
      </w:r>
      <w:proofErr w:type="gramStart"/>
      <w:r w:rsidRPr="003E73CD">
        <w:rPr>
          <w:sz w:val="22"/>
          <w:szCs w:val="22"/>
        </w:rPr>
        <w:t xml:space="preserve">  The</w:t>
      </w:r>
      <w:proofErr w:type="gramEnd"/>
      <w:r w:rsidRPr="003E73CD">
        <w:rPr>
          <w:sz w:val="22"/>
          <w:szCs w:val="22"/>
        </w:rPr>
        <w:t xml:space="preserve"> mid-line scalp area and the malar cheek region have been identified as sites where non-localization occurred.  However, the causes of such non-localization were not elucidated.</w:t>
      </w:r>
      <w:r w:rsidRPr="003E73CD">
        <w:rPr>
          <w:sz w:val="22"/>
          <w:szCs w:val="22"/>
        </w:rPr>
        <w:fldChar w:fldCharType="begin" w:fldLock="1"/>
      </w:r>
      <w:r w:rsidR="005676A9">
        <w:rPr>
          <w:sz w:val="22"/>
          <w:szCs w:val="22"/>
        </w:rPr>
        <w:instrText>ADDIN CSL_CITATION { "citationItems" : [ { "id" : "ITEM-1", "itemData" : { "ISSN" : "0148-7043", "PMID" : "15166975", "abstract" : "INTRODUCTION: Lymphatic drainage pathways in the head and neck region are more variable than in any other location of the body. Occasionally, head and neck lymphoscintograms fail to identify a definitive lymphatic drainage pattern, making preoperative and intraoperative identification of sentinel nodes very difficult. The purpose of this study was to determine the incidence of nonlocalization on lymphoscintigraphy of sentinel nodes in patients with head and neck cutaneous malignancies.\n\nMETHODS: A retrospective chart review was conducted of a single surgeon's (WKS) 135 consecutive head and neck melanoma and Merkel cell cancer patients from August 1997 to August 2002. In all cases. technetium-99m sulfur colloid was the radioactive tracer used by the nuclear medicine department to perform the lymphoscintograms.\n\nRESULTS: Of the 135 patients, 74 underwent preoperative lymphoscintigraphy in preparation for performing a sentinel lymph node biopsy. Of these 74 patients, 5 (6.8%) were found to have nonlocalization of a sentinel node(s). Of the 5 patients who failed to localize, 3 had primary lesions near the midline scalp, while 2 had primary lesions located on the cheek. Two of the 5 patients underwent reinjection of the radioisotope by the treating surgeon (WKS) but failed to further localize the radiotracer. All 5 patients went on to have wide local excision of the primary cancer on the day of the lymphoscintogram, as well as undergoing intraoperative examination of all head and neck nodal basins with a handheld gamma detector. No focal areas of radiation were identified and no lymph nodes were biopsied. To date, 1 patient has developed distant metastases and has succumbed to her disease. The remaining 4 patients are free of disease.\n\nCONCLUSION: In a series of 135 consecutive patients with head and neck cutaneous malignancies, 74 of whom were treated with preoperative lymphoscintograms, a nonlocalization rate of 6.8% was found. This is a significant rate of nonlocalization and reflects either the inherent difficulty in imaging the head and neck region and/or the possible rapid rate of dye washout via multiple lymphatic drainage pathways that exist in this location.", "author" : [ { "dropping-particle" : "", "family" : "Stadelmann", "given" : "Wayne K", "non-dropping-particle" : "", "parse-names" : false, "suffix" : "" }, { "dropping-particle" : "", "family" : "Cobbins", "given" : "Lorri", "non-dropping-particle" : "", "parse-names" : false, "suffix" : "" }, { "dropping-particle" : "", "family" : "Lentsch", "given" : "Eric J", "non-dropping-particle" : "", "parse-names" : false, "suffix" : "" } ], "container-title" : "Annals of plastic surgery", "id" : "ITEM-1", "issue" : "6", "issued" : { "date-parts" : [ [ "2004", "6" ] ] }, "page" : "546-9; discussion 550", "title" : "Incidence of nonlocalization of sentinel lymph nodes using preoperative lymphoscintigraphy in 74 consecutive head and neck melanoma and Merkel cell carcinoma patients.", "type" : "article-journal", "volume" : "52" }, "uris" : [ "http://www.mendeley.com/documents/?uuid=6d86aa98-f6e6-4172-b4da-f7a8944baf98" ] } ], "mendeley" : { "formattedCitation" : "&lt;sup&gt;208&lt;/sup&gt;", "plainTextFormattedCitation" : "208", "previouslyFormattedCitation" : "&lt;sup&gt;208&lt;/sup&gt;" }, "properties" : { "noteIndex" : 0 }, "schema" : "https://github.com/citation-style-language/schema/raw/master/csl-citation.json" }</w:instrText>
      </w:r>
      <w:r w:rsidRPr="003E73CD">
        <w:rPr>
          <w:sz w:val="22"/>
          <w:szCs w:val="22"/>
        </w:rPr>
        <w:fldChar w:fldCharType="separate"/>
      </w:r>
      <w:r w:rsidR="00217FAC" w:rsidRPr="00217FAC">
        <w:rPr>
          <w:noProof/>
          <w:sz w:val="22"/>
          <w:szCs w:val="22"/>
          <w:vertAlign w:val="superscript"/>
        </w:rPr>
        <w:t>208</w:t>
      </w:r>
      <w:r w:rsidRPr="003E73CD">
        <w:rPr>
          <w:sz w:val="22"/>
          <w:szCs w:val="22"/>
        </w:rPr>
        <w:fldChar w:fldCharType="end"/>
      </w:r>
      <w:proofErr w:type="gramStart"/>
      <w:r w:rsidRPr="003E73CD">
        <w:rPr>
          <w:sz w:val="22"/>
          <w:szCs w:val="22"/>
        </w:rPr>
        <w:t xml:space="preserve">  A</w:t>
      </w:r>
      <w:proofErr w:type="gramEnd"/>
      <w:r w:rsidRPr="003E73CD">
        <w:rPr>
          <w:sz w:val="22"/>
          <w:szCs w:val="22"/>
        </w:rPr>
        <w:t xml:space="preserve"> variety of potential causes exist for failure to identify a sentinel node using lymphoscintigraphy (non-localization).  These include problems with radiolabelling of the colloid, failure to image all potential nodal drainage fields, sentinel nodes directly underlying the primary tumour site and thus being obscured on imaging by radioactivity at the injection site, and failure of uptake of radiocolloid by the lymphatic system.</w:t>
      </w:r>
    </w:p>
    <w:p w14:paraId="639373E4" w14:textId="77777777" w:rsidR="0061482C" w:rsidRPr="003E73CD" w:rsidRDefault="0061482C" w:rsidP="0061482C">
      <w:pPr>
        <w:spacing w:line="480" w:lineRule="auto"/>
        <w:ind w:firstLine="720"/>
        <w:rPr>
          <w:sz w:val="22"/>
          <w:szCs w:val="22"/>
        </w:rPr>
      </w:pPr>
      <w:r w:rsidRPr="003E73CD">
        <w:rPr>
          <w:sz w:val="22"/>
          <w:szCs w:val="22"/>
        </w:rPr>
        <w:t>This study aimed to determine and compare the frequency of failure to identify sentinel node(s) (non-localization) for the head and neck versus trunk and extremity in patients undergoing lymphoscintigraphy for cutaneous melanoma or merkel cell tumour, to identify likely causes of non-localization and to determine the impact of non-localization on the success of sentinel node biopsy.  Knowledge of such factors could help guide decision-making for patients with non-localization on a pre-operative lymphoscintigram.</w:t>
      </w:r>
    </w:p>
    <w:p w14:paraId="2AD1E572" w14:textId="77777777" w:rsidR="0061482C" w:rsidRPr="003E73CD" w:rsidRDefault="0061482C" w:rsidP="0061482C">
      <w:pPr>
        <w:spacing w:line="480" w:lineRule="auto"/>
        <w:rPr>
          <w:sz w:val="22"/>
          <w:szCs w:val="22"/>
        </w:rPr>
      </w:pPr>
    </w:p>
    <w:p w14:paraId="515C044E" w14:textId="77777777" w:rsidR="0061482C" w:rsidRPr="003E73CD" w:rsidRDefault="0061482C" w:rsidP="0061482C">
      <w:pPr>
        <w:pStyle w:val="Heading1"/>
        <w:rPr>
          <w:rFonts w:ascii="Cambria" w:hAnsi="Cambria"/>
          <w:szCs w:val="22"/>
        </w:rPr>
      </w:pPr>
      <w:r w:rsidRPr="003E73CD">
        <w:rPr>
          <w:rFonts w:ascii="Cambria" w:hAnsi="Cambria"/>
          <w:szCs w:val="22"/>
        </w:rPr>
        <w:t>Methods</w:t>
      </w:r>
    </w:p>
    <w:p w14:paraId="521DFF86" w14:textId="2824B186" w:rsidR="0061482C" w:rsidRPr="003E73CD" w:rsidRDefault="0061482C" w:rsidP="0061482C">
      <w:pPr>
        <w:spacing w:line="480" w:lineRule="auto"/>
        <w:ind w:firstLine="720"/>
        <w:rPr>
          <w:sz w:val="22"/>
          <w:szCs w:val="22"/>
          <w:lang w:val="en-AU"/>
        </w:rPr>
      </w:pPr>
      <w:r w:rsidRPr="003E73CD">
        <w:rPr>
          <w:sz w:val="22"/>
          <w:szCs w:val="22"/>
          <w:lang w:val="en-AU"/>
        </w:rPr>
        <w:t>The technique of lymphoscintigraphy at our institution has been described previously.</w:t>
      </w:r>
      <w:r w:rsidRPr="003E73CD">
        <w:rPr>
          <w:sz w:val="22"/>
          <w:szCs w:val="22"/>
          <w:lang w:val="en-AU"/>
        </w:rPr>
        <w:fldChar w:fldCharType="begin" w:fldLock="1"/>
      </w:r>
      <w:r w:rsidR="005676A9">
        <w:rPr>
          <w:sz w:val="22"/>
          <w:szCs w:val="22"/>
          <w:lang w:val="en-AU"/>
        </w:rPr>
        <w:instrText>ADDIN CSL_CITATION { "citationItems" : [ { "id" : "ITEM-1", "itemData" : { "ISSN" : "0960-8931", "PMID" : "7703720", "abstract" : "Lymphoscintigraphy (LS) has been performed for 8 years in patients of the Sydney Melanoma Unit, to define lymphatic drainage patterns. Over the past 2 years, LS has also been used to locate the sentinel lymph node prior to surgery. Our technique for LS and subsequent sentinel node biopsy has an accuracy of 97%. All sentinel nodes must be marked to ensure the successful application of the sentinel biopsy technique. We have found that the axilla and groin average just over one sentinel node per draining node group for lesions on the trunk and upper limb, but have noted that drainage to the groin differed when lower limb lesions were studied. Because of the anastomosis of lymph vessels in the upper thigh, multiple sentinel nodes are identified in the groin in some patients. We have found an average of three sentinel nodes in the groin when lymph drainage from lower limb lesions was studied with LS. This difference demands a modification of the LS technique, with early imaging of the groin nodes to identify all sentinel nodes in each patient. The depth of the sentinel nodes can also be measured and the location of all interval nodes marked on the skin. This ensures that all sentinel nodes and interval nodes can be removed at the time of surgery.", "author" : [ { "dropping-particle" : "", "family" : "Uren", "given" : "R F", "non-dropping-particle" : "", "parse-names" : false, "suffix" : "" }, { "dropping-particle" : "", "family" : "Howman-Giles", "given" : "R", "non-dropping-particle" : "", "parse-names" : false, "suffix" : "" }, { "dropping-particle" : "", "family" : "Thompson", "given" : "J F", "non-dropping-particle" : "", "parse-names" : false, "suffix" : "" }, { "dropping-particle" : "", "family" : "Shaw", "given" : "H M", "non-dropping-particle" : "", "parse-names" : false, "suffix" : "" }, { "dropping-particle" : "", "family" : "Quinn", "given" : "M J", "non-dropping-particle" : "", "parse-names" : false, "suffix" : "" }, { "dropping-particle" : "", "family" : "O'Brien", "given" : "C J", "non-dropping-particle" : "", "parse-names" : false, "suffix" : "" }, { "dropping-particle" : "", "family" : "McCarthy", "given" : "W H", "non-dropping-particle" : "", "parse-names" : false, "suffix" : "" } ], "container-title" : "Melanoma research", "id" : "ITEM-1", "issue" : "6", "issued" : { "date-parts" : [ [ "1994", "12" ] ] }, "page" : "395-9", "title" : "Lymphoscintigraphy to identify sentinel lymph nodes in patients with melanoma.", "type" : "article-journal", "volume" : "4" }, "uris" : [ "http://www.mendeley.com/documents/?uuid=66a865e9-2a07-40d3-a1e9-23f2effce343" ] } ], "mendeley" : { "formattedCitation" : "&lt;sup&gt;183&lt;/sup&gt;", "plainTextFormattedCitation" : "183", "previouslyFormattedCitation" : "&lt;sup&gt;183&lt;/sup&gt;" }, "properties" : { "noteIndex" : 0 }, "schema" : "https://github.com/citation-style-language/schema/raw/master/csl-citation.json" }</w:instrText>
      </w:r>
      <w:r w:rsidRPr="003E73CD">
        <w:rPr>
          <w:sz w:val="22"/>
          <w:szCs w:val="22"/>
          <w:lang w:val="en-AU"/>
        </w:rPr>
        <w:fldChar w:fldCharType="separate"/>
      </w:r>
      <w:r w:rsidR="00217FAC" w:rsidRPr="00217FAC">
        <w:rPr>
          <w:noProof/>
          <w:sz w:val="22"/>
          <w:szCs w:val="22"/>
          <w:vertAlign w:val="superscript"/>
          <w:lang w:val="en-AU"/>
        </w:rPr>
        <w:t>183</w:t>
      </w:r>
      <w:r w:rsidRPr="003E73CD">
        <w:rPr>
          <w:sz w:val="22"/>
          <w:szCs w:val="22"/>
          <w:lang w:val="en-AU"/>
        </w:rPr>
        <w:fldChar w:fldCharType="end"/>
      </w:r>
      <w:proofErr w:type="gramStart"/>
      <w:r w:rsidRPr="003E73CD">
        <w:rPr>
          <w:sz w:val="22"/>
          <w:szCs w:val="22"/>
          <w:lang w:val="en-AU"/>
        </w:rPr>
        <w:t xml:space="preserve">  The</w:t>
      </w:r>
      <w:proofErr w:type="gramEnd"/>
      <w:r w:rsidRPr="003E73CD">
        <w:rPr>
          <w:sz w:val="22"/>
          <w:szCs w:val="22"/>
          <w:lang w:val="en-AU"/>
        </w:rPr>
        <w:t xml:space="preserve"> radiocolloid used was </w:t>
      </w:r>
      <w:r w:rsidRPr="003E73CD">
        <w:rPr>
          <w:sz w:val="22"/>
          <w:szCs w:val="22"/>
          <w:vertAlign w:val="superscript"/>
          <w:lang w:val="en-AU"/>
        </w:rPr>
        <w:t>99m</w:t>
      </w:r>
      <w:r w:rsidR="00B33B9A" w:rsidRPr="003E73CD">
        <w:rPr>
          <w:sz w:val="22"/>
          <w:szCs w:val="22"/>
          <w:lang w:val="en-AU"/>
        </w:rPr>
        <w:t>technetium antimony sulph</w:t>
      </w:r>
      <w:r w:rsidRPr="003E73CD">
        <w:rPr>
          <w:sz w:val="22"/>
          <w:szCs w:val="22"/>
          <w:lang w:val="en-AU"/>
        </w:rPr>
        <w:t xml:space="preserve">ide: Particle size 10-12nm (measured by the Radiopharmacist, Peter MacCallum Centre, Victoria 8006, Australia).  Typically, two or four intra-dermal injections of </w:t>
      </w:r>
      <w:r w:rsidRPr="003E73CD">
        <w:rPr>
          <w:sz w:val="22"/>
          <w:szCs w:val="22"/>
          <w:vertAlign w:val="superscript"/>
          <w:lang w:val="en-AU"/>
        </w:rPr>
        <w:t>99m</w:t>
      </w:r>
      <w:r w:rsidRPr="003E73CD">
        <w:rPr>
          <w:sz w:val="22"/>
          <w:szCs w:val="22"/>
          <w:lang w:val="en-AU"/>
        </w:rPr>
        <w:t>technetium anti</w:t>
      </w:r>
      <w:r w:rsidR="00B33B9A" w:rsidRPr="003E73CD">
        <w:rPr>
          <w:sz w:val="22"/>
          <w:szCs w:val="22"/>
          <w:lang w:val="en-AU"/>
        </w:rPr>
        <w:t>mony sulph</w:t>
      </w:r>
      <w:r w:rsidRPr="003E73CD">
        <w:rPr>
          <w:sz w:val="22"/>
          <w:szCs w:val="22"/>
          <w:lang w:val="en-AU"/>
        </w:rPr>
        <w:t>ide colloid were administered around the primary tumour or on each side of the centre of the excision biopsy site.</w:t>
      </w:r>
      <w:r w:rsidRPr="003E73CD">
        <w:rPr>
          <w:sz w:val="22"/>
          <w:szCs w:val="22"/>
          <w:lang w:val="en-AU"/>
        </w:rPr>
        <w:fldChar w:fldCharType="begin" w:fldLock="1"/>
      </w:r>
      <w:r w:rsidR="005676A9">
        <w:rPr>
          <w:sz w:val="22"/>
          <w:szCs w:val="22"/>
          <w:lang w:val="en-AU"/>
        </w:rPr>
        <w:instrText>ADDIN CSL_CITATION { "citationItems" : [ { "id" : "ITEM-1", "itemData" : { "ISSN" : "0960-8931", "PMID" : "7703720", "abstract" : "Lymphoscintigraphy (LS) has been performed for 8 years in patients of the Sydney Melanoma Unit, to define lymphatic drainage patterns. Over the past 2 years, LS has also been used to locate the sentinel lymph node prior to surgery. Our technique for LS and subsequent sentinel node biopsy has an accuracy of 97%. All sentinel nodes must be marked to ensure the successful application of the sentinel biopsy technique. We have found that the axilla and groin average just over one sentinel node per draining node group for lesions on the trunk and upper limb, but have noted that drainage to the groin differed when lower limb lesions were studied. Because of the anastomosis of lymph vessels in the upper thigh, multiple sentinel nodes are identified in the groin in some patients. We have found an average of three sentinel nodes in the groin when lymph drainage from lower limb lesions was studied with LS. This difference demands a modification of the LS technique, with early imaging of the groin nodes to identify all sentinel nodes in each patient. The depth of the sentinel nodes can also be measured and the location of all interval nodes marked on the skin. This ensures that all sentinel nodes and interval nodes can be removed at the time of surgery.", "author" : [ { "dropping-particle" : "", "family" : "Uren", "given" : "R F", "non-dropping-particle" : "", "parse-names" : false, "suffix" : "" }, { "dropping-particle" : "", "family" : "Howman-Giles", "given" : "R", "non-dropping-particle" : "", "parse-names" : false, "suffix" : "" }, { "dropping-particle" : "", "family" : "Thompson", "given" : "J F", "non-dropping-particle" : "", "parse-names" : false, "suffix" : "" }, { "dropping-particle" : "", "family" : "Shaw", "given" : "H M", "non-dropping-particle" : "", "parse-names" : false, "suffix" : "" }, { "dropping-particle" : "", "family" : "Quinn", "given" : "M J", "non-dropping-particle" : "", "parse-names" : false, "suffix" : "" }, { "dropping-particle" : "", "family" : "O'Brien", "given" : "C J", "non-dropping-particle" : "", "parse-names" : false, "suffix" : "" }, { "dropping-particle" : "", "family" : "McCarthy", "given" : "W H", "non-dropping-particle" : "", "parse-names" : false, "suffix" : "" } ], "container-title" : "Melanoma research", "id" : "ITEM-1", "issue" : "6", "issued" : { "date-parts" : [ [ "1994", "12" ] ] }, "page" : "395-9", "title" : "Lymphoscintigraphy to identify sentinel lymph nodes in patients with melanoma.", "type" : "article-journal", "volume" : "4" }, "uris" : [ "http://www.mendeley.com/documents/?uuid=66a865e9-2a07-40d3-a1e9-23f2effce343" ] } ], "mendeley" : { "formattedCitation" : "&lt;sup&gt;183&lt;/sup&gt;", "plainTextFormattedCitation" : "183", "previouslyFormattedCitation" : "&lt;sup&gt;183&lt;/sup&gt;" }, "properties" : { "noteIndex" : 0 }, "schema" : "https://github.com/citation-style-language/schema/raw/master/csl-citation.json" }</w:instrText>
      </w:r>
      <w:r w:rsidRPr="003E73CD">
        <w:rPr>
          <w:sz w:val="22"/>
          <w:szCs w:val="22"/>
          <w:lang w:val="en-AU"/>
        </w:rPr>
        <w:fldChar w:fldCharType="separate"/>
      </w:r>
      <w:r w:rsidR="00217FAC" w:rsidRPr="00217FAC">
        <w:rPr>
          <w:noProof/>
          <w:sz w:val="22"/>
          <w:szCs w:val="22"/>
          <w:vertAlign w:val="superscript"/>
          <w:lang w:val="en-AU"/>
        </w:rPr>
        <w:t>183</w:t>
      </w:r>
      <w:r w:rsidRPr="003E73CD">
        <w:rPr>
          <w:sz w:val="22"/>
          <w:szCs w:val="22"/>
          <w:lang w:val="en-AU"/>
        </w:rPr>
        <w:fldChar w:fldCharType="end"/>
      </w:r>
      <w:proofErr w:type="gramStart"/>
      <w:r w:rsidRPr="003E73CD">
        <w:rPr>
          <w:sz w:val="22"/>
          <w:szCs w:val="22"/>
          <w:lang w:val="en-AU"/>
        </w:rPr>
        <w:t xml:space="preserve">  The</w:t>
      </w:r>
      <w:proofErr w:type="gramEnd"/>
      <w:r w:rsidRPr="003E73CD">
        <w:rPr>
          <w:sz w:val="22"/>
          <w:szCs w:val="22"/>
          <w:lang w:val="en-AU"/>
        </w:rPr>
        <w:t xml:space="preserve"> volume of each injection was 0.05 to 0.1ml and contained 5 to 20 MBq of tracer depending on when surgery was planned.  A super-high resolution collimator (Siemens eCam dual head, low-energy, high-resolution collimator with 1.5mm hexholes, 0.23mm septae and 35mm hole length) was used, with dynamic imaging performed immediately following injection of tracer in order to identify and follow the lymphatic collecting vessels, thus allowing a</w:t>
      </w:r>
      <w:r w:rsidR="00B33B9A" w:rsidRPr="003E73CD">
        <w:rPr>
          <w:sz w:val="22"/>
          <w:szCs w:val="22"/>
          <w:lang w:val="en-AU"/>
        </w:rPr>
        <w:t>ccurate identification of the sentinel node</w:t>
      </w:r>
      <w:r w:rsidRPr="003E73CD">
        <w:rPr>
          <w:sz w:val="22"/>
          <w:szCs w:val="22"/>
          <w:lang w:val="en-AU"/>
        </w:rPr>
        <w:t>s.  Delayed scans were performed at 1 to 2 hours, with imaging of all regions that could possibly contain sentinel nodes.</w:t>
      </w:r>
    </w:p>
    <w:p w14:paraId="63E093B1" w14:textId="3EA25B1C" w:rsidR="0061482C" w:rsidRPr="003E73CD" w:rsidRDefault="0061482C" w:rsidP="0061482C">
      <w:pPr>
        <w:pStyle w:val="BodyText2"/>
        <w:ind w:firstLine="720"/>
        <w:rPr>
          <w:sz w:val="22"/>
          <w:szCs w:val="22"/>
        </w:rPr>
      </w:pPr>
      <w:r w:rsidRPr="003E73CD">
        <w:rPr>
          <w:sz w:val="22"/>
          <w:szCs w:val="22"/>
          <w:lang w:val="en-AU"/>
        </w:rPr>
        <w:t>A sentinel lymph node was defined as “any lymph node that received drainage directly from the primary tumour site”.</w:t>
      </w:r>
      <w:r w:rsidRPr="003E73CD">
        <w:rPr>
          <w:sz w:val="22"/>
          <w:szCs w:val="22"/>
          <w:lang w:val="en-AU"/>
        </w:rPr>
        <w:fldChar w:fldCharType="begin" w:fldLock="1"/>
      </w:r>
      <w:r w:rsidR="005676A9">
        <w:rPr>
          <w:sz w:val="22"/>
          <w:szCs w:val="22"/>
          <w:lang w:val="en-AU"/>
        </w:rPr>
        <w:instrText>ADDIN CSL_CITATION { "citationItems" : [ { "id" : "ITEM-1", "itemData" : { "ISSN" : "0960-8931", "PMID" : "7703720", "abstract" : "Lymphoscintigraphy (LS) has been performed for 8 years in patients of the Sydney Melanoma Unit, to define lymphatic drainage patterns. Over the past 2 years, LS has also been used to locate the sentinel lymph node prior to surgery. Our technique for LS and subsequent sentinel node biopsy has an accuracy of 97%. All sentinel nodes must be marked to ensure the successful application of the sentinel biopsy technique. We have found that the axilla and groin average just over one sentinel node per draining node group for lesions on the trunk and upper limb, but have noted that drainage to the groin differed when lower limb lesions were studied. Because of the anastomosis of lymph vessels in the upper thigh, multiple sentinel nodes are identified in the groin in some patients. We have found an average of three sentinel nodes in the groin when lymph drainage from lower limb lesions was studied with LS. This difference demands a modification of the LS technique, with early imaging of the groin nodes to identify all sentinel nodes in each patient. The depth of the sentinel nodes can also be measured and the location of all interval nodes marked on the skin. This ensures that all sentinel nodes and interval nodes can be removed at the time of surgery.", "author" : [ { "dropping-particle" : "", "family" : "Uren", "given" : "R F", "non-dropping-particle" : "", "parse-names" : false, "suffix" : "" }, { "dropping-particle" : "", "family" : "Howman-Giles", "given" : "R", "non-dropping-particle" : "", "parse-names" : false, "suffix" : "" }, { "dropping-particle" : "", "family" : "Thompson", "given" : "J F", "non-dropping-particle" : "", "parse-names" : false, "suffix" : "" }, { "dropping-particle" : "", "family" : "Shaw", "given" : "H M", "non-dropping-particle" : "", "parse-names" : false, "suffix" : "" }, { "dropping-particle" : "", "family" : "Quinn", "given" : "M J", "non-dropping-particle" : "", "parse-names" : false, "suffix" : "" }, { "dropping-particle" : "", "family" : "O'Brien", "given" : "C J", "non-dropping-particle" : "", "parse-names" : false, "suffix" : "" }, { "dropping-particle" : "", "family" : "McCarthy", "given" : "W H", "non-dropping-particle" : "", "parse-names" : false, "suffix" : "" } ], "container-title" : "Melanoma research", "id" : "ITEM-1", "issue" : "6", "issued" : { "date-parts" : [ [ "1994", "12" ] ] }, "page" : "395-9", "title" : "Lymphoscintigraphy to identify sentinel lymph nodes in patients with melanoma.", "type" : "article-journal", "volume" : "4" }, "uris" : [ "http://www.mendeley.com/documents/?uuid=66a865e9-2a07-40d3-a1e9-23f2effce343" ] }, { "id" : "ITEM-2", "itemData" : { "DOI" : "10.1053/ejso.1999.0752", "ISSN" : "0748-7983", "PMID" : "10744926", "author" : [ { "dropping-particle" : "", "family" : "Thompson", "given" : "J F", "non-dropping-particle" : "", "parse-names" : false, "suffix" : "" }, { "dropping-particle" : "", "family" : "Uren", "given" : "R F", "non-dropping-particle" : "", "parse-names" : false, "suffix" : "" } ], "container-title" : "European journal of surgical oncology : the journal of the European Society of Surgical Oncology and the British Association of Surgical Oncology", "id" : "ITEM-2", "issue" : "2", "issued" : { "date-parts" : [ [ "2000", "3" ] ] }, "page" : "103-4", "title" : "What is a 'sentinel' lymph node?", "type" : "article-journal", "volume" : "26" }, "uris" : [ "http://www.mendeley.com/documents/?uuid=88b1c784-d435-4100-8396-4ae0a2dd98c4" ] } ], "mendeley" : { "formattedCitation" : "&lt;sup&gt;183,212&lt;/sup&gt;", "plainTextFormattedCitation" : "183,212", "previouslyFormattedCitation" : "&lt;sup&gt;183,212&lt;/sup&gt;" }, "properties" : { "noteIndex" : 0 }, "schema" : "https://github.com/citation-style-language/schema/raw/master/csl-citation.json" }</w:instrText>
      </w:r>
      <w:r w:rsidRPr="003E73CD">
        <w:rPr>
          <w:sz w:val="22"/>
          <w:szCs w:val="22"/>
          <w:lang w:val="en-AU"/>
        </w:rPr>
        <w:fldChar w:fldCharType="separate"/>
      </w:r>
      <w:r w:rsidR="00217FAC" w:rsidRPr="00217FAC">
        <w:rPr>
          <w:noProof/>
          <w:sz w:val="22"/>
          <w:szCs w:val="22"/>
          <w:vertAlign w:val="superscript"/>
          <w:lang w:val="en-AU"/>
        </w:rPr>
        <w:t>183,212</w:t>
      </w:r>
      <w:r w:rsidRPr="003E73CD">
        <w:rPr>
          <w:sz w:val="22"/>
          <w:szCs w:val="22"/>
          <w:lang w:val="en-AU"/>
        </w:rPr>
        <w:fldChar w:fldCharType="end"/>
      </w:r>
      <w:proofErr w:type="gramStart"/>
      <w:r w:rsidRPr="003E73CD">
        <w:rPr>
          <w:sz w:val="22"/>
          <w:szCs w:val="22"/>
          <w:lang w:val="en-AU"/>
        </w:rPr>
        <w:t xml:space="preserve">  </w:t>
      </w:r>
      <w:r w:rsidRPr="003E73CD">
        <w:rPr>
          <w:sz w:val="22"/>
          <w:szCs w:val="22"/>
        </w:rPr>
        <w:t>Data</w:t>
      </w:r>
      <w:proofErr w:type="gramEnd"/>
      <w:r w:rsidRPr="003E73CD">
        <w:rPr>
          <w:sz w:val="22"/>
          <w:szCs w:val="22"/>
        </w:rPr>
        <w:t xml:space="preserve"> were extracted from a prospectively-maintained database containing details of lymphoscintigrams performed on patients with cutaneous melanomas and merkel cell tumours between 1989 and 2007.  All patients in whom non-localization occurred using lymphoscintigraphy were identified.  The </w:t>
      </w:r>
      <w:proofErr w:type="gramStart"/>
      <w:r w:rsidRPr="003E73CD">
        <w:rPr>
          <w:sz w:val="22"/>
          <w:szCs w:val="22"/>
        </w:rPr>
        <w:t>prospectively-maintained</w:t>
      </w:r>
      <w:proofErr w:type="gramEnd"/>
      <w:r w:rsidRPr="003E73CD">
        <w:rPr>
          <w:sz w:val="22"/>
          <w:szCs w:val="22"/>
        </w:rPr>
        <w:t xml:space="preserve"> database of the Melanoma Institute of Australia (formerly Sydney Melanoma Unit) was then searched to obtain further information that might assist in identifying causes of non-localization in this group of patients.  The locations of primary tumour sites were mapped using a co-ordinate-based system and the frequency of non-localization was determined for the head and neck and for the trunk and extremities.  The case records and details of lymphoscintigraphy for each patient were studied in order to identify technical and/or patient-related factors that could explain non-localization.  It was proposed that non-localization by lymphoscintigraphy could fall into 2 categories: “apparent” or “true” </w:t>
      </w:r>
      <w:r w:rsidR="008E4096">
        <w:rPr>
          <w:sz w:val="22"/>
          <w:szCs w:val="22"/>
        </w:rPr>
        <w:t>(Table 2.1</w:t>
      </w:r>
      <w:r w:rsidR="006C3DD8" w:rsidRPr="003E73CD">
        <w:rPr>
          <w:sz w:val="22"/>
          <w:szCs w:val="22"/>
        </w:rPr>
        <w:t>.1</w:t>
      </w:r>
      <w:r w:rsidRPr="003E73CD">
        <w:rPr>
          <w:sz w:val="22"/>
          <w:szCs w:val="22"/>
        </w:rPr>
        <w:t xml:space="preserve">).  Apparent non-localization would occur as a result of technical failure, such as inadequate tracer radiolabelling, operator neglecting to include relevant node fields on imaging, or sentinel nodes being obscured by primary tumour site radioactivity.  In this situation uptake of radiocolloid into lymphatics and transport to sentinel nodes would be occurring, or be able to occur, and hence sentinel node biopsy could be successfully performed.  True non-localization would occur when patient factors were present that resulted in either disruption of lymphatic drainage, such that the tracer remained entirely at the primary tumour site, or diversion of lymphatic drainage via an alternative pathway, avoiding passage through any lymph nodes (most likely via a lymphaticovenous connection).  In such a situation radiocolloid would not reach sentinel nodes and so sentinel node biopsy would not be possible. </w:t>
      </w:r>
    </w:p>
    <w:p w14:paraId="398EC93D" w14:textId="25F21706" w:rsidR="0061482C" w:rsidRPr="003E73CD" w:rsidRDefault="0061482C" w:rsidP="0061482C">
      <w:pPr>
        <w:pStyle w:val="BodyText2"/>
        <w:ind w:firstLine="720"/>
        <w:rPr>
          <w:sz w:val="22"/>
          <w:szCs w:val="22"/>
          <w:lang w:val="en-AU"/>
        </w:rPr>
      </w:pPr>
      <w:r w:rsidRPr="003E73CD">
        <w:rPr>
          <w:sz w:val="22"/>
          <w:szCs w:val="22"/>
        </w:rPr>
        <w:t xml:space="preserve">The observed frequency of non-localization was recorded for the head and neck, </w:t>
      </w:r>
      <w:r w:rsidR="00B33B9A" w:rsidRPr="003E73CD">
        <w:rPr>
          <w:sz w:val="22"/>
          <w:szCs w:val="22"/>
        </w:rPr>
        <w:t xml:space="preserve">and for the </w:t>
      </w:r>
      <w:r w:rsidRPr="003E73CD">
        <w:rPr>
          <w:sz w:val="22"/>
          <w:szCs w:val="22"/>
        </w:rPr>
        <w:t xml:space="preserve">trunk and extremity.  The expected frequencies of non-localization and localization were calculated for the head and neck versus the trunk and extremity and the chi-squared distribution was calculated to test for a difference between the observed and expected frequencies.  A p value of &lt;0.05 was regarded as significant. </w:t>
      </w:r>
    </w:p>
    <w:p w14:paraId="35CAFE21" w14:textId="77777777" w:rsidR="0061482C" w:rsidRPr="003E73CD" w:rsidRDefault="0061482C" w:rsidP="0061482C">
      <w:pPr>
        <w:spacing w:line="480" w:lineRule="auto"/>
        <w:rPr>
          <w:sz w:val="22"/>
          <w:szCs w:val="22"/>
        </w:rPr>
      </w:pPr>
    </w:p>
    <w:p w14:paraId="3C85A47B" w14:textId="77777777" w:rsidR="001D2BA0" w:rsidRPr="003E73CD" w:rsidRDefault="001D2BA0">
      <w:pPr>
        <w:rPr>
          <w:sz w:val="22"/>
          <w:szCs w:val="22"/>
        </w:rPr>
      </w:pPr>
      <w:r w:rsidRPr="003E73CD">
        <w:rPr>
          <w:sz w:val="22"/>
          <w:szCs w:val="22"/>
        </w:rPr>
        <w:br w:type="page"/>
      </w:r>
    </w:p>
    <w:p w14:paraId="47841114" w14:textId="64A416CF" w:rsidR="0061482C" w:rsidRPr="003E73CD" w:rsidRDefault="008E4096" w:rsidP="0061482C">
      <w:pPr>
        <w:spacing w:line="480" w:lineRule="auto"/>
        <w:rPr>
          <w:sz w:val="22"/>
          <w:szCs w:val="22"/>
        </w:rPr>
      </w:pPr>
      <w:r>
        <w:rPr>
          <w:sz w:val="22"/>
          <w:szCs w:val="22"/>
        </w:rPr>
        <w:t>Table 2.1</w:t>
      </w:r>
      <w:r w:rsidR="006C3DD8" w:rsidRPr="003E73CD">
        <w:rPr>
          <w:sz w:val="22"/>
          <w:szCs w:val="22"/>
        </w:rPr>
        <w:t>.1</w:t>
      </w:r>
      <w:r w:rsidR="0061482C" w:rsidRPr="003E73CD">
        <w:rPr>
          <w:sz w:val="22"/>
          <w:szCs w:val="22"/>
        </w:rPr>
        <w:t>.  Potential causes for non-localization.</w:t>
      </w:r>
    </w:p>
    <w:p w14:paraId="0BD43037" w14:textId="77777777" w:rsidR="00B33B9A" w:rsidRPr="003E73CD" w:rsidRDefault="00B33B9A" w:rsidP="0061482C">
      <w:pPr>
        <w:spacing w:line="480" w:lineRule="auto"/>
        <w:rPr>
          <w:sz w:val="22"/>
          <w:szCs w:val="22"/>
        </w:rPr>
      </w:pPr>
    </w:p>
    <w:tbl>
      <w:tblPr>
        <w:tblStyle w:val="TableGrid"/>
        <w:tblW w:w="0" w:type="auto"/>
        <w:tblLook w:val="04A0" w:firstRow="1" w:lastRow="0" w:firstColumn="1" w:lastColumn="0" w:noHBand="0" w:noVBand="1"/>
      </w:tblPr>
      <w:tblGrid>
        <w:gridCol w:w="2397"/>
        <w:gridCol w:w="2213"/>
        <w:gridCol w:w="2183"/>
        <w:gridCol w:w="1723"/>
      </w:tblGrid>
      <w:tr w:rsidR="0061482C" w:rsidRPr="003E73CD" w14:paraId="2DD18935" w14:textId="77777777" w:rsidTr="00717272">
        <w:tc>
          <w:tcPr>
            <w:tcW w:w="2397" w:type="dxa"/>
          </w:tcPr>
          <w:p w14:paraId="309004FB" w14:textId="77777777" w:rsidR="0061482C" w:rsidRPr="003E73CD" w:rsidRDefault="0061482C" w:rsidP="003D6176">
            <w:pPr>
              <w:spacing w:line="360" w:lineRule="auto"/>
              <w:rPr>
                <w:sz w:val="22"/>
                <w:szCs w:val="22"/>
              </w:rPr>
            </w:pPr>
            <w:r w:rsidRPr="003E73CD">
              <w:rPr>
                <w:sz w:val="22"/>
                <w:szCs w:val="22"/>
              </w:rPr>
              <w:t>Potential cause for non-localization</w:t>
            </w:r>
          </w:p>
        </w:tc>
        <w:tc>
          <w:tcPr>
            <w:tcW w:w="2213" w:type="dxa"/>
          </w:tcPr>
          <w:p w14:paraId="201BED6C" w14:textId="77777777" w:rsidR="0061482C" w:rsidRPr="003E73CD" w:rsidRDefault="0061482C" w:rsidP="003D6176">
            <w:pPr>
              <w:spacing w:line="360" w:lineRule="auto"/>
              <w:rPr>
                <w:sz w:val="22"/>
                <w:szCs w:val="22"/>
              </w:rPr>
            </w:pPr>
            <w:r w:rsidRPr="003E73CD">
              <w:rPr>
                <w:sz w:val="22"/>
                <w:szCs w:val="22"/>
              </w:rPr>
              <w:t>Category of cause</w:t>
            </w:r>
          </w:p>
        </w:tc>
        <w:tc>
          <w:tcPr>
            <w:tcW w:w="2183" w:type="dxa"/>
          </w:tcPr>
          <w:p w14:paraId="6A7012B6" w14:textId="77777777" w:rsidR="0061482C" w:rsidRPr="003E73CD" w:rsidRDefault="0061482C" w:rsidP="003D6176">
            <w:pPr>
              <w:spacing w:line="360" w:lineRule="auto"/>
              <w:rPr>
                <w:sz w:val="22"/>
                <w:szCs w:val="22"/>
              </w:rPr>
            </w:pPr>
            <w:r w:rsidRPr="003E73CD">
              <w:rPr>
                <w:sz w:val="22"/>
                <w:szCs w:val="22"/>
              </w:rPr>
              <w:t>Type of non-localization (true or apparent)</w:t>
            </w:r>
          </w:p>
        </w:tc>
        <w:tc>
          <w:tcPr>
            <w:tcW w:w="1723" w:type="dxa"/>
          </w:tcPr>
          <w:p w14:paraId="688ABF15" w14:textId="77777777" w:rsidR="0061482C" w:rsidRPr="003E73CD" w:rsidRDefault="0061482C" w:rsidP="003D6176">
            <w:pPr>
              <w:spacing w:line="360" w:lineRule="auto"/>
              <w:rPr>
                <w:sz w:val="22"/>
                <w:szCs w:val="22"/>
              </w:rPr>
            </w:pPr>
            <w:r w:rsidRPr="003E73CD">
              <w:rPr>
                <w:sz w:val="22"/>
                <w:szCs w:val="22"/>
              </w:rPr>
              <w:t>Implications for sentinel node biopsy (SNB) success</w:t>
            </w:r>
          </w:p>
        </w:tc>
      </w:tr>
      <w:tr w:rsidR="0061482C" w:rsidRPr="003E73CD" w14:paraId="28995CBB" w14:textId="77777777" w:rsidTr="00717272">
        <w:tc>
          <w:tcPr>
            <w:tcW w:w="2397" w:type="dxa"/>
          </w:tcPr>
          <w:p w14:paraId="5A898467" w14:textId="536A06DD" w:rsidR="0061482C" w:rsidRPr="003E73CD" w:rsidRDefault="0061482C" w:rsidP="003D6176">
            <w:pPr>
              <w:spacing w:line="360" w:lineRule="auto"/>
              <w:rPr>
                <w:sz w:val="22"/>
                <w:szCs w:val="22"/>
              </w:rPr>
            </w:pPr>
            <w:r w:rsidRPr="003E73CD">
              <w:rPr>
                <w:sz w:val="22"/>
                <w:szCs w:val="22"/>
              </w:rPr>
              <w:t>Lymphaticovenous conne</w:t>
            </w:r>
            <w:r w:rsidR="00B33B9A" w:rsidRPr="003E73CD">
              <w:rPr>
                <w:sz w:val="22"/>
                <w:szCs w:val="22"/>
              </w:rPr>
              <w:t>c</w:t>
            </w:r>
            <w:r w:rsidRPr="003E73CD">
              <w:rPr>
                <w:sz w:val="22"/>
                <w:szCs w:val="22"/>
              </w:rPr>
              <w:t>tion (Lymphovenous shunt, lymphovascular connection)</w:t>
            </w:r>
          </w:p>
        </w:tc>
        <w:tc>
          <w:tcPr>
            <w:tcW w:w="2213" w:type="dxa"/>
          </w:tcPr>
          <w:p w14:paraId="68A94E90" w14:textId="77777777" w:rsidR="0061482C" w:rsidRPr="003E73CD" w:rsidRDefault="0061482C" w:rsidP="003D6176">
            <w:pPr>
              <w:spacing w:line="360" w:lineRule="auto"/>
              <w:rPr>
                <w:sz w:val="22"/>
                <w:szCs w:val="22"/>
              </w:rPr>
            </w:pPr>
            <w:r w:rsidRPr="003E73CD">
              <w:rPr>
                <w:sz w:val="22"/>
                <w:szCs w:val="22"/>
              </w:rPr>
              <w:t>Anatomical, pathological or iatrogenic lymph node bypass</w:t>
            </w:r>
          </w:p>
        </w:tc>
        <w:tc>
          <w:tcPr>
            <w:tcW w:w="2183" w:type="dxa"/>
          </w:tcPr>
          <w:p w14:paraId="4237E0C6" w14:textId="77777777" w:rsidR="0061482C" w:rsidRPr="003E73CD" w:rsidRDefault="0061482C" w:rsidP="003D6176">
            <w:pPr>
              <w:spacing w:line="360" w:lineRule="auto"/>
              <w:rPr>
                <w:sz w:val="22"/>
                <w:szCs w:val="22"/>
              </w:rPr>
            </w:pPr>
            <w:r w:rsidRPr="003E73CD">
              <w:rPr>
                <w:sz w:val="22"/>
                <w:szCs w:val="22"/>
              </w:rPr>
              <w:t>True</w:t>
            </w:r>
          </w:p>
        </w:tc>
        <w:tc>
          <w:tcPr>
            <w:tcW w:w="1723" w:type="dxa"/>
          </w:tcPr>
          <w:p w14:paraId="74B6EC6F" w14:textId="77777777" w:rsidR="0061482C" w:rsidRPr="003E73CD" w:rsidRDefault="0061482C" w:rsidP="003D6176">
            <w:pPr>
              <w:spacing w:line="360" w:lineRule="auto"/>
              <w:rPr>
                <w:sz w:val="22"/>
                <w:szCs w:val="22"/>
              </w:rPr>
            </w:pPr>
            <w:r w:rsidRPr="003E73CD">
              <w:rPr>
                <w:sz w:val="22"/>
                <w:szCs w:val="22"/>
              </w:rPr>
              <w:t>SNB Not possible</w:t>
            </w:r>
          </w:p>
        </w:tc>
      </w:tr>
      <w:tr w:rsidR="0061482C" w:rsidRPr="003E73CD" w14:paraId="58902D99" w14:textId="77777777" w:rsidTr="00717272">
        <w:tc>
          <w:tcPr>
            <w:tcW w:w="2397" w:type="dxa"/>
          </w:tcPr>
          <w:p w14:paraId="1E8735E5" w14:textId="77777777" w:rsidR="0061482C" w:rsidRPr="003E73CD" w:rsidRDefault="0061482C" w:rsidP="003D6176">
            <w:pPr>
              <w:spacing w:line="360" w:lineRule="auto"/>
              <w:rPr>
                <w:sz w:val="22"/>
                <w:szCs w:val="22"/>
              </w:rPr>
            </w:pPr>
            <w:r w:rsidRPr="003E73CD">
              <w:rPr>
                <w:sz w:val="22"/>
                <w:szCs w:val="22"/>
              </w:rPr>
              <w:t>Radiocolloid quality issue or collimator issue</w:t>
            </w:r>
          </w:p>
        </w:tc>
        <w:tc>
          <w:tcPr>
            <w:tcW w:w="2213" w:type="dxa"/>
          </w:tcPr>
          <w:p w14:paraId="442B625D" w14:textId="77777777" w:rsidR="0061482C" w:rsidRPr="003E73CD" w:rsidRDefault="0061482C" w:rsidP="003D6176">
            <w:pPr>
              <w:spacing w:line="360" w:lineRule="auto"/>
              <w:rPr>
                <w:sz w:val="22"/>
                <w:szCs w:val="22"/>
              </w:rPr>
            </w:pPr>
            <w:r w:rsidRPr="003E73CD">
              <w:rPr>
                <w:sz w:val="22"/>
                <w:szCs w:val="22"/>
              </w:rPr>
              <w:t>Technical</w:t>
            </w:r>
          </w:p>
        </w:tc>
        <w:tc>
          <w:tcPr>
            <w:tcW w:w="2183" w:type="dxa"/>
          </w:tcPr>
          <w:p w14:paraId="4F697143" w14:textId="77777777" w:rsidR="0061482C" w:rsidRPr="003E73CD" w:rsidRDefault="0061482C" w:rsidP="003D6176">
            <w:pPr>
              <w:spacing w:line="360" w:lineRule="auto"/>
              <w:rPr>
                <w:sz w:val="22"/>
                <w:szCs w:val="22"/>
              </w:rPr>
            </w:pPr>
            <w:r w:rsidRPr="003E73CD">
              <w:rPr>
                <w:sz w:val="22"/>
                <w:szCs w:val="22"/>
              </w:rPr>
              <w:t>Apparent</w:t>
            </w:r>
          </w:p>
        </w:tc>
        <w:tc>
          <w:tcPr>
            <w:tcW w:w="1723" w:type="dxa"/>
          </w:tcPr>
          <w:p w14:paraId="1B2AEB43" w14:textId="77777777" w:rsidR="0061482C" w:rsidRPr="003E73CD" w:rsidRDefault="0061482C" w:rsidP="003D6176">
            <w:pPr>
              <w:spacing w:line="360" w:lineRule="auto"/>
              <w:rPr>
                <w:sz w:val="22"/>
                <w:szCs w:val="22"/>
              </w:rPr>
            </w:pPr>
            <w:r w:rsidRPr="003E73CD">
              <w:rPr>
                <w:sz w:val="22"/>
                <w:szCs w:val="22"/>
              </w:rPr>
              <w:t>Can be rectified prior to SNB.  SNB possible</w:t>
            </w:r>
          </w:p>
        </w:tc>
      </w:tr>
      <w:tr w:rsidR="0061482C" w:rsidRPr="003E73CD" w14:paraId="3078A989" w14:textId="77777777" w:rsidTr="00717272">
        <w:tc>
          <w:tcPr>
            <w:tcW w:w="2397" w:type="dxa"/>
          </w:tcPr>
          <w:p w14:paraId="2E3232A1" w14:textId="77777777" w:rsidR="0061482C" w:rsidRPr="003E73CD" w:rsidRDefault="0061482C" w:rsidP="003D6176">
            <w:pPr>
              <w:spacing w:line="360" w:lineRule="auto"/>
              <w:rPr>
                <w:sz w:val="22"/>
                <w:szCs w:val="22"/>
              </w:rPr>
            </w:pPr>
            <w:r w:rsidRPr="003E73CD">
              <w:rPr>
                <w:sz w:val="22"/>
                <w:szCs w:val="22"/>
              </w:rPr>
              <w:t>Failure to scan correct nodal fields</w:t>
            </w:r>
          </w:p>
        </w:tc>
        <w:tc>
          <w:tcPr>
            <w:tcW w:w="2213" w:type="dxa"/>
          </w:tcPr>
          <w:p w14:paraId="56CD217B" w14:textId="77777777" w:rsidR="0061482C" w:rsidRPr="003E73CD" w:rsidRDefault="0061482C" w:rsidP="003D6176">
            <w:pPr>
              <w:spacing w:line="360" w:lineRule="auto"/>
              <w:rPr>
                <w:sz w:val="22"/>
                <w:szCs w:val="22"/>
              </w:rPr>
            </w:pPr>
            <w:r w:rsidRPr="003E73CD">
              <w:rPr>
                <w:sz w:val="22"/>
                <w:szCs w:val="22"/>
              </w:rPr>
              <w:t>Technical</w:t>
            </w:r>
          </w:p>
        </w:tc>
        <w:tc>
          <w:tcPr>
            <w:tcW w:w="2183" w:type="dxa"/>
          </w:tcPr>
          <w:p w14:paraId="168A411B" w14:textId="77777777" w:rsidR="0061482C" w:rsidRPr="003E73CD" w:rsidRDefault="0061482C" w:rsidP="003D6176">
            <w:pPr>
              <w:spacing w:line="360" w:lineRule="auto"/>
              <w:rPr>
                <w:sz w:val="22"/>
                <w:szCs w:val="22"/>
              </w:rPr>
            </w:pPr>
            <w:r w:rsidRPr="003E73CD">
              <w:rPr>
                <w:sz w:val="22"/>
                <w:szCs w:val="22"/>
              </w:rPr>
              <w:t>Apparent</w:t>
            </w:r>
          </w:p>
        </w:tc>
        <w:tc>
          <w:tcPr>
            <w:tcW w:w="1723" w:type="dxa"/>
          </w:tcPr>
          <w:p w14:paraId="50F05EFB" w14:textId="77777777" w:rsidR="0061482C" w:rsidRPr="003E73CD" w:rsidRDefault="0061482C" w:rsidP="003D6176">
            <w:pPr>
              <w:spacing w:line="360" w:lineRule="auto"/>
              <w:rPr>
                <w:sz w:val="22"/>
                <w:szCs w:val="22"/>
              </w:rPr>
            </w:pPr>
            <w:r w:rsidRPr="003E73CD">
              <w:rPr>
                <w:sz w:val="22"/>
                <w:szCs w:val="22"/>
              </w:rPr>
              <w:t>Can be rectified prior to SNB.  SNB possible</w:t>
            </w:r>
          </w:p>
        </w:tc>
      </w:tr>
      <w:tr w:rsidR="0061482C" w:rsidRPr="003E73CD" w14:paraId="4B1F60EF" w14:textId="77777777" w:rsidTr="00717272">
        <w:tc>
          <w:tcPr>
            <w:tcW w:w="2397" w:type="dxa"/>
          </w:tcPr>
          <w:p w14:paraId="200CCB42" w14:textId="77777777" w:rsidR="0061482C" w:rsidRPr="003E73CD" w:rsidRDefault="0061482C" w:rsidP="003D6176">
            <w:pPr>
              <w:spacing w:line="360" w:lineRule="auto"/>
              <w:rPr>
                <w:sz w:val="22"/>
                <w:szCs w:val="22"/>
              </w:rPr>
            </w:pPr>
            <w:r w:rsidRPr="003E73CD">
              <w:rPr>
                <w:sz w:val="22"/>
                <w:szCs w:val="22"/>
              </w:rPr>
              <w:t>Primary site overlying sentinel nodes</w:t>
            </w:r>
          </w:p>
        </w:tc>
        <w:tc>
          <w:tcPr>
            <w:tcW w:w="2213" w:type="dxa"/>
          </w:tcPr>
          <w:p w14:paraId="25DE5854" w14:textId="77777777" w:rsidR="0061482C" w:rsidRPr="003E73CD" w:rsidRDefault="0061482C" w:rsidP="003D6176">
            <w:pPr>
              <w:spacing w:line="360" w:lineRule="auto"/>
              <w:rPr>
                <w:sz w:val="22"/>
                <w:szCs w:val="22"/>
              </w:rPr>
            </w:pPr>
            <w:r w:rsidRPr="003E73CD">
              <w:rPr>
                <w:sz w:val="22"/>
                <w:szCs w:val="22"/>
              </w:rPr>
              <w:t>Technical</w:t>
            </w:r>
          </w:p>
        </w:tc>
        <w:tc>
          <w:tcPr>
            <w:tcW w:w="2183" w:type="dxa"/>
          </w:tcPr>
          <w:p w14:paraId="5DEF4E94" w14:textId="77777777" w:rsidR="0061482C" w:rsidRPr="003E73CD" w:rsidRDefault="0061482C" w:rsidP="003D6176">
            <w:pPr>
              <w:spacing w:line="360" w:lineRule="auto"/>
              <w:rPr>
                <w:sz w:val="22"/>
                <w:szCs w:val="22"/>
              </w:rPr>
            </w:pPr>
            <w:r w:rsidRPr="003E73CD">
              <w:rPr>
                <w:sz w:val="22"/>
                <w:szCs w:val="22"/>
              </w:rPr>
              <w:t>Apparent</w:t>
            </w:r>
          </w:p>
        </w:tc>
        <w:tc>
          <w:tcPr>
            <w:tcW w:w="1723" w:type="dxa"/>
          </w:tcPr>
          <w:p w14:paraId="40A66938" w14:textId="77777777" w:rsidR="0061482C" w:rsidRPr="003E73CD" w:rsidRDefault="0061482C" w:rsidP="003D6176">
            <w:pPr>
              <w:spacing w:line="360" w:lineRule="auto"/>
              <w:rPr>
                <w:sz w:val="22"/>
                <w:szCs w:val="22"/>
              </w:rPr>
            </w:pPr>
            <w:r w:rsidRPr="003E73CD">
              <w:rPr>
                <w:sz w:val="22"/>
                <w:szCs w:val="22"/>
              </w:rPr>
              <w:t>SNB may be possible using blue dye and gamma probe localization</w:t>
            </w:r>
          </w:p>
        </w:tc>
      </w:tr>
      <w:tr w:rsidR="0061482C" w:rsidRPr="003E73CD" w14:paraId="533D3410" w14:textId="77777777" w:rsidTr="00717272">
        <w:tc>
          <w:tcPr>
            <w:tcW w:w="2397" w:type="dxa"/>
          </w:tcPr>
          <w:p w14:paraId="0DD697A1" w14:textId="77777777" w:rsidR="0061482C" w:rsidRPr="003E73CD" w:rsidRDefault="0061482C" w:rsidP="003D6176">
            <w:pPr>
              <w:spacing w:line="360" w:lineRule="auto"/>
              <w:rPr>
                <w:sz w:val="22"/>
                <w:szCs w:val="22"/>
              </w:rPr>
            </w:pPr>
            <w:r w:rsidRPr="003E73CD">
              <w:rPr>
                <w:sz w:val="22"/>
                <w:szCs w:val="22"/>
              </w:rPr>
              <w:t>Disruption of lymphatic drainage pathways</w:t>
            </w:r>
          </w:p>
        </w:tc>
        <w:tc>
          <w:tcPr>
            <w:tcW w:w="2213" w:type="dxa"/>
          </w:tcPr>
          <w:p w14:paraId="7C83B70E" w14:textId="77777777" w:rsidR="0061482C" w:rsidRPr="003E73CD" w:rsidRDefault="0061482C" w:rsidP="003D6176">
            <w:pPr>
              <w:spacing w:line="360" w:lineRule="auto"/>
              <w:rPr>
                <w:sz w:val="22"/>
                <w:szCs w:val="22"/>
              </w:rPr>
            </w:pPr>
            <w:r w:rsidRPr="003E73CD">
              <w:rPr>
                <w:sz w:val="22"/>
                <w:szCs w:val="22"/>
              </w:rPr>
              <w:t>Pathological or iatrogenic mechanical obstruction or destruction</w:t>
            </w:r>
          </w:p>
        </w:tc>
        <w:tc>
          <w:tcPr>
            <w:tcW w:w="2183" w:type="dxa"/>
          </w:tcPr>
          <w:p w14:paraId="64127D6F" w14:textId="77777777" w:rsidR="0061482C" w:rsidRPr="003E73CD" w:rsidRDefault="0061482C" w:rsidP="003D6176">
            <w:pPr>
              <w:spacing w:line="360" w:lineRule="auto"/>
              <w:rPr>
                <w:sz w:val="22"/>
                <w:szCs w:val="22"/>
              </w:rPr>
            </w:pPr>
            <w:r w:rsidRPr="003E73CD">
              <w:rPr>
                <w:sz w:val="22"/>
                <w:szCs w:val="22"/>
              </w:rPr>
              <w:t>True</w:t>
            </w:r>
          </w:p>
        </w:tc>
        <w:tc>
          <w:tcPr>
            <w:tcW w:w="1723" w:type="dxa"/>
          </w:tcPr>
          <w:p w14:paraId="3462F426" w14:textId="77777777" w:rsidR="0061482C" w:rsidRPr="003E73CD" w:rsidRDefault="0061482C" w:rsidP="003D6176">
            <w:pPr>
              <w:spacing w:line="360" w:lineRule="auto"/>
              <w:rPr>
                <w:sz w:val="22"/>
                <w:szCs w:val="22"/>
              </w:rPr>
            </w:pPr>
            <w:r w:rsidRPr="003E73CD">
              <w:rPr>
                <w:sz w:val="22"/>
                <w:szCs w:val="22"/>
              </w:rPr>
              <w:t>SNB not possible</w:t>
            </w:r>
          </w:p>
        </w:tc>
      </w:tr>
    </w:tbl>
    <w:p w14:paraId="6E0336FB" w14:textId="25962347" w:rsidR="0061482C" w:rsidRPr="003E73CD" w:rsidRDefault="00B33B9A" w:rsidP="0061482C">
      <w:pPr>
        <w:spacing w:line="480" w:lineRule="auto"/>
        <w:rPr>
          <w:sz w:val="22"/>
          <w:szCs w:val="22"/>
        </w:rPr>
      </w:pPr>
      <w:r w:rsidRPr="003E73CD">
        <w:rPr>
          <w:sz w:val="22"/>
          <w:szCs w:val="22"/>
        </w:rPr>
        <w:t>SNB = sentinel node biopsy</w:t>
      </w:r>
    </w:p>
    <w:p w14:paraId="4EF11285" w14:textId="77777777" w:rsidR="00B33B9A" w:rsidRPr="003E73CD" w:rsidRDefault="00B33B9A">
      <w:pPr>
        <w:rPr>
          <w:rFonts w:eastAsia="Times New Roman"/>
          <w:b/>
          <w:sz w:val="22"/>
          <w:szCs w:val="22"/>
        </w:rPr>
      </w:pPr>
      <w:r w:rsidRPr="003E73CD">
        <w:rPr>
          <w:szCs w:val="22"/>
        </w:rPr>
        <w:br w:type="page"/>
      </w:r>
    </w:p>
    <w:p w14:paraId="0C612DFA" w14:textId="664A6427" w:rsidR="0061482C" w:rsidRPr="003E73CD" w:rsidRDefault="0061482C" w:rsidP="0061482C">
      <w:pPr>
        <w:pStyle w:val="Heading1"/>
        <w:rPr>
          <w:rFonts w:ascii="Cambria" w:hAnsi="Cambria"/>
          <w:szCs w:val="22"/>
        </w:rPr>
      </w:pPr>
      <w:r w:rsidRPr="003E73CD">
        <w:rPr>
          <w:rFonts w:ascii="Cambria" w:hAnsi="Cambria"/>
          <w:szCs w:val="22"/>
        </w:rPr>
        <w:t>Results</w:t>
      </w:r>
    </w:p>
    <w:p w14:paraId="072D8DCA" w14:textId="0BD6A758" w:rsidR="0061482C" w:rsidRPr="003E73CD" w:rsidRDefault="0061482C" w:rsidP="0061482C">
      <w:pPr>
        <w:spacing w:line="480" w:lineRule="auto"/>
        <w:ind w:firstLine="720"/>
        <w:rPr>
          <w:sz w:val="22"/>
          <w:szCs w:val="22"/>
        </w:rPr>
      </w:pPr>
      <w:r w:rsidRPr="003E73CD">
        <w:rPr>
          <w:sz w:val="22"/>
          <w:szCs w:val="22"/>
        </w:rPr>
        <w:t xml:space="preserve">Lymphoscintigraphy was performed for 5600 patients at the Melanoma Institute of Australia during the time period from 1989 and 2007.  In the vast majority of patients (99.7%) lymphoscintigraphy identified at least one sentinel node.  Non-localization occurred in 18 cases (0.3%) and the locations of the primary tumour sites in these patients are shown </w:t>
      </w:r>
      <w:r w:rsidR="008E4096">
        <w:rPr>
          <w:sz w:val="22"/>
          <w:szCs w:val="22"/>
        </w:rPr>
        <w:t>in Figure 2.1</w:t>
      </w:r>
      <w:r w:rsidR="006C3DD8" w:rsidRPr="003E73CD">
        <w:rPr>
          <w:sz w:val="22"/>
          <w:szCs w:val="22"/>
        </w:rPr>
        <w:t>.1</w:t>
      </w:r>
      <w:r w:rsidRPr="003E73CD">
        <w:rPr>
          <w:sz w:val="22"/>
          <w:szCs w:val="22"/>
        </w:rPr>
        <w:t xml:space="preserve">.  The mean age (+standard deviation) of the population was 67.6 (+17.7) years (range 25 to 89 years) and there were 13 females and 5 males.  The primary tumour sites were most commonly located on the head and neck (11 patients), followed by the trunk (4 patients) and the limbs (3 patients).  </w:t>
      </w:r>
      <w:r w:rsidR="008E4096">
        <w:rPr>
          <w:sz w:val="22"/>
          <w:szCs w:val="22"/>
        </w:rPr>
        <w:t>Table 2.1</w:t>
      </w:r>
      <w:r w:rsidR="006C3DD8" w:rsidRPr="003E73CD">
        <w:rPr>
          <w:sz w:val="22"/>
          <w:szCs w:val="22"/>
        </w:rPr>
        <w:t>.2</w:t>
      </w:r>
      <w:r w:rsidRPr="003E73CD">
        <w:rPr>
          <w:sz w:val="22"/>
          <w:szCs w:val="22"/>
        </w:rPr>
        <w:t xml:space="preserve"> shows the observed and expected frequencies of non-localization and localization for the head and neck versus trunk and extremity.  There was a significant difference between the observed and expected frequency of non-localization for head and neck versus trunk and extremity sites, with a higher frequency than expected for the head and neck (chi-square test, p=0.000026, 1 degree of freedom).  All except one case of non-localization occurred on the head and neck or upper torso. </w:t>
      </w:r>
    </w:p>
    <w:p w14:paraId="79A53A2C" w14:textId="283C8666" w:rsidR="0061482C" w:rsidRPr="003E73CD" w:rsidRDefault="008E4096" w:rsidP="0061482C">
      <w:pPr>
        <w:spacing w:line="480" w:lineRule="auto"/>
        <w:ind w:firstLine="720"/>
        <w:rPr>
          <w:sz w:val="22"/>
          <w:szCs w:val="22"/>
        </w:rPr>
      </w:pPr>
      <w:r>
        <w:rPr>
          <w:sz w:val="22"/>
          <w:szCs w:val="22"/>
        </w:rPr>
        <w:t xml:space="preserve"> In Table 2.1</w:t>
      </w:r>
      <w:r w:rsidR="0045660C" w:rsidRPr="003E73CD">
        <w:rPr>
          <w:sz w:val="22"/>
          <w:szCs w:val="22"/>
        </w:rPr>
        <w:t>.3</w:t>
      </w:r>
      <w:r w:rsidR="0061482C" w:rsidRPr="003E73CD">
        <w:rPr>
          <w:sz w:val="22"/>
          <w:szCs w:val="22"/>
        </w:rPr>
        <w:t xml:space="preserve">, factors identified as possible causes of non-localization for individual patients are detailed, along with the results of sentinel node biopsy, if performed, and any recurrent disease.  The assigned category of non-localization (apparent or true) is also shown.  Non-localization was most likely </w:t>
      </w:r>
      <w:r w:rsidR="00B33B9A" w:rsidRPr="003E73CD">
        <w:rPr>
          <w:sz w:val="22"/>
          <w:szCs w:val="22"/>
        </w:rPr>
        <w:t>‘</w:t>
      </w:r>
      <w:r w:rsidR="0061482C" w:rsidRPr="003E73CD">
        <w:rPr>
          <w:sz w:val="22"/>
          <w:szCs w:val="22"/>
        </w:rPr>
        <w:t>apparent</w:t>
      </w:r>
      <w:r w:rsidR="00B33B9A" w:rsidRPr="003E73CD">
        <w:rPr>
          <w:sz w:val="22"/>
          <w:szCs w:val="22"/>
        </w:rPr>
        <w:t>’</w:t>
      </w:r>
      <w:r w:rsidR="0061482C" w:rsidRPr="003E73CD">
        <w:rPr>
          <w:sz w:val="22"/>
          <w:szCs w:val="22"/>
        </w:rPr>
        <w:t xml:space="preserve"> in 5 cases, </w:t>
      </w:r>
      <w:r w:rsidR="00B33B9A" w:rsidRPr="003E73CD">
        <w:rPr>
          <w:sz w:val="22"/>
          <w:szCs w:val="22"/>
        </w:rPr>
        <w:t>‘</w:t>
      </w:r>
      <w:r w:rsidR="0061482C" w:rsidRPr="003E73CD">
        <w:rPr>
          <w:sz w:val="22"/>
          <w:szCs w:val="22"/>
        </w:rPr>
        <w:t>true</w:t>
      </w:r>
      <w:r w:rsidR="00B33B9A" w:rsidRPr="003E73CD">
        <w:rPr>
          <w:sz w:val="22"/>
          <w:szCs w:val="22"/>
        </w:rPr>
        <w:t>’</w:t>
      </w:r>
      <w:r w:rsidR="0061482C" w:rsidRPr="003E73CD">
        <w:rPr>
          <w:sz w:val="22"/>
          <w:szCs w:val="22"/>
        </w:rPr>
        <w:t xml:space="preserve"> in 7 case</w:t>
      </w:r>
      <w:r w:rsidR="00B33B9A" w:rsidRPr="003E73CD">
        <w:rPr>
          <w:sz w:val="22"/>
          <w:szCs w:val="22"/>
        </w:rPr>
        <w:t xml:space="preserve">s and in 6 cases there were </w:t>
      </w:r>
      <w:r w:rsidR="0061482C" w:rsidRPr="003E73CD">
        <w:rPr>
          <w:sz w:val="22"/>
          <w:szCs w:val="22"/>
        </w:rPr>
        <w:t xml:space="preserve">factors identified that could have caused apparent non-localization and factors that could have caused true non-localization.  In 4 of the cases of true non-localization there were no technical, pathological or iatrogenic factors identified that could have caused non-localization to occur.   </w:t>
      </w:r>
    </w:p>
    <w:p w14:paraId="52B5A83D" w14:textId="77777777" w:rsidR="0061482C" w:rsidRPr="003E73CD" w:rsidRDefault="0061482C" w:rsidP="0061482C">
      <w:pPr>
        <w:spacing w:line="480" w:lineRule="auto"/>
        <w:rPr>
          <w:sz w:val="22"/>
          <w:szCs w:val="22"/>
        </w:rPr>
      </w:pPr>
    </w:p>
    <w:p w14:paraId="1E04088D" w14:textId="77777777" w:rsidR="0061482C" w:rsidRPr="003E73CD" w:rsidRDefault="0061482C" w:rsidP="0061482C">
      <w:pPr>
        <w:spacing w:line="480" w:lineRule="auto"/>
        <w:rPr>
          <w:sz w:val="22"/>
          <w:szCs w:val="22"/>
        </w:rPr>
      </w:pPr>
    </w:p>
    <w:p w14:paraId="1BC8BB47" w14:textId="77777777" w:rsidR="0061482C" w:rsidRPr="003E73CD" w:rsidRDefault="0061482C" w:rsidP="0061482C">
      <w:pPr>
        <w:spacing w:line="480" w:lineRule="auto"/>
        <w:rPr>
          <w:sz w:val="22"/>
          <w:szCs w:val="22"/>
        </w:rPr>
      </w:pPr>
    </w:p>
    <w:p w14:paraId="7EC55327" w14:textId="77777777" w:rsidR="0061482C" w:rsidRPr="003E73CD" w:rsidRDefault="0061482C" w:rsidP="0061482C">
      <w:pPr>
        <w:spacing w:line="480" w:lineRule="auto"/>
        <w:rPr>
          <w:sz w:val="22"/>
          <w:szCs w:val="22"/>
        </w:rPr>
      </w:pPr>
    </w:p>
    <w:p w14:paraId="7314007E" w14:textId="604E853A" w:rsidR="0061482C" w:rsidRPr="003E73CD" w:rsidRDefault="003D6176" w:rsidP="0061482C">
      <w:r w:rsidRPr="003E73CD">
        <w:br w:type="page"/>
      </w:r>
      <w:r w:rsidR="008E4096">
        <w:t>Figure 2.1</w:t>
      </w:r>
      <w:r w:rsidR="006C3DD8" w:rsidRPr="003E73CD">
        <w:t>.1</w:t>
      </w:r>
      <w:r w:rsidR="0061482C" w:rsidRPr="003E73CD">
        <w:t xml:space="preserve">. </w:t>
      </w:r>
      <w:proofErr w:type="gramStart"/>
      <w:r w:rsidR="0061482C" w:rsidRPr="003E73CD">
        <w:t>Primary tumour site locations from which non-localization was observed (n=18).</w:t>
      </w:r>
      <w:proofErr w:type="gramEnd"/>
    </w:p>
    <w:p w14:paraId="6163CF64" w14:textId="77777777" w:rsidR="0061482C" w:rsidRPr="003E73CD" w:rsidRDefault="0061482C" w:rsidP="0061482C"/>
    <w:p w14:paraId="4D1825A4" w14:textId="77777777" w:rsidR="0061482C" w:rsidRPr="003E73CD" w:rsidRDefault="0061482C" w:rsidP="0061482C"/>
    <w:p w14:paraId="3268D726" w14:textId="77777777" w:rsidR="0061482C" w:rsidRPr="003E73CD" w:rsidRDefault="0061482C" w:rsidP="0061482C"/>
    <w:p w14:paraId="7B12AD16" w14:textId="77777777" w:rsidR="0061482C" w:rsidRPr="003E73CD" w:rsidRDefault="0061482C" w:rsidP="0061482C">
      <w:r w:rsidRPr="003E73CD">
        <w:rPr>
          <w:noProof/>
          <w:sz w:val="22"/>
          <w:szCs w:val="22"/>
        </w:rPr>
        <w:drawing>
          <wp:inline distT="0" distB="0" distL="0" distR="0" wp14:anchorId="57A15AE5" wp14:editId="6428F6BB">
            <wp:extent cx="2164080" cy="2489200"/>
            <wp:effectExtent l="0" t="0" r="0" b="0"/>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64080" cy="2489200"/>
                    </a:xfrm>
                    <a:prstGeom prst="rect">
                      <a:avLst/>
                    </a:prstGeom>
                    <a:noFill/>
                    <a:ln>
                      <a:noFill/>
                    </a:ln>
                  </pic:spPr>
                </pic:pic>
              </a:graphicData>
            </a:graphic>
          </wp:inline>
        </w:drawing>
      </w:r>
      <w:r w:rsidRPr="003E73CD">
        <w:rPr>
          <w:noProof/>
        </w:rPr>
        <w:drawing>
          <wp:anchor distT="0" distB="0" distL="114300" distR="114300" simplePos="0" relativeHeight="251665408" behindDoc="0" locked="0" layoutInCell="1" allowOverlap="1" wp14:anchorId="128E4139" wp14:editId="7668E0A6">
            <wp:simplePos x="0" y="0"/>
            <wp:positionH relativeFrom="margin">
              <wp:posOffset>109855</wp:posOffset>
            </wp:positionH>
            <wp:positionV relativeFrom="margin">
              <wp:posOffset>3543300</wp:posOffset>
            </wp:positionV>
            <wp:extent cx="5080635" cy="5257800"/>
            <wp:effectExtent l="0" t="0" r="0" b="0"/>
            <wp:wrapSquare wrapText="bothSides"/>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80635" cy="5257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E73CD">
        <w:t xml:space="preserve">                           </w:t>
      </w:r>
      <w:r w:rsidRPr="003E73CD">
        <w:rPr>
          <w:noProof/>
          <w:sz w:val="22"/>
          <w:szCs w:val="22"/>
        </w:rPr>
        <w:drawing>
          <wp:inline distT="0" distB="0" distL="0" distR="0" wp14:anchorId="307F424E" wp14:editId="1D1F89DF">
            <wp:extent cx="2174240" cy="2519680"/>
            <wp:effectExtent l="0" t="0" r="10160" b="0"/>
            <wp:docPr id="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74240" cy="2519680"/>
                    </a:xfrm>
                    <a:prstGeom prst="rect">
                      <a:avLst/>
                    </a:prstGeom>
                    <a:noFill/>
                    <a:ln>
                      <a:noFill/>
                    </a:ln>
                  </pic:spPr>
                </pic:pic>
              </a:graphicData>
            </a:graphic>
          </wp:inline>
        </w:drawing>
      </w:r>
    </w:p>
    <w:p w14:paraId="16870E7E" w14:textId="76BABB47" w:rsidR="00717272" w:rsidRPr="003E73CD" w:rsidRDefault="008E4096" w:rsidP="00717272">
      <w:pPr>
        <w:spacing w:line="480" w:lineRule="auto"/>
        <w:rPr>
          <w:sz w:val="22"/>
          <w:szCs w:val="22"/>
        </w:rPr>
      </w:pPr>
      <w:r>
        <w:rPr>
          <w:sz w:val="22"/>
          <w:szCs w:val="22"/>
        </w:rPr>
        <w:t>Table 2.1</w:t>
      </w:r>
      <w:r w:rsidR="0045660C" w:rsidRPr="003E73CD">
        <w:rPr>
          <w:sz w:val="22"/>
          <w:szCs w:val="22"/>
        </w:rPr>
        <w:t>.2</w:t>
      </w:r>
      <w:r w:rsidR="00717272" w:rsidRPr="003E73CD">
        <w:rPr>
          <w:sz w:val="22"/>
          <w:szCs w:val="22"/>
        </w:rPr>
        <w:t xml:space="preserve">.  </w:t>
      </w:r>
      <w:proofErr w:type="gramStart"/>
      <w:r w:rsidR="00717272" w:rsidRPr="003E73CD">
        <w:rPr>
          <w:sz w:val="22"/>
          <w:szCs w:val="22"/>
        </w:rPr>
        <w:t>Observed and expected frequencies of non-localization and localization from the study population (n=5600).</w:t>
      </w:r>
      <w:proofErr w:type="gramEnd"/>
    </w:p>
    <w:tbl>
      <w:tblPr>
        <w:tblStyle w:val="TableGrid"/>
        <w:tblW w:w="0" w:type="auto"/>
        <w:tblLook w:val="04A0" w:firstRow="1" w:lastRow="0" w:firstColumn="1" w:lastColumn="0" w:noHBand="0" w:noVBand="1"/>
      </w:tblPr>
      <w:tblGrid>
        <w:gridCol w:w="2838"/>
        <w:gridCol w:w="2839"/>
        <w:gridCol w:w="2839"/>
      </w:tblGrid>
      <w:tr w:rsidR="00717272" w:rsidRPr="003E73CD" w14:paraId="7B81E1B6" w14:textId="77777777" w:rsidTr="00717272">
        <w:tc>
          <w:tcPr>
            <w:tcW w:w="2838" w:type="dxa"/>
          </w:tcPr>
          <w:p w14:paraId="5643C805" w14:textId="77777777" w:rsidR="00717272" w:rsidRPr="003E73CD" w:rsidRDefault="00717272" w:rsidP="00717272">
            <w:pPr>
              <w:spacing w:line="480" w:lineRule="auto"/>
              <w:rPr>
                <w:sz w:val="22"/>
                <w:szCs w:val="22"/>
              </w:rPr>
            </w:pPr>
          </w:p>
        </w:tc>
        <w:tc>
          <w:tcPr>
            <w:tcW w:w="2839" w:type="dxa"/>
          </w:tcPr>
          <w:p w14:paraId="015D5644" w14:textId="77777777" w:rsidR="00717272" w:rsidRPr="003E73CD" w:rsidRDefault="00717272" w:rsidP="00717272">
            <w:pPr>
              <w:spacing w:line="480" w:lineRule="auto"/>
              <w:rPr>
                <w:sz w:val="22"/>
                <w:szCs w:val="22"/>
              </w:rPr>
            </w:pPr>
            <w:r w:rsidRPr="003E73CD">
              <w:rPr>
                <w:sz w:val="22"/>
                <w:szCs w:val="22"/>
              </w:rPr>
              <w:t>Head + neck (observed)</w:t>
            </w:r>
          </w:p>
        </w:tc>
        <w:tc>
          <w:tcPr>
            <w:tcW w:w="2839" w:type="dxa"/>
          </w:tcPr>
          <w:p w14:paraId="74C31823" w14:textId="77777777" w:rsidR="00717272" w:rsidRPr="003E73CD" w:rsidRDefault="00717272" w:rsidP="00717272">
            <w:pPr>
              <w:spacing w:line="480" w:lineRule="auto"/>
              <w:rPr>
                <w:sz w:val="22"/>
                <w:szCs w:val="22"/>
              </w:rPr>
            </w:pPr>
            <w:r w:rsidRPr="003E73CD">
              <w:rPr>
                <w:sz w:val="22"/>
                <w:szCs w:val="22"/>
              </w:rPr>
              <w:t>Trunk + extremity (observed)</w:t>
            </w:r>
          </w:p>
        </w:tc>
      </w:tr>
      <w:tr w:rsidR="00717272" w:rsidRPr="003E73CD" w14:paraId="3108053F" w14:textId="77777777" w:rsidTr="00717272">
        <w:tc>
          <w:tcPr>
            <w:tcW w:w="2838" w:type="dxa"/>
          </w:tcPr>
          <w:p w14:paraId="40BCF72E" w14:textId="77777777" w:rsidR="00717272" w:rsidRPr="003E73CD" w:rsidRDefault="00717272" w:rsidP="00717272">
            <w:pPr>
              <w:spacing w:line="480" w:lineRule="auto"/>
              <w:rPr>
                <w:sz w:val="22"/>
                <w:szCs w:val="22"/>
              </w:rPr>
            </w:pPr>
            <w:r w:rsidRPr="003E73CD">
              <w:rPr>
                <w:sz w:val="22"/>
                <w:szCs w:val="22"/>
              </w:rPr>
              <w:t>Non-localization</w:t>
            </w:r>
          </w:p>
        </w:tc>
        <w:tc>
          <w:tcPr>
            <w:tcW w:w="2839" w:type="dxa"/>
          </w:tcPr>
          <w:p w14:paraId="2C63877D" w14:textId="77777777" w:rsidR="00717272" w:rsidRPr="003E73CD" w:rsidRDefault="00717272" w:rsidP="00717272">
            <w:pPr>
              <w:spacing w:line="480" w:lineRule="auto"/>
              <w:rPr>
                <w:sz w:val="22"/>
                <w:szCs w:val="22"/>
              </w:rPr>
            </w:pPr>
            <w:r w:rsidRPr="003E73CD">
              <w:rPr>
                <w:sz w:val="22"/>
                <w:szCs w:val="22"/>
              </w:rPr>
              <w:t>11</w:t>
            </w:r>
          </w:p>
        </w:tc>
        <w:tc>
          <w:tcPr>
            <w:tcW w:w="2839" w:type="dxa"/>
          </w:tcPr>
          <w:p w14:paraId="01518FD8" w14:textId="77777777" w:rsidR="00717272" w:rsidRPr="003E73CD" w:rsidRDefault="00717272" w:rsidP="00717272">
            <w:pPr>
              <w:spacing w:line="480" w:lineRule="auto"/>
              <w:rPr>
                <w:sz w:val="22"/>
                <w:szCs w:val="22"/>
              </w:rPr>
            </w:pPr>
            <w:r w:rsidRPr="003E73CD">
              <w:rPr>
                <w:sz w:val="22"/>
                <w:szCs w:val="22"/>
              </w:rPr>
              <w:t>7</w:t>
            </w:r>
          </w:p>
        </w:tc>
      </w:tr>
      <w:tr w:rsidR="00717272" w:rsidRPr="003E73CD" w14:paraId="62D991EC" w14:textId="77777777" w:rsidTr="00717272">
        <w:tc>
          <w:tcPr>
            <w:tcW w:w="2838" w:type="dxa"/>
          </w:tcPr>
          <w:p w14:paraId="1BBE0913" w14:textId="77777777" w:rsidR="00717272" w:rsidRPr="003E73CD" w:rsidRDefault="00717272" w:rsidP="00717272">
            <w:pPr>
              <w:spacing w:line="480" w:lineRule="auto"/>
              <w:rPr>
                <w:sz w:val="22"/>
                <w:szCs w:val="22"/>
              </w:rPr>
            </w:pPr>
            <w:r w:rsidRPr="003E73CD">
              <w:rPr>
                <w:sz w:val="22"/>
                <w:szCs w:val="22"/>
              </w:rPr>
              <w:t>Localization</w:t>
            </w:r>
          </w:p>
        </w:tc>
        <w:tc>
          <w:tcPr>
            <w:tcW w:w="2839" w:type="dxa"/>
          </w:tcPr>
          <w:p w14:paraId="646ECBF2" w14:textId="77777777" w:rsidR="00717272" w:rsidRPr="003E73CD" w:rsidRDefault="00717272" w:rsidP="00717272">
            <w:pPr>
              <w:spacing w:line="480" w:lineRule="auto"/>
              <w:rPr>
                <w:sz w:val="22"/>
                <w:szCs w:val="22"/>
              </w:rPr>
            </w:pPr>
            <w:r w:rsidRPr="003E73CD">
              <w:rPr>
                <w:sz w:val="22"/>
                <w:szCs w:val="22"/>
              </w:rPr>
              <w:t>1161</w:t>
            </w:r>
          </w:p>
        </w:tc>
        <w:tc>
          <w:tcPr>
            <w:tcW w:w="2839" w:type="dxa"/>
          </w:tcPr>
          <w:p w14:paraId="0992E14A" w14:textId="77777777" w:rsidR="00717272" w:rsidRPr="003E73CD" w:rsidRDefault="00717272" w:rsidP="00717272">
            <w:pPr>
              <w:spacing w:line="480" w:lineRule="auto"/>
              <w:rPr>
                <w:sz w:val="22"/>
                <w:szCs w:val="22"/>
              </w:rPr>
            </w:pPr>
            <w:r w:rsidRPr="003E73CD">
              <w:rPr>
                <w:sz w:val="22"/>
                <w:szCs w:val="22"/>
              </w:rPr>
              <w:t>4421</w:t>
            </w:r>
          </w:p>
        </w:tc>
      </w:tr>
      <w:tr w:rsidR="00717272" w:rsidRPr="003E73CD" w14:paraId="397873D6" w14:textId="77777777" w:rsidTr="00717272">
        <w:tc>
          <w:tcPr>
            <w:tcW w:w="2838" w:type="dxa"/>
          </w:tcPr>
          <w:p w14:paraId="4FBFF3DC" w14:textId="77777777" w:rsidR="00717272" w:rsidRPr="003E73CD" w:rsidRDefault="00717272" w:rsidP="00717272">
            <w:pPr>
              <w:spacing w:line="480" w:lineRule="auto"/>
              <w:rPr>
                <w:sz w:val="22"/>
                <w:szCs w:val="22"/>
              </w:rPr>
            </w:pPr>
          </w:p>
        </w:tc>
        <w:tc>
          <w:tcPr>
            <w:tcW w:w="2839" w:type="dxa"/>
          </w:tcPr>
          <w:p w14:paraId="11FB12B2" w14:textId="77777777" w:rsidR="00717272" w:rsidRPr="003E73CD" w:rsidRDefault="00717272" w:rsidP="00717272">
            <w:pPr>
              <w:spacing w:line="480" w:lineRule="auto"/>
              <w:rPr>
                <w:sz w:val="22"/>
                <w:szCs w:val="22"/>
              </w:rPr>
            </w:pPr>
            <w:r w:rsidRPr="003E73CD">
              <w:rPr>
                <w:sz w:val="22"/>
                <w:szCs w:val="22"/>
              </w:rPr>
              <w:t>Head + neck (expected)</w:t>
            </w:r>
          </w:p>
        </w:tc>
        <w:tc>
          <w:tcPr>
            <w:tcW w:w="2839" w:type="dxa"/>
          </w:tcPr>
          <w:p w14:paraId="6808ECFC" w14:textId="77777777" w:rsidR="00717272" w:rsidRPr="003E73CD" w:rsidRDefault="00717272" w:rsidP="00717272">
            <w:pPr>
              <w:spacing w:line="480" w:lineRule="auto"/>
              <w:rPr>
                <w:sz w:val="22"/>
                <w:szCs w:val="22"/>
              </w:rPr>
            </w:pPr>
            <w:r w:rsidRPr="003E73CD">
              <w:rPr>
                <w:sz w:val="22"/>
                <w:szCs w:val="22"/>
              </w:rPr>
              <w:t>Trunk + extremity (expected)</w:t>
            </w:r>
          </w:p>
        </w:tc>
      </w:tr>
      <w:tr w:rsidR="00717272" w:rsidRPr="003E73CD" w14:paraId="413516DA" w14:textId="77777777" w:rsidTr="00717272">
        <w:tc>
          <w:tcPr>
            <w:tcW w:w="2838" w:type="dxa"/>
          </w:tcPr>
          <w:p w14:paraId="5D00AEFC" w14:textId="77777777" w:rsidR="00717272" w:rsidRPr="003E73CD" w:rsidRDefault="00717272" w:rsidP="00717272">
            <w:pPr>
              <w:spacing w:line="480" w:lineRule="auto"/>
              <w:rPr>
                <w:sz w:val="22"/>
                <w:szCs w:val="22"/>
              </w:rPr>
            </w:pPr>
            <w:r w:rsidRPr="003E73CD">
              <w:rPr>
                <w:sz w:val="22"/>
                <w:szCs w:val="22"/>
              </w:rPr>
              <w:t>Non-localization</w:t>
            </w:r>
          </w:p>
        </w:tc>
        <w:tc>
          <w:tcPr>
            <w:tcW w:w="2839" w:type="dxa"/>
          </w:tcPr>
          <w:p w14:paraId="7E45D601" w14:textId="77777777" w:rsidR="00717272" w:rsidRPr="003E73CD" w:rsidRDefault="00717272" w:rsidP="00717272">
            <w:pPr>
              <w:spacing w:line="480" w:lineRule="auto"/>
              <w:rPr>
                <w:sz w:val="22"/>
                <w:szCs w:val="22"/>
              </w:rPr>
            </w:pPr>
            <w:r w:rsidRPr="003E73CD">
              <w:rPr>
                <w:sz w:val="22"/>
                <w:szCs w:val="22"/>
              </w:rPr>
              <w:t>3.76</w:t>
            </w:r>
          </w:p>
        </w:tc>
        <w:tc>
          <w:tcPr>
            <w:tcW w:w="2839" w:type="dxa"/>
          </w:tcPr>
          <w:p w14:paraId="582FEA1C" w14:textId="77777777" w:rsidR="00717272" w:rsidRPr="003E73CD" w:rsidRDefault="00717272" w:rsidP="00717272">
            <w:pPr>
              <w:spacing w:line="480" w:lineRule="auto"/>
              <w:rPr>
                <w:sz w:val="22"/>
                <w:szCs w:val="22"/>
              </w:rPr>
            </w:pPr>
            <w:r w:rsidRPr="003E73CD">
              <w:rPr>
                <w:sz w:val="22"/>
                <w:szCs w:val="22"/>
              </w:rPr>
              <w:t>14.23</w:t>
            </w:r>
          </w:p>
        </w:tc>
      </w:tr>
      <w:tr w:rsidR="00717272" w:rsidRPr="003E73CD" w14:paraId="4D4B39B0" w14:textId="77777777" w:rsidTr="00717272">
        <w:tc>
          <w:tcPr>
            <w:tcW w:w="2838" w:type="dxa"/>
          </w:tcPr>
          <w:p w14:paraId="2CBA8B81" w14:textId="77777777" w:rsidR="00717272" w:rsidRPr="003E73CD" w:rsidRDefault="00717272" w:rsidP="00717272">
            <w:pPr>
              <w:spacing w:line="480" w:lineRule="auto"/>
              <w:rPr>
                <w:sz w:val="22"/>
                <w:szCs w:val="22"/>
              </w:rPr>
            </w:pPr>
            <w:r w:rsidRPr="003E73CD">
              <w:rPr>
                <w:sz w:val="22"/>
                <w:szCs w:val="22"/>
              </w:rPr>
              <w:t>Localization</w:t>
            </w:r>
          </w:p>
        </w:tc>
        <w:tc>
          <w:tcPr>
            <w:tcW w:w="2839" w:type="dxa"/>
          </w:tcPr>
          <w:p w14:paraId="0B869355" w14:textId="77777777" w:rsidR="00717272" w:rsidRPr="003E73CD" w:rsidRDefault="00717272" w:rsidP="00717272">
            <w:pPr>
              <w:spacing w:line="480" w:lineRule="auto"/>
              <w:rPr>
                <w:sz w:val="22"/>
                <w:szCs w:val="22"/>
              </w:rPr>
            </w:pPr>
            <w:r w:rsidRPr="003E73CD">
              <w:rPr>
                <w:sz w:val="22"/>
                <w:szCs w:val="22"/>
              </w:rPr>
              <w:t>1168.23</w:t>
            </w:r>
          </w:p>
        </w:tc>
        <w:tc>
          <w:tcPr>
            <w:tcW w:w="2839" w:type="dxa"/>
          </w:tcPr>
          <w:p w14:paraId="44CED196" w14:textId="77777777" w:rsidR="00717272" w:rsidRPr="003E73CD" w:rsidRDefault="00717272" w:rsidP="00717272">
            <w:pPr>
              <w:spacing w:line="480" w:lineRule="auto"/>
              <w:rPr>
                <w:sz w:val="22"/>
                <w:szCs w:val="22"/>
              </w:rPr>
            </w:pPr>
            <w:r w:rsidRPr="003E73CD">
              <w:rPr>
                <w:sz w:val="22"/>
                <w:szCs w:val="22"/>
              </w:rPr>
              <w:t>4413.77</w:t>
            </w:r>
          </w:p>
        </w:tc>
      </w:tr>
    </w:tbl>
    <w:p w14:paraId="74B50F99" w14:textId="77777777" w:rsidR="00FB74ED" w:rsidRPr="003E73CD" w:rsidRDefault="00FB74ED" w:rsidP="0061482C">
      <w:pPr>
        <w:spacing w:line="480" w:lineRule="auto"/>
        <w:rPr>
          <w:sz w:val="22"/>
          <w:szCs w:val="22"/>
        </w:rPr>
      </w:pPr>
    </w:p>
    <w:p w14:paraId="6124691A" w14:textId="77777777" w:rsidR="00FB74ED" w:rsidRPr="003E73CD" w:rsidRDefault="00FB74ED" w:rsidP="0061482C">
      <w:pPr>
        <w:spacing w:line="480" w:lineRule="auto"/>
        <w:rPr>
          <w:sz w:val="22"/>
          <w:szCs w:val="22"/>
        </w:rPr>
      </w:pPr>
    </w:p>
    <w:p w14:paraId="4CE0E27C" w14:textId="77777777" w:rsidR="00FB74ED" w:rsidRPr="003E73CD" w:rsidRDefault="00FB74ED" w:rsidP="0061482C">
      <w:pPr>
        <w:spacing w:line="480" w:lineRule="auto"/>
        <w:rPr>
          <w:sz w:val="22"/>
          <w:szCs w:val="22"/>
        </w:rPr>
      </w:pPr>
    </w:p>
    <w:p w14:paraId="6A5D994B" w14:textId="77777777" w:rsidR="00FB74ED" w:rsidRPr="003E73CD" w:rsidRDefault="00FB74ED" w:rsidP="0061482C">
      <w:pPr>
        <w:spacing w:line="480" w:lineRule="auto"/>
        <w:rPr>
          <w:sz w:val="22"/>
          <w:szCs w:val="22"/>
        </w:rPr>
      </w:pPr>
    </w:p>
    <w:p w14:paraId="23CEC1D1" w14:textId="77777777" w:rsidR="00FB74ED" w:rsidRPr="003E73CD" w:rsidRDefault="00FB74ED" w:rsidP="0061482C">
      <w:pPr>
        <w:spacing w:line="480" w:lineRule="auto"/>
        <w:rPr>
          <w:sz w:val="22"/>
          <w:szCs w:val="22"/>
        </w:rPr>
      </w:pPr>
    </w:p>
    <w:p w14:paraId="4DEE3429" w14:textId="77777777" w:rsidR="00FB74ED" w:rsidRPr="003E73CD" w:rsidRDefault="00FB74ED" w:rsidP="0061482C">
      <w:pPr>
        <w:spacing w:line="480" w:lineRule="auto"/>
        <w:rPr>
          <w:sz w:val="22"/>
          <w:szCs w:val="22"/>
        </w:rPr>
      </w:pPr>
    </w:p>
    <w:p w14:paraId="4653DC71" w14:textId="77777777" w:rsidR="00FB74ED" w:rsidRPr="003E73CD" w:rsidRDefault="00FB74ED" w:rsidP="0061482C">
      <w:pPr>
        <w:spacing w:line="480" w:lineRule="auto"/>
        <w:rPr>
          <w:sz w:val="22"/>
          <w:szCs w:val="22"/>
        </w:rPr>
      </w:pPr>
    </w:p>
    <w:p w14:paraId="1A3CA2D6" w14:textId="77777777" w:rsidR="00FB74ED" w:rsidRPr="003E73CD" w:rsidRDefault="00FB74ED" w:rsidP="0061482C">
      <w:pPr>
        <w:spacing w:line="480" w:lineRule="auto"/>
        <w:rPr>
          <w:sz w:val="22"/>
          <w:szCs w:val="22"/>
        </w:rPr>
      </w:pPr>
    </w:p>
    <w:p w14:paraId="233F9FAB" w14:textId="77777777" w:rsidR="00FB74ED" w:rsidRPr="003E73CD" w:rsidRDefault="00FB74ED" w:rsidP="0061482C">
      <w:pPr>
        <w:spacing w:line="480" w:lineRule="auto"/>
        <w:rPr>
          <w:sz w:val="22"/>
          <w:szCs w:val="22"/>
        </w:rPr>
      </w:pPr>
    </w:p>
    <w:p w14:paraId="5ADD383D" w14:textId="77777777" w:rsidR="00FB74ED" w:rsidRPr="003E73CD" w:rsidRDefault="00FB74ED" w:rsidP="0061482C">
      <w:pPr>
        <w:spacing w:line="480" w:lineRule="auto"/>
        <w:rPr>
          <w:sz w:val="22"/>
          <w:szCs w:val="22"/>
        </w:rPr>
      </w:pPr>
    </w:p>
    <w:p w14:paraId="73C3632F" w14:textId="77777777" w:rsidR="00FB74ED" w:rsidRPr="003E73CD" w:rsidRDefault="00FB74ED" w:rsidP="0061482C">
      <w:pPr>
        <w:spacing w:line="480" w:lineRule="auto"/>
        <w:rPr>
          <w:sz w:val="22"/>
          <w:szCs w:val="22"/>
        </w:rPr>
      </w:pPr>
    </w:p>
    <w:p w14:paraId="29C0F8EA" w14:textId="77777777" w:rsidR="00FB74ED" w:rsidRPr="003E73CD" w:rsidRDefault="00FB74ED" w:rsidP="0061482C">
      <w:pPr>
        <w:spacing w:line="480" w:lineRule="auto"/>
        <w:rPr>
          <w:sz w:val="22"/>
          <w:szCs w:val="22"/>
        </w:rPr>
      </w:pPr>
    </w:p>
    <w:p w14:paraId="6B19DFC7" w14:textId="77777777" w:rsidR="00FB74ED" w:rsidRPr="003E73CD" w:rsidRDefault="00FB74ED" w:rsidP="0061482C">
      <w:pPr>
        <w:spacing w:line="480" w:lineRule="auto"/>
        <w:rPr>
          <w:sz w:val="22"/>
          <w:szCs w:val="22"/>
        </w:rPr>
      </w:pPr>
    </w:p>
    <w:p w14:paraId="5AAACD07" w14:textId="77777777" w:rsidR="00FB74ED" w:rsidRPr="003E73CD" w:rsidRDefault="00FB74ED" w:rsidP="0061482C">
      <w:pPr>
        <w:spacing w:line="480" w:lineRule="auto"/>
        <w:rPr>
          <w:sz w:val="22"/>
          <w:szCs w:val="22"/>
        </w:rPr>
      </w:pPr>
    </w:p>
    <w:p w14:paraId="65886992" w14:textId="77777777" w:rsidR="00FB74ED" w:rsidRPr="003E73CD" w:rsidRDefault="00FB74ED" w:rsidP="0061482C">
      <w:pPr>
        <w:spacing w:line="480" w:lineRule="auto"/>
        <w:rPr>
          <w:sz w:val="22"/>
          <w:szCs w:val="22"/>
        </w:rPr>
      </w:pPr>
    </w:p>
    <w:p w14:paraId="6F4C0F40" w14:textId="77777777" w:rsidR="00FE162B" w:rsidRPr="003E73CD" w:rsidRDefault="00FE162B" w:rsidP="0002228C">
      <w:pPr>
        <w:spacing w:line="480" w:lineRule="auto"/>
        <w:rPr>
          <w:sz w:val="22"/>
          <w:szCs w:val="22"/>
        </w:rPr>
      </w:pPr>
    </w:p>
    <w:p w14:paraId="5BE68D60" w14:textId="5B03FDEE" w:rsidR="00BC2F97" w:rsidRPr="003E73CD" w:rsidRDefault="0002228C" w:rsidP="0061482C">
      <w:pPr>
        <w:spacing w:line="480" w:lineRule="auto"/>
        <w:rPr>
          <w:sz w:val="22"/>
          <w:szCs w:val="22"/>
        </w:rPr>
      </w:pPr>
      <w:r w:rsidRPr="003E73CD">
        <w:rPr>
          <w:sz w:val="22"/>
          <w:szCs w:val="22"/>
        </w:rPr>
        <w:br w:type="page"/>
      </w:r>
    </w:p>
    <w:tbl>
      <w:tblPr>
        <w:tblpPr w:leftFromText="181" w:rightFromText="181" w:vertAnchor="page" w:horzAnchor="page" w:tblpX="2377" w:tblpY="270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58"/>
        <w:gridCol w:w="530"/>
        <w:gridCol w:w="659"/>
        <w:gridCol w:w="1046"/>
        <w:gridCol w:w="2091"/>
        <w:gridCol w:w="1291"/>
        <w:gridCol w:w="1300"/>
        <w:gridCol w:w="1239"/>
      </w:tblGrid>
      <w:tr w:rsidR="004638C4" w:rsidRPr="003E73CD" w14:paraId="6D469C7F" w14:textId="77777777" w:rsidTr="004638C4">
        <w:tc>
          <w:tcPr>
            <w:tcW w:w="320" w:type="pct"/>
          </w:tcPr>
          <w:p w14:paraId="53CF677D" w14:textId="77777777" w:rsidR="004638C4" w:rsidRPr="003E73CD" w:rsidRDefault="004638C4" w:rsidP="004638C4">
            <w:pPr>
              <w:spacing w:line="360" w:lineRule="auto"/>
              <w:rPr>
                <w:b/>
                <w:sz w:val="20"/>
                <w:szCs w:val="20"/>
              </w:rPr>
            </w:pPr>
            <w:r w:rsidRPr="003E73CD">
              <w:rPr>
                <w:b/>
                <w:sz w:val="20"/>
                <w:szCs w:val="20"/>
              </w:rPr>
              <w:t>Age</w:t>
            </w:r>
          </w:p>
        </w:tc>
        <w:tc>
          <w:tcPr>
            <w:tcW w:w="304" w:type="pct"/>
          </w:tcPr>
          <w:p w14:paraId="56C1FA8E" w14:textId="77777777" w:rsidR="004638C4" w:rsidRPr="003E73CD" w:rsidRDefault="004638C4" w:rsidP="004638C4">
            <w:pPr>
              <w:spacing w:line="360" w:lineRule="auto"/>
              <w:rPr>
                <w:b/>
                <w:sz w:val="20"/>
                <w:szCs w:val="20"/>
              </w:rPr>
            </w:pPr>
            <w:r w:rsidRPr="003E73CD">
              <w:rPr>
                <w:b/>
                <w:sz w:val="20"/>
                <w:szCs w:val="20"/>
              </w:rPr>
              <w:t>Sex</w:t>
            </w:r>
          </w:p>
        </w:tc>
        <w:tc>
          <w:tcPr>
            <w:tcW w:w="378" w:type="pct"/>
          </w:tcPr>
          <w:p w14:paraId="6AB5F2C0" w14:textId="77777777" w:rsidR="004638C4" w:rsidRPr="003E73CD" w:rsidRDefault="004638C4" w:rsidP="004638C4">
            <w:pPr>
              <w:spacing w:line="360" w:lineRule="auto"/>
              <w:rPr>
                <w:b/>
                <w:sz w:val="20"/>
                <w:szCs w:val="20"/>
              </w:rPr>
            </w:pPr>
            <w:r w:rsidRPr="003E73CD">
              <w:rPr>
                <w:b/>
                <w:sz w:val="20"/>
                <w:szCs w:val="20"/>
              </w:rPr>
              <w:t>Year of LSG</w:t>
            </w:r>
          </w:p>
        </w:tc>
        <w:tc>
          <w:tcPr>
            <w:tcW w:w="600" w:type="pct"/>
          </w:tcPr>
          <w:p w14:paraId="612E8F6F" w14:textId="77777777" w:rsidR="004638C4" w:rsidRPr="003E73CD" w:rsidRDefault="004638C4" w:rsidP="004638C4">
            <w:pPr>
              <w:spacing w:line="360" w:lineRule="auto"/>
              <w:rPr>
                <w:b/>
                <w:sz w:val="20"/>
                <w:szCs w:val="20"/>
              </w:rPr>
            </w:pPr>
            <w:r w:rsidRPr="003E73CD">
              <w:rPr>
                <w:b/>
                <w:sz w:val="20"/>
                <w:szCs w:val="20"/>
              </w:rPr>
              <w:t>Location of primary tumour</w:t>
            </w:r>
          </w:p>
        </w:tc>
        <w:tc>
          <w:tcPr>
            <w:tcW w:w="1200" w:type="pct"/>
          </w:tcPr>
          <w:p w14:paraId="52416D70" w14:textId="77777777" w:rsidR="004638C4" w:rsidRPr="003E73CD" w:rsidRDefault="004638C4" w:rsidP="004638C4">
            <w:pPr>
              <w:spacing w:line="360" w:lineRule="auto"/>
              <w:rPr>
                <w:b/>
                <w:sz w:val="20"/>
                <w:szCs w:val="20"/>
              </w:rPr>
            </w:pPr>
            <w:r w:rsidRPr="003E73CD">
              <w:rPr>
                <w:b/>
                <w:sz w:val="20"/>
                <w:szCs w:val="20"/>
              </w:rPr>
              <w:t>Likely cause for failure to identify SNs</w:t>
            </w:r>
          </w:p>
        </w:tc>
        <w:tc>
          <w:tcPr>
            <w:tcW w:w="741" w:type="pct"/>
          </w:tcPr>
          <w:p w14:paraId="331052E8" w14:textId="77777777" w:rsidR="004638C4" w:rsidRPr="003E73CD" w:rsidRDefault="004638C4" w:rsidP="004638C4">
            <w:pPr>
              <w:spacing w:line="360" w:lineRule="auto"/>
              <w:rPr>
                <w:b/>
                <w:sz w:val="20"/>
                <w:szCs w:val="20"/>
              </w:rPr>
            </w:pPr>
            <w:r w:rsidRPr="003E73CD">
              <w:rPr>
                <w:b/>
                <w:sz w:val="20"/>
                <w:szCs w:val="20"/>
              </w:rPr>
              <w:t>Category of non-localization</w:t>
            </w:r>
          </w:p>
        </w:tc>
        <w:tc>
          <w:tcPr>
            <w:tcW w:w="746" w:type="pct"/>
          </w:tcPr>
          <w:p w14:paraId="1449535E" w14:textId="77777777" w:rsidR="004638C4" w:rsidRPr="003E73CD" w:rsidRDefault="004638C4" w:rsidP="004638C4">
            <w:pPr>
              <w:spacing w:line="360" w:lineRule="auto"/>
              <w:rPr>
                <w:b/>
                <w:sz w:val="20"/>
                <w:szCs w:val="20"/>
              </w:rPr>
            </w:pPr>
            <w:r w:rsidRPr="003E73CD">
              <w:rPr>
                <w:b/>
                <w:sz w:val="20"/>
                <w:szCs w:val="20"/>
              </w:rPr>
              <w:t>SN biopsy performed?</w:t>
            </w:r>
          </w:p>
        </w:tc>
        <w:tc>
          <w:tcPr>
            <w:tcW w:w="711" w:type="pct"/>
          </w:tcPr>
          <w:p w14:paraId="5C1002C1" w14:textId="77777777" w:rsidR="004638C4" w:rsidRPr="003E73CD" w:rsidRDefault="004638C4" w:rsidP="004638C4">
            <w:pPr>
              <w:spacing w:line="360" w:lineRule="auto"/>
              <w:rPr>
                <w:b/>
                <w:sz w:val="20"/>
                <w:szCs w:val="20"/>
              </w:rPr>
            </w:pPr>
            <w:r w:rsidRPr="003E73CD">
              <w:rPr>
                <w:b/>
                <w:sz w:val="20"/>
                <w:szCs w:val="20"/>
              </w:rPr>
              <w:t>Site of any recurrence</w:t>
            </w:r>
          </w:p>
        </w:tc>
      </w:tr>
      <w:tr w:rsidR="004638C4" w:rsidRPr="003E73CD" w14:paraId="477516C3" w14:textId="77777777" w:rsidTr="004638C4">
        <w:tc>
          <w:tcPr>
            <w:tcW w:w="320" w:type="pct"/>
          </w:tcPr>
          <w:p w14:paraId="48EEB40A" w14:textId="77777777" w:rsidR="004638C4" w:rsidRPr="003E73CD" w:rsidRDefault="004638C4" w:rsidP="004638C4">
            <w:pPr>
              <w:spacing w:line="360" w:lineRule="auto"/>
              <w:rPr>
                <w:sz w:val="20"/>
                <w:szCs w:val="20"/>
              </w:rPr>
            </w:pPr>
            <w:r w:rsidRPr="003E73CD">
              <w:rPr>
                <w:sz w:val="20"/>
                <w:szCs w:val="20"/>
              </w:rPr>
              <w:t>65</w:t>
            </w:r>
          </w:p>
        </w:tc>
        <w:tc>
          <w:tcPr>
            <w:tcW w:w="304" w:type="pct"/>
          </w:tcPr>
          <w:p w14:paraId="087DBFE0" w14:textId="77777777" w:rsidR="004638C4" w:rsidRPr="003E73CD" w:rsidRDefault="004638C4" w:rsidP="004638C4">
            <w:pPr>
              <w:spacing w:line="360" w:lineRule="auto"/>
              <w:rPr>
                <w:sz w:val="20"/>
                <w:szCs w:val="20"/>
              </w:rPr>
            </w:pPr>
            <w:r w:rsidRPr="003E73CD">
              <w:rPr>
                <w:sz w:val="20"/>
                <w:szCs w:val="20"/>
              </w:rPr>
              <w:t>F</w:t>
            </w:r>
          </w:p>
        </w:tc>
        <w:tc>
          <w:tcPr>
            <w:tcW w:w="378" w:type="pct"/>
          </w:tcPr>
          <w:p w14:paraId="5B36987D" w14:textId="77777777" w:rsidR="004638C4" w:rsidRPr="003E73CD" w:rsidRDefault="004638C4" w:rsidP="004638C4">
            <w:pPr>
              <w:spacing w:line="360" w:lineRule="auto"/>
              <w:rPr>
                <w:sz w:val="20"/>
                <w:szCs w:val="20"/>
              </w:rPr>
            </w:pPr>
            <w:r w:rsidRPr="003E73CD">
              <w:rPr>
                <w:sz w:val="20"/>
                <w:szCs w:val="20"/>
              </w:rPr>
              <w:t>1992</w:t>
            </w:r>
          </w:p>
        </w:tc>
        <w:tc>
          <w:tcPr>
            <w:tcW w:w="600" w:type="pct"/>
          </w:tcPr>
          <w:p w14:paraId="5884E261" w14:textId="77777777" w:rsidR="004638C4" w:rsidRPr="003E73CD" w:rsidRDefault="004638C4" w:rsidP="004638C4">
            <w:pPr>
              <w:spacing w:line="360" w:lineRule="auto"/>
              <w:rPr>
                <w:sz w:val="20"/>
                <w:szCs w:val="20"/>
              </w:rPr>
            </w:pPr>
            <w:r w:rsidRPr="003E73CD">
              <w:rPr>
                <w:sz w:val="20"/>
                <w:szCs w:val="20"/>
              </w:rPr>
              <w:t>Right pre-auricular region</w:t>
            </w:r>
          </w:p>
        </w:tc>
        <w:tc>
          <w:tcPr>
            <w:tcW w:w="1200" w:type="pct"/>
          </w:tcPr>
          <w:p w14:paraId="7CED7D73" w14:textId="77777777" w:rsidR="004638C4" w:rsidRPr="003E73CD" w:rsidRDefault="004638C4" w:rsidP="004638C4">
            <w:pPr>
              <w:spacing w:line="360" w:lineRule="auto"/>
              <w:rPr>
                <w:sz w:val="20"/>
                <w:szCs w:val="20"/>
              </w:rPr>
            </w:pPr>
            <w:r w:rsidRPr="003E73CD">
              <w:rPr>
                <w:sz w:val="20"/>
                <w:szCs w:val="20"/>
              </w:rPr>
              <w:t>Primary site over regional nodes</w:t>
            </w:r>
          </w:p>
        </w:tc>
        <w:tc>
          <w:tcPr>
            <w:tcW w:w="741" w:type="pct"/>
          </w:tcPr>
          <w:p w14:paraId="3DF2994B" w14:textId="77777777" w:rsidR="004638C4" w:rsidRPr="003E73CD" w:rsidRDefault="004638C4" w:rsidP="004638C4">
            <w:pPr>
              <w:spacing w:line="360" w:lineRule="auto"/>
              <w:rPr>
                <w:sz w:val="20"/>
                <w:szCs w:val="20"/>
              </w:rPr>
            </w:pPr>
            <w:r w:rsidRPr="003E73CD">
              <w:rPr>
                <w:sz w:val="20"/>
                <w:szCs w:val="20"/>
              </w:rPr>
              <w:t>Apparent</w:t>
            </w:r>
          </w:p>
        </w:tc>
        <w:tc>
          <w:tcPr>
            <w:tcW w:w="746" w:type="pct"/>
          </w:tcPr>
          <w:p w14:paraId="1EEF971C" w14:textId="77777777" w:rsidR="004638C4" w:rsidRPr="003E73CD" w:rsidRDefault="004638C4" w:rsidP="004638C4">
            <w:pPr>
              <w:spacing w:line="360" w:lineRule="auto"/>
              <w:rPr>
                <w:sz w:val="20"/>
                <w:szCs w:val="20"/>
              </w:rPr>
            </w:pPr>
            <w:r w:rsidRPr="003E73CD">
              <w:rPr>
                <w:sz w:val="20"/>
                <w:szCs w:val="20"/>
              </w:rPr>
              <w:t>No</w:t>
            </w:r>
          </w:p>
        </w:tc>
        <w:tc>
          <w:tcPr>
            <w:tcW w:w="711" w:type="pct"/>
          </w:tcPr>
          <w:p w14:paraId="6884BDE0" w14:textId="77777777" w:rsidR="004638C4" w:rsidRPr="003E73CD" w:rsidRDefault="004638C4" w:rsidP="004638C4">
            <w:pPr>
              <w:spacing w:line="360" w:lineRule="auto"/>
              <w:rPr>
                <w:sz w:val="20"/>
                <w:szCs w:val="20"/>
              </w:rPr>
            </w:pPr>
            <w:r w:rsidRPr="003E73CD">
              <w:rPr>
                <w:sz w:val="20"/>
                <w:szCs w:val="20"/>
              </w:rPr>
              <w:t>None at 10 years</w:t>
            </w:r>
          </w:p>
        </w:tc>
      </w:tr>
      <w:tr w:rsidR="004638C4" w:rsidRPr="003E73CD" w14:paraId="1B2FA3B9" w14:textId="77777777" w:rsidTr="004638C4">
        <w:tc>
          <w:tcPr>
            <w:tcW w:w="320" w:type="pct"/>
          </w:tcPr>
          <w:p w14:paraId="71F70F41" w14:textId="77777777" w:rsidR="004638C4" w:rsidRPr="003E73CD" w:rsidRDefault="004638C4" w:rsidP="004638C4">
            <w:pPr>
              <w:spacing w:line="360" w:lineRule="auto"/>
              <w:rPr>
                <w:sz w:val="20"/>
                <w:szCs w:val="20"/>
              </w:rPr>
            </w:pPr>
            <w:r w:rsidRPr="003E73CD">
              <w:rPr>
                <w:sz w:val="20"/>
                <w:szCs w:val="20"/>
              </w:rPr>
              <w:t>45</w:t>
            </w:r>
          </w:p>
        </w:tc>
        <w:tc>
          <w:tcPr>
            <w:tcW w:w="304" w:type="pct"/>
          </w:tcPr>
          <w:p w14:paraId="2E111757" w14:textId="77777777" w:rsidR="004638C4" w:rsidRPr="003E73CD" w:rsidRDefault="004638C4" w:rsidP="004638C4">
            <w:pPr>
              <w:spacing w:line="360" w:lineRule="auto"/>
              <w:rPr>
                <w:sz w:val="20"/>
                <w:szCs w:val="20"/>
              </w:rPr>
            </w:pPr>
            <w:r w:rsidRPr="003E73CD">
              <w:rPr>
                <w:sz w:val="20"/>
                <w:szCs w:val="20"/>
              </w:rPr>
              <w:t>F</w:t>
            </w:r>
          </w:p>
        </w:tc>
        <w:tc>
          <w:tcPr>
            <w:tcW w:w="378" w:type="pct"/>
          </w:tcPr>
          <w:p w14:paraId="60B93FA4" w14:textId="77777777" w:rsidR="004638C4" w:rsidRPr="003E73CD" w:rsidRDefault="004638C4" w:rsidP="004638C4">
            <w:pPr>
              <w:spacing w:line="360" w:lineRule="auto"/>
              <w:rPr>
                <w:sz w:val="20"/>
                <w:szCs w:val="20"/>
              </w:rPr>
            </w:pPr>
            <w:r w:rsidRPr="003E73CD">
              <w:rPr>
                <w:sz w:val="20"/>
                <w:szCs w:val="20"/>
              </w:rPr>
              <w:t>1994</w:t>
            </w:r>
          </w:p>
        </w:tc>
        <w:tc>
          <w:tcPr>
            <w:tcW w:w="600" w:type="pct"/>
          </w:tcPr>
          <w:p w14:paraId="3DCB6B04" w14:textId="77777777" w:rsidR="004638C4" w:rsidRPr="003E73CD" w:rsidRDefault="004638C4" w:rsidP="004638C4">
            <w:pPr>
              <w:spacing w:line="360" w:lineRule="auto"/>
              <w:rPr>
                <w:sz w:val="20"/>
                <w:szCs w:val="20"/>
              </w:rPr>
            </w:pPr>
            <w:r w:rsidRPr="003E73CD">
              <w:rPr>
                <w:sz w:val="20"/>
                <w:szCs w:val="20"/>
              </w:rPr>
              <w:t>Right neck</w:t>
            </w:r>
          </w:p>
        </w:tc>
        <w:tc>
          <w:tcPr>
            <w:tcW w:w="1200" w:type="pct"/>
          </w:tcPr>
          <w:p w14:paraId="3FD55CA2" w14:textId="77777777" w:rsidR="004638C4" w:rsidRPr="003E73CD" w:rsidRDefault="004638C4" w:rsidP="004638C4">
            <w:pPr>
              <w:spacing w:line="360" w:lineRule="auto"/>
              <w:rPr>
                <w:sz w:val="20"/>
                <w:szCs w:val="20"/>
              </w:rPr>
            </w:pPr>
            <w:r w:rsidRPr="003E73CD">
              <w:rPr>
                <w:sz w:val="20"/>
                <w:szCs w:val="20"/>
              </w:rPr>
              <w:t>Primary site over regional nodes</w:t>
            </w:r>
          </w:p>
        </w:tc>
        <w:tc>
          <w:tcPr>
            <w:tcW w:w="741" w:type="pct"/>
          </w:tcPr>
          <w:p w14:paraId="774F8711" w14:textId="77777777" w:rsidR="004638C4" w:rsidRPr="003E73CD" w:rsidRDefault="004638C4" w:rsidP="004638C4">
            <w:pPr>
              <w:spacing w:line="360" w:lineRule="auto"/>
              <w:rPr>
                <w:sz w:val="20"/>
                <w:szCs w:val="20"/>
              </w:rPr>
            </w:pPr>
            <w:r w:rsidRPr="003E73CD">
              <w:rPr>
                <w:sz w:val="20"/>
                <w:szCs w:val="20"/>
              </w:rPr>
              <w:t>Apparent</w:t>
            </w:r>
          </w:p>
        </w:tc>
        <w:tc>
          <w:tcPr>
            <w:tcW w:w="746" w:type="pct"/>
          </w:tcPr>
          <w:p w14:paraId="40FD9DAC" w14:textId="77777777" w:rsidR="004638C4" w:rsidRPr="003E73CD" w:rsidRDefault="004638C4" w:rsidP="004638C4">
            <w:pPr>
              <w:spacing w:line="360" w:lineRule="auto"/>
              <w:rPr>
                <w:sz w:val="20"/>
                <w:szCs w:val="20"/>
              </w:rPr>
            </w:pPr>
            <w:r w:rsidRPr="003E73CD">
              <w:rPr>
                <w:sz w:val="20"/>
                <w:szCs w:val="20"/>
              </w:rPr>
              <w:t>Yes (negative)</w:t>
            </w:r>
          </w:p>
        </w:tc>
        <w:tc>
          <w:tcPr>
            <w:tcW w:w="711" w:type="pct"/>
          </w:tcPr>
          <w:p w14:paraId="5C96AB1F" w14:textId="77777777" w:rsidR="004638C4" w:rsidRPr="003E73CD" w:rsidRDefault="004638C4" w:rsidP="004638C4">
            <w:pPr>
              <w:spacing w:line="360" w:lineRule="auto"/>
              <w:rPr>
                <w:sz w:val="20"/>
                <w:szCs w:val="20"/>
              </w:rPr>
            </w:pPr>
            <w:r w:rsidRPr="003E73CD">
              <w:rPr>
                <w:sz w:val="20"/>
                <w:szCs w:val="20"/>
              </w:rPr>
              <w:t>None at 11 years</w:t>
            </w:r>
          </w:p>
        </w:tc>
      </w:tr>
      <w:tr w:rsidR="004638C4" w:rsidRPr="003E73CD" w14:paraId="6443BEF8" w14:textId="77777777" w:rsidTr="004638C4">
        <w:tc>
          <w:tcPr>
            <w:tcW w:w="320" w:type="pct"/>
          </w:tcPr>
          <w:p w14:paraId="0DA8B36C" w14:textId="77777777" w:rsidR="004638C4" w:rsidRPr="003E73CD" w:rsidRDefault="004638C4" w:rsidP="004638C4">
            <w:pPr>
              <w:spacing w:line="360" w:lineRule="auto"/>
              <w:rPr>
                <w:sz w:val="20"/>
                <w:szCs w:val="20"/>
              </w:rPr>
            </w:pPr>
            <w:r w:rsidRPr="003E73CD">
              <w:rPr>
                <w:sz w:val="20"/>
                <w:szCs w:val="20"/>
              </w:rPr>
              <w:t>66</w:t>
            </w:r>
          </w:p>
        </w:tc>
        <w:tc>
          <w:tcPr>
            <w:tcW w:w="304" w:type="pct"/>
          </w:tcPr>
          <w:p w14:paraId="1BF7E717" w14:textId="77777777" w:rsidR="004638C4" w:rsidRPr="003E73CD" w:rsidRDefault="004638C4" w:rsidP="004638C4">
            <w:pPr>
              <w:spacing w:line="360" w:lineRule="auto"/>
              <w:rPr>
                <w:sz w:val="20"/>
                <w:szCs w:val="20"/>
              </w:rPr>
            </w:pPr>
            <w:r w:rsidRPr="003E73CD">
              <w:rPr>
                <w:sz w:val="20"/>
                <w:szCs w:val="20"/>
              </w:rPr>
              <w:t>M</w:t>
            </w:r>
          </w:p>
        </w:tc>
        <w:tc>
          <w:tcPr>
            <w:tcW w:w="378" w:type="pct"/>
          </w:tcPr>
          <w:p w14:paraId="10692152" w14:textId="77777777" w:rsidR="004638C4" w:rsidRPr="003E73CD" w:rsidRDefault="004638C4" w:rsidP="004638C4">
            <w:pPr>
              <w:spacing w:line="360" w:lineRule="auto"/>
              <w:rPr>
                <w:sz w:val="20"/>
                <w:szCs w:val="20"/>
              </w:rPr>
            </w:pPr>
            <w:r w:rsidRPr="003E73CD">
              <w:rPr>
                <w:sz w:val="20"/>
                <w:szCs w:val="20"/>
              </w:rPr>
              <w:t>1999</w:t>
            </w:r>
          </w:p>
        </w:tc>
        <w:tc>
          <w:tcPr>
            <w:tcW w:w="600" w:type="pct"/>
          </w:tcPr>
          <w:p w14:paraId="2C2FF09A" w14:textId="77777777" w:rsidR="004638C4" w:rsidRPr="003E73CD" w:rsidRDefault="004638C4" w:rsidP="004638C4">
            <w:pPr>
              <w:spacing w:line="360" w:lineRule="auto"/>
              <w:rPr>
                <w:sz w:val="20"/>
                <w:szCs w:val="20"/>
              </w:rPr>
            </w:pPr>
            <w:r w:rsidRPr="003E73CD">
              <w:rPr>
                <w:sz w:val="20"/>
                <w:szCs w:val="20"/>
              </w:rPr>
              <w:t>Right axilla</w:t>
            </w:r>
          </w:p>
        </w:tc>
        <w:tc>
          <w:tcPr>
            <w:tcW w:w="1200" w:type="pct"/>
          </w:tcPr>
          <w:p w14:paraId="462E050F" w14:textId="77777777" w:rsidR="004638C4" w:rsidRPr="003E73CD" w:rsidRDefault="004638C4" w:rsidP="004638C4">
            <w:pPr>
              <w:spacing w:line="360" w:lineRule="auto"/>
              <w:rPr>
                <w:sz w:val="20"/>
                <w:szCs w:val="20"/>
              </w:rPr>
            </w:pPr>
            <w:r w:rsidRPr="003E73CD">
              <w:rPr>
                <w:sz w:val="20"/>
                <w:szCs w:val="20"/>
              </w:rPr>
              <w:t>Primary site over regional nodes</w:t>
            </w:r>
          </w:p>
        </w:tc>
        <w:tc>
          <w:tcPr>
            <w:tcW w:w="741" w:type="pct"/>
          </w:tcPr>
          <w:p w14:paraId="6E84E45E" w14:textId="77777777" w:rsidR="004638C4" w:rsidRPr="003E73CD" w:rsidRDefault="004638C4" w:rsidP="004638C4">
            <w:pPr>
              <w:spacing w:line="360" w:lineRule="auto"/>
              <w:rPr>
                <w:sz w:val="20"/>
                <w:szCs w:val="20"/>
              </w:rPr>
            </w:pPr>
            <w:r w:rsidRPr="003E73CD">
              <w:rPr>
                <w:sz w:val="20"/>
                <w:szCs w:val="20"/>
              </w:rPr>
              <w:t>Apparent</w:t>
            </w:r>
          </w:p>
        </w:tc>
        <w:tc>
          <w:tcPr>
            <w:tcW w:w="746" w:type="pct"/>
          </w:tcPr>
          <w:p w14:paraId="7B39D4C5" w14:textId="77777777" w:rsidR="004638C4" w:rsidRPr="003E73CD" w:rsidRDefault="004638C4" w:rsidP="004638C4">
            <w:pPr>
              <w:spacing w:line="360" w:lineRule="auto"/>
              <w:rPr>
                <w:sz w:val="20"/>
                <w:szCs w:val="20"/>
              </w:rPr>
            </w:pPr>
            <w:r w:rsidRPr="003E73CD">
              <w:rPr>
                <w:sz w:val="20"/>
                <w:szCs w:val="20"/>
              </w:rPr>
              <w:t>No</w:t>
            </w:r>
          </w:p>
        </w:tc>
        <w:tc>
          <w:tcPr>
            <w:tcW w:w="711" w:type="pct"/>
          </w:tcPr>
          <w:p w14:paraId="74A475AF" w14:textId="77777777" w:rsidR="004638C4" w:rsidRPr="003E73CD" w:rsidRDefault="004638C4" w:rsidP="004638C4">
            <w:pPr>
              <w:spacing w:line="360" w:lineRule="auto"/>
              <w:rPr>
                <w:sz w:val="20"/>
                <w:szCs w:val="20"/>
              </w:rPr>
            </w:pPr>
            <w:r w:rsidRPr="003E73CD">
              <w:rPr>
                <w:sz w:val="20"/>
                <w:szCs w:val="20"/>
              </w:rPr>
              <w:t>Right axilla</w:t>
            </w:r>
          </w:p>
        </w:tc>
      </w:tr>
      <w:tr w:rsidR="004638C4" w:rsidRPr="003E73CD" w14:paraId="7DBB932B" w14:textId="77777777" w:rsidTr="004638C4">
        <w:tc>
          <w:tcPr>
            <w:tcW w:w="320" w:type="pct"/>
          </w:tcPr>
          <w:p w14:paraId="16022ECD" w14:textId="77777777" w:rsidR="004638C4" w:rsidRPr="003E73CD" w:rsidRDefault="004638C4" w:rsidP="004638C4">
            <w:pPr>
              <w:spacing w:line="360" w:lineRule="auto"/>
              <w:rPr>
                <w:sz w:val="20"/>
                <w:szCs w:val="20"/>
              </w:rPr>
            </w:pPr>
            <w:r w:rsidRPr="003E73CD">
              <w:rPr>
                <w:sz w:val="20"/>
                <w:szCs w:val="20"/>
              </w:rPr>
              <w:t>77</w:t>
            </w:r>
          </w:p>
        </w:tc>
        <w:tc>
          <w:tcPr>
            <w:tcW w:w="304" w:type="pct"/>
          </w:tcPr>
          <w:p w14:paraId="6CCA27DE" w14:textId="77777777" w:rsidR="004638C4" w:rsidRPr="003E73CD" w:rsidRDefault="004638C4" w:rsidP="004638C4">
            <w:pPr>
              <w:spacing w:line="360" w:lineRule="auto"/>
              <w:rPr>
                <w:sz w:val="20"/>
                <w:szCs w:val="20"/>
              </w:rPr>
            </w:pPr>
            <w:r w:rsidRPr="003E73CD">
              <w:rPr>
                <w:sz w:val="20"/>
                <w:szCs w:val="20"/>
              </w:rPr>
              <w:t>F</w:t>
            </w:r>
          </w:p>
        </w:tc>
        <w:tc>
          <w:tcPr>
            <w:tcW w:w="378" w:type="pct"/>
          </w:tcPr>
          <w:p w14:paraId="22684EBC" w14:textId="77777777" w:rsidR="004638C4" w:rsidRPr="003E73CD" w:rsidRDefault="004638C4" w:rsidP="004638C4">
            <w:pPr>
              <w:spacing w:line="360" w:lineRule="auto"/>
              <w:rPr>
                <w:sz w:val="20"/>
                <w:szCs w:val="20"/>
              </w:rPr>
            </w:pPr>
            <w:r w:rsidRPr="003E73CD">
              <w:rPr>
                <w:sz w:val="20"/>
                <w:szCs w:val="20"/>
              </w:rPr>
              <w:t>2001</w:t>
            </w:r>
          </w:p>
        </w:tc>
        <w:tc>
          <w:tcPr>
            <w:tcW w:w="600" w:type="pct"/>
          </w:tcPr>
          <w:p w14:paraId="16A1491B" w14:textId="77777777" w:rsidR="004638C4" w:rsidRPr="003E73CD" w:rsidRDefault="004638C4" w:rsidP="004638C4">
            <w:pPr>
              <w:spacing w:line="360" w:lineRule="auto"/>
              <w:rPr>
                <w:sz w:val="20"/>
                <w:szCs w:val="20"/>
              </w:rPr>
            </w:pPr>
            <w:r w:rsidRPr="003E73CD">
              <w:rPr>
                <w:sz w:val="20"/>
                <w:szCs w:val="20"/>
              </w:rPr>
              <w:t>Right cheek</w:t>
            </w:r>
          </w:p>
        </w:tc>
        <w:tc>
          <w:tcPr>
            <w:tcW w:w="1200" w:type="pct"/>
          </w:tcPr>
          <w:p w14:paraId="447E5D3C" w14:textId="77777777" w:rsidR="004638C4" w:rsidRPr="003E73CD" w:rsidRDefault="004638C4" w:rsidP="004638C4">
            <w:pPr>
              <w:spacing w:line="360" w:lineRule="auto"/>
              <w:rPr>
                <w:sz w:val="20"/>
                <w:szCs w:val="20"/>
              </w:rPr>
            </w:pPr>
            <w:r w:rsidRPr="003E73CD">
              <w:rPr>
                <w:sz w:val="20"/>
                <w:szCs w:val="20"/>
              </w:rPr>
              <w:t>No cause identified</w:t>
            </w:r>
          </w:p>
        </w:tc>
        <w:tc>
          <w:tcPr>
            <w:tcW w:w="741" w:type="pct"/>
          </w:tcPr>
          <w:p w14:paraId="3ECBAB20" w14:textId="77777777" w:rsidR="004638C4" w:rsidRPr="003E73CD" w:rsidRDefault="004638C4" w:rsidP="004638C4">
            <w:pPr>
              <w:spacing w:line="360" w:lineRule="auto"/>
              <w:rPr>
                <w:sz w:val="20"/>
                <w:szCs w:val="20"/>
              </w:rPr>
            </w:pPr>
            <w:r w:rsidRPr="003E73CD">
              <w:rPr>
                <w:sz w:val="20"/>
                <w:szCs w:val="20"/>
              </w:rPr>
              <w:t>True</w:t>
            </w:r>
          </w:p>
        </w:tc>
        <w:tc>
          <w:tcPr>
            <w:tcW w:w="746" w:type="pct"/>
          </w:tcPr>
          <w:p w14:paraId="2670CCC8" w14:textId="77777777" w:rsidR="004638C4" w:rsidRPr="003E73CD" w:rsidRDefault="004638C4" w:rsidP="004638C4">
            <w:pPr>
              <w:spacing w:line="360" w:lineRule="auto"/>
              <w:rPr>
                <w:sz w:val="20"/>
                <w:szCs w:val="20"/>
              </w:rPr>
            </w:pPr>
            <w:r w:rsidRPr="003E73CD">
              <w:rPr>
                <w:sz w:val="20"/>
                <w:szCs w:val="20"/>
              </w:rPr>
              <w:t>Unknown</w:t>
            </w:r>
          </w:p>
        </w:tc>
        <w:tc>
          <w:tcPr>
            <w:tcW w:w="711" w:type="pct"/>
          </w:tcPr>
          <w:p w14:paraId="506CEC8C" w14:textId="77777777" w:rsidR="004638C4" w:rsidRPr="003E73CD" w:rsidRDefault="004638C4" w:rsidP="004638C4">
            <w:pPr>
              <w:spacing w:line="360" w:lineRule="auto"/>
              <w:rPr>
                <w:sz w:val="20"/>
                <w:szCs w:val="20"/>
              </w:rPr>
            </w:pPr>
            <w:r w:rsidRPr="003E73CD">
              <w:rPr>
                <w:sz w:val="20"/>
                <w:szCs w:val="20"/>
              </w:rPr>
              <w:t>Unknown</w:t>
            </w:r>
          </w:p>
        </w:tc>
      </w:tr>
      <w:tr w:rsidR="004638C4" w:rsidRPr="003E73CD" w14:paraId="73F44CB0" w14:textId="77777777" w:rsidTr="004638C4">
        <w:tc>
          <w:tcPr>
            <w:tcW w:w="320" w:type="pct"/>
          </w:tcPr>
          <w:p w14:paraId="2009D06F" w14:textId="77777777" w:rsidR="004638C4" w:rsidRPr="003E73CD" w:rsidRDefault="004638C4" w:rsidP="004638C4">
            <w:pPr>
              <w:spacing w:line="360" w:lineRule="auto"/>
              <w:rPr>
                <w:sz w:val="20"/>
                <w:szCs w:val="20"/>
              </w:rPr>
            </w:pPr>
            <w:r w:rsidRPr="003E73CD">
              <w:rPr>
                <w:sz w:val="20"/>
                <w:szCs w:val="20"/>
              </w:rPr>
              <w:t>57</w:t>
            </w:r>
          </w:p>
        </w:tc>
        <w:tc>
          <w:tcPr>
            <w:tcW w:w="304" w:type="pct"/>
          </w:tcPr>
          <w:p w14:paraId="338DF6E2" w14:textId="77777777" w:rsidR="004638C4" w:rsidRPr="003E73CD" w:rsidRDefault="004638C4" w:rsidP="004638C4">
            <w:pPr>
              <w:spacing w:line="360" w:lineRule="auto"/>
              <w:rPr>
                <w:sz w:val="20"/>
                <w:szCs w:val="20"/>
              </w:rPr>
            </w:pPr>
            <w:r w:rsidRPr="003E73CD">
              <w:rPr>
                <w:sz w:val="20"/>
                <w:szCs w:val="20"/>
              </w:rPr>
              <w:t>F</w:t>
            </w:r>
          </w:p>
        </w:tc>
        <w:tc>
          <w:tcPr>
            <w:tcW w:w="378" w:type="pct"/>
          </w:tcPr>
          <w:p w14:paraId="68451DA8" w14:textId="77777777" w:rsidR="004638C4" w:rsidRPr="003E73CD" w:rsidRDefault="004638C4" w:rsidP="004638C4">
            <w:pPr>
              <w:spacing w:line="360" w:lineRule="auto"/>
              <w:rPr>
                <w:sz w:val="20"/>
                <w:szCs w:val="20"/>
              </w:rPr>
            </w:pPr>
            <w:r w:rsidRPr="003E73CD">
              <w:rPr>
                <w:sz w:val="20"/>
                <w:szCs w:val="20"/>
              </w:rPr>
              <w:t>2001</w:t>
            </w:r>
          </w:p>
        </w:tc>
        <w:tc>
          <w:tcPr>
            <w:tcW w:w="600" w:type="pct"/>
          </w:tcPr>
          <w:p w14:paraId="3E8FA2E7" w14:textId="77777777" w:rsidR="004638C4" w:rsidRPr="003E73CD" w:rsidRDefault="004638C4" w:rsidP="004638C4">
            <w:pPr>
              <w:spacing w:line="360" w:lineRule="auto"/>
              <w:rPr>
                <w:sz w:val="20"/>
                <w:szCs w:val="20"/>
              </w:rPr>
            </w:pPr>
            <w:r w:rsidRPr="003E73CD">
              <w:rPr>
                <w:sz w:val="20"/>
                <w:szCs w:val="20"/>
              </w:rPr>
              <w:t>Right posterior shoulder</w:t>
            </w:r>
          </w:p>
        </w:tc>
        <w:tc>
          <w:tcPr>
            <w:tcW w:w="1200" w:type="pct"/>
          </w:tcPr>
          <w:p w14:paraId="27694ED6" w14:textId="77777777" w:rsidR="004638C4" w:rsidRPr="003E73CD" w:rsidRDefault="004638C4" w:rsidP="004638C4">
            <w:pPr>
              <w:spacing w:line="360" w:lineRule="auto"/>
              <w:rPr>
                <w:sz w:val="20"/>
                <w:szCs w:val="20"/>
              </w:rPr>
            </w:pPr>
            <w:r w:rsidRPr="003E73CD">
              <w:rPr>
                <w:sz w:val="20"/>
                <w:szCs w:val="20"/>
              </w:rPr>
              <w:t>Previous right axillary dissection</w:t>
            </w:r>
          </w:p>
        </w:tc>
        <w:tc>
          <w:tcPr>
            <w:tcW w:w="741" w:type="pct"/>
          </w:tcPr>
          <w:p w14:paraId="0E023632" w14:textId="77777777" w:rsidR="004638C4" w:rsidRPr="003E73CD" w:rsidRDefault="004638C4" w:rsidP="004638C4">
            <w:pPr>
              <w:spacing w:line="360" w:lineRule="auto"/>
              <w:rPr>
                <w:sz w:val="20"/>
                <w:szCs w:val="20"/>
              </w:rPr>
            </w:pPr>
            <w:r w:rsidRPr="003E73CD">
              <w:rPr>
                <w:sz w:val="20"/>
                <w:szCs w:val="20"/>
              </w:rPr>
              <w:t>True or apparent</w:t>
            </w:r>
          </w:p>
        </w:tc>
        <w:tc>
          <w:tcPr>
            <w:tcW w:w="746" w:type="pct"/>
          </w:tcPr>
          <w:p w14:paraId="05E5D676" w14:textId="77777777" w:rsidR="004638C4" w:rsidRPr="003E73CD" w:rsidRDefault="004638C4" w:rsidP="004638C4">
            <w:pPr>
              <w:spacing w:line="360" w:lineRule="auto"/>
              <w:rPr>
                <w:sz w:val="20"/>
                <w:szCs w:val="20"/>
              </w:rPr>
            </w:pPr>
            <w:r w:rsidRPr="003E73CD">
              <w:rPr>
                <w:sz w:val="20"/>
                <w:szCs w:val="20"/>
              </w:rPr>
              <w:t>No</w:t>
            </w:r>
          </w:p>
        </w:tc>
        <w:tc>
          <w:tcPr>
            <w:tcW w:w="711" w:type="pct"/>
          </w:tcPr>
          <w:p w14:paraId="5D612C7B" w14:textId="77777777" w:rsidR="004638C4" w:rsidRPr="003E73CD" w:rsidRDefault="004638C4" w:rsidP="004638C4">
            <w:pPr>
              <w:spacing w:line="360" w:lineRule="auto"/>
              <w:rPr>
                <w:sz w:val="20"/>
                <w:szCs w:val="20"/>
              </w:rPr>
            </w:pPr>
            <w:r w:rsidRPr="003E73CD">
              <w:rPr>
                <w:sz w:val="20"/>
                <w:szCs w:val="20"/>
              </w:rPr>
              <w:t>None at 5 years</w:t>
            </w:r>
          </w:p>
        </w:tc>
      </w:tr>
      <w:tr w:rsidR="004638C4" w:rsidRPr="003E73CD" w14:paraId="541055F5" w14:textId="77777777" w:rsidTr="004638C4">
        <w:tc>
          <w:tcPr>
            <w:tcW w:w="320" w:type="pct"/>
          </w:tcPr>
          <w:p w14:paraId="7E2EEC40" w14:textId="77777777" w:rsidR="004638C4" w:rsidRPr="003E73CD" w:rsidRDefault="004638C4" w:rsidP="004638C4">
            <w:pPr>
              <w:spacing w:line="360" w:lineRule="auto"/>
              <w:rPr>
                <w:sz w:val="20"/>
                <w:szCs w:val="20"/>
              </w:rPr>
            </w:pPr>
            <w:r w:rsidRPr="003E73CD">
              <w:rPr>
                <w:sz w:val="20"/>
                <w:szCs w:val="20"/>
              </w:rPr>
              <w:t>77</w:t>
            </w:r>
          </w:p>
        </w:tc>
        <w:tc>
          <w:tcPr>
            <w:tcW w:w="304" w:type="pct"/>
          </w:tcPr>
          <w:p w14:paraId="692A5E3D" w14:textId="77777777" w:rsidR="004638C4" w:rsidRPr="003E73CD" w:rsidRDefault="004638C4" w:rsidP="004638C4">
            <w:pPr>
              <w:spacing w:line="360" w:lineRule="auto"/>
              <w:rPr>
                <w:sz w:val="20"/>
                <w:szCs w:val="20"/>
              </w:rPr>
            </w:pPr>
            <w:r w:rsidRPr="003E73CD">
              <w:rPr>
                <w:sz w:val="20"/>
                <w:szCs w:val="20"/>
              </w:rPr>
              <w:t>F</w:t>
            </w:r>
          </w:p>
        </w:tc>
        <w:tc>
          <w:tcPr>
            <w:tcW w:w="378" w:type="pct"/>
          </w:tcPr>
          <w:p w14:paraId="196E4844" w14:textId="77777777" w:rsidR="004638C4" w:rsidRPr="003E73CD" w:rsidRDefault="004638C4" w:rsidP="004638C4">
            <w:pPr>
              <w:spacing w:line="360" w:lineRule="auto"/>
              <w:rPr>
                <w:sz w:val="20"/>
                <w:szCs w:val="20"/>
              </w:rPr>
            </w:pPr>
            <w:r w:rsidRPr="003E73CD">
              <w:rPr>
                <w:sz w:val="20"/>
                <w:szCs w:val="20"/>
              </w:rPr>
              <w:t>2001</w:t>
            </w:r>
          </w:p>
        </w:tc>
        <w:tc>
          <w:tcPr>
            <w:tcW w:w="600" w:type="pct"/>
          </w:tcPr>
          <w:p w14:paraId="36D72714" w14:textId="77777777" w:rsidR="004638C4" w:rsidRPr="003E73CD" w:rsidRDefault="004638C4" w:rsidP="004638C4">
            <w:pPr>
              <w:spacing w:line="360" w:lineRule="auto"/>
              <w:rPr>
                <w:sz w:val="20"/>
                <w:szCs w:val="20"/>
              </w:rPr>
            </w:pPr>
            <w:r w:rsidRPr="003E73CD">
              <w:rPr>
                <w:sz w:val="20"/>
                <w:szCs w:val="20"/>
              </w:rPr>
              <w:t>Right neck</w:t>
            </w:r>
          </w:p>
        </w:tc>
        <w:tc>
          <w:tcPr>
            <w:tcW w:w="1200" w:type="pct"/>
          </w:tcPr>
          <w:p w14:paraId="770303F4" w14:textId="77777777" w:rsidR="004638C4" w:rsidRPr="003E73CD" w:rsidRDefault="004638C4" w:rsidP="004638C4">
            <w:pPr>
              <w:spacing w:line="360" w:lineRule="auto"/>
              <w:rPr>
                <w:sz w:val="20"/>
                <w:szCs w:val="20"/>
              </w:rPr>
            </w:pPr>
            <w:r w:rsidRPr="003E73CD">
              <w:rPr>
                <w:sz w:val="20"/>
                <w:szCs w:val="20"/>
              </w:rPr>
              <w:t>a) Excision biopsy site infection</w:t>
            </w:r>
          </w:p>
          <w:p w14:paraId="49BB91BD" w14:textId="77777777" w:rsidR="004638C4" w:rsidRPr="003E73CD" w:rsidRDefault="004638C4" w:rsidP="004638C4">
            <w:pPr>
              <w:spacing w:line="360" w:lineRule="auto"/>
              <w:rPr>
                <w:sz w:val="20"/>
                <w:szCs w:val="20"/>
              </w:rPr>
            </w:pPr>
            <w:r w:rsidRPr="003E73CD">
              <w:rPr>
                <w:sz w:val="20"/>
                <w:szCs w:val="20"/>
              </w:rPr>
              <w:t>b) Primary site over regional nodes</w:t>
            </w:r>
          </w:p>
          <w:p w14:paraId="3BD2E14B" w14:textId="77777777" w:rsidR="004638C4" w:rsidRPr="003E73CD" w:rsidRDefault="004638C4" w:rsidP="004638C4">
            <w:pPr>
              <w:spacing w:line="360" w:lineRule="auto"/>
              <w:rPr>
                <w:sz w:val="20"/>
                <w:szCs w:val="20"/>
              </w:rPr>
            </w:pPr>
            <w:r w:rsidRPr="003E73CD">
              <w:rPr>
                <w:sz w:val="20"/>
                <w:szCs w:val="20"/>
              </w:rPr>
              <w:t>c) Previous sternotomy.</w:t>
            </w:r>
          </w:p>
        </w:tc>
        <w:tc>
          <w:tcPr>
            <w:tcW w:w="741" w:type="pct"/>
          </w:tcPr>
          <w:p w14:paraId="2419C7B9" w14:textId="77777777" w:rsidR="004638C4" w:rsidRPr="003E73CD" w:rsidRDefault="004638C4" w:rsidP="004638C4">
            <w:pPr>
              <w:spacing w:line="360" w:lineRule="auto"/>
              <w:rPr>
                <w:sz w:val="20"/>
                <w:szCs w:val="20"/>
              </w:rPr>
            </w:pPr>
            <w:r w:rsidRPr="003E73CD">
              <w:rPr>
                <w:sz w:val="20"/>
                <w:szCs w:val="20"/>
              </w:rPr>
              <w:t>a) True</w:t>
            </w:r>
          </w:p>
          <w:p w14:paraId="0C0FD702" w14:textId="77777777" w:rsidR="004638C4" w:rsidRPr="003E73CD" w:rsidRDefault="004638C4" w:rsidP="004638C4">
            <w:pPr>
              <w:spacing w:line="360" w:lineRule="auto"/>
              <w:rPr>
                <w:sz w:val="20"/>
                <w:szCs w:val="20"/>
              </w:rPr>
            </w:pPr>
            <w:r w:rsidRPr="003E73CD">
              <w:rPr>
                <w:sz w:val="20"/>
                <w:szCs w:val="20"/>
              </w:rPr>
              <w:t>b) Apparent</w:t>
            </w:r>
          </w:p>
          <w:p w14:paraId="56B81030" w14:textId="77777777" w:rsidR="004638C4" w:rsidRPr="003E73CD" w:rsidRDefault="004638C4" w:rsidP="004638C4">
            <w:pPr>
              <w:spacing w:line="360" w:lineRule="auto"/>
              <w:rPr>
                <w:sz w:val="20"/>
                <w:szCs w:val="20"/>
              </w:rPr>
            </w:pPr>
            <w:r w:rsidRPr="003E73CD">
              <w:rPr>
                <w:sz w:val="20"/>
                <w:szCs w:val="20"/>
              </w:rPr>
              <w:t>c) True</w:t>
            </w:r>
          </w:p>
        </w:tc>
        <w:tc>
          <w:tcPr>
            <w:tcW w:w="746" w:type="pct"/>
          </w:tcPr>
          <w:p w14:paraId="6E51DE92" w14:textId="77777777" w:rsidR="004638C4" w:rsidRPr="003E73CD" w:rsidRDefault="004638C4" w:rsidP="004638C4">
            <w:pPr>
              <w:spacing w:line="360" w:lineRule="auto"/>
              <w:rPr>
                <w:sz w:val="20"/>
                <w:szCs w:val="20"/>
              </w:rPr>
            </w:pPr>
            <w:r w:rsidRPr="003E73CD">
              <w:rPr>
                <w:sz w:val="20"/>
                <w:szCs w:val="20"/>
              </w:rPr>
              <w:t>No. No focal hot spot found with gamma probe</w:t>
            </w:r>
          </w:p>
        </w:tc>
        <w:tc>
          <w:tcPr>
            <w:tcW w:w="711" w:type="pct"/>
          </w:tcPr>
          <w:p w14:paraId="55D47EC6" w14:textId="77777777" w:rsidR="004638C4" w:rsidRPr="003E73CD" w:rsidRDefault="004638C4" w:rsidP="004638C4">
            <w:pPr>
              <w:spacing w:line="360" w:lineRule="auto"/>
              <w:rPr>
                <w:sz w:val="20"/>
                <w:szCs w:val="20"/>
              </w:rPr>
            </w:pPr>
            <w:r w:rsidRPr="003E73CD">
              <w:rPr>
                <w:sz w:val="20"/>
                <w:szCs w:val="20"/>
              </w:rPr>
              <w:t>None at 3 years</w:t>
            </w:r>
          </w:p>
        </w:tc>
      </w:tr>
      <w:tr w:rsidR="004638C4" w:rsidRPr="003E73CD" w14:paraId="660BEC85" w14:textId="77777777" w:rsidTr="004638C4">
        <w:tc>
          <w:tcPr>
            <w:tcW w:w="320" w:type="pct"/>
          </w:tcPr>
          <w:p w14:paraId="11BE84A7" w14:textId="77777777" w:rsidR="004638C4" w:rsidRPr="003E73CD" w:rsidRDefault="004638C4" w:rsidP="004638C4">
            <w:pPr>
              <w:spacing w:line="360" w:lineRule="auto"/>
              <w:rPr>
                <w:sz w:val="20"/>
                <w:szCs w:val="20"/>
              </w:rPr>
            </w:pPr>
            <w:r w:rsidRPr="003E73CD">
              <w:rPr>
                <w:sz w:val="20"/>
                <w:szCs w:val="20"/>
              </w:rPr>
              <w:t>75</w:t>
            </w:r>
          </w:p>
        </w:tc>
        <w:tc>
          <w:tcPr>
            <w:tcW w:w="304" w:type="pct"/>
          </w:tcPr>
          <w:p w14:paraId="54F3BCAE" w14:textId="77777777" w:rsidR="004638C4" w:rsidRPr="003E73CD" w:rsidRDefault="004638C4" w:rsidP="004638C4">
            <w:pPr>
              <w:spacing w:line="360" w:lineRule="auto"/>
              <w:rPr>
                <w:sz w:val="20"/>
                <w:szCs w:val="20"/>
              </w:rPr>
            </w:pPr>
            <w:r w:rsidRPr="003E73CD">
              <w:rPr>
                <w:sz w:val="20"/>
                <w:szCs w:val="20"/>
              </w:rPr>
              <w:t>M</w:t>
            </w:r>
          </w:p>
        </w:tc>
        <w:tc>
          <w:tcPr>
            <w:tcW w:w="378" w:type="pct"/>
          </w:tcPr>
          <w:p w14:paraId="259A3A07" w14:textId="77777777" w:rsidR="004638C4" w:rsidRPr="003E73CD" w:rsidRDefault="004638C4" w:rsidP="004638C4">
            <w:pPr>
              <w:spacing w:line="360" w:lineRule="auto"/>
              <w:rPr>
                <w:sz w:val="20"/>
                <w:szCs w:val="20"/>
              </w:rPr>
            </w:pPr>
            <w:r w:rsidRPr="003E73CD">
              <w:rPr>
                <w:sz w:val="20"/>
                <w:szCs w:val="20"/>
              </w:rPr>
              <w:t>2001</w:t>
            </w:r>
          </w:p>
        </w:tc>
        <w:tc>
          <w:tcPr>
            <w:tcW w:w="600" w:type="pct"/>
          </w:tcPr>
          <w:p w14:paraId="28B0D7B7" w14:textId="77777777" w:rsidR="004638C4" w:rsidRPr="003E73CD" w:rsidRDefault="004638C4" w:rsidP="004638C4">
            <w:pPr>
              <w:spacing w:line="360" w:lineRule="auto"/>
              <w:rPr>
                <w:sz w:val="20"/>
                <w:szCs w:val="20"/>
              </w:rPr>
            </w:pPr>
            <w:r w:rsidRPr="003E73CD">
              <w:rPr>
                <w:sz w:val="20"/>
                <w:szCs w:val="20"/>
              </w:rPr>
              <w:t>Left thorax posterior</w:t>
            </w:r>
          </w:p>
        </w:tc>
        <w:tc>
          <w:tcPr>
            <w:tcW w:w="1200" w:type="pct"/>
          </w:tcPr>
          <w:p w14:paraId="235051A9" w14:textId="77777777" w:rsidR="004638C4" w:rsidRPr="003E73CD" w:rsidRDefault="004638C4" w:rsidP="004638C4">
            <w:pPr>
              <w:spacing w:line="360" w:lineRule="auto"/>
              <w:rPr>
                <w:sz w:val="20"/>
                <w:szCs w:val="20"/>
              </w:rPr>
            </w:pPr>
            <w:r w:rsidRPr="003E73CD">
              <w:rPr>
                <w:sz w:val="20"/>
                <w:szCs w:val="20"/>
              </w:rPr>
              <w:t>Excision biopsy site inflamed + dehisced</w:t>
            </w:r>
          </w:p>
        </w:tc>
        <w:tc>
          <w:tcPr>
            <w:tcW w:w="741" w:type="pct"/>
          </w:tcPr>
          <w:p w14:paraId="5B59937D" w14:textId="77777777" w:rsidR="004638C4" w:rsidRPr="003E73CD" w:rsidRDefault="004638C4" w:rsidP="004638C4">
            <w:pPr>
              <w:spacing w:line="360" w:lineRule="auto"/>
              <w:rPr>
                <w:sz w:val="20"/>
                <w:szCs w:val="20"/>
              </w:rPr>
            </w:pPr>
            <w:r w:rsidRPr="003E73CD">
              <w:rPr>
                <w:sz w:val="20"/>
                <w:szCs w:val="20"/>
              </w:rPr>
              <w:t>True</w:t>
            </w:r>
          </w:p>
        </w:tc>
        <w:tc>
          <w:tcPr>
            <w:tcW w:w="746" w:type="pct"/>
          </w:tcPr>
          <w:p w14:paraId="167C0D1C" w14:textId="77777777" w:rsidR="004638C4" w:rsidRPr="003E73CD" w:rsidRDefault="004638C4" w:rsidP="004638C4">
            <w:pPr>
              <w:spacing w:line="360" w:lineRule="auto"/>
              <w:rPr>
                <w:sz w:val="20"/>
                <w:szCs w:val="20"/>
              </w:rPr>
            </w:pPr>
            <w:r w:rsidRPr="003E73CD">
              <w:rPr>
                <w:sz w:val="20"/>
                <w:szCs w:val="20"/>
              </w:rPr>
              <w:t>No</w:t>
            </w:r>
          </w:p>
        </w:tc>
        <w:tc>
          <w:tcPr>
            <w:tcW w:w="711" w:type="pct"/>
          </w:tcPr>
          <w:p w14:paraId="300FB7D3" w14:textId="77777777" w:rsidR="004638C4" w:rsidRPr="003E73CD" w:rsidRDefault="004638C4" w:rsidP="004638C4">
            <w:pPr>
              <w:spacing w:line="360" w:lineRule="auto"/>
              <w:rPr>
                <w:sz w:val="20"/>
                <w:szCs w:val="20"/>
              </w:rPr>
            </w:pPr>
            <w:r w:rsidRPr="003E73CD">
              <w:rPr>
                <w:sz w:val="20"/>
                <w:szCs w:val="20"/>
              </w:rPr>
              <w:t>Died 9 months later, cause unknown</w:t>
            </w:r>
          </w:p>
        </w:tc>
      </w:tr>
      <w:tr w:rsidR="004638C4" w:rsidRPr="003E73CD" w14:paraId="3697C0FD" w14:textId="77777777" w:rsidTr="004638C4">
        <w:tc>
          <w:tcPr>
            <w:tcW w:w="320" w:type="pct"/>
          </w:tcPr>
          <w:p w14:paraId="727DA678" w14:textId="77777777" w:rsidR="004638C4" w:rsidRPr="003E73CD" w:rsidRDefault="004638C4" w:rsidP="004638C4">
            <w:pPr>
              <w:spacing w:line="360" w:lineRule="auto"/>
              <w:rPr>
                <w:sz w:val="20"/>
                <w:szCs w:val="20"/>
              </w:rPr>
            </w:pPr>
            <w:r w:rsidRPr="003E73CD">
              <w:rPr>
                <w:sz w:val="20"/>
                <w:szCs w:val="20"/>
              </w:rPr>
              <w:t>25</w:t>
            </w:r>
          </w:p>
        </w:tc>
        <w:tc>
          <w:tcPr>
            <w:tcW w:w="304" w:type="pct"/>
          </w:tcPr>
          <w:p w14:paraId="596848F8" w14:textId="77777777" w:rsidR="004638C4" w:rsidRPr="003E73CD" w:rsidRDefault="004638C4" w:rsidP="004638C4">
            <w:pPr>
              <w:spacing w:line="360" w:lineRule="auto"/>
              <w:rPr>
                <w:sz w:val="20"/>
                <w:szCs w:val="20"/>
              </w:rPr>
            </w:pPr>
            <w:r w:rsidRPr="003E73CD">
              <w:rPr>
                <w:sz w:val="20"/>
                <w:szCs w:val="20"/>
              </w:rPr>
              <w:t>F</w:t>
            </w:r>
          </w:p>
        </w:tc>
        <w:tc>
          <w:tcPr>
            <w:tcW w:w="378" w:type="pct"/>
          </w:tcPr>
          <w:p w14:paraId="10C44A35" w14:textId="77777777" w:rsidR="004638C4" w:rsidRPr="003E73CD" w:rsidRDefault="004638C4" w:rsidP="004638C4">
            <w:pPr>
              <w:spacing w:line="360" w:lineRule="auto"/>
              <w:rPr>
                <w:sz w:val="20"/>
                <w:szCs w:val="20"/>
              </w:rPr>
            </w:pPr>
            <w:r w:rsidRPr="003E73CD">
              <w:rPr>
                <w:sz w:val="20"/>
                <w:szCs w:val="20"/>
              </w:rPr>
              <w:t>2002</w:t>
            </w:r>
          </w:p>
        </w:tc>
        <w:tc>
          <w:tcPr>
            <w:tcW w:w="600" w:type="pct"/>
          </w:tcPr>
          <w:p w14:paraId="555F8D3F" w14:textId="77777777" w:rsidR="004638C4" w:rsidRPr="003E73CD" w:rsidRDefault="004638C4" w:rsidP="004638C4">
            <w:pPr>
              <w:spacing w:line="360" w:lineRule="auto"/>
              <w:rPr>
                <w:sz w:val="20"/>
                <w:szCs w:val="20"/>
              </w:rPr>
            </w:pPr>
            <w:r w:rsidRPr="003E73CD">
              <w:rPr>
                <w:sz w:val="20"/>
                <w:szCs w:val="20"/>
              </w:rPr>
              <w:t>Left supra-clavicular</w:t>
            </w:r>
          </w:p>
        </w:tc>
        <w:tc>
          <w:tcPr>
            <w:tcW w:w="1200" w:type="pct"/>
          </w:tcPr>
          <w:p w14:paraId="4DBA9A5B" w14:textId="77777777" w:rsidR="004638C4" w:rsidRPr="003E73CD" w:rsidRDefault="004638C4" w:rsidP="004638C4">
            <w:pPr>
              <w:spacing w:line="360" w:lineRule="auto"/>
              <w:rPr>
                <w:sz w:val="20"/>
                <w:szCs w:val="20"/>
              </w:rPr>
            </w:pPr>
            <w:r w:rsidRPr="003E73CD">
              <w:rPr>
                <w:sz w:val="20"/>
                <w:szCs w:val="20"/>
              </w:rPr>
              <w:t>Primary site over regional nodes</w:t>
            </w:r>
          </w:p>
        </w:tc>
        <w:tc>
          <w:tcPr>
            <w:tcW w:w="741" w:type="pct"/>
          </w:tcPr>
          <w:p w14:paraId="0AC06130" w14:textId="77777777" w:rsidR="004638C4" w:rsidRPr="003E73CD" w:rsidRDefault="004638C4" w:rsidP="004638C4">
            <w:pPr>
              <w:spacing w:line="360" w:lineRule="auto"/>
              <w:rPr>
                <w:sz w:val="20"/>
                <w:szCs w:val="20"/>
              </w:rPr>
            </w:pPr>
            <w:r w:rsidRPr="003E73CD">
              <w:rPr>
                <w:sz w:val="20"/>
                <w:szCs w:val="20"/>
              </w:rPr>
              <w:t>Apparent or true (close to thoracic duct)</w:t>
            </w:r>
          </w:p>
        </w:tc>
        <w:tc>
          <w:tcPr>
            <w:tcW w:w="746" w:type="pct"/>
          </w:tcPr>
          <w:p w14:paraId="115D36E5" w14:textId="77777777" w:rsidR="004638C4" w:rsidRPr="003E73CD" w:rsidRDefault="004638C4" w:rsidP="004638C4">
            <w:pPr>
              <w:spacing w:line="360" w:lineRule="auto"/>
              <w:rPr>
                <w:sz w:val="20"/>
                <w:szCs w:val="20"/>
              </w:rPr>
            </w:pPr>
            <w:r w:rsidRPr="003E73CD">
              <w:rPr>
                <w:sz w:val="20"/>
                <w:szCs w:val="20"/>
              </w:rPr>
              <w:t>No</w:t>
            </w:r>
          </w:p>
        </w:tc>
        <w:tc>
          <w:tcPr>
            <w:tcW w:w="711" w:type="pct"/>
          </w:tcPr>
          <w:p w14:paraId="400FBB78" w14:textId="77777777" w:rsidR="004638C4" w:rsidRPr="003E73CD" w:rsidRDefault="004638C4" w:rsidP="004638C4">
            <w:pPr>
              <w:spacing w:line="360" w:lineRule="auto"/>
              <w:rPr>
                <w:sz w:val="20"/>
                <w:szCs w:val="20"/>
              </w:rPr>
            </w:pPr>
            <w:r w:rsidRPr="003E73CD">
              <w:rPr>
                <w:sz w:val="20"/>
                <w:szCs w:val="20"/>
              </w:rPr>
              <w:t>None recorded</w:t>
            </w:r>
          </w:p>
        </w:tc>
      </w:tr>
      <w:tr w:rsidR="004638C4" w:rsidRPr="003E73CD" w14:paraId="6144ABAE" w14:textId="77777777" w:rsidTr="004638C4">
        <w:tc>
          <w:tcPr>
            <w:tcW w:w="320" w:type="pct"/>
          </w:tcPr>
          <w:p w14:paraId="76D36DF1" w14:textId="77777777" w:rsidR="004638C4" w:rsidRPr="003E73CD" w:rsidRDefault="004638C4" w:rsidP="004638C4">
            <w:pPr>
              <w:spacing w:line="360" w:lineRule="auto"/>
              <w:rPr>
                <w:sz w:val="20"/>
                <w:szCs w:val="20"/>
              </w:rPr>
            </w:pPr>
            <w:r w:rsidRPr="003E73CD">
              <w:rPr>
                <w:sz w:val="20"/>
                <w:szCs w:val="20"/>
              </w:rPr>
              <w:t>52</w:t>
            </w:r>
          </w:p>
        </w:tc>
        <w:tc>
          <w:tcPr>
            <w:tcW w:w="304" w:type="pct"/>
          </w:tcPr>
          <w:p w14:paraId="282DB40F" w14:textId="77777777" w:rsidR="004638C4" w:rsidRPr="003E73CD" w:rsidRDefault="004638C4" w:rsidP="004638C4">
            <w:pPr>
              <w:spacing w:line="360" w:lineRule="auto"/>
              <w:rPr>
                <w:sz w:val="20"/>
                <w:szCs w:val="20"/>
              </w:rPr>
            </w:pPr>
            <w:r w:rsidRPr="003E73CD">
              <w:rPr>
                <w:sz w:val="20"/>
                <w:szCs w:val="20"/>
              </w:rPr>
              <w:t>F</w:t>
            </w:r>
          </w:p>
        </w:tc>
        <w:tc>
          <w:tcPr>
            <w:tcW w:w="378" w:type="pct"/>
          </w:tcPr>
          <w:p w14:paraId="7C616083" w14:textId="77777777" w:rsidR="004638C4" w:rsidRPr="003E73CD" w:rsidRDefault="004638C4" w:rsidP="004638C4">
            <w:pPr>
              <w:spacing w:line="360" w:lineRule="auto"/>
              <w:rPr>
                <w:sz w:val="20"/>
                <w:szCs w:val="20"/>
              </w:rPr>
            </w:pPr>
            <w:r w:rsidRPr="003E73CD">
              <w:rPr>
                <w:sz w:val="20"/>
                <w:szCs w:val="20"/>
              </w:rPr>
              <w:t>2002</w:t>
            </w:r>
          </w:p>
        </w:tc>
        <w:tc>
          <w:tcPr>
            <w:tcW w:w="600" w:type="pct"/>
          </w:tcPr>
          <w:p w14:paraId="3EC08337" w14:textId="77777777" w:rsidR="004638C4" w:rsidRPr="003E73CD" w:rsidRDefault="004638C4" w:rsidP="004638C4">
            <w:pPr>
              <w:spacing w:line="360" w:lineRule="auto"/>
              <w:rPr>
                <w:sz w:val="20"/>
                <w:szCs w:val="20"/>
              </w:rPr>
            </w:pPr>
            <w:r w:rsidRPr="003E73CD">
              <w:rPr>
                <w:sz w:val="20"/>
                <w:szCs w:val="20"/>
              </w:rPr>
              <w:t>Left axilla</w:t>
            </w:r>
          </w:p>
        </w:tc>
        <w:tc>
          <w:tcPr>
            <w:tcW w:w="1200" w:type="pct"/>
          </w:tcPr>
          <w:p w14:paraId="7A76B81B" w14:textId="77777777" w:rsidR="004638C4" w:rsidRPr="003E73CD" w:rsidRDefault="004638C4" w:rsidP="004638C4">
            <w:pPr>
              <w:spacing w:line="360" w:lineRule="auto"/>
              <w:rPr>
                <w:sz w:val="20"/>
                <w:szCs w:val="20"/>
              </w:rPr>
            </w:pPr>
            <w:r w:rsidRPr="003E73CD">
              <w:rPr>
                <w:sz w:val="20"/>
                <w:szCs w:val="20"/>
              </w:rPr>
              <w:t>Primary site over regional nodes</w:t>
            </w:r>
          </w:p>
        </w:tc>
        <w:tc>
          <w:tcPr>
            <w:tcW w:w="741" w:type="pct"/>
          </w:tcPr>
          <w:p w14:paraId="3781EFED" w14:textId="77777777" w:rsidR="004638C4" w:rsidRPr="003E73CD" w:rsidRDefault="004638C4" w:rsidP="004638C4">
            <w:pPr>
              <w:spacing w:line="360" w:lineRule="auto"/>
              <w:rPr>
                <w:sz w:val="20"/>
                <w:szCs w:val="20"/>
              </w:rPr>
            </w:pPr>
            <w:r w:rsidRPr="003E73CD">
              <w:rPr>
                <w:sz w:val="20"/>
                <w:szCs w:val="20"/>
              </w:rPr>
              <w:t>Apparent</w:t>
            </w:r>
          </w:p>
        </w:tc>
        <w:tc>
          <w:tcPr>
            <w:tcW w:w="746" w:type="pct"/>
          </w:tcPr>
          <w:p w14:paraId="0EDE245A" w14:textId="77777777" w:rsidR="004638C4" w:rsidRPr="003E73CD" w:rsidRDefault="004638C4" w:rsidP="004638C4">
            <w:pPr>
              <w:spacing w:line="360" w:lineRule="auto"/>
              <w:rPr>
                <w:sz w:val="20"/>
                <w:szCs w:val="20"/>
              </w:rPr>
            </w:pPr>
            <w:r w:rsidRPr="003E73CD">
              <w:rPr>
                <w:sz w:val="20"/>
                <w:szCs w:val="20"/>
              </w:rPr>
              <w:t>No</w:t>
            </w:r>
          </w:p>
        </w:tc>
        <w:tc>
          <w:tcPr>
            <w:tcW w:w="711" w:type="pct"/>
          </w:tcPr>
          <w:p w14:paraId="7B254E95" w14:textId="77777777" w:rsidR="004638C4" w:rsidRPr="003E73CD" w:rsidRDefault="004638C4" w:rsidP="004638C4">
            <w:pPr>
              <w:spacing w:line="360" w:lineRule="auto"/>
              <w:rPr>
                <w:sz w:val="20"/>
                <w:szCs w:val="20"/>
              </w:rPr>
            </w:pPr>
            <w:r w:rsidRPr="003E73CD">
              <w:rPr>
                <w:sz w:val="20"/>
                <w:szCs w:val="20"/>
              </w:rPr>
              <w:t>Left axilla</w:t>
            </w:r>
          </w:p>
        </w:tc>
      </w:tr>
    </w:tbl>
    <w:p w14:paraId="0D2C3102" w14:textId="0CBE685F" w:rsidR="004B3C23" w:rsidRPr="003E73CD" w:rsidRDefault="008E4096" w:rsidP="004B3C23">
      <w:pPr>
        <w:spacing w:line="480" w:lineRule="auto"/>
        <w:rPr>
          <w:sz w:val="22"/>
          <w:szCs w:val="22"/>
        </w:rPr>
      </w:pPr>
      <w:r>
        <w:rPr>
          <w:sz w:val="22"/>
          <w:szCs w:val="22"/>
        </w:rPr>
        <w:t>Table 2.1</w:t>
      </w:r>
      <w:r w:rsidR="0045660C" w:rsidRPr="003E73CD">
        <w:rPr>
          <w:sz w:val="22"/>
          <w:szCs w:val="22"/>
        </w:rPr>
        <w:t>.3</w:t>
      </w:r>
      <w:r w:rsidR="00FE162B" w:rsidRPr="003E73CD">
        <w:rPr>
          <w:sz w:val="22"/>
          <w:szCs w:val="22"/>
        </w:rPr>
        <w:t xml:space="preserve">.  Details of cases where failure to identify sentinel nodes </w:t>
      </w:r>
      <w:r w:rsidR="00A80435" w:rsidRPr="003E73CD">
        <w:rPr>
          <w:sz w:val="22"/>
          <w:szCs w:val="22"/>
        </w:rPr>
        <w:t xml:space="preserve">(non-localization) </w:t>
      </w:r>
      <w:r w:rsidR="00FE162B" w:rsidRPr="003E73CD">
        <w:rPr>
          <w:sz w:val="22"/>
          <w:szCs w:val="22"/>
        </w:rPr>
        <w:t>by lymphoscintigraphy</w:t>
      </w:r>
      <w:r w:rsidR="00BF7B41" w:rsidRPr="003E73CD">
        <w:rPr>
          <w:sz w:val="22"/>
          <w:szCs w:val="22"/>
        </w:rPr>
        <w:t xml:space="preserve"> occurred</w:t>
      </w:r>
      <w:r w:rsidR="00FE162B" w:rsidRPr="003E73CD">
        <w:rPr>
          <w:sz w:val="22"/>
          <w:szCs w:val="22"/>
        </w:rPr>
        <w:t>.</w:t>
      </w:r>
    </w:p>
    <w:p w14:paraId="7360D0DF" w14:textId="77777777" w:rsidR="004B3C23" w:rsidRPr="003E73CD" w:rsidRDefault="004B3C23" w:rsidP="0061482C">
      <w:pPr>
        <w:spacing w:line="480" w:lineRule="auto"/>
        <w:rPr>
          <w:sz w:val="22"/>
          <w:szCs w:val="22"/>
        </w:rPr>
      </w:pPr>
    </w:p>
    <w:p w14:paraId="11A705F1" w14:textId="77777777" w:rsidR="004638C4" w:rsidRPr="003E73CD" w:rsidRDefault="004638C4">
      <w:pPr>
        <w:rPr>
          <w:szCs w:val="22"/>
        </w:rPr>
      </w:pPr>
    </w:p>
    <w:p w14:paraId="4F9B9D88" w14:textId="77777777" w:rsidR="004638C4" w:rsidRPr="003E73CD" w:rsidRDefault="004638C4">
      <w:pPr>
        <w:rPr>
          <w:szCs w:val="22"/>
        </w:rPr>
      </w:pPr>
    </w:p>
    <w:p w14:paraId="1B41ED47" w14:textId="223B59E0" w:rsidR="004638C4" w:rsidRPr="003E73CD" w:rsidRDefault="008E4096">
      <w:pPr>
        <w:rPr>
          <w:sz w:val="22"/>
          <w:szCs w:val="22"/>
        </w:rPr>
      </w:pPr>
      <w:r>
        <w:rPr>
          <w:sz w:val="22"/>
          <w:szCs w:val="22"/>
        </w:rPr>
        <w:t>Table 2.1</w:t>
      </w:r>
      <w:r w:rsidR="001A1CED" w:rsidRPr="003E73CD">
        <w:rPr>
          <w:sz w:val="22"/>
          <w:szCs w:val="22"/>
        </w:rPr>
        <w:t>.3 (continued)</w:t>
      </w:r>
    </w:p>
    <w:p w14:paraId="4B386B19" w14:textId="77777777" w:rsidR="004638C4" w:rsidRPr="003E73CD" w:rsidRDefault="004638C4">
      <w:pPr>
        <w:rPr>
          <w:szCs w:val="22"/>
        </w:rPr>
      </w:pPr>
    </w:p>
    <w:tbl>
      <w:tblPr>
        <w:tblStyle w:val="TableGrid"/>
        <w:tblW w:w="0" w:type="auto"/>
        <w:tblLook w:val="04A0" w:firstRow="1" w:lastRow="0" w:firstColumn="1" w:lastColumn="0" w:noHBand="0" w:noVBand="1"/>
      </w:tblPr>
      <w:tblGrid>
        <w:gridCol w:w="679"/>
        <w:gridCol w:w="658"/>
        <w:gridCol w:w="757"/>
        <w:gridCol w:w="1315"/>
        <w:gridCol w:w="1475"/>
        <w:gridCol w:w="1291"/>
        <w:gridCol w:w="1300"/>
        <w:gridCol w:w="1239"/>
      </w:tblGrid>
      <w:tr w:rsidR="004B3C23" w:rsidRPr="003E73CD" w14:paraId="7C423D50" w14:textId="77777777" w:rsidTr="004B3C23">
        <w:tc>
          <w:tcPr>
            <w:tcW w:w="1089" w:type="dxa"/>
          </w:tcPr>
          <w:p w14:paraId="40830DC1" w14:textId="06D3F713" w:rsidR="004B3C23" w:rsidRPr="003E73CD" w:rsidRDefault="004B3C23" w:rsidP="004B3C23">
            <w:pPr>
              <w:rPr>
                <w:szCs w:val="22"/>
              </w:rPr>
            </w:pPr>
            <w:r w:rsidRPr="003E73CD">
              <w:rPr>
                <w:b/>
              </w:rPr>
              <w:t>Age</w:t>
            </w:r>
          </w:p>
        </w:tc>
        <w:tc>
          <w:tcPr>
            <w:tcW w:w="1089" w:type="dxa"/>
          </w:tcPr>
          <w:p w14:paraId="7EB38C96" w14:textId="0CBA4462" w:rsidR="004B3C23" w:rsidRPr="003E73CD" w:rsidRDefault="004B3C23" w:rsidP="004B3C23">
            <w:pPr>
              <w:rPr>
                <w:szCs w:val="22"/>
              </w:rPr>
            </w:pPr>
            <w:r w:rsidRPr="003E73CD">
              <w:rPr>
                <w:b/>
              </w:rPr>
              <w:t>Sex</w:t>
            </w:r>
          </w:p>
        </w:tc>
        <w:tc>
          <w:tcPr>
            <w:tcW w:w="1089" w:type="dxa"/>
          </w:tcPr>
          <w:p w14:paraId="492550C6" w14:textId="60DE2B15" w:rsidR="004B3C23" w:rsidRPr="003E73CD" w:rsidRDefault="004B3C23" w:rsidP="004B3C23">
            <w:pPr>
              <w:rPr>
                <w:szCs w:val="22"/>
              </w:rPr>
            </w:pPr>
            <w:r w:rsidRPr="003E73CD">
              <w:rPr>
                <w:b/>
              </w:rPr>
              <w:t>Date of LSG</w:t>
            </w:r>
          </w:p>
        </w:tc>
        <w:tc>
          <w:tcPr>
            <w:tcW w:w="1089" w:type="dxa"/>
          </w:tcPr>
          <w:p w14:paraId="3798A68E" w14:textId="4627A968" w:rsidR="004B3C23" w:rsidRPr="003E73CD" w:rsidRDefault="004B3C23" w:rsidP="004B3C23">
            <w:pPr>
              <w:rPr>
                <w:szCs w:val="22"/>
              </w:rPr>
            </w:pPr>
            <w:r w:rsidRPr="003E73CD">
              <w:rPr>
                <w:b/>
              </w:rPr>
              <w:t>Location of primary tumour</w:t>
            </w:r>
          </w:p>
        </w:tc>
        <w:tc>
          <w:tcPr>
            <w:tcW w:w="1089" w:type="dxa"/>
          </w:tcPr>
          <w:p w14:paraId="763A5B44" w14:textId="7A9AE061" w:rsidR="004B3C23" w:rsidRPr="003E73CD" w:rsidRDefault="004B3C23" w:rsidP="004B3C23">
            <w:pPr>
              <w:rPr>
                <w:szCs w:val="22"/>
              </w:rPr>
            </w:pPr>
            <w:r w:rsidRPr="003E73CD">
              <w:rPr>
                <w:b/>
              </w:rPr>
              <w:t>Likely cause for failure to identify SNs</w:t>
            </w:r>
          </w:p>
        </w:tc>
        <w:tc>
          <w:tcPr>
            <w:tcW w:w="1089" w:type="dxa"/>
          </w:tcPr>
          <w:p w14:paraId="37CC3D0F" w14:textId="229EF522" w:rsidR="004B3C23" w:rsidRPr="003E73CD" w:rsidRDefault="004B3C23" w:rsidP="004B3C23">
            <w:pPr>
              <w:rPr>
                <w:szCs w:val="22"/>
              </w:rPr>
            </w:pPr>
            <w:r w:rsidRPr="003E73CD">
              <w:rPr>
                <w:b/>
              </w:rPr>
              <w:t>Category of non-localization</w:t>
            </w:r>
          </w:p>
        </w:tc>
        <w:tc>
          <w:tcPr>
            <w:tcW w:w="1090" w:type="dxa"/>
          </w:tcPr>
          <w:p w14:paraId="314F3DF2" w14:textId="472ED19F" w:rsidR="004B3C23" w:rsidRPr="003E73CD" w:rsidRDefault="004B3C23" w:rsidP="004B3C23">
            <w:pPr>
              <w:rPr>
                <w:szCs w:val="22"/>
              </w:rPr>
            </w:pPr>
            <w:r w:rsidRPr="003E73CD">
              <w:rPr>
                <w:b/>
              </w:rPr>
              <w:t>SN biopsy performed?</w:t>
            </w:r>
          </w:p>
        </w:tc>
        <w:tc>
          <w:tcPr>
            <w:tcW w:w="1090" w:type="dxa"/>
          </w:tcPr>
          <w:p w14:paraId="48082A0E" w14:textId="6A2CAA69" w:rsidR="004B3C23" w:rsidRPr="003E73CD" w:rsidRDefault="004B3C23" w:rsidP="004B3C23">
            <w:pPr>
              <w:rPr>
                <w:szCs w:val="22"/>
              </w:rPr>
            </w:pPr>
            <w:r w:rsidRPr="003E73CD">
              <w:rPr>
                <w:b/>
              </w:rPr>
              <w:t>Site of any recurrence</w:t>
            </w:r>
          </w:p>
        </w:tc>
      </w:tr>
      <w:tr w:rsidR="004B3C23" w:rsidRPr="003E73CD" w14:paraId="2D16B37E" w14:textId="77777777" w:rsidTr="004B3C23">
        <w:tc>
          <w:tcPr>
            <w:tcW w:w="1089" w:type="dxa"/>
          </w:tcPr>
          <w:p w14:paraId="14372B4A" w14:textId="4E925C54" w:rsidR="004B3C23" w:rsidRPr="003E73CD" w:rsidRDefault="004B3C23" w:rsidP="004B3C23">
            <w:pPr>
              <w:rPr>
                <w:szCs w:val="22"/>
              </w:rPr>
            </w:pPr>
            <w:r w:rsidRPr="003E73CD">
              <w:t>76</w:t>
            </w:r>
          </w:p>
        </w:tc>
        <w:tc>
          <w:tcPr>
            <w:tcW w:w="1089" w:type="dxa"/>
          </w:tcPr>
          <w:p w14:paraId="238467DD" w14:textId="5FECE8B7" w:rsidR="004B3C23" w:rsidRPr="003E73CD" w:rsidRDefault="004B3C23" w:rsidP="004B3C23">
            <w:pPr>
              <w:rPr>
                <w:szCs w:val="22"/>
              </w:rPr>
            </w:pPr>
            <w:r w:rsidRPr="003E73CD">
              <w:t>F</w:t>
            </w:r>
          </w:p>
        </w:tc>
        <w:tc>
          <w:tcPr>
            <w:tcW w:w="1089" w:type="dxa"/>
          </w:tcPr>
          <w:p w14:paraId="299142AF" w14:textId="1EA8AB65" w:rsidR="004B3C23" w:rsidRPr="003E73CD" w:rsidRDefault="004B3C23" w:rsidP="004B3C23">
            <w:pPr>
              <w:rPr>
                <w:szCs w:val="22"/>
              </w:rPr>
            </w:pPr>
            <w:r w:rsidRPr="003E73CD">
              <w:t>2003</w:t>
            </w:r>
          </w:p>
        </w:tc>
        <w:tc>
          <w:tcPr>
            <w:tcW w:w="1089" w:type="dxa"/>
          </w:tcPr>
          <w:p w14:paraId="44B7EC4C" w14:textId="47C3FF48" w:rsidR="004B3C23" w:rsidRPr="003E73CD" w:rsidRDefault="004B3C23" w:rsidP="004B3C23">
            <w:pPr>
              <w:rPr>
                <w:szCs w:val="22"/>
              </w:rPr>
            </w:pPr>
            <w:r w:rsidRPr="003E73CD">
              <w:t>Right lower posterior thigh</w:t>
            </w:r>
          </w:p>
        </w:tc>
        <w:tc>
          <w:tcPr>
            <w:tcW w:w="1089" w:type="dxa"/>
          </w:tcPr>
          <w:p w14:paraId="5EF0E657" w14:textId="452552D5" w:rsidR="004B3C23" w:rsidRPr="003E73CD" w:rsidRDefault="004B3C23" w:rsidP="004B3C23">
            <w:pPr>
              <w:rPr>
                <w:szCs w:val="22"/>
              </w:rPr>
            </w:pPr>
            <w:r w:rsidRPr="003E73CD">
              <w:t>Hodgkin’s disease</w:t>
            </w:r>
          </w:p>
        </w:tc>
        <w:tc>
          <w:tcPr>
            <w:tcW w:w="1089" w:type="dxa"/>
          </w:tcPr>
          <w:p w14:paraId="5AC1836D" w14:textId="43E7A1E0" w:rsidR="004B3C23" w:rsidRPr="003E73CD" w:rsidRDefault="004B3C23" w:rsidP="004B3C23">
            <w:pPr>
              <w:rPr>
                <w:szCs w:val="22"/>
              </w:rPr>
            </w:pPr>
            <w:r w:rsidRPr="003E73CD">
              <w:t>True</w:t>
            </w:r>
          </w:p>
        </w:tc>
        <w:tc>
          <w:tcPr>
            <w:tcW w:w="1090" w:type="dxa"/>
          </w:tcPr>
          <w:p w14:paraId="2839E8D1" w14:textId="77777777" w:rsidR="004B3C23" w:rsidRPr="003E73CD" w:rsidRDefault="004B3C23" w:rsidP="004B3C23">
            <w:pPr>
              <w:spacing w:line="360" w:lineRule="auto"/>
            </w:pPr>
            <w:r w:rsidRPr="003E73CD">
              <w:t>No</w:t>
            </w:r>
          </w:p>
          <w:p w14:paraId="4CDBD50C" w14:textId="50A5569E" w:rsidR="004B3C23" w:rsidRPr="003E73CD" w:rsidRDefault="004B3C23" w:rsidP="004B3C23">
            <w:pPr>
              <w:rPr>
                <w:szCs w:val="22"/>
              </w:rPr>
            </w:pPr>
            <w:r w:rsidRPr="003E73CD">
              <w:t>Channel seen on LSG but did not reach lymph node</w:t>
            </w:r>
          </w:p>
        </w:tc>
        <w:tc>
          <w:tcPr>
            <w:tcW w:w="1090" w:type="dxa"/>
          </w:tcPr>
          <w:p w14:paraId="28890F24" w14:textId="71F8CA2E" w:rsidR="004B3C23" w:rsidRPr="003E73CD" w:rsidRDefault="004B3C23" w:rsidP="004B3C23">
            <w:pPr>
              <w:rPr>
                <w:szCs w:val="22"/>
              </w:rPr>
            </w:pPr>
            <w:r w:rsidRPr="003E73CD">
              <w:t>Died of cerebral metastases</w:t>
            </w:r>
          </w:p>
        </w:tc>
      </w:tr>
      <w:tr w:rsidR="004B3C23" w:rsidRPr="003E73CD" w14:paraId="05378269" w14:textId="77777777" w:rsidTr="004B3C23">
        <w:tc>
          <w:tcPr>
            <w:tcW w:w="1089" w:type="dxa"/>
          </w:tcPr>
          <w:p w14:paraId="5AF0B353" w14:textId="70713E4B" w:rsidR="004B3C23" w:rsidRPr="003E73CD" w:rsidRDefault="004B3C23" w:rsidP="004B3C23">
            <w:pPr>
              <w:rPr>
                <w:szCs w:val="22"/>
              </w:rPr>
            </w:pPr>
            <w:r w:rsidRPr="003E73CD">
              <w:t>89</w:t>
            </w:r>
          </w:p>
        </w:tc>
        <w:tc>
          <w:tcPr>
            <w:tcW w:w="1089" w:type="dxa"/>
          </w:tcPr>
          <w:p w14:paraId="5F1C6D17" w14:textId="436FBF8D" w:rsidR="004B3C23" w:rsidRPr="003E73CD" w:rsidRDefault="004B3C23" w:rsidP="004B3C23">
            <w:pPr>
              <w:rPr>
                <w:szCs w:val="22"/>
              </w:rPr>
            </w:pPr>
            <w:r w:rsidRPr="003E73CD">
              <w:t>M</w:t>
            </w:r>
          </w:p>
        </w:tc>
        <w:tc>
          <w:tcPr>
            <w:tcW w:w="1089" w:type="dxa"/>
          </w:tcPr>
          <w:p w14:paraId="6091E172" w14:textId="31146B40" w:rsidR="004B3C23" w:rsidRPr="003E73CD" w:rsidRDefault="004B3C23" w:rsidP="004B3C23">
            <w:pPr>
              <w:rPr>
                <w:szCs w:val="22"/>
              </w:rPr>
            </w:pPr>
            <w:r w:rsidRPr="003E73CD">
              <w:t>2004</w:t>
            </w:r>
          </w:p>
        </w:tc>
        <w:tc>
          <w:tcPr>
            <w:tcW w:w="1089" w:type="dxa"/>
          </w:tcPr>
          <w:p w14:paraId="5782C74D" w14:textId="776346B8" w:rsidR="004B3C23" w:rsidRPr="003E73CD" w:rsidRDefault="004B3C23" w:rsidP="004B3C23">
            <w:pPr>
              <w:rPr>
                <w:szCs w:val="22"/>
              </w:rPr>
            </w:pPr>
            <w:r w:rsidRPr="003E73CD">
              <w:t>Left midline scalp</w:t>
            </w:r>
          </w:p>
        </w:tc>
        <w:tc>
          <w:tcPr>
            <w:tcW w:w="1089" w:type="dxa"/>
          </w:tcPr>
          <w:p w14:paraId="4F24BC99" w14:textId="369D0432" w:rsidR="004B3C23" w:rsidRPr="003E73CD" w:rsidRDefault="004B3C23" w:rsidP="004B3C23">
            <w:pPr>
              <w:rPr>
                <w:szCs w:val="22"/>
              </w:rPr>
            </w:pPr>
            <w:r w:rsidRPr="003E73CD">
              <w:t>No cause identified</w:t>
            </w:r>
          </w:p>
        </w:tc>
        <w:tc>
          <w:tcPr>
            <w:tcW w:w="1089" w:type="dxa"/>
          </w:tcPr>
          <w:p w14:paraId="4F641B70" w14:textId="40B6B5AD" w:rsidR="004B3C23" w:rsidRPr="003E73CD" w:rsidRDefault="004B3C23" w:rsidP="004B3C23">
            <w:pPr>
              <w:rPr>
                <w:szCs w:val="22"/>
              </w:rPr>
            </w:pPr>
            <w:r w:rsidRPr="003E73CD">
              <w:t>True</w:t>
            </w:r>
          </w:p>
        </w:tc>
        <w:tc>
          <w:tcPr>
            <w:tcW w:w="1090" w:type="dxa"/>
          </w:tcPr>
          <w:p w14:paraId="4E7D7A11" w14:textId="3C647A93" w:rsidR="004B3C23" w:rsidRPr="003E73CD" w:rsidRDefault="004B3C23" w:rsidP="004B3C23">
            <w:pPr>
              <w:rPr>
                <w:szCs w:val="22"/>
              </w:rPr>
            </w:pPr>
            <w:r w:rsidRPr="003E73CD">
              <w:t>Unknown</w:t>
            </w:r>
          </w:p>
        </w:tc>
        <w:tc>
          <w:tcPr>
            <w:tcW w:w="1090" w:type="dxa"/>
          </w:tcPr>
          <w:p w14:paraId="3EC0CAF9" w14:textId="75BF333D" w:rsidR="004B3C23" w:rsidRPr="003E73CD" w:rsidRDefault="004B3C23" w:rsidP="004B3C23">
            <w:pPr>
              <w:rPr>
                <w:szCs w:val="22"/>
              </w:rPr>
            </w:pPr>
            <w:r w:rsidRPr="003E73CD">
              <w:t>Unknown</w:t>
            </w:r>
          </w:p>
        </w:tc>
      </w:tr>
      <w:tr w:rsidR="004B3C23" w:rsidRPr="003E73CD" w14:paraId="64798707" w14:textId="77777777" w:rsidTr="004B3C23">
        <w:tc>
          <w:tcPr>
            <w:tcW w:w="1089" w:type="dxa"/>
          </w:tcPr>
          <w:p w14:paraId="3D92A25A" w14:textId="431DA332" w:rsidR="004B3C23" w:rsidRPr="003E73CD" w:rsidRDefault="004B3C23" w:rsidP="004B3C23">
            <w:pPr>
              <w:rPr>
                <w:szCs w:val="22"/>
              </w:rPr>
            </w:pPr>
            <w:r w:rsidRPr="003E73CD">
              <w:t>39</w:t>
            </w:r>
          </w:p>
        </w:tc>
        <w:tc>
          <w:tcPr>
            <w:tcW w:w="1089" w:type="dxa"/>
          </w:tcPr>
          <w:p w14:paraId="3D6B36FB" w14:textId="630A8EB4" w:rsidR="004B3C23" w:rsidRPr="003E73CD" w:rsidRDefault="004B3C23" w:rsidP="004B3C23">
            <w:pPr>
              <w:rPr>
                <w:szCs w:val="22"/>
              </w:rPr>
            </w:pPr>
            <w:r w:rsidRPr="003E73CD">
              <w:t>F</w:t>
            </w:r>
          </w:p>
        </w:tc>
        <w:tc>
          <w:tcPr>
            <w:tcW w:w="1089" w:type="dxa"/>
          </w:tcPr>
          <w:p w14:paraId="5528FE52" w14:textId="27116B8E" w:rsidR="004B3C23" w:rsidRPr="003E73CD" w:rsidRDefault="004B3C23" w:rsidP="004B3C23">
            <w:pPr>
              <w:rPr>
                <w:szCs w:val="22"/>
              </w:rPr>
            </w:pPr>
            <w:r w:rsidRPr="003E73CD">
              <w:t>2004</w:t>
            </w:r>
          </w:p>
        </w:tc>
        <w:tc>
          <w:tcPr>
            <w:tcW w:w="1089" w:type="dxa"/>
          </w:tcPr>
          <w:p w14:paraId="20B1600A" w14:textId="6257EA18" w:rsidR="004B3C23" w:rsidRPr="003E73CD" w:rsidRDefault="004B3C23" w:rsidP="004B3C23">
            <w:pPr>
              <w:rPr>
                <w:szCs w:val="22"/>
              </w:rPr>
            </w:pPr>
            <w:r w:rsidRPr="003E73CD">
              <w:t>Lateral left upper arm</w:t>
            </w:r>
          </w:p>
        </w:tc>
        <w:tc>
          <w:tcPr>
            <w:tcW w:w="1089" w:type="dxa"/>
          </w:tcPr>
          <w:p w14:paraId="4FBE27B7" w14:textId="61BC8DCF" w:rsidR="004B3C23" w:rsidRPr="003E73CD" w:rsidRDefault="004B3C23" w:rsidP="004B3C23">
            <w:pPr>
              <w:rPr>
                <w:szCs w:val="22"/>
              </w:rPr>
            </w:pPr>
            <w:r w:rsidRPr="003E73CD">
              <w:t>Previous left axillary dissection</w:t>
            </w:r>
          </w:p>
        </w:tc>
        <w:tc>
          <w:tcPr>
            <w:tcW w:w="1089" w:type="dxa"/>
          </w:tcPr>
          <w:p w14:paraId="4D066747" w14:textId="1999180A" w:rsidR="004B3C23" w:rsidRPr="003E73CD" w:rsidRDefault="004B3C23" w:rsidP="004B3C23">
            <w:pPr>
              <w:rPr>
                <w:szCs w:val="22"/>
              </w:rPr>
            </w:pPr>
            <w:r w:rsidRPr="003E73CD">
              <w:t>True</w:t>
            </w:r>
          </w:p>
        </w:tc>
        <w:tc>
          <w:tcPr>
            <w:tcW w:w="1090" w:type="dxa"/>
          </w:tcPr>
          <w:p w14:paraId="09B4F9CB" w14:textId="213C094F" w:rsidR="004B3C23" w:rsidRPr="003E73CD" w:rsidRDefault="004B3C23" w:rsidP="004B3C23">
            <w:pPr>
              <w:rPr>
                <w:szCs w:val="22"/>
              </w:rPr>
            </w:pPr>
            <w:r w:rsidRPr="003E73CD">
              <w:t>No</w:t>
            </w:r>
          </w:p>
        </w:tc>
        <w:tc>
          <w:tcPr>
            <w:tcW w:w="1090" w:type="dxa"/>
          </w:tcPr>
          <w:p w14:paraId="7EDFA2E7" w14:textId="173DCEBA" w:rsidR="004B3C23" w:rsidRPr="003E73CD" w:rsidRDefault="004B3C23" w:rsidP="004B3C23">
            <w:pPr>
              <w:rPr>
                <w:szCs w:val="22"/>
              </w:rPr>
            </w:pPr>
            <w:r w:rsidRPr="003E73CD">
              <w:t>None at 1 year</w:t>
            </w:r>
          </w:p>
        </w:tc>
      </w:tr>
      <w:tr w:rsidR="004B3C23" w:rsidRPr="003E73CD" w14:paraId="7177F5CB" w14:textId="77777777" w:rsidTr="004B3C23">
        <w:tc>
          <w:tcPr>
            <w:tcW w:w="1089" w:type="dxa"/>
          </w:tcPr>
          <w:p w14:paraId="253E1559" w14:textId="393083CC" w:rsidR="004B3C23" w:rsidRPr="003E73CD" w:rsidRDefault="004B3C23" w:rsidP="004B3C23">
            <w:pPr>
              <w:rPr>
                <w:szCs w:val="22"/>
              </w:rPr>
            </w:pPr>
            <w:r w:rsidRPr="003E73CD">
              <w:t>89</w:t>
            </w:r>
          </w:p>
        </w:tc>
        <w:tc>
          <w:tcPr>
            <w:tcW w:w="1089" w:type="dxa"/>
          </w:tcPr>
          <w:p w14:paraId="59C5D032" w14:textId="153CF4DD" w:rsidR="004B3C23" w:rsidRPr="003E73CD" w:rsidRDefault="004B3C23" w:rsidP="004B3C23">
            <w:pPr>
              <w:rPr>
                <w:szCs w:val="22"/>
              </w:rPr>
            </w:pPr>
            <w:r w:rsidRPr="003E73CD">
              <w:t>M</w:t>
            </w:r>
          </w:p>
        </w:tc>
        <w:tc>
          <w:tcPr>
            <w:tcW w:w="1089" w:type="dxa"/>
          </w:tcPr>
          <w:p w14:paraId="14D0F857" w14:textId="5E8A8E43" w:rsidR="004B3C23" w:rsidRPr="003E73CD" w:rsidRDefault="004B3C23" w:rsidP="004B3C23">
            <w:pPr>
              <w:rPr>
                <w:szCs w:val="22"/>
              </w:rPr>
            </w:pPr>
            <w:r w:rsidRPr="003E73CD">
              <w:t>2005</w:t>
            </w:r>
          </w:p>
        </w:tc>
        <w:tc>
          <w:tcPr>
            <w:tcW w:w="1089" w:type="dxa"/>
          </w:tcPr>
          <w:p w14:paraId="2FD3E3D8" w14:textId="0480813A" w:rsidR="004B3C23" w:rsidRPr="003E73CD" w:rsidRDefault="004B3C23" w:rsidP="004B3C23">
            <w:pPr>
              <w:rPr>
                <w:szCs w:val="22"/>
              </w:rPr>
            </w:pPr>
            <w:r w:rsidRPr="003E73CD">
              <w:t>Right midline scalp near vertex</w:t>
            </w:r>
          </w:p>
        </w:tc>
        <w:tc>
          <w:tcPr>
            <w:tcW w:w="1089" w:type="dxa"/>
          </w:tcPr>
          <w:p w14:paraId="6ED89ED2" w14:textId="50EA3C3A" w:rsidR="004B3C23" w:rsidRPr="003E73CD" w:rsidRDefault="004B3C23" w:rsidP="004B3C23">
            <w:pPr>
              <w:rPr>
                <w:szCs w:val="22"/>
              </w:rPr>
            </w:pPr>
            <w:r w:rsidRPr="003E73CD">
              <w:t>Previous wide excision right temporal region, right parotidectomy + radiotherapy</w:t>
            </w:r>
          </w:p>
        </w:tc>
        <w:tc>
          <w:tcPr>
            <w:tcW w:w="1089" w:type="dxa"/>
          </w:tcPr>
          <w:p w14:paraId="0751D7D4" w14:textId="451552B7" w:rsidR="004B3C23" w:rsidRPr="003E73CD" w:rsidRDefault="004B3C23" w:rsidP="004B3C23">
            <w:pPr>
              <w:rPr>
                <w:szCs w:val="22"/>
              </w:rPr>
            </w:pPr>
            <w:r w:rsidRPr="003E73CD">
              <w:t>Difficult to determine as previous primary melanoma on temple</w:t>
            </w:r>
          </w:p>
        </w:tc>
        <w:tc>
          <w:tcPr>
            <w:tcW w:w="1090" w:type="dxa"/>
          </w:tcPr>
          <w:p w14:paraId="69D1851A" w14:textId="5E13018F" w:rsidR="004B3C23" w:rsidRPr="003E73CD" w:rsidRDefault="004B3C23" w:rsidP="004B3C23">
            <w:pPr>
              <w:rPr>
                <w:szCs w:val="22"/>
              </w:rPr>
            </w:pPr>
            <w:r w:rsidRPr="003E73CD">
              <w:t>Yes- 2 nodes positive</w:t>
            </w:r>
          </w:p>
        </w:tc>
        <w:tc>
          <w:tcPr>
            <w:tcW w:w="1090" w:type="dxa"/>
          </w:tcPr>
          <w:p w14:paraId="1A2FA4F1" w14:textId="1C537E42" w:rsidR="004B3C23" w:rsidRPr="003E73CD" w:rsidRDefault="004B3C23" w:rsidP="004B3C23">
            <w:pPr>
              <w:spacing w:line="360" w:lineRule="auto"/>
            </w:pPr>
            <w:r w:rsidRPr="003E73CD">
              <w:t>In</w:t>
            </w:r>
            <w:r w:rsidR="009B1E00">
              <w:t>-</w:t>
            </w:r>
            <w:r w:rsidRPr="003E73CD">
              <w:t>transit then lung.</w:t>
            </w:r>
          </w:p>
          <w:p w14:paraId="25EC3347" w14:textId="30D76ACC" w:rsidR="004B3C23" w:rsidRPr="003E73CD" w:rsidRDefault="004B3C23" w:rsidP="004B3C23">
            <w:pPr>
              <w:rPr>
                <w:szCs w:val="22"/>
              </w:rPr>
            </w:pPr>
            <w:r w:rsidRPr="003E73CD">
              <w:t>NB previous primary</w:t>
            </w:r>
          </w:p>
        </w:tc>
      </w:tr>
      <w:tr w:rsidR="004B3C23" w:rsidRPr="003E73CD" w14:paraId="195F9E15" w14:textId="77777777" w:rsidTr="004B3C23">
        <w:tc>
          <w:tcPr>
            <w:tcW w:w="1089" w:type="dxa"/>
          </w:tcPr>
          <w:p w14:paraId="221D6622" w14:textId="5328E542" w:rsidR="004B3C23" w:rsidRPr="003E73CD" w:rsidRDefault="004B3C23" w:rsidP="004B3C23">
            <w:pPr>
              <w:rPr>
                <w:szCs w:val="22"/>
              </w:rPr>
            </w:pPr>
            <w:r w:rsidRPr="003E73CD">
              <w:t>85</w:t>
            </w:r>
          </w:p>
        </w:tc>
        <w:tc>
          <w:tcPr>
            <w:tcW w:w="1089" w:type="dxa"/>
          </w:tcPr>
          <w:p w14:paraId="5CE3E3B7" w14:textId="62EFE3F3" w:rsidR="004B3C23" w:rsidRPr="003E73CD" w:rsidRDefault="004B3C23" w:rsidP="004B3C23">
            <w:pPr>
              <w:rPr>
                <w:szCs w:val="22"/>
              </w:rPr>
            </w:pPr>
            <w:r w:rsidRPr="003E73CD">
              <w:t>F</w:t>
            </w:r>
          </w:p>
        </w:tc>
        <w:tc>
          <w:tcPr>
            <w:tcW w:w="1089" w:type="dxa"/>
          </w:tcPr>
          <w:p w14:paraId="2DA3DA9E" w14:textId="2808CC5A" w:rsidR="004B3C23" w:rsidRPr="003E73CD" w:rsidRDefault="004B3C23" w:rsidP="004B3C23">
            <w:pPr>
              <w:rPr>
                <w:szCs w:val="22"/>
              </w:rPr>
            </w:pPr>
            <w:r w:rsidRPr="003E73CD">
              <w:t>2005</w:t>
            </w:r>
          </w:p>
        </w:tc>
        <w:tc>
          <w:tcPr>
            <w:tcW w:w="1089" w:type="dxa"/>
          </w:tcPr>
          <w:p w14:paraId="0206B1E6" w14:textId="749461D3" w:rsidR="004B3C23" w:rsidRPr="003E73CD" w:rsidRDefault="004B3C23" w:rsidP="004B3C23">
            <w:pPr>
              <w:rPr>
                <w:szCs w:val="22"/>
              </w:rPr>
            </w:pPr>
            <w:r w:rsidRPr="003E73CD">
              <w:t>Right upper arm</w:t>
            </w:r>
          </w:p>
        </w:tc>
        <w:tc>
          <w:tcPr>
            <w:tcW w:w="1089" w:type="dxa"/>
          </w:tcPr>
          <w:p w14:paraId="55E37781" w14:textId="7B79C047" w:rsidR="004B3C23" w:rsidRPr="003E73CD" w:rsidRDefault="004B3C23" w:rsidP="004B3C23">
            <w:pPr>
              <w:rPr>
                <w:szCs w:val="22"/>
              </w:rPr>
            </w:pPr>
            <w:r w:rsidRPr="003E73CD">
              <w:t>Rheumatoid arthritis</w:t>
            </w:r>
          </w:p>
        </w:tc>
        <w:tc>
          <w:tcPr>
            <w:tcW w:w="1089" w:type="dxa"/>
          </w:tcPr>
          <w:p w14:paraId="126C7D7D" w14:textId="08D261E7" w:rsidR="004B3C23" w:rsidRPr="003E73CD" w:rsidRDefault="004B3C23" w:rsidP="004B3C23">
            <w:pPr>
              <w:rPr>
                <w:szCs w:val="22"/>
              </w:rPr>
            </w:pPr>
            <w:r w:rsidRPr="003E73CD">
              <w:t>Apparent or true</w:t>
            </w:r>
          </w:p>
        </w:tc>
        <w:tc>
          <w:tcPr>
            <w:tcW w:w="1090" w:type="dxa"/>
          </w:tcPr>
          <w:p w14:paraId="6716E4EC" w14:textId="0A028302" w:rsidR="004B3C23" w:rsidRPr="003E73CD" w:rsidRDefault="004B3C23" w:rsidP="004B3C23">
            <w:pPr>
              <w:rPr>
                <w:szCs w:val="22"/>
              </w:rPr>
            </w:pPr>
            <w:r w:rsidRPr="003E73CD">
              <w:t>No</w:t>
            </w:r>
          </w:p>
        </w:tc>
        <w:tc>
          <w:tcPr>
            <w:tcW w:w="1090" w:type="dxa"/>
          </w:tcPr>
          <w:p w14:paraId="74591AA2" w14:textId="1D689E06" w:rsidR="004B3C23" w:rsidRPr="003E73CD" w:rsidRDefault="004B3C23" w:rsidP="004B3C23">
            <w:pPr>
              <w:rPr>
                <w:szCs w:val="22"/>
              </w:rPr>
            </w:pPr>
            <w:r w:rsidRPr="003E73CD">
              <w:t>None recorded</w:t>
            </w:r>
          </w:p>
        </w:tc>
      </w:tr>
      <w:tr w:rsidR="004B3C23" w:rsidRPr="003E73CD" w14:paraId="6F1E3B08" w14:textId="77777777" w:rsidTr="004B3C23">
        <w:tc>
          <w:tcPr>
            <w:tcW w:w="1089" w:type="dxa"/>
          </w:tcPr>
          <w:p w14:paraId="04404E65" w14:textId="51830BCB" w:rsidR="004B3C23" w:rsidRPr="003E73CD" w:rsidRDefault="004B3C23" w:rsidP="004B3C23">
            <w:pPr>
              <w:rPr>
                <w:szCs w:val="22"/>
              </w:rPr>
            </w:pPr>
            <w:r w:rsidRPr="003E73CD">
              <w:t>68</w:t>
            </w:r>
          </w:p>
        </w:tc>
        <w:tc>
          <w:tcPr>
            <w:tcW w:w="1089" w:type="dxa"/>
          </w:tcPr>
          <w:p w14:paraId="320C2619" w14:textId="2B684CC1" w:rsidR="004B3C23" w:rsidRPr="003E73CD" w:rsidRDefault="004B3C23" w:rsidP="004B3C23">
            <w:pPr>
              <w:rPr>
                <w:szCs w:val="22"/>
              </w:rPr>
            </w:pPr>
            <w:r w:rsidRPr="003E73CD">
              <w:t>F</w:t>
            </w:r>
          </w:p>
        </w:tc>
        <w:tc>
          <w:tcPr>
            <w:tcW w:w="1089" w:type="dxa"/>
          </w:tcPr>
          <w:p w14:paraId="171E69C5" w14:textId="5B555211" w:rsidR="004B3C23" w:rsidRPr="003E73CD" w:rsidRDefault="004B3C23" w:rsidP="004B3C23">
            <w:pPr>
              <w:rPr>
                <w:szCs w:val="22"/>
              </w:rPr>
            </w:pPr>
            <w:r w:rsidRPr="003E73CD">
              <w:t>2005</w:t>
            </w:r>
          </w:p>
        </w:tc>
        <w:tc>
          <w:tcPr>
            <w:tcW w:w="1089" w:type="dxa"/>
          </w:tcPr>
          <w:p w14:paraId="04CC787F" w14:textId="733A3ABA" w:rsidR="004B3C23" w:rsidRPr="003E73CD" w:rsidRDefault="004B3C23" w:rsidP="004B3C23">
            <w:pPr>
              <w:rPr>
                <w:szCs w:val="22"/>
              </w:rPr>
            </w:pPr>
            <w:r w:rsidRPr="003E73CD">
              <w:t>Right neck</w:t>
            </w:r>
          </w:p>
        </w:tc>
        <w:tc>
          <w:tcPr>
            <w:tcW w:w="1089" w:type="dxa"/>
          </w:tcPr>
          <w:p w14:paraId="33375004" w14:textId="1BEBE8A2" w:rsidR="004B3C23" w:rsidRPr="003E73CD" w:rsidRDefault="004B3C23" w:rsidP="004B3C23">
            <w:pPr>
              <w:rPr>
                <w:szCs w:val="22"/>
              </w:rPr>
            </w:pPr>
            <w:r w:rsidRPr="003E73CD">
              <w:t>Primary site over regional nodes</w:t>
            </w:r>
          </w:p>
        </w:tc>
        <w:tc>
          <w:tcPr>
            <w:tcW w:w="1089" w:type="dxa"/>
          </w:tcPr>
          <w:p w14:paraId="6C0585EA" w14:textId="44485A74" w:rsidR="004B3C23" w:rsidRPr="003E73CD" w:rsidRDefault="004B3C23" w:rsidP="004B3C23">
            <w:pPr>
              <w:rPr>
                <w:szCs w:val="22"/>
              </w:rPr>
            </w:pPr>
            <w:r w:rsidRPr="003E73CD">
              <w:t>Apparent</w:t>
            </w:r>
          </w:p>
        </w:tc>
        <w:tc>
          <w:tcPr>
            <w:tcW w:w="1090" w:type="dxa"/>
          </w:tcPr>
          <w:p w14:paraId="2AEF4165" w14:textId="26C2F88C" w:rsidR="004B3C23" w:rsidRPr="003E73CD" w:rsidRDefault="004B3C23" w:rsidP="004B3C23">
            <w:pPr>
              <w:rPr>
                <w:szCs w:val="22"/>
              </w:rPr>
            </w:pPr>
            <w:r w:rsidRPr="003E73CD">
              <w:t>Yes – 1 node positive*</w:t>
            </w:r>
          </w:p>
        </w:tc>
        <w:tc>
          <w:tcPr>
            <w:tcW w:w="1090" w:type="dxa"/>
          </w:tcPr>
          <w:p w14:paraId="37AC7C02" w14:textId="20C5D59F" w:rsidR="004B3C23" w:rsidRPr="003E73CD" w:rsidRDefault="004B3C23" w:rsidP="004B3C23">
            <w:pPr>
              <w:rPr>
                <w:szCs w:val="22"/>
              </w:rPr>
            </w:pPr>
            <w:r w:rsidRPr="003E73CD">
              <w:t>Liver and spleen</w:t>
            </w:r>
          </w:p>
        </w:tc>
      </w:tr>
      <w:tr w:rsidR="004B3C23" w:rsidRPr="003E73CD" w14:paraId="5A07CC46" w14:textId="77777777" w:rsidTr="004B3C23">
        <w:tc>
          <w:tcPr>
            <w:tcW w:w="1089" w:type="dxa"/>
          </w:tcPr>
          <w:p w14:paraId="75CB87BB" w14:textId="60A10888" w:rsidR="004B3C23" w:rsidRPr="003E73CD" w:rsidRDefault="004B3C23" w:rsidP="004B3C23">
            <w:pPr>
              <w:rPr>
                <w:szCs w:val="22"/>
              </w:rPr>
            </w:pPr>
            <w:r w:rsidRPr="003E73CD">
              <w:t>75</w:t>
            </w:r>
          </w:p>
        </w:tc>
        <w:tc>
          <w:tcPr>
            <w:tcW w:w="1089" w:type="dxa"/>
          </w:tcPr>
          <w:p w14:paraId="1C230B72" w14:textId="1CD12618" w:rsidR="004B3C23" w:rsidRPr="003E73CD" w:rsidRDefault="004B3C23" w:rsidP="004B3C23">
            <w:pPr>
              <w:rPr>
                <w:szCs w:val="22"/>
              </w:rPr>
            </w:pPr>
            <w:r w:rsidRPr="003E73CD">
              <w:t>M</w:t>
            </w:r>
          </w:p>
        </w:tc>
        <w:tc>
          <w:tcPr>
            <w:tcW w:w="1089" w:type="dxa"/>
          </w:tcPr>
          <w:p w14:paraId="077AC74B" w14:textId="1EAF34A6" w:rsidR="004B3C23" w:rsidRPr="003E73CD" w:rsidRDefault="004B3C23" w:rsidP="004B3C23">
            <w:pPr>
              <w:rPr>
                <w:szCs w:val="22"/>
              </w:rPr>
            </w:pPr>
            <w:r w:rsidRPr="003E73CD">
              <w:t>2006</w:t>
            </w:r>
          </w:p>
        </w:tc>
        <w:tc>
          <w:tcPr>
            <w:tcW w:w="1089" w:type="dxa"/>
          </w:tcPr>
          <w:p w14:paraId="0C3C488A" w14:textId="4283742F" w:rsidR="004B3C23" w:rsidRPr="003E73CD" w:rsidRDefault="004B3C23" w:rsidP="004B3C23">
            <w:pPr>
              <w:rPr>
                <w:szCs w:val="22"/>
              </w:rPr>
            </w:pPr>
            <w:r w:rsidRPr="003E73CD">
              <w:t>Left midline scalp</w:t>
            </w:r>
          </w:p>
        </w:tc>
        <w:tc>
          <w:tcPr>
            <w:tcW w:w="1089" w:type="dxa"/>
          </w:tcPr>
          <w:p w14:paraId="7FB783C3" w14:textId="480D0B89" w:rsidR="004B3C23" w:rsidRPr="003E73CD" w:rsidRDefault="004B3C23" w:rsidP="004B3C23">
            <w:pPr>
              <w:rPr>
                <w:szCs w:val="22"/>
              </w:rPr>
            </w:pPr>
            <w:r w:rsidRPr="003E73CD">
              <w:t>No cause identified</w:t>
            </w:r>
          </w:p>
        </w:tc>
        <w:tc>
          <w:tcPr>
            <w:tcW w:w="1089" w:type="dxa"/>
          </w:tcPr>
          <w:p w14:paraId="3E46C16E" w14:textId="37806627" w:rsidR="004B3C23" w:rsidRPr="003E73CD" w:rsidRDefault="004B3C23" w:rsidP="004B3C23">
            <w:pPr>
              <w:rPr>
                <w:szCs w:val="22"/>
              </w:rPr>
            </w:pPr>
            <w:r w:rsidRPr="003E73CD">
              <w:t>True</w:t>
            </w:r>
          </w:p>
        </w:tc>
        <w:tc>
          <w:tcPr>
            <w:tcW w:w="1090" w:type="dxa"/>
          </w:tcPr>
          <w:p w14:paraId="3B7780E3" w14:textId="53DBC8C6" w:rsidR="004B3C23" w:rsidRPr="003E73CD" w:rsidRDefault="004B3C23" w:rsidP="004B3C23">
            <w:pPr>
              <w:rPr>
                <w:szCs w:val="22"/>
              </w:rPr>
            </w:pPr>
            <w:r w:rsidRPr="003E73CD">
              <w:t>Unknown</w:t>
            </w:r>
          </w:p>
        </w:tc>
        <w:tc>
          <w:tcPr>
            <w:tcW w:w="1090" w:type="dxa"/>
          </w:tcPr>
          <w:p w14:paraId="72985BD4" w14:textId="31B22F45" w:rsidR="004B3C23" w:rsidRPr="003E73CD" w:rsidRDefault="004B3C23" w:rsidP="004B3C23">
            <w:pPr>
              <w:rPr>
                <w:szCs w:val="22"/>
              </w:rPr>
            </w:pPr>
            <w:r w:rsidRPr="003E73CD">
              <w:t>Unknown</w:t>
            </w:r>
          </w:p>
        </w:tc>
      </w:tr>
      <w:tr w:rsidR="004B3C23" w:rsidRPr="003E73CD" w14:paraId="3B472985" w14:textId="77777777" w:rsidTr="004B3C23">
        <w:tc>
          <w:tcPr>
            <w:tcW w:w="1089" w:type="dxa"/>
          </w:tcPr>
          <w:p w14:paraId="783487CC" w14:textId="1BCC2DA7" w:rsidR="004B3C23" w:rsidRPr="003E73CD" w:rsidRDefault="004B3C23" w:rsidP="004B3C23">
            <w:pPr>
              <w:rPr>
                <w:szCs w:val="22"/>
              </w:rPr>
            </w:pPr>
            <w:r w:rsidRPr="003E73CD">
              <w:t>74</w:t>
            </w:r>
          </w:p>
        </w:tc>
        <w:tc>
          <w:tcPr>
            <w:tcW w:w="1089" w:type="dxa"/>
          </w:tcPr>
          <w:p w14:paraId="124A8C4E" w14:textId="0300335E" w:rsidR="004B3C23" w:rsidRPr="003E73CD" w:rsidRDefault="004B3C23" w:rsidP="004B3C23">
            <w:pPr>
              <w:rPr>
                <w:szCs w:val="22"/>
              </w:rPr>
            </w:pPr>
            <w:r w:rsidRPr="003E73CD">
              <w:t>F</w:t>
            </w:r>
          </w:p>
        </w:tc>
        <w:tc>
          <w:tcPr>
            <w:tcW w:w="1089" w:type="dxa"/>
          </w:tcPr>
          <w:p w14:paraId="50F55517" w14:textId="39BF4C81" w:rsidR="004B3C23" w:rsidRPr="003E73CD" w:rsidRDefault="004B3C23" w:rsidP="004B3C23">
            <w:pPr>
              <w:rPr>
                <w:szCs w:val="22"/>
              </w:rPr>
            </w:pPr>
            <w:r w:rsidRPr="003E73CD">
              <w:t>2006</w:t>
            </w:r>
          </w:p>
        </w:tc>
        <w:tc>
          <w:tcPr>
            <w:tcW w:w="1089" w:type="dxa"/>
          </w:tcPr>
          <w:p w14:paraId="6ECE3B81" w14:textId="7AE6C2E9" w:rsidR="004B3C23" w:rsidRPr="003E73CD" w:rsidRDefault="004B3C23" w:rsidP="004B3C23">
            <w:pPr>
              <w:rPr>
                <w:szCs w:val="22"/>
              </w:rPr>
            </w:pPr>
            <w:r w:rsidRPr="003E73CD">
              <w:t>Left midline scalp</w:t>
            </w:r>
          </w:p>
        </w:tc>
        <w:tc>
          <w:tcPr>
            <w:tcW w:w="1089" w:type="dxa"/>
          </w:tcPr>
          <w:p w14:paraId="78CDB022" w14:textId="01D05185" w:rsidR="004B3C23" w:rsidRPr="003E73CD" w:rsidRDefault="004B3C23" w:rsidP="004B3C23">
            <w:pPr>
              <w:rPr>
                <w:szCs w:val="22"/>
              </w:rPr>
            </w:pPr>
            <w:r w:rsidRPr="003E73CD">
              <w:t>No cause identified</w:t>
            </w:r>
          </w:p>
        </w:tc>
        <w:tc>
          <w:tcPr>
            <w:tcW w:w="1089" w:type="dxa"/>
          </w:tcPr>
          <w:p w14:paraId="05EAF454" w14:textId="2FD40BF2" w:rsidR="004B3C23" w:rsidRPr="003E73CD" w:rsidRDefault="004B3C23" w:rsidP="004B3C23">
            <w:pPr>
              <w:rPr>
                <w:szCs w:val="22"/>
              </w:rPr>
            </w:pPr>
            <w:r w:rsidRPr="003E73CD">
              <w:t>True</w:t>
            </w:r>
          </w:p>
        </w:tc>
        <w:tc>
          <w:tcPr>
            <w:tcW w:w="1090" w:type="dxa"/>
          </w:tcPr>
          <w:p w14:paraId="21ABE441" w14:textId="74DB1855" w:rsidR="004B3C23" w:rsidRPr="003E73CD" w:rsidRDefault="004B3C23" w:rsidP="004B3C23">
            <w:pPr>
              <w:rPr>
                <w:szCs w:val="22"/>
              </w:rPr>
            </w:pPr>
            <w:r w:rsidRPr="003E73CD">
              <w:t>No</w:t>
            </w:r>
          </w:p>
        </w:tc>
        <w:tc>
          <w:tcPr>
            <w:tcW w:w="1090" w:type="dxa"/>
          </w:tcPr>
          <w:p w14:paraId="5A604BC2" w14:textId="1441686C" w:rsidR="004B3C23" w:rsidRPr="003E73CD" w:rsidRDefault="004B3C23" w:rsidP="004B3C23">
            <w:pPr>
              <w:rPr>
                <w:szCs w:val="22"/>
              </w:rPr>
            </w:pPr>
            <w:r w:rsidRPr="003E73CD">
              <w:t>Unknown</w:t>
            </w:r>
          </w:p>
        </w:tc>
      </w:tr>
      <w:tr w:rsidR="004B3C23" w:rsidRPr="003E73CD" w14:paraId="673667D1" w14:textId="77777777" w:rsidTr="004B3C23">
        <w:tc>
          <w:tcPr>
            <w:tcW w:w="1089" w:type="dxa"/>
          </w:tcPr>
          <w:p w14:paraId="34109734" w14:textId="2C4FAE4F" w:rsidR="004B3C23" w:rsidRPr="003E73CD" w:rsidRDefault="004B3C23" w:rsidP="004B3C23">
            <w:pPr>
              <w:rPr>
                <w:szCs w:val="22"/>
              </w:rPr>
            </w:pPr>
            <w:r w:rsidRPr="003E73CD">
              <w:t>82</w:t>
            </w:r>
          </w:p>
        </w:tc>
        <w:tc>
          <w:tcPr>
            <w:tcW w:w="1089" w:type="dxa"/>
          </w:tcPr>
          <w:p w14:paraId="7B856F18" w14:textId="07DED396" w:rsidR="004B3C23" w:rsidRPr="003E73CD" w:rsidRDefault="004B3C23" w:rsidP="004B3C23">
            <w:pPr>
              <w:rPr>
                <w:szCs w:val="22"/>
              </w:rPr>
            </w:pPr>
            <w:r w:rsidRPr="003E73CD">
              <w:t>F</w:t>
            </w:r>
          </w:p>
        </w:tc>
        <w:tc>
          <w:tcPr>
            <w:tcW w:w="1089" w:type="dxa"/>
          </w:tcPr>
          <w:p w14:paraId="4903D751" w14:textId="0A67CE87" w:rsidR="004B3C23" w:rsidRPr="003E73CD" w:rsidRDefault="004B3C23" w:rsidP="004B3C23">
            <w:pPr>
              <w:rPr>
                <w:szCs w:val="22"/>
              </w:rPr>
            </w:pPr>
            <w:r w:rsidRPr="003E73CD">
              <w:t>2007</w:t>
            </w:r>
          </w:p>
        </w:tc>
        <w:tc>
          <w:tcPr>
            <w:tcW w:w="1089" w:type="dxa"/>
          </w:tcPr>
          <w:p w14:paraId="336811F9" w14:textId="4B6ACAE3" w:rsidR="004B3C23" w:rsidRPr="003E73CD" w:rsidRDefault="004B3C23" w:rsidP="004B3C23">
            <w:pPr>
              <w:rPr>
                <w:szCs w:val="22"/>
              </w:rPr>
            </w:pPr>
            <w:r w:rsidRPr="003E73CD">
              <w:t>Suprasternal notch</w:t>
            </w:r>
          </w:p>
        </w:tc>
        <w:tc>
          <w:tcPr>
            <w:tcW w:w="1089" w:type="dxa"/>
          </w:tcPr>
          <w:p w14:paraId="3A86453D" w14:textId="5AF648FF" w:rsidR="004B3C23" w:rsidRPr="003E73CD" w:rsidRDefault="004B3C23" w:rsidP="004B3C23">
            <w:pPr>
              <w:rPr>
                <w:szCs w:val="22"/>
              </w:rPr>
            </w:pPr>
            <w:r w:rsidRPr="003E73CD">
              <w:t>Previous sternotomy</w:t>
            </w:r>
          </w:p>
        </w:tc>
        <w:tc>
          <w:tcPr>
            <w:tcW w:w="1089" w:type="dxa"/>
          </w:tcPr>
          <w:p w14:paraId="4C1B0F73" w14:textId="355B3302" w:rsidR="004B3C23" w:rsidRPr="003E73CD" w:rsidRDefault="004B3C23" w:rsidP="004B3C23">
            <w:pPr>
              <w:rPr>
                <w:szCs w:val="22"/>
              </w:rPr>
            </w:pPr>
            <w:r w:rsidRPr="003E73CD">
              <w:t>True or apparent</w:t>
            </w:r>
          </w:p>
        </w:tc>
        <w:tc>
          <w:tcPr>
            <w:tcW w:w="1090" w:type="dxa"/>
          </w:tcPr>
          <w:p w14:paraId="452C83E5" w14:textId="06C09B70" w:rsidR="004B3C23" w:rsidRPr="003E73CD" w:rsidRDefault="004B3C23" w:rsidP="004B3C23">
            <w:pPr>
              <w:rPr>
                <w:szCs w:val="22"/>
              </w:rPr>
            </w:pPr>
            <w:r w:rsidRPr="003E73CD">
              <w:t>Unknown</w:t>
            </w:r>
          </w:p>
        </w:tc>
        <w:tc>
          <w:tcPr>
            <w:tcW w:w="1090" w:type="dxa"/>
          </w:tcPr>
          <w:p w14:paraId="57CCCF37" w14:textId="2617C4A5" w:rsidR="004B3C23" w:rsidRPr="003E73CD" w:rsidRDefault="004B3C23" w:rsidP="004B3C23">
            <w:pPr>
              <w:rPr>
                <w:szCs w:val="22"/>
              </w:rPr>
            </w:pPr>
            <w:r w:rsidRPr="003E73CD">
              <w:t>Unknown</w:t>
            </w:r>
          </w:p>
        </w:tc>
      </w:tr>
    </w:tbl>
    <w:p w14:paraId="5CD8BF6F" w14:textId="77777777" w:rsidR="004638C4" w:rsidRPr="003E73CD" w:rsidRDefault="004638C4">
      <w:pPr>
        <w:rPr>
          <w:szCs w:val="22"/>
        </w:rPr>
      </w:pPr>
    </w:p>
    <w:p w14:paraId="0234FFD6" w14:textId="3259DD8A" w:rsidR="004638C4" w:rsidRPr="003E73CD" w:rsidRDefault="004B3C23">
      <w:pPr>
        <w:rPr>
          <w:sz w:val="22"/>
          <w:szCs w:val="22"/>
        </w:rPr>
      </w:pPr>
      <w:r w:rsidRPr="003E73CD">
        <w:rPr>
          <w:sz w:val="22"/>
          <w:szCs w:val="22"/>
        </w:rPr>
        <w:t>SN = sentinel node, LSG = lymphoscintigram</w:t>
      </w:r>
    </w:p>
    <w:p w14:paraId="21585688" w14:textId="77777777" w:rsidR="004638C4" w:rsidRPr="003E73CD" w:rsidRDefault="004638C4" w:rsidP="004638C4">
      <w:pPr>
        <w:spacing w:line="480" w:lineRule="auto"/>
        <w:rPr>
          <w:sz w:val="22"/>
          <w:szCs w:val="22"/>
        </w:rPr>
      </w:pPr>
      <w:r w:rsidRPr="003E73CD">
        <w:rPr>
          <w:sz w:val="22"/>
          <w:szCs w:val="22"/>
        </w:rPr>
        <w:t>* SN seen on ultrasound due to air in lymphatic channel</w:t>
      </w:r>
    </w:p>
    <w:p w14:paraId="4647678B" w14:textId="77777777" w:rsidR="004638C4" w:rsidRPr="003E73CD" w:rsidRDefault="004638C4">
      <w:pPr>
        <w:rPr>
          <w:szCs w:val="22"/>
        </w:rPr>
      </w:pPr>
    </w:p>
    <w:p w14:paraId="3C5C1F2F" w14:textId="77777777" w:rsidR="004638C4" w:rsidRPr="003E73CD" w:rsidRDefault="004638C4">
      <w:pPr>
        <w:rPr>
          <w:szCs w:val="22"/>
        </w:rPr>
      </w:pPr>
    </w:p>
    <w:p w14:paraId="352516D5" w14:textId="77777777" w:rsidR="004638C4" w:rsidRPr="003E73CD" w:rsidRDefault="004638C4">
      <w:pPr>
        <w:rPr>
          <w:szCs w:val="22"/>
        </w:rPr>
      </w:pPr>
    </w:p>
    <w:p w14:paraId="6AE9AB2A" w14:textId="77777777" w:rsidR="004638C4" w:rsidRPr="003E73CD" w:rsidRDefault="004638C4">
      <w:pPr>
        <w:rPr>
          <w:szCs w:val="22"/>
        </w:rPr>
      </w:pPr>
    </w:p>
    <w:p w14:paraId="766E5D7A" w14:textId="77777777" w:rsidR="00B10B4F" w:rsidRPr="003E73CD" w:rsidRDefault="00B10B4F">
      <w:pPr>
        <w:rPr>
          <w:rFonts w:eastAsia="Times New Roman"/>
          <w:b/>
          <w:sz w:val="22"/>
          <w:szCs w:val="22"/>
        </w:rPr>
      </w:pPr>
      <w:r w:rsidRPr="003E73CD">
        <w:rPr>
          <w:szCs w:val="22"/>
        </w:rPr>
        <w:br w:type="page"/>
      </w:r>
    </w:p>
    <w:p w14:paraId="67EF77BE" w14:textId="75A28251" w:rsidR="0061482C" w:rsidRPr="003E73CD" w:rsidRDefault="0061482C" w:rsidP="0061482C">
      <w:pPr>
        <w:pStyle w:val="Heading1"/>
        <w:rPr>
          <w:rFonts w:ascii="Cambria" w:hAnsi="Cambria"/>
          <w:szCs w:val="22"/>
        </w:rPr>
      </w:pPr>
      <w:r w:rsidRPr="003E73CD">
        <w:rPr>
          <w:rFonts w:ascii="Cambria" w:hAnsi="Cambria"/>
          <w:szCs w:val="22"/>
        </w:rPr>
        <w:t>Discussion</w:t>
      </w:r>
    </w:p>
    <w:p w14:paraId="68D19846" w14:textId="44EDF8D9" w:rsidR="0061482C" w:rsidRPr="003E73CD" w:rsidRDefault="0061482C" w:rsidP="0061482C">
      <w:pPr>
        <w:spacing w:line="480" w:lineRule="auto"/>
        <w:ind w:firstLine="720"/>
        <w:rPr>
          <w:sz w:val="22"/>
          <w:szCs w:val="22"/>
          <w:lang w:val="en-AU"/>
        </w:rPr>
      </w:pPr>
      <w:r w:rsidRPr="003E73CD">
        <w:rPr>
          <w:sz w:val="22"/>
          <w:szCs w:val="22"/>
        </w:rPr>
        <w:t xml:space="preserve">At the Melanoma Institute of Australia, in a consecutive series of patients, the incidence of non-localization to sentinel nodes on lymphoscintigraphy using </w:t>
      </w:r>
      <w:r w:rsidRPr="003E73CD">
        <w:rPr>
          <w:sz w:val="22"/>
          <w:szCs w:val="22"/>
          <w:lang w:val="en-AU"/>
        </w:rPr>
        <w:t xml:space="preserve">two or four intra-dermal injections of </w:t>
      </w:r>
      <w:r w:rsidRPr="003E73CD">
        <w:rPr>
          <w:sz w:val="22"/>
          <w:szCs w:val="22"/>
          <w:vertAlign w:val="superscript"/>
          <w:lang w:val="en-AU"/>
        </w:rPr>
        <w:t>99m</w:t>
      </w:r>
      <w:r w:rsidRPr="003E73CD">
        <w:rPr>
          <w:sz w:val="22"/>
          <w:szCs w:val="22"/>
          <w:lang w:val="en-AU"/>
        </w:rPr>
        <w:t>tech</w:t>
      </w:r>
      <w:r w:rsidR="00AF0D84" w:rsidRPr="003E73CD">
        <w:rPr>
          <w:sz w:val="22"/>
          <w:szCs w:val="22"/>
          <w:lang w:val="en-AU"/>
        </w:rPr>
        <w:t>netium antimony sulph</w:t>
      </w:r>
      <w:r w:rsidRPr="003E73CD">
        <w:rPr>
          <w:sz w:val="22"/>
          <w:szCs w:val="22"/>
          <w:lang w:val="en-AU"/>
        </w:rPr>
        <w:t xml:space="preserve">ide colloid around the primary tumour or on each side of the centre of the excision biopsy site was 0.3% (18/5600 cases).  For head and neck sites the incidence was 0.9% (11/1172 cases) and for trunk and limb sites it was 0.2% (7/4428 cases).  The overall incidence appears to be </w:t>
      </w:r>
      <w:r w:rsidR="00596A4E">
        <w:rPr>
          <w:sz w:val="22"/>
          <w:szCs w:val="22"/>
          <w:lang w:val="en-AU"/>
        </w:rPr>
        <w:t xml:space="preserve">several-fold </w:t>
      </w:r>
      <w:r w:rsidRPr="003E73CD">
        <w:rPr>
          <w:sz w:val="22"/>
          <w:szCs w:val="22"/>
          <w:lang w:val="en-AU"/>
        </w:rPr>
        <w:t>lower than that observed previously in studies that have reported non-localization using lymphoscintigraphy.</w:t>
      </w:r>
      <w:r w:rsidRPr="003E73CD">
        <w:rPr>
          <w:sz w:val="22"/>
          <w:szCs w:val="22"/>
          <w:lang w:val="en-AU"/>
        </w:rPr>
        <w:fldChar w:fldCharType="begin" w:fldLock="1"/>
      </w:r>
      <w:r w:rsidR="005676A9">
        <w:rPr>
          <w:sz w:val="22"/>
          <w:szCs w:val="22"/>
          <w:lang w:val="en-AU"/>
        </w:rPr>
        <w:instrText>ADDIN CSL_CITATION { "citationItems" : [ { "id" : "ITEM-1", "itemData" : { "ISSN" : "0148-7043", "PMID" : "15166975", "abstract" : "INTRODUCTION: Lymphatic drainage pathways in the head and neck region are more variable than in any other location of the body. Occasionally, head and neck lymphoscintograms fail to identify a definitive lymphatic drainage pattern, making preoperative and intraoperative identification of sentinel nodes very difficult. The purpose of this study was to determine the incidence of nonlocalization on lymphoscintigraphy of sentinel nodes in patients with head and neck cutaneous malignancies.\n\nMETHODS: A retrospective chart review was conducted of a single surgeon's (WKS) 135 consecutive head and neck melanoma and Merkel cell cancer patients from August 1997 to August 2002. In all cases. technetium-99m sulfur colloid was the radioactive tracer used by the nuclear medicine department to perform the lymphoscintograms.\n\nRESULTS: Of the 135 patients, 74 underwent preoperative lymphoscintigraphy in preparation for performing a sentinel lymph node biopsy. Of these 74 patients, 5 (6.8%) were found to have nonlocalization of a sentinel node(s). Of the 5 patients who failed to localize, 3 had primary lesions near the midline scalp, while 2 had primary lesions located on the cheek. Two of the 5 patients underwent reinjection of the radioisotope by the treating surgeon (WKS) but failed to further localize the radiotracer. All 5 patients went on to have wide local excision of the primary cancer on the day of the lymphoscintogram, as well as undergoing intraoperative examination of all head and neck nodal basins with a handheld gamma detector. No focal areas of radiation were identified and no lymph nodes were biopsied. To date, 1 patient has developed distant metastases and has succumbed to her disease. The remaining 4 patients are free of disease.\n\nCONCLUSION: In a series of 135 consecutive patients with head and neck cutaneous malignancies, 74 of whom were treated with preoperative lymphoscintograms, a nonlocalization rate of 6.8% was found. This is a significant rate of nonlocalization and reflects either the inherent difficulty in imaging the head and neck region and/or the possible rapid rate of dye washout via multiple lymphatic drainage pathways that exist in this location.", "author" : [ { "dropping-particle" : "", "family" : "Stadelmann", "given" : "Wayne K", "non-dropping-particle" : "", "parse-names" : false, "suffix" : "" }, { "dropping-particle" : "", "family" : "Cobbins", "given" : "Lorri", "non-dropping-particle" : "", "parse-names" : false, "suffix" : "" }, { "dropping-particle" : "", "family" : "Lentsch", "given" : "Eric J", "non-dropping-particle" : "", "parse-names" : false, "suffix" : "" } ], "container-title" : "Annals of plastic surgery", "id" : "ITEM-1", "issue" : "6", "issued" : { "date-parts" : [ [ "2004", "6" ] ] }, "page" : "546-9; discussion 550", "title" : "Incidence of nonlocalization of sentinel lymph nodes using preoperative lymphoscintigraphy in 74 consecutive head and neck melanoma and Merkel cell carcinoma patients.", "type" : "article-journal", "volume" : "52" }, "uris" : [ "http://www.mendeley.com/documents/?uuid=6d86aa98-f6e6-4172-b4da-f7a8944baf98" ] }, { "id" : "ITEM-2", "itemData" : { "DOI" : "10.1007/s10434-001-0716-y", "ISSN" : "1068-9265", "author" : [ { "dropping-particle" : "", "family" : "Medina-Franco", "given" : "Heriberto", "non-dropping-particle" : "", "parse-names" : false, "suffix" : "" }, { "dropping-particle" : "", "family" : "Beenken", "given" : "Samuel W.", "non-dropping-particle" : "", "parse-names" : false, "suffix" : "" }, { "dropping-particle" : "", "family" : "Heslin", "given" : "Martin J.", "non-dropping-particle" : "", "parse-names" : false, "suffix" : "" }, { "dropping-particle" : "", "family" : "Urist", "given" : "Marshall M.", "non-dropping-particle" : "", "parse-names" : false, "suffix" : "" } ], "container-title" : "Annals of Surgical Oncology", "id" : "ITEM-2", "issue" : "9", "issued" : { "date-parts" : [ [ "2001", "3", "16" ] ] }, "page" : "716-719", "title" : "Sentinel Node Biopsy for Cutaneous Melanoma in the Head and Neck", "type" : "article-journal", "volume" : "8" }, "uris" : [ "http://www.mendeley.com/documents/?uuid=b2235a56-2c31-4cf0-914f-7be67e88b33c" ] }, { "id" : "ITEM-3", "itemData" : { "ISSN" : "1043-3074", "PMID" : "10585602", "abstract" : "BACKGROUND: Lymphatic drainage in the head and neck region is known to be particularly complex. This study explores the value of sentinel node biopsy for melanoma in the head and neck region.\n\nMETHODS: Thirty consecutive patients with clinically localized cutaneous melanoma in the head and neck region were included. Sentinel node biopsy was performed with blue dye and a gamma probe after preoperative lymphoscintigraphy. Average follow-up was 23 months (range, 1-48).\n\nRESULTS: In 27 of 30 patients, a sentinel node was identified (90%). Only 53% of sentinel nodes were both blue and radioactive. A sentinel node was tumor-positive in 8 patients. The sentinel node was false-negative in two cases. Sensitivity of the procedure was 80% (8 of 10).\n\nCONCLUSIONS: Sentinel node biopsy in the head and neck region is a technically demanding procedure. Although it may help determine whether a neck dissection is necessary in certain patients, further investigation is required before this technique can be recommended for the standard management of cutaneous head and neck melanoma.", "author" : [ { "dropping-particle" : "", "family" : "Jansen", "given" : "L", "non-dropping-particle" : "", "parse-names" : false, "suffix" : "" }, { "dropping-particle" : "", "family" : "Koops", "given" : "H S", "non-dropping-particle" : "", "parse-names" : false, "suffix" : "" }, { "dropping-particle" : "", "family" : "Nieweg", "given" : "O E", "non-dropping-particle" : "", "parse-names" : false, "suffix" : "" }, { "dropping-particle" : "", "family" : "Doting", "given" : "M H", "non-dropping-particle" : "", "parse-names" : false, "suffix" : "" }, { "dropping-particle" : "", "family" : "Kapteijn", "given" : "B A", "non-dropping-particle" : "", "parse-names" : false, "suffix" : "" }, { "dropping-particle" : "", "family" : "Balm", "given" : "A J", "non-dropping-particle" : "", "parse-names" : false, "suffix" : "" }, { "dropping-particle" : "", "family" : "Vermey", "given" : "A", "non-dropping-particle" : "", "parse-names" : false, "suffix" : "" }, { "dropping-particle" : "", "family" : "Plukker", "given" : "J T", "non-dropping-particle" : "", "parse-names" : false, "suffix" : "" }, { "dropping-particle" : "", "family" : "Hoefnagel", "given" : "C A", "non-dropping-particle" : "", "parse-names" : false, "suffix" : "" }, { "dropping-particle" : "", "family" : "Piers", "given" : "D A", "non-dropping-particle" : "", "parse-names" : false, "suffix" : "" }, { "dropping-particle" : "", "family" : "Kroon", "given" : "B B", "non-dropping-particle" : "", "parse-names" : false, "suffix" : "" } ], "container-title" : "Head &amp; neck", "id" : "ITEM-3", "issue" : "1", "issued" : { "date-parts" : [ [ "2000", "1" ] ] }, "page" : "27-33", "title" : "Sentinel node biopsy for melanoma in the head and neck region.", "type" : "article-journal", "volume" : "22" }, "uris" : [ "http://www.mendeley.com/documents/?uuid=ebf06b8a-0b18-4332-ad38-26959ee6e80c" ] }, { "id" : "ITEM-4", "itemData" : { "ISSN" : "0960-8931", "PMID" : "15305159", "abstract" : "Sentinel lymph node biopsy may be more technically challenging for melanoma of the head and neck compared with other locations because of the complex lymphatic drainage patterns. This study demonstrates the value of sentinel node biopsy for head and neck melanoma, and highlights the associated difficulties. Thirty consecutive patients with primary cutaneous melanoma of the head and neck (n=26) or draining to the neck (n=4) underwent preoperative lymphoscintigraphy. This was followed by intraoperative lymphatic mapping using blue dye alone (n=8) or in combination with a hand-held gamma probe (n=22) and sentinel lymphadenectomy. Modified neck dissection was performed in all patients with positive sentinel nodes. The study population had a male predominance (73%). Most lesions were nodular and were not ulcerated. In two patients (6.2%) preoperative lymphoscintigraphy failed to demonstrate the draining nodes, which were retrieved by surgery, and in two patients (6.2%) the sentinel node was not found at surgery despite preoperative visualization. Overall, the sentinel node was identified 93% of the time: in seven out of eight cases (88%) using blue dye alone, and in 21 out of 22 cases (96%) using a combination of blue dye and gamma probe. Four out of 28 basins were deemed positive for metastases. Twenty-three of the 24 patients with negative sentinel nodes were free of disease at a median of 31 months (range 9-91 months). There was one false-negative case salvaged by surgery. The sentinel node technique is technically demanding but advantageous for most patients with head and neck melanoma. Identification rates seem to be better when preoperative lymphoscintigraphy is combined with intraoperative blue dye mapping and a hand-held gamma probe. The relative contribution of each component could not be determined.", "author" : [ { "dropping-particle" : "", "family" : "Shpitzer", "given" : "Thomas", "non-dropping-particle" : "", "parse-names" : false, "suffix" : "" }, { "dropping-particle" : "", "family" : "Segal", "given" : "Karl", "non-dropping-particle" : "", "parse-names" : false, "suffix" : "" }, { "dropping-particle" : "", "family" : "Schachter", "given" : "Jacob", "non-dropping-particle" : "", "parse-names" : false, "suffix" : "" }, { "dropping-particle" : "", "family" : "Hardoff", "given" : "Ruth", "non-dropping-particle" : "", "parse-names" : false, "suffix" : "" }, { "dropping-particle" : "", "family" : "Guttman", "given" : "Dan", "non-dropping-particle" : "", "parse-names" : false, "suffix" : "" }, { "dropping-particle" : "", "family" : "Ulanovski", "given" : "David", "non-dropping-particle" : "", "parse-names" : false, "suffix" : "" }, { "dropping-particle" : "", "family" : "Feinmesser", "given" : "Raphael", "non-dropping-particle" : "", "parse-names" : false, "suffix" : "" }, { "dropping-particle" : "", "family" : "Gutman", "given" : "Haim", "non-dropping-particle" : "", "parse-names" : false, "suffix" : "" } ], "container-title" : "Melanoma research", "id" : "ITEM-4", "issue" : "4", "issued" : { "date-parts" : [ [ "2004", "8" ] ] }, "page" : "283-7", "title" : "Sentinel node guided surgery for melanoma in the head and neck region.", "type" : "article-journal", "volume" : "14" }, "uris" : [ "http://www.mendeley.com/documents/?uuid=734af4cf-b37d-4fee-aeeb-61e9559c8d87" ] }, { "id" : "ITEM-5", "itemData" : { "ISSN" : "1529-4242", "PMID" : "15731669", "abstract" : "Sentinel lymph node biopsy has revolutionized the surgical management of primary malignant melanoma. Most series on sentinel lymph node mapping have concentrated on extremity and truncal melanomas. The head and neck region has a rich and unpredictable lymphatic system. The use of sentinel lymph node mapping in the management of head and neck melanoma is evaluated. The authors conducted a retrospective review of patients treated for clinical stage I and stage II malignant melanoma of the head and neck with dynamic lymphoscintigraphy and gamma probe-guided sentinel lymph node biopsy. One hundred thirty-two patients (99 male patients and 33 female patients) were identified. The primary melanoma sites were the scalp (n = 54), ear (n = 14), face (n = 37), and neck (n = 27). Primary tumor staging was as follows: T1, 11; T2, 38; T3, 39; and T4, 44. Dynamic lymphoscintigraphy visualized sentinel lymph nodes in 128 patients (97 percent). In 71 cases (55 percent), a single draining nodal basin was identified, and in 57 cases there were multiple draining nodal basins (two basins, 55; three basins, two). Sentinel lymph nodes were successfully identified in 176 of 186 nodal basins (95 percent). Positive sentinel lymph nodes were identified in 22 patients (17.6 percent). Sentinel lymph node positivity by tumor staging was as follows: T2, 10.8 percent; T3, 19.4 percent; and T4, 26.8 percent. Completion lymphadenectomy revealed residual disease in seven patients (33.3 percent). Sentinel lymph node mapping for head and neck melanoma can be performed with results comparable to those of other anatomical sites.", "author" : [ { "dropping-particle" : "", "family" : "Carlson", "given" : "Grant W", "non-dropping-particle" : "", "parse-names" : false, "suffix" : "" }, { "dropping-particle" : "", "family" : "Murray", "given" : "Douglas R", "non-dropping-particle" : "", "parse-names" : false, "suffix" : "" }, { "dropping-particle" : "", "family" : "Lyles", "given" : "Robert H", "non-dropping-particle" : "", "parse-names" : false, "suffix" : "" }, { "dropping-particle" : "", "family" : "Hestley", "given" : "Andrea", "non-dropping-particle" : "", "parse-names" : false, "suffix" : "" }, { "dropping-particle" : "", "family" : "Cohen", "given" : "Cynthia", "non-dropping-particle" : "", "parse-names" : false, "suffix" : "" } ], "container-title" : "Plastic and reconstructive surgery", "id" : "ITEM-5", "issue" : "3", "issued" : { "date-parts" : [ [ "2005", "3" ] ] }, "page" : "721-8", "title" : "Sentinel lymph node biopsy in the management of cutaneous head and neck melanoma.", "type" : "article-journal", "volume" : "115" }, "uris" : [ "http://www.mendeley.com/documents/?uuid=c42656d6-c7bb-4881-ba01-2d6aada4bc88" ] } ], "mendeley" : { "formattedCitation" : "&lt;sup&gt;103,104,106,208,211&lt;/sup&gt;", "plainTextFormattedCitation" : "103,104,106,208,211", "previouslyFormattedCitation" : "&lt;sup&gt;103,104,106,208,211&lt;/sup&gt;" }, "properties" : { "noteIndex" : 0 }, "schema" : "https://github.com/citation-style-language/schema/raw/master/csl-citation.json" }</w:instrText>
      </w:r>
      <w:r w:rsidRPr="003E73CD">
        <w:rPr>
          <w:sz w:val="22"/>
          <w:szCs w:val="22"/>
          <w:lang w:val="en-AU"/>
        </w:rPr>
        <w:fldChar w:fldCharType="separate"/>
      </w:r>
      <w:r w:rsidR="00217FAC" w:rsidRPr="00217FAC">
        <w:rPr>
          <w:noProof/>
          <w:sz w:val="22"/>
          <w:szCs w:val="22"/>
          <w:vertAlign w:val="superscript"/>
          <w:lang w:val="en-AU"/>
        </w:rPr>
        <w:t>103,104,106,208,211</w:t>
      </w:r>
      <w:r w:rsidRPr="003E73CD">
        <w:rPr>
          <w:sz w:val="22"/>
          <w:szCs w:val="22"/>
          <w:lang w:val="en-AU"/>
        </w:rPr>
        <w:fldChar w:fldCharType="end"/>
      </w:r>
      <w:proofErr w:type="gramStart"/>
      <w:r w:rsidRPr="003E73CD">
        <w:rPr>
          <w:sz w:val="22"/>
          <w:szCs w:val="22"/>
          <w:lang w:val="en-AU"/>
        </w:rPr>
        <w:t xml:space="preserve">  This</w:t>
      </w:r>
      <w:proofErr w:type="gramEnd"/>
      <w:r w:rsidRPr="003E73CD">
        <w:rPr>
          <w:sz w:val="22"/>
          <w:szCs w:val="22"/>
          <w:lang w:val="en-AU"/>
        </w:rPr>
        <w:t xml:space="preserve"> difference may be explained by use of different radiocolloid or other differences in technique of lymphoscintigraphy.  </w:t>
      </w:r>
      <w:r w:rsidR="00AB67D7">
        <w:rPr>
          <w:sz w:val="22"/>
          <w:szCs w:val="22"/>
          <w:lang w:val="en-AU"/>
        </w:rPr>
        <w:t xml:space="preserve">The rate of uptake into lymphatic channels and the length of time that radioactivity remains detectable within sentinel nodes varies between radiocolloids, as does the amount of radioactivity that remains at the injection site.  These factors could all influence accuracy in detection of sentinel nodes during lymphoscintigraphy.  </w:t>
      </w:r>
      <w:r w:rsidRPr="003E73CD">
        <w:rPr>
          <w:sz w:val="22"/>
          <w:szCs w:val="22"/>
          <w:lang w:val="en-AU"/>
        </w:rPr>
        <w:t>In reality, technical problems resulting from inadequate radiolabelling of the tracer and excessive free radioactivity are likely to be picked up by the nuclear medicine physician as there will be uptake in non-lymphatic tissues and this will occur on repeated lymphoscintigraphy in other patients.  Therefore, the only technical problem that the nuclear medicine physician cannot overcome is sentinel nodes obscured by primary tumour site radioactivity.  This factor can be overcome using blue dye injection and with use of the intra-operative gamma probe once the primary tumour site has been excised, although the success of sentinel node biopsy is likely to be reduced.  The addition of SPECT CT imaging has also been shown to be of value in identifying sentinel nodes that are missed using standard planar images for lymphoscintigraphy, and so may be of value in cases where the primary tumour site overlies the regional lymph nodes.</w:t>
      </w:r>
      <w:r w:rsidRPr="003E73CD">
        <w:rPr>
          <w:sz w:val="22"/>
          <w:szCs w:val="22"/>
          <w:lang w:val="en-AU"/>
        </w:rPr>
        <w:fldChar w:fldCharType="begin" w:fldLock="1"/>
      </w:r>
      <w:r w:rsidR="005676A9">
        <w:rPr>
          <w:sz w:val="22"/>
          <w:szCs w:val="22"/>
          <w:lang w:val="en-AU"/>
        </w:rPr>
        <w:instrText>ADDIN CSL_CITATION { "citationItems" : [ { "id" : "ITEM-1", "itemData" : { "ISSN" : "0161-5505", "PMID" : "12960185", "abstract" : "UNLABELLED: Lymphoscintigraphy is performed before sentinel node (SN) biopsy for SN mapping. It is of clinical importance mainly if the tumor is located in body parts with ambiguous lymph node drainage. The purpose of this study was to assess the clinical benefit of fused SPECT/CT images to planar images for SN mapping.\n\nMETHODS: Thirty-four consecutive patients with cutaneous malignant melanoma (n = 28) and squamous cell carcinoma (n = 6) and scheduled for SN biopsy were enrolled. Primary tumors were located in the trunk (n = 12), in the extremities (n = 12), in the head and neck (n = 9), and in the penis (n = 1). Scintigraphy was performed using a hybrid gamma-camera/low-dose CT system. Planar images and fused SPECT/CT images were interpreted separately.\n\nRESULTS: SPECT/CT identified multiple draining basins in 6 of 12 patients (50%) with trunk melanoma and in 3 of 9 patients (33%) with head and neck melanoma or mucosal tumor. In 9 of 21 patients (43%) with a primary tumor located in the head and neck or trunk region, SPECT/CT-fused images identified SNs that were missed on planar images, 2 of which were involved with tumor. Three of the 9 nodes were located close to the injection site and were hidden by its scattered radiation, and 2 were in-transit nodes. Another 4 nodes, identified on fused images only, were located in an additional basin to those identified on planar images. Fused images were of no added value either in patients with limb melanoma or in a patient with a penile melanoma.\n\nCONCLUSION: SPECT/CT SN mapping provides additional data that are of clinical relevance to SN biopsy in patients with trunk or head and neck melanoma and in patients with mucosal head and neck tumor.", "author" : [ { "dropping-particle" : "", "family" : "Even-Sapir", "given" : "Einat", "non-dropping-particle" : "", "parse-names" : false, "suffix" : "" }, { "dropping-particle" : "", "family" : "Lerman", "given" : "Hedva", "non-dropping-particle" : "", "parse-names" : false, "suffix" : "" }, { "dropping-particle" : "", "family" : "Lievshitz", "given" : "Genady", "non-dropping-particle" : "", "parse-names" : false, "suffix" : "" }, { "dropping-particle" : "", "family" : "Khafif", "given" : "Avi", "non-dropping-particle" : "", "parse-names" : false, "suffix" : "" }, { "dropping-particle" : "", "family" : "Fliss", "given" : "Dan M", "non-dropping-particle" : "", "parse-names" : false, "suffix" : "" }, { "dropping-particle" : "", "family" : "Schwartz", "given" : "Arnon", "non-dropping-particle" : "", "parse-names" : false, "suffix" : "" }, { "dropping-particle" : "", "family" : "Gur", "given" : "Eyal", "non-dropping-particle" : "", "parse-names" : false, "suffix" : "" }, { "dropping-particle" : "", "family" : "Skornick", "given" : "Yehuda", "non-dropping-particle" : "", "parse-names" : false, "suffix" : "" }, { "dropping-particle" : "", "family" : "Schneebaum", "given" : "Shlomo", "non-dropping-particle" : "", "parse-names" : false, "suffix" : "" } ], "container-title" : "Journal of nuclear medicine : official publication, Society of Nuclear Medicine", "id" : "ITEM-1", "issue" : "9", "issued" : { "date-parts" : [ [ "2003", "9" ] ] }, "page" : "1413-20", "title" : "Lymphoscintigraphy for sentinel node mapping using a hybrid SPECT/CT system.", "type" : "article-journal", "volume" : "44" }, "uris" : [ "http://www.mendeley.com/documents/?uuid=9ccf1975-1841-467b-b485-a47761ee2695" ] } ], "mendeley" : { "formattedCitation" : "&lt;sup&gt;193&lt;/sup&gt;", "plainTextFormattedCitation" : "193", "previouslyFormattedCitation" : "&lt;sup&gt;193&lt;/sup&gt;" }, "properties" : { "noteIndex" : 0 }, "schema" : "https://github.com/citation-style-language/schema/raw/master/csl-citation.json" }</w:instrText>
      </w:r>
      <w:r w:rsidRPr="003E73CD">
        <w:rPr>
          <w:sz w:val="22"/>
          <w:szCs w:val="22"/>
          <w:lang w:val="en-AU"/>
        </w:rPr>
        <w:fldChar w:fldCharType="separate"/>
      </w:r>
      <w:r w:rsidR="00217FAC" w:rsidRPr="00217FAC">
        <w:rPr>
          <w:noProof/>
          <w:sz w:val="22"/>
          <w:szCs w:val="22"/>
          <w:vertAlign w:val="superscript"/>
          <w:lang w:val="en-AU"/>
        </w:rPr>
        <w:t>193</w:t>
      </w:r>
      <w:r w:rsidRPr="003E73CD">
        <w:rPr>
          <w:sz w:val="22"/>
          <w:szCs w:val="22"/>
          <w:lang w:val="en-AU"/>
        </w:rPr>
        <w:fldChar w:fldCharType="end"/>
      </w:r>
      <w:r w:rsidRPr="003E73CD">
        <w:rPr>
          <w:sz w:val="22"/>
          <w:szCs w:val="22"/>
          <w:lang w:val="en-AU"/>
        </w:rPr>
        <w:t xml:space="preserve">   Similarly, ultrasound examination at the time of lymphoscintigraphy was useful in one case where the primary site was on the right neck.  The sentinel node was identified due to air within the lymphatic channel leading to it.</w:t>
      </w:r>
    </w:p>
    <w:p w14:paraId="4BCBB6FB" w14:textId="59874B65" w:rsidR="0061482C" w:rsidRPr="003E73CD" w:rsidRDefault="0061482C" w:rsidP="0061482C">
      <w:pPr>
        <w:spacing w:line="480" w:lineRule="auto"/>
        <w:ind w:firstLine="720"/>
        <w:rPr>
          <w:sz w:val="22"/>
          <w:szCs w:val="22"/>
          <w:lang w:val="en-AU"/>
        </w:rPr>
      </w:pPr>
      <w:r w:rsidRPr="003E73CD">
        <w:rPr>
          <w:sz w:val="22"/>
          <w:szCs w:val="22"/>
          <w:lang w:val="en-AU"/>
        </w:rPr>
        <w:t>In the present study, there were plausible technical, pathological or iatrogenic factors to account for non-localization in 14 out of 18 cases.  Of the 4 cases in which no such factors could be found, 3 primary tumour sites were located near the midline at the scalp vertex and 1 was located on the cheek in the malar region.  These are the same locations at which unexplained non-localization has previously been observed.</w:t>
      </w:r>
      <w:r w:rsidRPr="003E73CD">
        <w:rPr>
          <w:sz w:val="22"/>
          <w:szCs w:val="22"/>
          <w:lang w:val="en-AU"/>
        </w:rPr>
        <w:fldChar w:fldCharType="begin" w:fldLock="1"/>
      </w:r>
      <w:r w:rsidR="005676A9">
        <w:rPr>
          <w:sz w:val="22"/>
          <w:szCs w:val="22"/>
          <w:lang w:val="en-AU"/>
        </w:rPr>
        <w:instrText>ADDIN CSL_CITATION { "citationItems" : [ { "id" : "ITEM-1", "itemData" : { "ISSN" : "0148-7043", "PMID" : "15166975", "abstract" : "INTRODUCTION: Lymphatic drainage pathways in the head and neck region are more variable than in any other location of the body. Occasionally, head and neck lymphoscintograms fail to identify a definitive lymphatic drainage pattern, making preoperative and intraoperative identification of sentinel nodes very difficult. The purpose of this study was to determine the incidence of nonlocalization on lymphoscintigraphy of sentinel nodes in patients with head and neck cutaneous malignancies.\n\nMETHODS: A retrospective chart review was conducted of a single surgeon's (WKS) 135 consecutive head and neck melanoma and Merkel cell cancer patients from August 1997 to August 2002. In all cases. technetium-99m sulfur colloid was the radioactive tracer used by the nuclear medicine department to perform the lymphoscintograms.\n\nRESULTS: Of the 135 patients, 74 underwent preoperative lymphoscintigraphy in preparation for performing a sentinel lymph node biopsy. Of these 74 patients, 5 (6.8%) were found to have nonlocalization of a sentinel node(s). Of the 5 patients who failed to localize, 3 had primary lesions near the midline scalp, while 2 had primary lesions located on the cheek. Two of the 5 patients underwent reinjection of the radioisotope by the treating surgeon (WKS) but failed to further localize the radiotracer. All 5 patients went on to have wide local excision of the primary cancer on the day of the lymphoscintogram, as well as undergoing intraoperative examination of all head and neck nodal basins with a handheld gamma detector. No focal areas of radiation were identified and no lymph nodes were biopsied. To date, 1 patient has developed distant metastases and has succumbed to her disease. The remaining 4 patients are free of disease.\n\nCONCLUSION: In a series of 135 consecutive patients with head and neck cutaneous malignancies, 74 of whom were treated with preoperative lymphoscintograms, a nonlocalization rate of 6.8% was found. This is a significant rate of nonlocalization and reflects either the inherent difficulty in imaging the head and neck region and/or the possible rapid rate of dye washout via multiple lymphatic drainage pathways that exist in this location.", "author" : [ { "dropping-particle" : "", "family" : "Stadelmann", "given" : "Wayne K", "non-dropping-particle" : "", "parse-names" : false, "suffix" : "" }, { "dropping-particle" : "", "family" : "Cobbins", "given" : "Lorri", "non-dropping-particle" : "", "parse-names" : false, "suffix" : "" }, { "dropping-particle" : "", "family" : "Lentsch", "given" : "Eric J", "non-dropping-particle" : "", "parse-names" : false, "suffix" : "" } ], "container-title" : "Annals of plastic surgery", "id" : "ITEM-1", "issue" : "6", "issued" : { "date-parts" : [ [ "2004", "6" ] ] }, "page" : "546-9; discussion 550", "title" : "Incidence of nonlocalization of sentinel lymph nodes using preoperative lymphoscintigraphy in 74 consecutive head and neck melanoma and Merkel cell carcinoma patients.", "type" : "article-journal", "volume" : "52" }, "uris" : [ "http://www.mendeley.com/documents/?uuid=6d86aa98-f6e6-4172-b4da-f7a8944baf98" ] } ], "mendeley" : { "formattedCitation" : "&lt;sup&gt;208&lt;/sup&gt;", "plainTextFormattedCitation" : "208", "previouslyFormattedCitation" : "&lt;sup&gt;208&lt;/sup&gt;" }, "properties" : { "noteIndex" : 0 }, "schema" : "https://github.com/citation-style-language/schema/raw/master/csl-citation.json" }</w:instrText>
      </w:r>
      <w:r w:rsidRPr="003E73CD">
        <w:rPr>
          <w:sz w:val="22"/>
          <w:szCs w:val="22"/>
          <w:lang w:val="en-AU"/>
        </w:rPr>
        <w:fldChar w:fldCharType="separate"/>
      </w:r>
      <w:r w:rsidR="00217FAC" w:rsidRPr="00217FAC">
        <w:rPr>
          <w:noProof/>
          <w:sz w:val="22"/>
          <w:szCs w:val="22"/>
          <w:vertAlign w:val="superscript"/>
          <w:lang w:val="en-AU"/>
        </w:rPr>
        <w:t>208</w:t>
      </w:r>
      <w:r w:rsidRPr="003E73CD">
        <w:rPr>
          <w:sz w:val="22"/>
          <w:szCs w:val="22"/>
          <w:lang w:val="en-AU"/>
        </w:rPr>
        <w:fldChar w:fldCharType="end"/>
      </w:r>
      <w:proofErr w:type="gramStart"/>
      <w:r w:rsidRPr="003E73CD">
        <w:rPr>
          <w:sz w:val="22"/>
          <w:szCs w:val="22"/>
          <w:lang w:val="en-AU"/>
        </w:rPr>
        <w:t xml:space="preserve">  A</w:t>
      </w:r>
      <w:proofErr w:type="gramEnd"/>
      <w:r w:rsidRPr="003E73CD">
        <w:rPr>
          <w:sz w:val="22"/>
          <w:szCs w:val="22"/>
          <w:lang w:val="en-AU"/>
        </w:rPr>
        <w:t xml:space="preserve"> possible explanation for non-localization in these cases is that the tumours were located in areas where lymphatics drain directly into the venous system.  Injected radiocolloid would therefore dissipate rapidly into the bloodstream without passing through lymph nodes.  Evidence for the existence of such connections has been provided in the anatomical study of superficial head and neck tissues conducted by Pan, Suami and Taylor.</w:t>
      </w:r>
      <w:r w:rsidRPr="003E73CD">
        <w:rPr>
          <w:sz w:val="22"/>
          <w:szCs w:val="22"/>
          <w:lang w:val="en-AU"/>
        </w:rPr>
        <w:fldChar w:fldCharType="begin" w:fldLock="1"/>
      </w:r>
      <w:r w:rsidR="005676A9">
        <w:rPr>
          <w:sz w:val="22"/>
          <w:szCs w:val="22"/>
          <w:lang w:val="en-AU"/>
        </w:rPr>
        <w:instrText>ADDIN CSL_CITATION { "citationItems" : [ { "id" : "ITEM-1", "itemData" : { "DOI" : "10.1097/PRS.0b013e31816aa072", "ISSN" : "1529-4242", "PMID" : "18453984", "abstract" : "BACKGROUND: Current knowledge of the anatomy of the lymphatic system does not match or explain some of the unexpected clinical and lymphoscintigraphic findings seen in head and neck cancer patients. There is the need, therefore, to remap the lymphatic network of the superficial tissues of the head and neck region.\n\nMETHODS: Eighteen halves of the superficial tissues of the head and neck from nine fresh human cadavers were studied over a 20-month period using a mixture of 6% hydrogen peroxide (Orion Laboratories, Balcatta, Australia) with and without India ink to detect the lymphatic vessels and then inject them with a radiopaque lead oxide mixture (AJAX Chemicals, Sydney, Australia).\n\nRESULTS: These unique studies showed (1) lymph capillaries arising from the skin and the galea layers draining sequentially into precollecting lymph vessels, collecting lymphatics, and the first-tier lymph nodes; (2) collecting vessels averaging 0.2 mm in diameter with unusual \"lymphatic ampullae\" structures and inactive lymph nodes observed often along their course; (3) different network patterns between subjects and between sides of the same subject; (4) similar relationships between lymphatic and venous systems; (5) a lymphaticovenous shunt in the occipital region; (6) lymphatics sometimes bypassing the expected nodes to reach sentinel nodes in the root of the neck; and (7) the lymphatics of the anterior neck lying above the platysma and coursing horizontally, obliquely, and upward toward the mandible.\n\nCONCLUSION: A map of the head and neck lymphatics is presented to aid clinicians with the management of trauma and malignancies in the region.", "author" : [ { "dropping-particle" : "", "family" : "Pan", "given" : "Wei-Ren", "non-dropping-particle" : "", "parse-names" : false, "suffix" : "" }, { "dropping-particle" : "", "family" : "Suami", "given" : "Hiroo", "non-dropping-particle" : "", "parse-names" : false, "suffix" : "" }, { "dropping-particle" : "", "family" : "Taylor", "given" : "G Ian", "non-dropping-particle" : "", "parse-names" : false, "suffix" : "" } ], "container-title" : "Plastic and reconstructive surgery", "id" : "ITEM-1", "issue" : "5", "issued" : { "date-parts" : [ [ "2008", "5" ] ] }, "page" : "1614-24; discussion 1625-6", "title" : "Lymphatic drainage of the superficial tissues of the head and neck: anatomical study and clinical implications.", "type" : "article-journal", "volume" : "121" }, "uris" : [ "http://www.mendeley.com/documents/?uuid=72a58cc7-be87-4e4d-8fc4-c8463fa9f261" ] } ], "mendeley" : { "formattedCitation" : "&lt;sup&gt;213&lt;/sup&gt;", "plainTextFormattedCitation" : "213", "previouslyFormattedCitation" : "&lt;sup&gt;213&lt;/sup&gt;" }, "properties" : { "noteIndex" : 0 }, "schema" : "https://github.com/citation-style-language/schema/raw/master/csl-citation.json" }</w:instrText>
      </w:r>
      <w:r w:rsidRPr="003E73CD">
        <w:rPr>
          <w:sz w:val="22"/>
          <w:szCs w:val="22"/>
          <w:lang w:val="en-AU"/>
        </w:rPr>
        <w:fldChar w:fldCharType="separate"/>
      </w:r>
      <w:r w:rsidR="00217FAC" w:rsidRPr="00217FAC">
        <w:rPr>
          <w:noProof/>
          <w:sz w:val="22"/>
          <w:szCs w:val="22"/>
          <w:vertAlign w:val="superscript"/>
          <w:lang w:val="en-AU"/>
        </w:rPr>
        <w:t>213</w:t>
      </w:r>
      <w:r w:rsidRPr="003E73CD">
        <w:rPr>
          <w:sz w:val="22"/>
          <w:szCs w:val="22"/>
          <w:lang w:val="en-AU"/>
        </w:rPr>
        <w:fldChar w:fldCharType="end"/>
      </w:r>
      <w:proofErr w:type="gramStart"/>
      <w:r w:rsidRPr="003E73CD">
        <w:rPr>
          <w:sz w:val="22"/>
          <w:szCs w:val="22"/>
          <w:lang w:val="en-AU"/>
        </w:rPr>
        <w:t xml:space="preserve">  A</w:t>
      </w:r>
      <w:proofErr w:type="gramEnd"/>
      <w:r w:rsidRPr="003E73CD">
        <w:rPr>
          <w:sz w:val="22"/>
          <w:szCs w:val="22"/>
          <w:lang w:val="en-AU"/>
        </w:rPr>
        <w:t xml:space="preserve"> lymphaticovenous connection was observed in the occipital region in 1 out of 9 human cadavers.  The existence of lymphaticovenous connections has been demonstrated in a number of circumstances, namely: following radical mastectomy, in the presence of primary and secondary malignancy in lymph nodes, in primary lymphoedema and following surgery involving skin excisional surgery with excision of a segment of underlying saphenous vein. </w:t>
      </w:r>
      <w:r w:rsidRPr="003E73CD">
        <w:rPr>
          <w:sz w:val="22"/>
          <w:szCs w:val="22"/>
          <w:lang w:val="en-AU"/>
        </w:rPr>
        <w:fldChar w:fldCharType="begin" w:fldLock="1"/>
      </w:r>
      <w:r w:rsidR="005676A9">
        <w:rPr>
          <w:sz w:val="22"/>
          <w:szCs w:val="22"/>
          <w:lang w:val="en-AU"/>
        </w:rPr>
        <w:instrText>ADDIN CSL_CITATION { "citationItems" : [ { "id" : "ITEM-1", "itemData" : { "ISSN" : "0007-1447", "PMID" : "5356544", "abstract" : "Lymphovenous shunts have been detected in patients by lymphography with Ultrafluid Lipiodol. No shunts were found in patients with normal lymphatic systems. They were found in patients with lymphoedema, with lymph nodes involved by malignant disease, and in patients who had had surgical interruption of lymphatic pathways, either vessels or nodes. The total incidence of lymphovenous shunts in 700 lymphographic studies was 2.3%. The incidence in the various pathological groups was highest in those with obvious lymph node involvement.In certain situations, particularly primary lymphoedema, the role of a lymphovenous shunt appears favourable to prognosis. In other situations a deleterious effect may be produced.", "author" : [ { "dropping-particle" : "", "family" : "Edwards", "given" : "J M", "non-dropping-particle" : "", "parse-names" : false, "suffix" : "" }, { "dropping-particle" : "", "family" : "Kinmonth", "given" : "J B", "non-dropping-particle" : "", "parse-names" : false, "suffix" : "" } ], "container-title" : "British medical journal", "id" : "ITEM-1", "issue" : "5683", "issued" : { "date-parts" : [ [ "1969", "12", "6" ] ] }, "page" : "579-81", "title" : "Lymphovenous shunts in man.", "type" : "article-journal", "volume" : "4" }, "uris" : [ "http://www.mendeley.com/documents/?uuid=9f94f989-7ceb-4ea1-b033-48d0eb89ea04" ] }, { "id" : "ITEM-2", "itemData" : { "ISSN" : "0039-6060", "PMID" : "6710353", "abstract" : "Forty women were investigated 6 to 24 months after radical mastectomy for the presence of functioning lymphovenous communications in the arm; 20 cases were edematous and the rest were not. Ten normal volunteer women were also investigated and served as controls. Iodinated (I125) human serum albumin was injected intralymphatically in the arm, and samples of blood were taken from both basilic veins simultaneously at 5, 10, 15, 30, 45, and 60 minutes. The radioactivity of each sample was determined with a scintillation counter. Lymphangiography was performed in all cases 1 month after the isotopic studies and lymphangiograms were evaluated for the presence of lymphovenous shunts. In the volunteers and the edematous postmastectomy group, there was negligible lymphovenous shunting of labeled albumin. In the nonedematous postmastectomy group, there was an increased quantity of local lymphovenous transfer of iodinated albumin. Lymphovenous shunts were detected radiologically in two patients who did not have edema. On the basis of our observations, the incidence of postmastectomy lymphedema is predetermined and is a consequence of the lack of existence of lymphovenous communications that can allow adequate lymph flow drainage from the arm after radical dissection of axillary lymph nodes.", "author" : [ { "dropping-particle" : "", "family" : "Aboul-Enein", "given" : "A", "non-dropping-particle" : "", "parse-names" : false, "suffix" : "" }, { "dropping-particle" : "", "family" : "Eshmawy", "given" : "I", "non-dropping-particle" : "", "parse-names" : false, "suffix" : "" }, { "dropping-particle" : "", "family" : "Arafa", "given" : "S", "non-dropping-particle" : "", "parse-names" : false, "suffix" : "" }, { "dropping-particle" : "", "family" : "Abboud", "given" : "A", "non-dropping-particle" : "", "parse-names" : false, "suffix" : "" } ], "container-title" : "Surgery", "id" : "ITEM-2", "issue" : "5", "issued" : { "date-parts" : [ [ "1984", "5" ] ] }, "page" : "562-6", "title" : "The role of lymphovenous communication in the development of postmastectomy lymphedema.", "type" : "article-journal", "volume" : "95" }, "uris" : [ "http://www.mendeley.com/documents/?uuid=edf8cae4-c63e-4a50-855d-7420cb296e5e" ] } ], "mendeley" : { "formattedCitation" : "&lt;sup&gt;214,215&lt;/sup&gt;", "plainTextFormattedCitation" : "214,215", "previouslyFormattedCitation" : "&lt;sup&gt;214,215&lt;/sup&gt;" }, "properties" : { "noteIndex" : 0 }, "schema" : "https://github.com/citation-style-language/schema/raw/master/csl-citation.json" }</w:instrText>
      </w:r>
      <w:r w:rsidRPr="003E73CD">
        <w:rPr>
          <w:sz w:val="22"/>
          <w:szCs w:val="22"/>
          <w:lang w:val="en-AU"/>
        </w:rPr>
        <w:fldChar w:fldCharType="separate"/>
      </w:r>
      <w:r w:rsidR="00217FAC" w:rsidRPr="00217FAC">
        <w:rPr>
          <w:noProof/>
          <w:sz w:val="22"/>
          <w:szCs w:val="22"/>
          <w:vertAlign w:val="superscript"/>
          <w:lang w:val="en-AU"/>
        </w:rPr>
        <w:t>214,215</w:t>
      </w:r>
      <w:r w:rsidRPr="003E73CD">
        <w:rPr>
          <w:sz w:val="22"/>
          <w:szCs w:val="22"/>
          <w:lang w:val="en-AU"/>
        </w:rPr>
        <w:fldChar w:fldCharType="end"/>
      </w:r>
      <w:proofErr w:type="gramStart"/>
      <w:r w:rsidRPr="003E73CD">
        <w:rPr>
          <w:sz w:val="22"/>
          <w:szCs w:val="22"/>
          <w:lang w:val="en-AU"/>
        </w:rPr>
        <w:t xml:space="preserve">  These</w:t>
      </w:r>
      <w:proofErr w:type="gramEnd"/>
      <w:r w:rsidRPr="003E73CD">
        <w:rPr>
          <w:sz w:val="22"/>
          <w:szCs w:val="22"/>
          <w:lang w:val="en-AU"/>
        </w:rPr>
        <w:t xml:space="preserve"> lymphaticovenous connections most likely result from pathological processes or iatrogenic causes rather than comprising normal anatomical variation.  However, in the head and neck the existence of normal anatomical lymphaticovenous connections may be one reason why there is a low incidence of lymphoedema even following bilateral neck dissections.  The presence of direct lymphaticovenous connections could also confer a higher risk of haematogenous metastasis without nodal metastasis from tumours located in this region.   This would fit with the findings from the Sunbelt Melanoma Trial, in which patients with head and neck melanoma had a poorer prognosis than those with trunk or extremity melanoma but conversely had a lower rate of sentinel node metastasis (15% for head and neck, 23% for trunk and 20% for extremity sites).</w:t>
      </w:r>
      <w:r w:rsidRPr="003E73CD">
        <w:rPr>
          <w:sz w:val="22"/>
          <w:szCs w:val="22"/>
          <w:lang w:val="en-AU"/>
        </w:rPr>
        <w:fldChar w:fldCharType="begin" w:fldLock="1"/>
      </w:r>
      <w:r w:rsidR="005676A9">
        <w:rPr>
          <w:sz w:val="22"/>
          <w:szCs w:val="22"/>
          <w:lang w:val="en-AU"/>
        </w:rPr>
        <w:instrText>ADDIN CSL_CITATION { "citationItems" : [ { "id" : "ITEM-1", "itemData" : { "ISSN" : "1068-9265", "PMID" : "12513955", "abstract" : "BACKGROUND: Sentinel lymph node (SLN) biopsy for head and neck (H&amp;N) melanomas may be more technically challenging compared with other locations because of complex lymphatic drainage patterns. This analysis was performed to compare the results of SLN biopsy for H&amp;N, truncal, and extremity melanomas. METHODS: The Sunbelt Melanoma Trial includes patients aged 18 to 70 with melanomas &gt; or = 1.0 mm thick. Statistical comparison was performed by chi2 or analysis of variance test. RESULTS: A total of 2610 patients were evaluated with a median follow-up of 18 months. The mean number of SLN per nodal basin was 2.8, 2.7, and 2.1 for H&amp;N, truncal, and extremity melanomas, respectively. Median Clark level, Breslow thickness, and percentage of ulceration were similar between the groups. Peri-parotid SLN was identified in 25% of cases; there were no facial nerve injuries. SLN biopsy for H&amp;N melanoma had higher false-negative rates at 1.5% (vs. 0.5% for trunk or extremity) but less histologically positive SLN at 15% (vs. 23.4%, and 19.5%; P &lt;.001) compared with truncal and extremity melanoma. Blue dye was visualized less frequently in SLN of H&amp;N melanoma patients compared with those with trunk or extremity melanomas. CONCLUSIONS: Preoperative lymphoscintigraphy and meticulous intraoperative search for blue/radioactive nodes may improve results in H&amp;N melanomas.", "author" : [ { "dropping-particle" : "", "family" : "Chao", "given" : "Celia", "non-dropping-particle" : "", "parse-names" : false, "suffix" : "" }, { "dropping-particle" : "", "family" : "Wong", "given" : "Sandra L", "non-dropping-particle" : "", "parse-names" : false, "suffix" : "" }, { "dropping-particle" : "", "family" : "Edwards", "given" : "Michael J", "non-dropping-particle" : "", "parse-names" : false, "suffix" : "" }, { "dropping-particle" : "", "family" : "Ross", "given" : "Merrick I", "non-dropping-particle" : "", "parse-names" : false, "suffix" : "" }, { "dropping-particle" : "", "family" : "Reintgen", "given" : "Douglas S", "non-dropping-particle" : "", "parse-names" : false, "suffix" : "" }, { "dropping-particle" : "", "family" : "Noyes", "given" : "R Dirk", "non-dropping-particle" : "", "parse-names" : false, "suffix" : "" }, { "dropping-particle" : "", "family" : "Stadelmann", "given" : "Wayne K", "non-dropping-particle" : "", "parse-names" : false, "suffix" : "" }, { "dropping-particle" : "", "family" : "Lentsch", "given" : "Eric", "non-dropping-particle" : "", "parse-names" : false, "suffix" : "" }, { "dropping-particle" : "", "family" : "McMasters", "given" : "Kelly M", "non-dropping-particle" : "", "parse-names" : false, "suffix" : "" } ], "container-title" : "Annals of surgical oncology", "id" : "ITEM-1", "issue" : "1", "issued" : { "date-parts" : [ [ "2003", "1" ] ] }, "page" : "21-6", "title" : "Sentinel lymph node biopsy for head and neck melanomas.", "type" : "article-journal", "volume" : "10" }, "uris" : [ "http://www.mendeley.com/documents/?uuid=76944840-cdaf-430a-87d8-387ef717664c" ] } ], "mendeley" : { "formattedCitation" : "&lt;sup&gt;216&lt;/sup&gt;", "plainTextFormattedCitation" : "216", "previouslyFormattedCitation" : "&lt;sup&gt;216&lt;/sup&gt;" }, "properties" : { "noteIndex" : 0 }, "schema" : "https://github.com/citation-style-language/schema/raw/master/csl-citation.json" }</w:instrText>
      </w:r>
      <w:r w:rsidRPr="003E73CD">
        <w:rPr>
          <w:sz w:val="22"/>
          <w:szCs w:val="22"/>
          <w:lang w:val="en-AU"/>
        </w:rPr>
        <w:fldChar w:fldCharType="separate"/>
      </w:r>
      <w:r w:rsidR="00217FAC" w:rsidRPr="00217FAC">
        <w:rPr>
          <w:noProof/>
          <w:sz w:val="22"/>
          <w:szCs w:val="22"/>
          <w:vertAlign w:val="superscript"/>
          <w:lang w:val="en-AU"/>
        </w:rPr>
        <w:t>216</w:t>
      </w:r>
      <w:r w:rsidRPr="003E73CD">
        <w:rPr>
          <w:sz w:val="22"/>
          <w:szCs w:val="22"/>
          <w:lang w:val="en-AU"/>
        </w:rPr>
        <w:fldChar w:fldCharType="end"/>
      </w:r>
      <w:proofErr w:type="gramStart"/>
      <w:r w:rsidRPr="003E73CD">
        <w:rPr>
          <w:sz w:val="22"/>
          <w:szCs w:val="22"/>
          <w:lang w:val="en-AU"/>
        </w:rPr>
        <w:t xml:space="preserve">  The</w:t>
      </w:r>
      <w:proofErr w:type="gramEnd"/>
      <w:r w:rsidRPr="003E73CD">
        <w:rPr>
          <w:sz w:val="22"/>
          <w:szCs w:val="22"/>
          <w:lang w:val="en-AU"/>
        </w:rPr>
        <w:t xml:space="preserve"> actual prevalence of lymphaticovenous connections within the normal population is unknown and further anatomical or physiological studies would be of interest, as would a study to determine whether or not there is a higher likelihood of distant metastasis without nodal metastasis from tumours on the scalp vertex and malar cheek regions. </w:t>
      </w:r>
    </w:p>
    <w:p w14:paraId="61379732" w14:textId="7231088E" w:rsidR="0061482C" w:rsidRPr="003E73CD" w:rsidRDefault="0061482C" w:rsidP="0061482C">
      <w:pPr>
        <w:spacing w:line="480" w:lineRule="auto"/>
        <w:ind w:firstLine="720"/>
        <w:rPr>
          <w:sz w:val="22"/>
          <w:szCs w:val="22"/>
          <w:lang w:val="en-AU"/>
        </w:rPr>
      </w:pPr>
      <w:r w:rsidRPr="003E73CD">
        <w:rPr>
          <w:sz w:val="22"/>
          <w:szCs w:val="22"/>
          <w:lang w:val="en-AU"/>
        </w:rPr>
        <w:t xml:space="preserve">A proposed algorithm for the management of cases in which non-localization occurs is shown in </w:t>
      </w:r>
      <w:r w:rsidR="008E4096">
        <w:rPr>
          <w:sz w:val="22"/>
          <w:szCs w:val="22"/>
          <w:lang w:val="en-AU"/>
        </w:rPr>
        <w:t>Figure 2.1</w:t>
      </w:r>
      <w:r w:rsidR="0045660C" w:rsidRPr="003E73CD">
        <w:rPr>
          <w:sz w:val="22"/>
          <w:szCs w:val="22"/>
          <w:lang w:val="en-AU"/>
        </w:rPr>
        <w:t>.2</w:t>
      </w:r>
      <w:r w:rsidRPr="003E73CD">
        <w:rPr>
          <w:sz w:val="22"/>
          <w:szCs w:val="22"/>
          <w:lang w:val="en-AU"/>
        </w:rPr>
        <w:t xml:space="preserve">.  This combines the evidence from the present study with existing literature to provide a practical guide that can be followed in such cases.  By following the algorithm it should be possible to avoid unnecessary delays in treatment that would result from repeating lymphoscintigraphy when it is unlikely to provide more information, to guide attempts at sentinel node biopsy when the chances of success are reasonable and to caution against attempts when the chances of success are low. </w:t>
      </w:r>
    </w:p>
    <w:p w14:paraId="2CB0351A" w14:textId="77777777" w:rsidR="0061482C" w:rsidRPr="003E73CD" w:rsidRDefault="0061482C" w:rsidP="0061482C">
      <w:pPr>
        <w:spacing w:line="480" w:lineRule="auto"/>
        <w:rPr>
          <w:sz w:val="22"/>
          <w:szCs w:val="22"/>
          <w:lang w:val="en-AU"/>
        </w:rPr>
      </w:pPr>
    </w:p>
    <w:p w14:paraId="7EF1FB69" w14:textId="77777777" w:rsidR="0061482C" w:rsidRPr="003E73CD" w:rsidRDefault="0061482C" w:rsidP="0061482C">
      <w:pPr>
        <w:spacing w:line="480" w:lineRule="auto"/>
        <w:rPr>
          <w:sz w:val="22"/>
          <w:szCs w:val="22"/>
          <w:lang w:val="en-AU"/>
        </w:rPr>
      </w:pPr>
    </w:p>
    <w:p w14:paraId="2446EA99" w14:textId="77777777" w:rsidR="0061482C" w:rsidRPr="003E73CD" w:rsidRDefault="0061482C" w:rsidP="0061482C">
      <w:pPr>
        <w:spacing w:line="480" w:lineRule="auto"/>
        <w:rPr>
          <w:sz w:val="22"/>
          <w:szCs w:val="22"/>
          <w:lang w:val="en-AU"/>
        </w:rPr>
      </w:pPr>
    </w:p>
    <w:p w14:paraId="4FA2C85F" w14:textId="77777777" w:rsidR="0061482C" w:rsidRPr="003E73CD" w:rsidRDefault="0061482C" w:rsidP="0061482C">
      <w:pPr>
        <w:spacing w:line="480" w:lineRule="auto"/>
        <w:rPr>
          <w:sz w:val="22"/>
          <w:szCs w:val="22"/>
        </w:rPr>
      </w:pPr>
    </w:p>
    <w:p w14:paraId="77977836" w14:textId="77777777" w:rsidR="00397FF8" w:rsidRDefault="0061482C" w:rsidP="0061482C">
      <w:pPr>
        <w:pStyle w:val="Caption"/>
        <w:keepNext/>
        <w:rPr>
          <w:sz w:val="22"/>
          <w:szCs w:val="22"/>
        </w:rPr>
        <w:sectPr w:rsidR="00397FF8" w:rsidSect="00F04610">
          <w:type w:val="continuous"/>
          <w:pgSz w:w="11900" w:h="16840"/>
          <w:pgMar w:top="1440" w:right="1134" w:bottom="1440" w:left="2268" w:header="709" w:footer="709" w:gutter="0"/>
          <w:cols w:space="708"/>
          <w:docGrid w:linePitch="360"/>
        </w:sectPr>
      </w:pPr>
      <w:r w:rsidRPr="003E73CD">
        <w:rPr>
          <w:sz w:val="22"/>
          <w:szCs w:val="22"/>
        </w:rPr>
        <w:br w:type="page"/>
      </w:r>
    </w:p>
    <w:p w14:paraId="32EDC7B8" w14:textId="2F62AD1A" w:rsidR="0061482C" w:rsidRPr="003E73CD" w:rsidRDefault="008E4096" w:rsidP="0061482C">
      <w:pPr>
        <w:pStyle w:val="Caption"/>
        <w:keepNext/>
        <w:rPr>
          <w:noProof/>
          <w:sz w:val="22"/>
          <w:szCs w:val="22"/>
        </w:rPr>
      </w:pPr>
      <w:r>
        <w:rPr>
          <w:color w:val="auto"/>
          <w:sz w:val="22"/>
          <w:szCs w:val="22"/>
        </w:rPr>
        <w:t>Figure 2.1</w:t>
      </w:r>
      <w:r w:rsidR="0045660C" w:rsidRPr="003E73CD">
        <w:rPr>
          <w:color w:val="auto"/>
          <w:sz w:val="22"/>
          <w:szCs w:val="22"/>
        </w:rPr>
        <w:t>.2</w:t>
      </w:r>
      <w:r w:rsidR="0061482C" w:rsidRPr="003E73CD">
        <w:rPr>
          <w:color w:val="auto"/>
          <w:sz w:val="22"/>
          <w:szCs w:val="22"/>
        </w:rPr>
        <w:t xml:space="preserve">.  </w:t>
      </w:r>
      <w:proofErr w:type="gramStart"/>
      <w:r w:rsidR="0061482C" w:rsidRPr="003E73CD">
        <w:rPr>
          <w:color w:val="auto"/>
          <w:sz w:val="22"/>
          <w:szCs w:val="22"/>
        </w:rPr>
        <w:t>Proposed algorithm for the manag</w:t>
      </w:r>
      <w:r w:rsidR="003A4E6A" w:rsidRPr="003E73CD">
        <w:rPr>
          <w:color w:val="auto"/>
          <w:sz w:val="22"/>
          <w:szCs w:val="22"/>
        </w:rPr>
        <w:t>e</w:t>
      </w:r>
      <w:r w:rsidR="0061482C" w:rsidRPr="003E73CD">
        <w:rPr>
          <w:color w:val="auto"/>
          <w:sz w:val="22"/>
          <w:szCs w:val="22"/>
        </w:rPr>
        <w:t>ment of non-localization.</w:t>
      </w:r>
      <w:proofErr w:type="gramEnd"/>
      <w:r w:rsidR="0061482C" w:rsidRPr="003E73CD">
        <w:rPr>
          <w:noProof/>
          <w:sz w:val="22"/>
          <w:szCs w:val="22"/>
        </w:rPr>
        <w:t xml:space="preserve"> </w:t>
      </w:r>
    </w:p>
    <w:p w14:paraId="5506FA23" w14:textId="0EA1C326" w:rsidR="00397FF8" w:rsidRPr="00397FF8" w:rsidRDefault="0061482C" w:rsidP="0061482C">
      <w:pPr>
        <w:spacing w:line="480" w:lineRule="auto"/>
        <w:rPr>
          <w:sz w:val="22"/>
          <w:szCs w:val="22"/>
        </w:rPr>
        <w:sectPr w:rsidR="00397FF8" w:rsidRPr="00397FF8" w:rsidSect="00397FF8">
          <w:pgSz w:w="16840" w:h="11900" w:orient="landscape"/>
          <w:pgMar w:top="2268" w:right="1440" w:bottom="1134" w:left="1440" w:header="709" w:footer="709" w:gutter="0"/>
          <w:cols w:space="708"/>
          <w:docGrid w:linePitch="360"/>
        </w:sectPr>
      </w:pPr>
      <w:r w:rsidRPr="003E73CD">
        <w:rPr>
          <w:noProof/>
          <w:sz w:val="22"/>
          <w:szCs w:val="22"/>
        </w:rPr>
        <w:drawing>
          <wp:inline distT="0" distB="0" distL="0" distR="0" wp14:anchorId="5DF8FA30" wp14:editId="33A2FCE6">
            <wp:extent cx="9022080" cy="4866640"/>
            <wp:effectExtent l="0" t="50800" r="0" b="111760"/>
            <wp:docPr id="26" name="Diagram 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p>
    <w:p w14:paraId="778F27DE" w14:textId="08EBB18C" w:rsidR="0061482C" w:rsidRPr="003E73CD" w:rsidRDefault="008E4096" w:rsidP="0061482C">
      <w:pPr>
        <w:spacing w:line="480" w:lineRule="auto"/>
        <w:rPr>
          <w:sz w:val="28"/>
          <w:szCs w:val="28"/>
        </w:rPr>
      </w:pPr>
      <w:r>
        <w:rPr>
          <w:sz w:val="28"/>
          <w:szCs w:val="28"/>
        </w:rPr>
        <w:t>Section 2.2</w:t>
      </w:r>
      <w:r w:rsidR="0061482C" w:rsidRPr="003E73CD">
        <w:rPr>
          <w:sz w:val="28"/>
          <w:szCs w:val="28"/>
        </w:rPr>
        <w:t>: Lymphatic drainage patterns from cutaneous tumours of the forehead: Refining the recommendations for selective neck dissection.</w:t>
      </w:r>
    </w:p>
    <w:p w14:paraId="781485AA" w14:textId="77777777" w:rsidR="00837802" w:rsidRPr="003E73CD" w:rsidRDefault="00837802" w:rsidP="0061482C">
      <w:pPr>
        <w:widowControl w:val="0"/>
        <w:autoSpaceDE w:val="0"/>
        <w:autoSpaceDN w:val="0"/>
        <w:adjustRightInd w:val="0"/>
        <w:spacing w:line="480" w:lineRule="auto"/>
        <w:rPr>
          <w:b/>
          <w:bCs/>
          <w:sz w:val="22"/>
          <w:szCs w:val="22"/>
        </w:rPr>
      </w:pPr>
    </w:p>
    <w:p w14:paraId="49F96CB4" w14:textId="77777777" w:rsidR="0061482C" w:rsidRPr="003E73CD" w:rsidRDefault="0061482C" w:rsidP="0061482C">
      <w:pPr>
        <w:widowControl w:val="0"/>
        <w:autoSpaceDE w:val="0"/>
        <w:autoSpaceDN w:val="0"/>
        <w:adjustRightInd w:val="0"/>
        <w:spacing w:line="480" w:lineRule="auto"/>
        <w:rPr>
          <w:b/>
          <w:bCs/>
          <w:sz w:val="22"/>
          <w:szCs w:val="22"/>
        </w:rPr>
      </w:pPr>
      <w:r w:rsidRPr="003E73CD">
        <w:rPr>
          <w:b/>
          <w:bCs/>
          <w:sz w:val="22"/>
          <w:szCs w:val="22"/>
        </w:rPr>
        <w:t>Authors</w:t>
      </w:r>
    </w:p>
    <w:p w14:paraId="73DDFC3B" w14:textId="3EE1D0D0" w:rsidR="0061482C" w:rsidRPr="003E73CD" w:rsidRDefault="0061482C" w:rsidP="0061482C">
      <w:pPr>
        <w:widowControl w:val="0"/>
        <w:autoSpaceDE w:val="0"/>
        <w:autoSpaceDN w:val="0"/>
        <w:adjustRightInd w:val="0"/>
        <w:spacing w:line="480" w:lineRule="auto"/>
        <w:rPr>
          <w:b/>
          <w:bCs/>
          <w:sz w:val="22"/>
          <w:szCs w:val="22"/>
          <w:vertAlign w:val="superscript"/>
        </w:rPr>
      </w:pPr>
      <w:r w:rsidRPr="003E73CD">
        <w:rPr>
          <w:b/>
          <w:bCs/>
          <w:sz w:val="22"/>
          <w:szCs w:val="22"/>
        </w:rPr>
        <w:t>Martin Wiener, MBChB</w:t>
      </w:r>
      <w:r w:rsidRPr="003E73CD">
        <w:rPr>
          <w:b/>
          <w:bCs/>
          <w:sz w:val="22"/>
          <w:szCs w:val="22"/>
          <w:vertAlign w:val="superscript"/>
        </w:rPr>
        <w:t>1*</w:t>
      </w:r>
      <w:r w:rsidR="00837802" w:rsidRPr="003E73CD">
        <w:rPr>
          <w:b/>
          <w:bCs/>
          <w:sz w:val="22"/>
          <w:szCs w:val="22"/>
        </w:rPr>
        <w:t xml:space="preserve">, </w:t>
      </w:r>
      <w:r w:rsidRPr="003E73CD">
        <w:rPr>
          <w:b/>
          <w:bCs/>
          <w:sz w:val="22"/>
          <w:szCs w:val="22"/>
        </w:rPr>
        <w:t>Roger F Uren, MD</w:t>
      </w:r>
      <w:r w:rsidRPr="003E73CD">
        <w:rPr>
          <w:b/>
          <w:bCs/>
          <w:sz w:val="22"/>
          <w:szCs w:val="22"/>
          <w:vertAlign w:val="superscript"/>
        </w:rPr>
        <w:t>1</w:t>
      </w:r>
      <w:proofErr w:type="gramStart"/>
      <w:r w:rsidRPr="003E73CD">
        <w:rPr>
          <w:b/>
          <w:bCs/>
          <w:sz w:val="22"/>
          <w:szCs w:val="22"/>
          <w:vertAlign w:val="superscript"/>
        </w:rPr>
        <w:t>,2,3</w:t>
      </w:r>
      <w:proofErr w:type="gramEnd"/>
      <w:r w:rsidR="00837802" w:rsidRPr="003E73CD">
        <w:rPr>
          <w:b/>
          <w:bCs/>
          <w:sz w:val="22"/>
          <w:szCs w:val="22"/>
        </w:rPr>
        <w:t xml:space="preserve">, </w:t>
      </w:r>
      <w:r w:rsidRPr="003E73CD">
        <w:rPr>
          <w:b/>
          <w:bCs/>
          <w:sz w:val="22"/>
          <w:szCs w:val="22"/>
        </w:rPr>
        <w:t>John F Thompson, MD</w:t>
      </w:r>
      <w:r w:rsidRPr="003E73CD">
        <w:rPr>
          <w:b/>
          <w:bCs/>
          <w:sz w:val="22"/>
          <w:szCs w:val="22"/>
          <w:vertAlign w:val="superscript"/>
        </w:rPr>
        <w:t>1,2</w:t>
      </w:r>
    </w:p>
    <w:p w14:paraId="26225BE2" w14:textId="77777777" w:rsidR="0061482C" w:rsidRPr="003E73CD" w:rsidRDefault="0061482C" w:rsidP="0061482C">
      <w:pPr>
        <w:widowControl w:val="0"/>
        <w:autoSpaceDE w:val="0"/>
        <w:autoSpaceDN w:val="0"/>
        <w:adjustRightInd w:val="0"/>
        <w:spacing w:line="480" w:lineRule="auto"/>
        <w:rPr>
          <w:b/>
          <w:bCs/>
          <w:i/>
          <w:iCs/>
          <w:sz w:val="22"/>
          <w:szCs w:val="22"/>
          <w:vertAlign w:val="superscript"/>
        </w:rPr>
      </w:pPr>
    </w:p>
    <w:p w14:paraId="48A5B753" w14:textId="3BF178B4" w:rsidR="00C576D1" w:rsidRPr="003E73CD" w:rsidRDefault="00C576D1" w:rsidP="0061482C">
      <w:pPr>
        <w:widowControl w:val="0"/>
        <w:autoSpaceDE w:val="0"/>
        <w:autoSpaceDN w:val="0"/>
        <w:adjustRightInd w:val="0"/>
        <w:spacing w:line="480" w:lineRule="auto"/>
        <w:rPr>
          <w:rFonts w:asciiTheme="minorHAnsi" w:hAnsiTheme="minorHAnsi"/>
          <w:b/>
          <w:bCs/>
          <w:i/>
          <w:iCs/>
          <w:sz w:val="22"/>
          <w:szCs w:val="22"/>
          <w:vertAlign w:val="superscript"/>
        </w:rPr>
      </w:pPr>
      <w:r w:rsidRPr="003E73CD">
        <w:rPr>
          <w:rFonts w:asciiTheme="minorHAnsi" w:eastAsiaTheme="minorEastAsia" w:hAnsiTheme="minorHAnsi" w:cs="Times"/>
          <w:sz w:val="22"/>
          <w:szCs w:val="22"/>
        </w:rPr>
        <w:t xml:space="preserve">Reprinted from </w:t>
      </w:r>
      <w:r w:rsidRPr="003E73CD">
        <w:rPr>
          <w:rFonts w:asciiTheme="minorHAnsi" w:eastAsiaTheme="minorEastAsia" w:hAnsiTheme="minorHAnsi" w:cs="Verdana"/>
          <w:sz w:val="22"/>
          <w:szCs w:val="22"/>
        </w:rPr>
        <w:t>Journal of Plastic, Reconstructive &amp; Aesthetic Surgery</w:t>
      </w:r>
      <w:r w:rsidR="009F01E7" w:rsidRPr="003E73CD">
        <w:rPr>
          <w:rFonts w:asciiTheme="minorHAnsi" w:eastAsiaTheme="minorEastAsia" w:hAnsiTheme="minorHAnsi" w:cs="Times"/>
          <w:sz w:val="22"/>
          <w:szCs w:val="22"/>
        </w:rPr>
        <w:t>, 67(8)</w:t>
      </w:r>
      <w:r w:rsidRPr="003E73CD">
        <w:rPr>
          <w:rFonts w:asciiTheme="minorHAnsi" w:eastAsiaTheme="minorEastAsia" w:hAnsiTheme="minorHAnsi" w:cs="Times"/>
          <w:sz w:val="22"/>
          <w:szCs w:val="22"/>
        </w:rPr>
        <w:t xml:space="preserve">, </w:t>
      </w:r>
      <w:r w:rsidR="009F01E7" w:rsidRPr="003E73CD">
        <w:rPr>
          <w:rFonts w:asciiTheme="minorHAnsi" w:eastAsiaTheme="minorEastAsia" w:hAnsiTheme="minorHAnsi" w:cs="Verdana"/>
          <w:sz w:val="22"/>
          <w:szCs w:val="22"/>
        </w:rPr>
        <w:t>Martin Wiener, Roger F. Uren, John F. Thompson</w:t>
      </w:r>
      <w:r w:rsidRPr="003E73CD">
        <w:rPr>
          <w:rFonts w:asciiTheme="minorHAnsi" w:eastAsiaTheme="minorEastAsia" w:hAnsiTheme="minorHAnsi" w:cs="Times"/>
          <w:sz w:val="22"/>
          <w:szCs w:val="22"/>
        </w:rPr>
        <w:t xml:space="preserve">, </w:t>
      </w:r>
      <w:r w:rsidR="009F01E7" w:rsidRPr="003E73CD">
        <w:rPr>
          <w:rFonts w:asciiTheme="minorHAnsi" w:eastAsiaTheme="minorEastAsia" w:hAnsiTheme="minorHAnsi" w:cs="Verdana"/>
          <w:sz w:val="22"/>
          <w:szCs w:val="22"/>
        </w:rPr>
        <w:t>Lymphatic drainage patterns from primary cutaneous tumours of the forehead: Refining the recommendations for selective neck dissection</w:t>
      </w:r>
      <w:r w:rsidR="009F01E7" w:rsidRPr="003E73CD">
        <w:rPr>
          <w:rFonts w:asciiTheme="minorHAnsi" w:eastAsiaTheme="minorEastAsia" w:hAnsiTheme="minorHAnsi" w:cs="Times"/>
          <w:sz w:val="22"/>
          <w:szCs w:val="22"/>
        </w:rPr>
        <w:t>, Pages 1038-1044</w:t>
      </w:r>
      <w:r w:rsidRPr="003E73CD">
        <w:rPr>
          <w:rFonts w:asciiTheme="minorHAnsi" w:eastAsiaTheme="minorEastAsia" w:hAnsiTheme="minorHAnsi" w:cs="Times"/>
          <w:sz w:val="22"/>
          <w:szCs w:val="22"/>
        </w:rPr>
        <w:t>, Copyright (2014), with permission from Elsevier</w:t>
      </w:r>
      <w:r w:rsidR="009F01E7" w:rsidRPr="003E73CD">
        <w:rPr>
          <w:rFonts w:asciiTheme="minorHAnsi" w:eastAsiaTheme="minorEastAsia" w:hAnsiTheme="minorHAnsi" w:cs="Times"/>
          <w:sz w:val="22"/>
          <w:szCs w:val="22"/>
        </w:rPr>
        <w:t>.</w:t>
      </w:r>
    </w:p>
    <w:p w14:paraId="1876C43F" w14:textId="77777777" w:rsidR="00C576D1" w:rsidRPr="003E73CD" w:rsidRDefault="00C576D1" w:rsidP="0061482C">
      <w:pPr>
        <w:widowControl w:val="0"/>
        <w:autoSpaceDE w:val="0"/>
        <w:autoSpaceDN w:val="0"/>
        <w:adjustRightInd w:val="0"/>
        <w:spacing w:line="480" w:lineRule="auto"/>
        <w:rPr>
          <w:b/>
          <w:bCs/>
          <w:i/>
          <w:iCs/>
          <w:sz w:val="22"/>
          <w:szCs w:val="22"/>
          <w:vertAlign w:val="superscript"/>
        </w:rPr>
      </w:pPr>
    </w:p>
    <w:p w14:paraId="0F2BB350" w14:textId="77777777" w:rsidR="0061482C" w:rsidRPr="003E73CD" w:rsidRDefault="0061482C" w:rsidP="0061482C">
      <w:pPr>
        <w:widowControl w:val="0"/>
        <w:autoSpaceDE w:val="0"/>
        <w:autoSpaceDN w:val="0"/>
        <w:adjustRightInd w:val="0"/>
        <w:spacing w:line="480" w:lineRule="auto"/>
        <w:rPr>
          <w:b/>
          <w:bCs/>
          <w:i/>
          <w:iCs/>
          <w:sz w:val="22"/>
          <w:szCs w:val="22"/>
        </w:rPr>
      </w:pPr>
      <w:proofErr w:type="gramStart"/>
      <w:r w:rsidRPr="003E73CD">
        <w:rPr>
          <w:b/>
          <w:bCs/>
          <w:i/>
          <w:iCs/>
          <w:sz w:val="22"/>
          <w:szCs w:val="22"/>
          <w:vertAlign w:val="superscript"/>
        </w:rPr>
        <w:t>1</w:t>
      </w:r>
      <w:r w:rsidRPr="003E73CD">
        <w:rPr>
          <w:b/>
          <w:bCs/>
          <w:i/>
          <w:iCs/>
          <w:sz w:val="22"/>
          <w:szCs w:val="22"/>
        </w:rPr>
        <w:t>Melanoma Institute Australia (formerly the Sydney Melanoma Unit), Sydney, New South Wales, Australia.</w:t>
      </w:r>
      <w:proofErr w:type="gramEnd"/>
    </w:p>
    <w:p w14:paraId="1A8ABF1C" w14:textId="77777777" w:rsidR="0061482C" w:rsidRPr="003E73CD" w:rsidRDefault="0061482C" w:rsidP="0061482C">
      <w:pPr>
        <w:widowControl w:val="0"/>
        <w:autoSpaceDE w:val="0"/>
        <w:autoSpaceDN w:val="0"/>
        <w:adjustRightInd w:val="0"/>
        <w:spacing w:line="480" w:lineRule="auto"/>
        <w:rPr>
          <w:b/>
          <w:bCs/>
          <w:i/>
          <w:iCs/>
          <w:sz w:val="22"/>
          <w:szCs w:val="22"/>
        </w:rPr>
      </w:pPr>
      <w:proofErr w:type="gramStart"/>
      <w:r w:rsidRPr="003E73CD">
        <w:rPr>
          <w:b/>
          <w:bCs/>
          <w:i/>
          <w:iCs/>
          <w:sz w:val="22"/>
          <w:szCs w:val="22"/>
          <w:vertAlign w:val="superscript"/>
        </w:rPr>
        <w:t>2</w:t>
      </w:r>
      <w:r w:rsidRPr="003E73CD">
        <w:rPr>
          <w:b/>
          <w:bCs/>
          <w:i/>
          <w:iCs/>
          <w:sz w:val="22"/>
          <w:szCs w:val="22"/>
        </w:rPr>
        <w:t>Sydney Medical School, The University of Sydney, Sydney, New South Wales, Australia.</w:t>
      </w:r>
      <w:proofErr w:type="gramEnd"/>
    </w:p>
    <w:p w14:paraId="57D24DBE" w14:textId="77777777" w:rsidR="0061482C" w:rsidRPr="003E73CD" w:rsidRDefault="0061482C" w:rsidP="0061482C">
      <w:pPr>
        <w:widowControl w:val="0"/>
        <w:autoSpaceDE w:val="0"/>
        <w:autoSpaceDN w:val="0"/>
        <w:adjustRightInd w:val="0"/>
        <w:spacing w:line="480" w:lineRule="auto"/>
        <w:rPr>
          <w:sz w:val="22"/>
          <w:szCs w:val="22"/>
        </w:rPr>
      </w:pPr>
      <w:r w:rsidRPr="003E73CD">
        <w:rPr>
          <w:b/>
          <w:bCs/>
          <w:i/>
          <w:iCs/>
          <w:sz w:val="22"/>
          <w:szCs w:val="22"/>
          <w:vertAlign w:val="superscript"/>
        </w:rPr>
        <w:t>3</w:t>
      </w:r>
      <w:r w:rsidRPr="003E73CD">
        <w:rPr>
          <w:b/>
          <w:bCs/>
          <w:i/>
          <w:iCs/>
          <w:sz w:val="22"/>
          <w:szCs w:val="22"/>
        </w:rPr>
        <w:t>Royal Prince Alfred Hospital Medical Centre, Sydney, New South Wales, Australia</w:t>
      </w:r>
      <w:r w:rsidRPr="003E73CD">
        <w:rPr>
          <w:sz w:val="22"/>
          <w:szCs w:val="22"/>
        </w:rPr>
        <w:t>.</w:t>
      </w:r>
    </w:p>
    <w:p w14:paraId="462045C6" w14:textId="77777777" w:rsidR="0061482C" w:rsidRPr="003E73CD" w:rsidRDefault="0061482C" w:rsidP="0061482C">
      <w:pPr>
        <w:widowControl w:val="0"/>
        <w:autoSpaceDE w:val="0"/>
        <w:autoSpaceDN w:val="0"/>
        <w:adjustRightInd w:val="0"/>
        <w:spacing w:line="480" w:lineRule="auto"/>
        <w:rPr>
          <w:sz w:val="22"/>
          <w:szCs w:val="22"/>
        </w:rPr>
      </w:pPr>
      <w:r w:rsidRPr="003E73CD">
        <w:rPr>
          <w:sz w:val="22"/>
          <w:szCs w:val="22"/>
        </w:rPr>
        <w:t>* Martin Wiener is currently based at The University of Sheffield, Sheffield, UK.</w:t>
      </w:r>
    </w:p>
    <w:p w14:paraId="70C7599B" w14:textId="77777777" w:rsidR="009709AD" w:rsidRPr="003E73CD" w:rsidRDefault="009709AD" w:rsidP="0061482C">
      <w:pPr>
        <w:widowControl w:val="0"/>
        <w:autoSpaceDE w:val="0"/>
        <w:autoSpaceDN w:val="0"/>
        <w:adjustRightInd w:val="0"/>
        <w:spacing w:line="480" w:lineRule="auto"/>
        <w:rPr>
          <w:b/>
          <w:bCs/>
          <w:sz w:val="22"/>
          <w:szCs w:val="22"/>
        </w:rPr>
      </w:pPr>
    </w:p>
    <w:p w14:paraId="28B59D51" w14:textId="77777777" w:rsidR="0061482C" w:rsidRPr="003E73CD" w:rsidRDefault="0061482C" w:rsidP="0061482C">
      <w:pPr>
        <w:widowControl w:val="0"/>
        <w:autoSpaceDE w:val="0"/>
        <w:autoSpaceDN w:val="0"/>
        <w:adjustRightInd w:val="0"/>
        <w:spacing w:line="480" w:lineRule="auto"/>
        <w:rPr>
          <w:sz w:val="22"/>
          <w:szCs w:val="22"/>
        </w:rPr>
      </w:pPr>
      <w:r w:rsidRPr="003E73CD">
        <w:rPr>
          <w:b/>
          <w:bCs/>
          <w:sz w:val="22"/>
          <w:szCs w:val="22"/>
        </w:rPr>
        <w:t>Key words</w:t>
      </w:r>
      <w:r w:rsidRPr="003E73CD">
        <w:rPr>
          <w:sz w:val="22"/>
          <w:szCs w:val="22"/>
        </w:rPr>
        <w:t xml:space="preserve">: Lymphoscintigraphy, forehead, melanoma, lymphatic, selective. </w:t>
      </w:r>
    </w:p>
    <w:p w14:paraId="5A60E452" w14:textId="77777777" w:rsidR="0061482C" w:rsidRPr="003E73CD" w:rsidRDefault="0061482C" w:rsidP="0061482C">
      <w:pPr>
        <w:widowControl w:val="0"/>
        <w:autoSpaceDE w:val="0"/>
        <w:autoSpaceDN w:val="0"/>
        <w:adjustRightInd w:val="0"/>
        <w:spacing w:line="480" w:lineRule="auto"/>
        <w:rPr>
          <w:b/>
          <w:bCs/>
          <w:sz w:val="22"/>
          <w:szCs w:val="22"/>
        </w:rPr>
      </w:pPr>
    </w:p>
    <w:p w14:paraId="52240AF5" w14:textId="77777777" w:rsidR="0061482C" w:rsidRPr="003E73CD" w:rsidRDefault="0061482C" w:rsidP="0061482C">
      <w:pPr>
        <w:widowControl w:val="0"/>
        <w:autoSpaceDE w:val="0"/>
        <w:autoSpaceDN w:val="0"/>
        <w:adjustRightInd w:val="0"/>
        <w:spacing w:line="480" w:lineRule="auto"/>
        <w:rPr>
          <w:b/>
          <w:bCs/>
          <w:sz w:val="22"/>
          <w:szCs w:val="22"/>
        </w:rPr>
      </w:pPr>
      <w:r w:rsidRPr="003E73CD">
        <w:rPr>
          <w:b/>
          <w:bCs/>
          <w:sz w:val="22"/>
          <w:szCs w:val="22"/>
        </w:rPr>
        <w:t>Acknowledgements</w:t>
      </w:r>
    </w:p>
    <w:p w14:paraId="4BC54BCB" w14:textId="39B47EF7" w:rsidR="0061482C" w:rsidRPr="003E73CD" w:rsidRDefault="0061482C" w:rsidP="0061482C">
      <w:pPr>
        <w:widowControl w:val="0"/>
        <w:autoSpaceDE w:val="0"/>
        <w:autoSpaceDN w:val="0"/>
        <w:adjustRightInd w:val="0"/>
        <w:spacing w:line="480" w:lineRule="auto"/>
        <w:rPr>
          <w:sz w:val="22"/>
          <w:szCs w:val="22"/>
        </w:rPr>
      </w:pPr>
      <w:r w:rsidRPr="003E73CD">
        <w:rPr>
          <w:sz w:val="22"/>
          <w:szCs w:val="22"/>
        </w:rPr>
        <w:t>The late Dr Helen Shaw, whose lifelong devotion and contributions to melanoma research would be difficult to over-estimate, provided valuab</w:t>
      </w:r>
      <w:r w:rsidR="00ED1E07" w:rsidRPr="003E73CD">
        <w:rPr>
          <w:sz w:val="22"/>
          <w:szCs w:val="22"/>
        </w:rPr>
        <w:t>le guidance and words of advice</w:t>
      </w:r>
      <w:proofErr w:type="gramStart"/>
      <w:r w:rsidR="00ED1E07" w:rsidRPr="003E73CD">
        <w:rPr>
          <w:sz w:val="22"/>
          <w:szCs w:val="22"/>
        </w:rPr>
        <w:t>.</w:t>
      </w:r>
      <w:proofErr w:type="gramEnd"/>
      <w:r w:rsidRPr="003E73CD">
        <w:rPr>
          <w:sz w:val="22"/>
          <w:szCs w:val="22"/>
        </w:rPr>
        <w:t xml:space="preserve">  The assistance of the late Robert Haynes in producing the line drawings included in the manuscript was also greatly appreciated.</w:t>
      </w:r>
    </w:p>
    <w:p w14:paraId="6AF98F13" w14:textId="77777777" w:rsidR="0061482C" w:rsidRPr="003E73CD" w:rsidRDefault="0061482C" w:rsidP="0061482C">
      <w:pPr>
        <w:widowControl w:val="0"/>
        <w:autoSpaceDE w:val="0"/>
        <w:autoSpaceDN w:val="0"/>
        <w:adjustRightInd w:val="0"/>
        <w:spacing w:line="480" w:lineRule="auto"/>
        <w:rPr>
          <w:sz w:val="22"/>
          <w:szCs w:val="22"/>
        </w:rPr>
      </w:pPr>
    </w:p>
    <w:p w14:paraId="02F2AE10" w14:textId="0F4ED90F" w:rsidR="0061482C" w:rsidRPr="003E73CD" w:rsidRDefault="0061482C" w:rsidP="0061482C">
      <w:pPr>
        <w:widowControl w:val="0"/>
        <w:autoSpaceDE w:val="0"/>
        <w:autoSpaceDN w:val="0"/>
        <w:adjustRightInd w:val="0"/>
        <w:spacing w:line="480" w:lineRule="auto"/>
        <w:rPr>
          <w:b/>
          <w:bCs/>
          <w:sz w:val="22"/>
          <w:szCs w:val="22"/>
        </w:rPr>
      </w:pPr>
      <w:r w:rsidRPr="003E73CD">
        <w:rPr>
          <w:b/>
          <w:bCs/>
          <w:sz w:val="22"/>
          <w:szCs w:val="22"/>
        </w:rPr>
        <w:t>Abstract</w:t>
      </w:r>
    </w:p>
    <w:p w14:paraId="330C4D7E" w14:textId="77777777" w:rsidR="0061482C" w:rsidRPr="003E73CD" w:rsidRDefault="0061482C" w:rsidP="0061482C">
      <w:pPr>
        <w:widowControl w:val="0"/>
        <w:autoSpaceDE w:val="0"/>
        <w:autoSpaceDN w:val="0"/>
        <w:adjustRightInd w:val="0"/>
        <w:spacing w:line="480" w:lineRule="auto"/>
        <w:rPr>
          <w:sz w:val="22"/>
          <w:szCs w:val="22"/>
        </w:rPr>
      </w:pPr>
      <w:r w:rsidRPr="003E73CD">
        <w:rPr>
          <w:sz w:val="22"/>
          <w:szCs w:val="22"/>
        </w:rPr>
        <w:t xml:space="preserve">BACKGROUND:  This study examined lymphatic drainage patterns from forehead primary cutaneous tumour sites to create evidence-based recommendations for selective neck dissections.  </w:t>
      </w:r>
    </w:p>
    <w:p w14:paraId="7A059EA8" w14:textId="77777777" w:rsidR="0061482C" w:rsidRPr="003E73CD" w:rsidRDefault="0061482C" w:rsidP="0061482C">
      <w:pPr>
        <w:widowControl w:val="0"/>
        <w:autoSpaceDE w:val="0"/>
        <w:autoSpaceDN w:val="0"/>
        <w:adjustRightInd w:val="0"/>
        <w:spacing w:line="480" w:lineRule="auto"/>
        <w:rPr>
          <w:sz w:val="22"/>
          <w:szCs w:val="22"/>
        </w:rPr>
      </w:pPr>
    </w:p>
    <w:p w14:paraId="44A4999A" w14:textId="77777777" w:rsidR="0061482C" w:rsidRPr="003E73CD" w:rsidRDefault="0061482C" w:rsidP="0061482C">
      <w:pPr>
        <w:widowControl w:val="0"/>
        <w:autoSpaceDE w:val="0"/>
        <w:autoSpaceDN w:val="0"/>
        <w:adjustRightInd w:val="0"/>
        <w:spacing w:line="480" w:lineRule="auto"/>
        <w:rPr>
          <w:sz w:val="22"/>
          <w:szCs w:val="22"/>
        </w:rPr>
      </w:pPr>
      <w:r w:rsidRPr="003E73CD">
        <w:rPr>
          <w:sz w:val="22"/>
          <w:szCs w:val="22"/>
        </w:rPr>
        <w:t xml:space="preserve">METHODS:  The forehead was divided into glabellar, supra-orbital and anterior temple zones.  </w:t>
      </w:r>
      <w:proofErr w:type="gramStart"/>
      <w:r w:rsidRPr="003E73CD">
        <w:rPr>
          <w:sz w:val="22"/>
          <w:szCs w:val="22"/>
        </w:rPr>
        <w:t>Prospectively-collected</w:t>
      </w:r>
      <w:proofErr w:type="gramEnd"/>
      <w:r w:rsidRPr="003E73CD">
        <w:rPr>
          <w:sz w:val="22"/>
          <w:szCs w:val="22"/>
        </w:rPr>
        <w:t xml:space="preserve"> data from all patients undergoing lymphoscintigraphy for forehead primary cutaneous tumours were analyzed to determine the patterns of lymphatic drainage. </w:t>
      </w:r>
    </w:p>
    <w:p w14:paraId="79A58B79" w14:textId="77777777" w:rsidR="0061482C" w:rsidRPr="003E73CD" w:rsidRDefault="0061482C" w:rsidP="0061482C">
      <w:pPr>
        <w:widowControl w:val="0"/>
        <w:autoSpaceDE w:val="0"/>
        <w:autoSpaceDN w:val="0"/>
        <w:adjustRightInd w:val="0"/>
        <w:spacing w:line="480" w:lineRule="auto"/>
        <w:rPr>
          <w:sz w:val="22"/>
          <w:szCs w:val="22"/>
        </w:rPr>
      </w:pPr>
    </w:p>
    <w:p w14:paraId="5EE49BB0" w14:textId="77777777" w:rsidR="0061482C" w:rsidRPr="003E73CD" w:rsidRDefault="0061482C" w:rsidP="0061482C">
      <w:pPr>
        <w:widowControl w:val="0"/>
        <w:autoSpaceDE w:val="0"/>
        <w:autoSpaceDN w:val="0"/>
        <w:adjustRightInd w:val="0"/>
        <w:spacing w:line="480" w:lineRule="auto"/>
        <w:rPr>
          <w:sz w:val="22"/>
          <w:szCs w:val="22"/>
        </w:rPr>
      </w:pPr>
      <w:r w:rsidRPr="003E73CD">
        <w:rPr>
          <w:sz w:val="22"/>
          <w:szCs w:val="22"/>
        </w:rPr>
        <w:t>RESULTS:  Between 1994 and 2006, 152 patients underwent lymphoscintigraphy for primary cutaneous tumours on the forehead.  Between zones there were significant differences in drainage patterns and frequency of bilateral drainage.  Glabellar zone drainage was more frequently to a higher number of sentinel lymph nodes and to level I nodes.</w:t>
      </w:r>
    </w:p>
    <w:p w14:paraId="03359D29" w14:textId="77777777" w:rsidR="0061482C" w:rsidRPr="003E73CD" w:rsidRDefault="0061482C" w:rsidP="0061482C">
      <w:pPr>
        <w:widowControl w:val="0"/>
        <w:autoSpaceDE w:val="0"/>
        <w:autoSpaceDN w:val="0"/>
        <w:adjustRightInd w:val="0"/>
        <w:spacing w:line="480" w:lineRule="auto"/>
        <w:rPr>
          <w:sz w:val="22"/>
          <w:szCs w:val="22"/>
        </w:rPr>
      </w:pPr>
    </w:p>
    <w:p w14:paraId="3ADAE8CA" w14:textId="77777777" w:rsidR="0061482C" w:rsidRPr="003E73CD" w:rsidRDefault="0061482C" w:rsidP="0061482C">
      <w:pPr>
        <w:widowControl w:val="0"/>
        <w:autoSpaceDE w:val="0"/>
        <w:autoSpaceDN w:val="0"/>
        <w:adjustRightInd w:val="0"/>
        <w:spacing w:line="480" w:lineRule="auto"/>
        <w:rPr>
          <w:sz w:val="22"/>
          <w:szCs w:val="22"/>
        </w:rPr>
      </w:pPr>
      <w:r w:rsidRPr="003E73CD">
        <w:rPr>
          <w:sz w:val="22"/>
          <w:szCs w:val="22"/>
        </w:rPr>
        <w:t xml:space="preserve">CONCLUSIONS:  Lymphatic drainage patterns from primary cutaneous tumour sites on the forehead vary significantly with tumour location.  Drainage to level 1 </w:t>
      </w:r>
      <w:proofErr w:type="gramStart"/>
      <w:r w:rsidRPr="003E73CD">
        <w:rPr>
          <w:sz w:val="22"/>
          <w:szCs w:val="22"/>
        </w:rPr>
        <w:t>nodes</w:t>
      </w:r>
      <w:proofErr w:type="gramEnd"/>
      <w:r w:rsidRPr="003E73CD">
        <w:rPr>
          <w:sz w:val="22"/>
          <w:szCs w:val="22"/>
        </w:rPr>
        <w:t xml:space="preserve"> from the anterior temple is rare, suggesting that level 1 may be safely excluded when performing selective neck dissection for tumours in this zone.</w:t>
      </w:r>
    </w:p>
    <w:p w14:paraId="7B215E61" w14:textId="77777777" w:rsidR="0061482C" w:rsidRPr="003E73CD" w:rsidRDefault="0061482C" w:rsidP="0061482C">
      <w:pPr>
        <w:widowControl w:val="0"/>
        <w:autoSpaceDE w:val="0"/>
        <w:autoSpaceDN w:val="0"/>
        <w:adjustRightInd w:val="0"/>
        <w:spacing w:line="480" w:lineRule="auto"/>
        <w:rPr>
          <w:sz w:val="22"/>
          <w:szCs w:val="22"/>
        </w:rPr>
      </w:pPr>
    </w:p>
    <w:p w14:paraId="4A2EADA4" w14:textId="77777777" w:rsidR="0061482C" w:rsidRPr="003E73CD" w:rsidRDefault="0061482C" w:rsidP="0061482C">
      <w:pPr>
        <w:widowControl w:val="0"/>
        <w:autoSpaceDE w:val="0"/>
        <w:autoSpaceDN w:val="0"/>
        <w:adjustRightInd w:val="0"/>
        <w:spacing w:line="480" w:lineRule="auto"/>
        <w:rPr>
          <w:b/>
          <w:bCs/>
          <w:sz w:val="22"/>
          <w:szCs w:val="22"/>
        </w:rPr>
      </w:pPr>
    </w:p>
    <w:p w14:paraId="7BC856E6" w14:textId="77777777" w:rsidR="0061482C" w:rsidRPr="003E73CD" w:rsidRDefault="0061482C" w:rsidP="0061482C">
      <w:pPr>
        <w:widowControl w:val="0"/>
        <w:autoSpaceDE w:val="0"/>
        <w:autoSpaceDN w:val="0"/>
        <w:adjustRightInd w:val="0"/>
        <w:spacing w:line="480" w:lineRule="auto"/>
        <w:rPr>
          <w:sz w:val="22"/>
          <w:szCs w:val="22"/>
        </w:rPr>
      </w:pPr>
    </w:p>
    <w:p w14:paraId="4FBAAC17" w14:textId="77777777" w:rsidR="0061482C" w:rsidRPr="003E73CD" w:rsidRDefault="0061482C" w:rsidP="0061482C">
      <w:pPr>
        <w:widowControl w:val="0"/>
        <w:autoSpaceDE w:val="0"/>
        <w:autoSpaceDN w:val="0"/>
        <w:adjustRightInd w:val="0"/>
        <w:spacing w:line="480" w:lineRule="auto"/>
        <w:rPr>
          <w:b/>
          <w:bCs/>
          <w:sz w:val="22"/>
          <w:szCs w:val="22"/>
        </w:rPr>
      </w:pPr>
    </w:p>
    <w:p w14:paraId="4768D5FB" w14:textId="77777777" w:rsidR="0061482C" w:rsidRPr="003E73CD" w:rsidRDefault="0061482C" w:rsidP="0061482C">
      <w:pPr>
        <w:widowControl w:val="0"/>
        <w:autoSpaceDE w:val="0"/>
        <w:autoSpaceDN w:val="0"/>
        <w:adjustRightInd w:val="0"/>
        <w:spacing w:line="480" w:lineRule="auto"/>
        <w:rPr>
          <w:b/>
          <w:bCs/>
          <w:sz w:val="22"/>
          <w:szCs w:val="22"/>
        </w:rPr>
      </w:pPr>
    </w:p>
    <w:p w14:paraId="1BE5E00B" w14:textId="77777777" w:rsidR="0061482C" w:rsidRPr="003E73CD" w:rsidRDefault="0061482C" w:rsidP="0061482C">
      <w:pPr>
        <w:widowControl w:val="0"/>
        <w:autoSpaceDE w:val="0"/>
        <w:autoSpaceDN w:val="0"/>
        <w:adjustRightInd w:val="0"/>
        <w:spacing w:line="480" w:lineRule="auto"/>
        <w:rPr>
          <w:sz w:val="22"/>
          <w:szCs w:val="22"/>
        </w:rPr>
      </w:pPr>
    </w:p>
    <w:p w14:paraId="5CD0C203" w14:textId="77777777" w:rsidR="0061482C" w:rsidRPr="003E73CD" w:rsidRDefault="0061482C" w:rsidP="0061482C">
      <w:pPr>
        <w:widowControl w:val="0"/>
        <w:autoSpaceDE w:val="0"/>
        <w:autoSpaceDN w:val="0"/>
        <w:adjustRightInd w:val="0"/>
        <w:spacing w:line="480" w:lineRule="auto"/>
        <w:rPr>
          <w:b/>
          <w:bCs/>
          <w:sz w:val="22"/>
          <w:szCs w:val="22"/>
        </w:rPr>
      </w:pPr>
      <w:r w:rsidRPr="003E73CD">
        <w:rPr>
          <w:b/>
          <w:bCs/>
          <w:sz w:val="22"/>
          <w:szCs w:val="22"/>
        </w:rPr>
        <w:br w:type="page"/>
        <w:t>Introduction</w:t>
      </w:r>
    </w:p>
    <w:p w14:paraId="4FAFD9E3" w14:textId="682FBFD0" w:rsidR="0061482C" w:rsidRPr="003E73CD" w:rsidRDefault="0061482C" w:rsidP="0061482C">
      <w:pPr>
        <w:widowControl w:val="0"/>
        <w:autoSpaceDE w:val="0"/>
        <w:autoSpaceDN w:val="0"/>
        <w:adjustRightInd w:val="0"/>
        <w:spacing w:line="480" w:lineRule="auto"/>
        <w:ind w:firstLine="720"/>
        <w:rPr>
          <w:sz w:val="22"/>
          <w:szCs w:val="22"/>
        </w:rPr>
      </w:pPr>
      <w:r w:rsidRPr="003E73CD">
        <w:rPr>
          <w:sz w:val="22"/>
          <w:szCs w:val="22"/>
        </w:rPr>
        <w:t>In 1991, the patterns of regional lymph node metastasis in 111 patients with cutaneous melanomas of the head and neck were reported by Shah et al.</w:t>
      </w:r>
      <w:r w:rsidRPr="003E73CD">
        <w:rPr>
          <w:sz w:val="22"/>
          <w:szCs w:val="22"/>
        </w:rPr>
        <w:fldChar w:fldCharType="begin" w:fldLock="1"/>
      </w:r>
      <w:r w:rsidR="005676A9">
        <w:rPr>
          <w:sz w:val="22"/>
          <w:szCs w:val="22"/>
        </w:rPr>
        <w:instrText>ADDIN CSL_CITATION { "citationItems" : [ { "id" : "ITEM-1", "itemData" : { "ISSN" : "0002-9610", "PMID" : "1951882", "abstract" : "A consecutive series of 111 patients treated between 1964 and 1989 with primary cutaneous malignant melanoma of the head and neck and histologically proven regional metastases was reviewed to determine the patterns of nodal metastases. The primary sites were grouped in the following categories: face (34), anterior scalp (25), anterior neck (16), posterior scalp (15), ear (11), and posterior neck (10). All patients underwent radical neck dissection: 80 of the procedures were therapeutic and 31 elective. A total of 106 specimens were positive for metastases. Thirty-three of the 57 patients undergoing parotidectomy had positive results for metastases (14 of 20 in therapeutic parotidectomies and 19 of 37 in elective parotidectomies). Based on the incidence of involvement of the parotid gland and the patterns of lymph node metastases from levels I through V, three observations are made. Patients undergoing regional lymphadenectomy for primary melanomas on the ear, face, and anterior scalp should be considered for parotidectomy. The use of selective limited neck dissection for elective regional lymphadenectomy appears justified based on the location of the primary site. In patients undergoing therapeutic neck dissection, a complete neck dissection should be performed due to the unpredictable distribution of lymph node metastases to the cervical lymph nodes.", "author" : [ { "dropping-particle" : "", "family" : "Shah", "given" : "J P", "non-dropping-particle" : "", "parse-names" : false, "suffix" : "" }, { "dropping-particle" : "", "family" : "Kraus", "given" : "D H", "non-dropping-particle" : "", "parse-names" : false, "suffix" : "" }, { "dropping-particle" : "", "family" : "Dubner", "given" : "S", "non-dropping-particle" : "", "parse-names" : false, "suffix" : "" }, { "dropping-particle" : "", "family" : "Sarkar", "given" : "S", "non-dropping-particle" : "", "parse-names" : false, "suffix" : "" } ], "container-title" : "American journal of surgery", "id" : "ITEM-1", "issue" : "4", "issued" : { "date-parts" : [ [ "1991", "10" ] ] }, "page" : "320-3", "title" : "Patterns of regional lymph node metastases from cutaneous melanomas of the head and neck.", "type" : "article-journal", "volume" : "162" }, "uris" : [ "http://www.mendeley.com/documents/?uuid=fbdab9be-391f-4754-b33f-8c6e3eae60cc" ] } ], "mendeley" : { "formattedCitation" : "&lt;sup&gt;217&lt;/sup&gt;", "plainTextFormattedCitation" : "217", "previouslyFormattedCitation" : "&lt;sup&gt;217&lt;/sup&gt;" }, "properties" : { "noteIndex" : 0 }, "schema" : "https://github.com/citation-style-language/schema/raw/master/csl-citation.json" }</w:instrText>
      </w:r>
      <w:r w:rsidRPr="003E73CD">
        <w:rPr>
          <w:sz w:val="22"/>
          <w:szCs w:val="22"/>
        </w:rPr>
        <w:fldChar w:fldCharType="separate"/>
      </w:r>
      <w:r w:rsidR="00217FAC" w:rsidRPr="00217FAC">
        <w:rPr>
          <w:noProof/>
          <w:sz w:val="22"/>
          <w:szCs w:val="22"/>
          <w:vertAlign w:val="superscript"/>
        </w:rPr>
        <w:t>217</w:t>
      </w:r>
      <w:r w:rsidRPr="003E73CD">
        <w:rPr>
          <w:sz w:val="22"/>
          <w:szCs w:val="22"/>
        </w:rPr>
        <w:fldChar w:fldCharType="end"/>
      </w:r>
      <w:proofErr w:type="gramStart"/>
      <w:r w:rsidRPr="003E73CD">
        <w:rPr>
          <w:sz w:val="22"/>
          <w:szCs w:val="22"/>
        </w:rPr>
        <w:t xml:space="preserve">  These</w:t>
      </w:r>
      <w:proofErr w:type="gramEnd"/>
      <w:r w:rsidRPr="003E73CD">
        <w:rPr>
          <w:sz w:val="22"/>
          <w:szCs w:val="22"/>
        </w:rPr>
        <w:t xml:space="preserve"> authors used the information to make recommendations for the extent of elective and therapeutic neck dissections.  The subsequent introduction of lymphoscintigraphy and intraoperative lymphatic mapping for sentinel lymph node (SLN) biopsy provided an opportunity for more precise study of lymphatic drainage patterns from primary cutaneous tumo</w:t>
      </w:r>
      <w:r w:rsidR="007E5D67" w:rsidRPr="003E73CD">
        <w:rPr>
          <w:sz w:val="22"/>
          <w:szCs w:val="22"/>
        </w:rPr>
        <w:t>u</w:t>
      </w:r>
      <w:r w:rsidRPr="003E73CD">
        <w:rPr>
          <w:sz w:val="22"/>
          <w:szCs w:val="22"/>
        </w:rPr>
        <w:t>rs.</w:t>
      </w:r>
      <w:r w:rsidRPr="003E73CD">
        <w:rPr>
          <w:sz w:val="22"/>
          <w:szCs w:val="22"/>
        </w:rPr>
        <w:fldChar w:fldCharType="begin" w:fldLock="1"/>
      </w:r>
      <w:r w:rsidR="005676A9">
        <w:rPr>
          <w:sz w:val="22"/>
          <w:szCs w:val="22"/>
        </w:rPr>
        <w:instrText>ADDIN CSL_CITATION { "citationItems" : [ { "id" : "ITEM-1", "itemData" : { "ISSN" : "0004-0010", "PMID" : "1558490", "abstract" : "The initial route of metastases in most patients with melanoma is via the lymphatics to the regional nodes. However, routine lymphadenectomy for patients with clinical stage I melanoma remains controversial because most of these patients do not have nodal metastases, are unlikely to benefit from the operation, and may suffer troublesome postoperative edema of the limbs. A new procedure was developed using vital dyes that permits intraoperative identification of the sentinel lymph node, the lymph node nearest the site of the primary melanoma, on the direct drainage pathway. The most likely site of early metastases, the sentinel node can be removed for immediate intraoperative study to identify clinically occult melanoma cells. We successfully identified the sentinel node(s) in 194 of 237 lymphatic basins and detected metastases in 40 specimens (21%) on examination of routine hematoxylin-eosin-stained slides (12%) or exclusively in immunohistochemically stained preparations (9%). Metastases were present in 47 (18%) of 259 sentinel nodes, while nonsentinel nodes were the sole site of metastasis in only two of 3079 nodes from 194 lymphadenectomy specimens that had an identifiable sentinel node, a false-negative rate of less than 1%. Thus, this technique identifies, with a high degree of accuracy, patients with early stage melanoma who have nodal metastases and are likely to benefit from radical lymphadenectomy.", "author" : [ { "dropping-particle" : "", "family" : "Morton", "given" : "D L", "non-dropping-particle" : "", "parse-names" : false, "suffix" : "" }, { "dropping-particle" : "", "family" : "Wen", "given" : "D R", "non-dropping-particle" : "", "parse-names" : false, "suffix" : "" }, { "dropping-particle" : "", "family" : "Wong", "given" : "J H", "non-dropping-particle" : "", "parse-names" : false, "suffix" : "" }, { "dropping-particle" : "", "family" : "Economou", "given" : "J S", "non-dropping-particle" : "", "parse-names" : false, "suffix" : "" }, { "dropping-particle" : "", "family" : "Cagle", "given" : "L A", "non-dropping-particle" : "", "parse-names" : false, "suffix" : "" }, { "dropping-particle" : "", "family" : "Storm", "given" : "F K", "non-dropping-particle" : "", "parse-names" : false, "suffix" : "" }, { "dropping-particle" : "", "family" : "Foshag", "given" : "L J", "non-dropping-particle" : "", "parse-names" : false, "suffix" : "" }, { "dropping-particle" : "", "family" : "Cochran", "given" : "A J", "non-dropping-particle" : "", "parse-names" : false, "suffix" : "" } ], "container-title" : "Archives of surgery (Chicago, Ill. : 1960)", "id" : "ITEM-1", "issue" : "4", "issued" : { "date-parts" : [ [ "1992", "4" ] ] }, "page" : "392-9", "title" : "Technical details of intraoperative lymphatic mapping for early stage melanoma.", "type" : "article-journal", "volume" : "127" }, "uris" : [ "http://www.mendeley.com/documents/?uuid=7401ee58-b336-4659-b9d3-95737609b89d" ] }, { "id" : "ITEM-2", "itemData" : { "ISSN" : "1072-7515", "PMID" : "10437842", "abstract" : "BACKGROUND: Accurate staging of melanoma patients by sentinel node (SN) biopsy can be achieved only if all SNs draining a given melanoma site are identified and removed for detailed histologic examination. Lymphoscintigraphy with a radiolabeled colloid provides an objective and reliable method of locating SNs and demonstrates that confident prediction of their location is not possible on clinical grounds.\n\nSTUDY DESIGN: Lymphatic drainage pathways demonstrated by preoperative lymphoscintigraphy for 1,759 patients with primary cutaneous melanomas were reviewed, and locations of SNs in these patients were documented. An SN was defined as any node receiving direct lymphatic drainage from a primary melanoma site.\n\nRESULTS: In many instances the cutaneous lymphatic drainage pathways were found to be at variance with longheld concepts of lymphatic anatomy. Several new pathways were identified, draining to SNs in unexpected sites. These included triangular intermuscular space SNs (from upper back and, rarely, upper limb primaries), paraaortic and retroperitoneal SNs (from upper and lower back primaries), and costal margin SNs with onward drainage to internal mammary nodes (from periumbilical primaries). Occasional drainage to node fields on the opposite side of the body was noted from head, neck, and trunk primaries, and drainage to interval nodes (by definition, SNs) outside recognized lymph node fields was also observed.\n\nCONCLUSIONS: Knowledge of the possibility of these unusual lymphatic drainage patterns and SN sites should help to ensure the accuracy and completeness of SN identification. Preoperative lymphoscintigraphy to definitively locate SNs is recommended for every patient undergoing an SN biopsy procedure.", "author" : [ { "dropping-particle" : "", "family" : "Thompson", "given" : "J F", "non-dropping-particle" : "", "parse-names" : false, "suffix" : "" }, { "dropping-particle" : "", "family" : "Uren", "given" : "R F", "non-dropping-particle" : "", "parse-names" : false, "suffix" : "" }, { "dropping-particle" : "", "family" : "Shaw", "given" : "H M", "non-dropping-particle" : "", "parse-names" : false, "suffix" : "" }, { "dropping-particle" : "", "family" : "McCarthy", "given" : "W H", "non-dropping-particle" : "", "parse-names" : false, "suffix" : "" }, { "dropping-particle" : "", "family" : "Quinn", "given" : "M J", "non-dropping-particle" : "", "parse-names" : false, "suffix" : "" }, { "dropping-particle" : "", "family" : "O'Brien", "given" : "C J", "non-dropping-particle" : "", "parse-names" : false, "suffix" : "" }, { "dropping-particle" : "", "family" : "Howman-Giles", "given" : "R B", "non-dropping-particle" : "", "parse-names" : false, "suffix" : "" } ], "container-title" : "Journal of the American College of Surgeons", "id" : "ITEM-2", "issue" : "2", "issued" : { "date-parts" : [ [ "1999", "8" ] ] }, "page" : "195-204", "title" : "Location of sentinel lymph nodes in patients with cutaneous melanoma: new insights into lymphatic anatomy.", "type" : "article-journal", "volume" : "189" }, "uris" : [ "http://www.mendeley.com/documents/?uuid=6811e028-5f1e-4a6d-bf3d-66c3063b08a0" ] } ], "mendeley" : { "formattedCitation" : "&lt;sup&gt;67,218&lt;/sup&gt;", "plainTextFormattedCitation" : "67,218", "previouslyFormattedCitation" : "&lt;sup&gt;67,218&lt;/sup&gt;" }, "properties" : { "noteIndex" : 0 }, "schema" : "https://github.com/citation-style-language/schema/raw/master/csl-citation.json" }</w:instrText>
      </w:r>
      <w:r w:rsidRPr="003E73CD">
        <w:rPr>
          <w:sz w:val="22"/>
          <w:szCs w:val="22"/>
        </w:rPr>
        <w:fldChar w:fldCharType="separate"/>
      </w:r>
      <w:r w:rsidR="00217FAC" w:rsidRPr="00217FAC">
        <w:rPr>
          <w:noProof/>
          <w:sz w:val="22"/>
          <w:szCs w:val="22"/>
          <w:vertAlign w:val="superscript"/>
        </w:rPr>
        <w:t>67,218</w:t>
      </w:r>
      <w:r w:rsidRPr="003E73CD">
        <w:rPr>
          <w:sz w:val="22"/>
          <w:szCs w:val="22"/>
        </w:rPr>
        <w:fldChar w:fldCharType="end"/>
      </w:r>
      <w:proofErr w:type="gramStart"/>
      <w:r w:rsidRPr="003E73CD">
        <w:rPr>
          <w:sz w:val="22"/>
          <w:szCs w:val="22"/>
        </w:rPr>
        <w:t xml:space="preserve">  Evaluation</w:t>
      </w:r>
      <w:proofErr w:type="gramEnd"/>
      <w:r w:rsidRPr="003E73CD">
        <w:rPr>
          <w:sz w:val="22"/>
          <w:szCs w:val="22"/>
        </w:rPr>
        <w:t xml:space="preserve"> of these techniques for cutaneous tumours of the head and neck resulted in the region acquiring a perhaps undeserved reputation for unpredictable lymphatic drainage.</w:t>
      </w:r>
      <w:r w:rsidRPr="003E73CD">
        <w:rPr>
          <w:sz w:val="22"/>
          <w:szCs w:val="22"/>
        </w:rPr>
        <w:fldChar w:fldCharType="begin" w:fldLock="1"/>
      </w:r>
      <w:r w:rsidR="001C6CB8">
        <w:rPr>
          <w:sz w:val="22"/>
          <w:szCs w:val="22"/>
        </w:rPr>
        <w:instrText>ADDIN CSL_CITATION { "citationItems" : [ { "id" : "ITEM-1", "itemData" : { "ISSN" : "0032-1052", "PMID" : "8134434", "abstract" : "Lymphoscintigraphy has been shown to be of assistance in defining the lymphatic drainage pattern of melanoma. In this study, lymphoscintigraphy was performed on 25 patients with primary melanoma (stages I and II at diagnosis) of the head and neck to determine whether the lymphatic drainage seen on lymphoscintigram was the same as the surgeon's expected lymphatic drainage. The lymphoscintigrams were discordant in 21 of the patients (84 percent) with drainage to a lymphatic basin not predicted clinically. Based on the discordant lymphoscintigram, a change in surgical therapy occurred in 13 of 21 patients (62 percent). Of the 25 patients, 18 underwent prophylactic node dissections and 7 did not. Of the nodal basins removed, 27 of 38 nodal bases (71 percent) were seen on lymphoscintigraphy. Melanoma metastatic to lymph nodes was removed from nodal basins identified by the lymphoscintigram, but not predicted clinically, in two patients (8 percent). Historical anatomical patterns of lymph drainage and the clinical impression of experienced surgeons cannot reliably predict the pattern of lymphatic drainage in patients with melanoma of the head and neck.", "author" : [ { "dropping-particle" : "", "family" : "Wells", "given" : "K E", "non-dropping-particle" : "", "parse-names" : false, "suffix" : "" }, { "dropping-particle" : "", "family" : "Cruse", "given" : "C W", "non-dropping-particle" : "", "parse-names" : false, "suffix" : "" }, { "dropping-particle" : "", "family" : "Daniels", "given" : "S", "non-dropping-particle" : "", "parse-names" : false, "suffix" : "" }, { "dropping-particle" : "", "family" : "Berman", "given" : "C", "non-dropping-particle" : "", "parse-names" : false, "suffix" : "" }, { "dropping-particle" : "", "family" : "Norman", "given" : "J", "non-dropping-particle" : "", "parse-names" : false, "suffix" : "" }, { "dropping-particle" : "", "family" : "Reintgen", "given" : "D S", "non-dropping-particle" : "", "parse-names" : false, "suffix" : "" } ], "container-title" : "Plastic and reconstructive surgery", "id" : "ITEM-1", "issue" : "4", "issued" : { "date-parts" : [ [ "1994", "4" ] ] }, "page" : "757-61", "title" : "The use of lymphoscintigraphy in melanoma of the head and neck.", "type" : "article-journal", "volume" : "93" }, "uris" : [ "http://www.mendeley.com/documents/?uuid=a743256c-eac3-4845-9faf-4815af449197" ] }, { "id" : "ITEM-2", "itemData" : { "ISSN" : "0002-9610", "PMID" : "7485733", "abstract" : "BACKGROUND: The technique of lymphoscintigraphy may allow a more selective approach to the management of clinically negative neck nodes among patients with cutaneous head and neck melanoma.\n\nPATIENTS AND METHODS: A group of 97 patients with cutaneous head and neck melanoma had preoperative lymphoscintigraphy using intradermal injections of technetium 99m antimony trisulfide colloid to identify sentinel nodes. Fifty-one patients were eligible for clinical analysis after initial definitive treatment by wide excision only (n = 11), wide excision and elective dissection of the neck (n = 19) or axilla (n = 1), or wide excision and a sentinel node biopsy procedure (n = 20).\n\nRESULTS: Sentinel nodes were identified in 95 of 97 lymphoscintigrams, and 85% of patients had multiple sentinel nodes. In 21 patients (22%), sentinel nodes were identified outside the parotid region and the 5 main neck levels, mostly in postauricular nodes (n = 13). Lymphoscintigrams were discordant with clinical predictions in 33 patients (34%). Lymph nodes were positive in 4 elective dissections and 4 sentinel node biopsies. Among 16 patients evaluable after wide excision and a negative sentinel node biopsy, 4 patients subsequently developed metastatic nodes; however, confident identification of all nodes marked as sentinel nodes on lymphoscintigraphy was not achieved at the original biopsy procedure in 3 of these patients.\n\nCONCLUSIONS: Lymphoscintigraphy and sentinel node biopsy are more difficult to perform in the head and neck than in other parts of the body. The reliability of sentinel node biopsy based on lymphoscintigraphy may be improved by identifying and marking all nodes that are considered to receive direct lymphatic drainage from the primary melanoma, and by use of a gamma probe intraoperatively.", "author" : [ { "dropping-particle" : "", "family" : "O'Brien", "given" : "C J", "non-dropping-particle" : "", "parse-names" : false, "suffix" : "" }, { "dropping-particle" : "", "family" : "Uren", "given" : "R F", "non-dropping-particle" : "", "parse-names" : false, "suffix" : "" }, { "dropping-particle" : "", "family" : "Thompson", "given" : "J F", "non-dropping-particle" : "", "parse-names" : false, "suffix" : "" }, { "dropping-particle" : "", "family" : "Howman-Giles", "given" : "R B", "non-dropping-particle" : "", "parse-names" : false, "suffix" : "" }, { "dropping-particle" : "", "family" : "Petersen-Schaefer", "given" : "K", "non-dropping-particle" : "", "parse-names" : false, "suffix" : "" }, { "dropping-particle" : "", "family" : "Shaw", "given" : "H M", "non-dropping-particle" : "", "parse-names" : false, "suffix" : "" }, { "dropping-particle" : "", "family" : "Quinn", "given" : "M J", "non-dropping-particle" : "", "parse-names" : false, "suffix" : "" }, { "dropping-particle" : "", "family" : "McCarthy", "given" : "W H", "non-dropping-particle" : "", "parse-names" : false, "suffix" : "" } ], "container-title" : "American journal of surgery", "id" : "ITEM-2", "issue" : "5", "issued" : { "date-parts" : [ [ "1995", "11" ] ] }, "page" : "461-6", "title" : "Prediction of potential metastatic sites in cutaneous head and neck melanoma using lymphoscintigraphy.", "type" : "article-journal", "volume" : "170" }, "uris" : [ "http://www.mendeley.com/documents/?uuid=05380489-57e3-4f1b-97e9-45bb73411cac" ] }, { "id" : "ITEM-3", "itemData" : { "ISSN" : "0886-4470", "PMID" : "10722003", "abstract" : "OBJECTIVE: To describe a clinical experience with sentinel lymph node biopsy (SLNB) of head and neck nodal basins for clinical stage I melanomas draining to these areas.\n\nDESIGN: Consecutive clinical case series with a mean follow-up of 10.7 months.\n\nSETTING: University tertiary care referral medical center.\n\nPATIENTS: Seventy patients with clinical stage I cutaneous melanoma who underwent SLNB of cervical and/or parotid lymph node basins.\n\nINTERVENTIONS: Patients underwent same-day preoperative technetium Tc 99m lymphoscintigraphy followed by SLNB using gamma probe and blue dye (66 patients) and blue dye alone (4 patients). Patients with histological evidence of tumor (here in after \"positive\") according to SLNB results underwent modified cervical completion lymph node dissection, including parotidectomy, as appropriate. Patients without histological evidence of tumor (hereinafter \"negative\") according to SLNB results were followed up clinically without undergoing completion lymph node dissection.\n\nMAIN OUTCOME MEASURES: The rates of SLNB success, SLNB positivity, completion lymph node dissection positivity, complications, and SLNB false-negative results were determined by clinical follow-up.\n\nRESULTS: Locations of melanomas in the 70 patients were the face (n = 20), neck (n = 14), ear (n = 9), scalp (n = 9), and upper thorax (n = 18). Locations of basins that underwent biopsy (n = 104) were in the cervical (n = 68), parotid (n = 19), and axillary (n = 17) regions. The mean Breslow thickness was 2.1 mm (range, 0.4-12.0 mm). Sentinel lymph node biopsy was successful in 103 basins (99%). The mean number of sentinel lymph nodes per basin was 2.5 (range, 1.0-8.0). Positive sentinel lymph nodes were found in 12 patients (17%) and 15 basins (14%). Sentinel lymph node biopsy results correlated with the American Joint Committee on Cancer tumor stage (P = .05) and a Breslow thickness of 1.23 mm or greater (P = .03). Additional tumor-containing nodes were noted in 5 (42%) of the 12 patients who underwent completion lymph node dissection, and these results correlated with the presence of multiple positive sentinel lymph nodes (P = .01). There were complications in 3 patients (4%) (seromas in 2 patients and temporary spinal accessory nerve paresis in 1 patient). One nodal recurrence in a basin that was negative according to SLNB results (SLNB with blue dye only) was noted (false-negative rate, 2%). The results of SLNB were accurate in 69 patients (99%).\n\nCONCLUSIO\u2026", "author" : [ { "dropping-particle" : "", "family" : "Wagner", "given" : "J D", "non-dropping-particle" : "", "parse-names" : false, "suffix" : "" }, { "dropping-particle" : "", "family" : "Park", "given" : "H M", "non-dropping-particle" : "", "parse-names" : false, "suffix" : "" }, { "dropping-particle" : "", "family" : "Coleman", "given" : "J J", "non-dropping-particle" : "", "parse-names" : false, "suffix" : "" }, { "dropping-particle" : "", "family" : "Love", "given" : "C", "non-dropping-particle" : "", "parse-names" : false, "suffix" : "" }, { "dropping-particle" : "", "family" : "Hayes", "given" : "J T", "non-dropping-particle" : "", "parse-names" : false, "suffix" : "" } ], "container-title" : "Archives of otolaryngology--head &amp; neck surgery", "id" : "ITEM-3", "issue" : "3", "issued" : { "date-parts" : [ [ "2000", "3" ] ] }, "page" : "313-21", "title" : "Cervical sentinel lymph node biopsy for melanomas of the head and neck and upper thorax.", "type" : "article-journal", "volume" : "126" }, "uris" : [ "http://www.mendeley.com/documents/?uuid=b4c557f4-a433-4729-92fc-ab775d1b54c4" ] }, { "id" : "ITEM-4", "itemData" : { "ISSN" : "1043-3074", "PMID" : "10585602", "abstract" : "BACKGROUND: Lymphatic drainage in the head and neck region is known to be particularly complex. This study explores the value of sentinel node biopsy for melanoma in the head and neck region.\n\nMETHODS: Thirty consecutive patients with clinically localized cutaneous melanoma in the head and neck region were included. Sentinel node biopsy was performed with blue dye and a gamma probe after preoperative lymphoscintigraphy. Average follow-up was 23 months (range, 1-48).\n\nRESULTS: In 27 of 30 patients, a sentinel node was identified (90%). Only 53% of sentinel nodes were both blue and radioactive. A sentinel node was tumor-positive in 8 patients. The sentinel node was false-negative in two cases. Sensitivity of the procedure was 80% (8 of 10).\n\nCONCLUSIONS: Sentinel node biopsy in the head and neck region is a technically demanding procedure. Although it may help determine whether a neck dissection is necessary in certain patients, further investigation is required before this technique can be recommended for the standard management of cutaneous head and neck melanoma.", "author" : [ { "dropping-particle" : "", "family" : "Jansen", "given" : "L", "non-dropping-particle" : "", "parse-names" : false, "suffix" : "" }, { "dropping-particle" : "", "family" : "Koops", "given" : "H S", "non-dropping-particle" : "", "parse-names" : false, "suffix" : "" }, { "dropping-particle" : "", "family" : "Nieweg", "given" : "O E", "non-dropping-particle" : "", "parse-names" : false, "suffix" : "" }, { "dropping-particle" : "", "family" : "Doting", "given" : "M H", "non-dropping-particle" : "", "parse-names" : false, "suffix" : "" }, { "dropping-particle" : "", "family" : "Kapteijn", "given" : "B A", "non-dropping-particle" : "", "parse-names" : false, "suffix" : "" }, { "dropping-particle" : "", "family" : "Balm", "given" : "A J", "non-dropping-particle" : "", "parse-names" : false, "suffix" : "" }, { "dropping-particle" : "", "family" : "Vermey", "given" : "A", "non-dropping-particle" : "", "parse-names" : false, "suffix" : "" }, { "dropping-particle" : "", "family" : "Plukker", "given" : "J T", "non-dropping-particle" : "", "parse-names" : false, "suffix" : "" }, { "dropping-particle" : "", "family" : "Hoefnagel", "given" : "C A", "non-dropping-particle" : "", "parse-names" : false, "suffix" : "" }, { "dropping-particle" : "", "family" : "Piers", "given" : "D A", "non-dropping-particle" : "", "parse-names" : false, "suffix" : "" }, { "dropping-particle" : "", "family" : "Kroon", "given" : "B B", "non-dropping-particle" : "", "parse-names" : false, "suffix" : "" } ], "container-title" : "Head &amp; neck", "id" : "ITEM-4", "issue" : "1", "issued" : { "date-parts" : [ [ "2000", "1" ] ] }, "page" : "27-33", "title" : "Sentinel node biopsy for melanoma in the head and neck region.", "type" : "article-journal", "volume" : "22" }, "uris" : [ "http://www.mendeley.com/documents/?uuid=ebf06b8a-0b18-4332-ad38-26959ee6e80c" ] }, { "id" : "ITEM-5", "itemData" : { "ISSN" : "0960-8931", "PMID" : "15305159", "abstract" : "Sentinel lymph node biopsy may be more technically challenging for melanoma of the head and neck compared with other locations because of the complex lymphatic drainage patterns. This study demonstrates the value of sentinel node biopsy for head and neck melanoma, and highlights the associated difficulties. Thirty consecutive patients with primary cutaneous melanoma of the head and neck (n=26) or draining to the neck (n=4) underwent preoperative lymphoscintigraphy. This was followed by intraoperative lymphatic mapping using blue dye alone (n=8) or in combination with a hand-held gamma probe (n=22) and sentinel lymphadenectomy. Modified neck dissection was performed in all patients with positive sentinel nodes. The study population had a male predominance (73%). Most lesions were nodular and were not ulcerated. In two patients (6.2%) preoperative lymphoscintigraphy failed to demonstrate the draining nodes, which were retrieved by surgery, and in two patients (6.2%) the sentinel node was not found at surgery despite preoperative visualization. Overall, the sentinel node was identified 93% of the time: in seven out of eight cases (88%) using blue dye alone, and in 21 out of 22 cases (96%) using a combination of blue dye and gamma probe. Four out of 28 basins were deemed positive for metastases. Twenty-three of the 24 patients with negative sentinel nodes were free of disease at a median of 31 months (range 9-91 months). There was one false-negative case salvaged by surgery. The sentinel node technique is technically demanding but advantageous for most patients with head and neck melanoma. Identification rates seem to be better when preoperative lymphoscintigraphy is combined with intraoperative blue dye mapping and a hand-held gamma probe. The relative contribution of each component could not be determined.", "author" : [ { "dropping-particle" : "", "family" : "Shpitzer", "given" : "Thomas", "non-dropping-particle" : "", "parse-names" : false, "suffix" : "" }, { "dropping-particle" : "", "family" : "Segal", "given" : "Karl", "non-dropping-particle" : "", "parse-names" : false, "suffix" : "" }, { "dropping-particle" : "", "family" : "Schachter", "given" : "Jacob", "non-dropping-particle" : "", "parse-names" : false, "suffix" : "" }, { "dropping-particle" : "", "family" : "Hardoff", "given" : "Ruth", "non-dropping-particle" : "", "parse-names" : false, "suffix" : "" }, { "dropping-particle" : "", "family" : "Guttman", "given" : "Dan", "non-dropping-particle" : "", "parse-names" : false, "suffix" : "" }, { "dropping-particle" : "", "family" : "Ulanovski", "given" : "David", "non-dropping-particle" : "", "parse-names" : false, "suffix" : "" }, { "dropping-particle" : "", "family" : "Feinmesser", "given" : "Raphael", "non-dropping-particle" : "", "parse-names" : false, "suffix" : "" }, { "dropping-particle" : "", "family" : "Gutman", "given" : "Haim", "non-dropping-particle" : "", "parse-names" : false, "suffix" : "" } ], "container-title" : "Melanoma research", "id" : "ITEM-5", "issue" : "4", "issued" : { "date-parts" : [ [ "2004", "8" ] ] }, "page" : "283-7", "title" : "Sentinel node guided surgery for melanoma in the head and neck region.", "type" : "article-journal", "volume" : "14" }, "uris" : [ "http://www.mendeley.com/documents/?uuid=734af4cf-b37d-4fee-aeeb-61e9559c8d87" ] }, { "id" : "ITEM-6", "itemData" : { "DOI" : "10.1001/archotol.130.7.844", "ISSN" : "0886-4470", "PMID" : "15262761", "abstract" : "OBJECTIVES: To analyze lymphatic drainage patterns and recurrence patterns in patients undergoing sentinel lymph node biopsy (SLNB) for cutaneous head and neck melanoma. DESIGN: Retrospective review of a consecutive series with a mean follow-up of 35 months. SETTING: Tertiary cancer care center. PATIENTS: Fifty-one patients with clinically node-negative cutaneous melanoma of the head and neck region staged by means of SLNB. INTERVENTIONS: Sentinel lymph nodes (SLNs) were identified using preoperative lymphatic mapping along with intraoperative gamma probe evaluation and isosulfan blue dye injection. Patients with a positive SLNB finding by hematoxylin-eosin or immunohistochemical evaluation underwent completion lymphadenectomy of the affected lymphatic basin and were considered for further adjuvant treatment. Patients with a negative SLNB finding were observed clinically. MAIN OUTCOME MEASURES: Location characteristics of SLNs, incidence of positive SLNs, same-basin recurrence, and disease-free survival. RESULTS: The mean number of SLNs per patients was 2.75. The extent of SLNB included removal of 1 node (n = 11), multiple nodes from 1 basin (n = 18), 1 node in multiple basins (n = 7), and multiple nodes in multiple basins (n = 15). Drainage to unexpected basins was found in 13 of 51 patients. Parotid region drainage was identified in 18 patients. There were no same-basin recurrences in patients with a negative SLNB finding. Thirty-six-month disease-free survival was 88.9% for patients with a negative SLN and 72.9% for patients with a positive SLN (P=.17). CONCLUSIONS: The number and location of SLNs is variable and difficult to predict for head and neck cutaneous melanoma. Preoperative lymphoscintigraphy is an important planning instrument to guide complete removal of all SLNs. Based on 3-year follow-up, this procedure can be expected to provide low same-basin recurrence rates for patients with a negative SLN.", "author" : [ { "dropping-particle" : "", "family" : "Fincher", "given" : "Timothy R.", "non-dropping-particle" : "", "parse-names" : false, "suffix" : "" }, { "dropping-particle" : "", "family" : "O'Brien", "given" : "John C.", "non-dropping-particle" : "", "parse-names" : false, "suffix" : "" }, { "dropping-particle" : "", "family" : "McCarty", "given" : "Todd M.", "non-dropping-particle" : "", "parse-names" : false, "suffix" : "" }, { "dropping-particle" : "", "family" : "Fisher", "given" : "Tammy L.", "non-dropping-particle" : "", "parse-names" : false, "suffix" : "" }, { "dropping-particle" : "", "family" : "Preskitt", "given" : "John T.", "non-dropping-particle" : "", "parse-names" : false, "suffix" : "" }, { "dropping-particle" : "", "family" : "Lieberman", "given" : "Zelig H.", "non-dropping-particle" : "", "parse-names" : false, "suffix" : "" }, { "dropping-particle" : "", "family" : "Stephens", "given" : "Jeffrey F.", "non-dropping-particle" : "", "parse-names" : false, "suffix" : "" }, { "dropping-particle" : "", "family" : "Kuhn", "given" : "Joseph A.", "non-dropping-particle" : "", "parse-names" : false, "suffix" : "" } ], "container-title" : "Archives of Otolaryngology\u2013Head &amp; Neck Surgery", "id" : "ITEM-6", "issue" : "7", "issued" : { "date-parts" : [ [ "2004", "7", "1" ] ] }, "page" : "844-848", "title" : "Patterns of Drainage and Recurrence Following Sentinel Lymph Node Biopsy for Cutaneous Melanoma of the Head and Neck", "type" : "article-journal", "volume" : "130" }, "uris" : [ "http://www.mendeley.com/documents/?uuid=038e1964-9817-40ad-86f8-1eaa2078941d" ] }, { "id" : "ITEM-7", "itemData" : { "ISSN" : "1529-4242", "PMID" : "15731669", "abstract" : "Sentinel lymph node biopsy has revolutionized the surgical management of primary malignant melanoma. Most series on sentinel lymph node mapping have concentrated on extremity and truncal melanomas. The head and neck region has a rich and unpredictable lymphatic system. The use of sentinel lymph node mapping in the management of head and neck melanoma is evaluated. The authors conducted a retrospective review of patients treated for clinical stage I and stage II malignant melanoma of the head and neck with dynamic lymphoscintigraphy and gamma probe-guided sentinel lymph node biopsy. One hundred thirty-two patients (99 male patients and 33 female patients) were identified. The primary melanoma sites were the scalp (n = 54), ear (n = 14), face (n = 37), and neck (n = 27). Primary tumor staging was as follows: T1, 11; T2, 38; T3, 39; and T4, 44. Dynamic lymphoscintigraphy visualized sentinel lymph nodes in 128 patients (97 percent). In 71 cases (55 percent), a single draining nodal basin was identified, and in 57 cases there were multiple draining nodal basins (two basins, 55; three basins, two). Sentinel lymph nodes were successfully identified in 176 of 186 nodal basins (95 percent). Positive sentinel lymph nodes were identified in 22 patients (17.6 percent). Sentinel lymph node positivity by tumor staging was as follows: T2, 10.8 percent; T3, 19.4 percent; and T4, 26.8 percent. Completion lymphadenectomy revealed residual disease in seven patients (33.3 percent). Sentinel lymph node mapping for head and neck melanoma can be performed with results comparable to those of other anatomical sites.", "author" : [ { "dropping-particle" : "", "family" : "Carlson", "given" : "Grant W", "non-dropping-particle" : "", "parse-names" : false, "suffix" : "" }, { "dropping-particle" : "", "family" : "Murray", "given" : "Douglas R", "non-dropping-particle" : "", "parse-names" : false, "suffix" : "" }, { "dropping-particle" : "", "family" : "Lyles", "given" : "Robert H", "non-dropping-particle" : "", "parse-names" : false, "suffix" : "" }, { "dropping-particle" : "", "family" : "Hestley", "given" : "Andrea", "non-dropping-particle" : "", "parse-names" : false, "suffix" : "" }, { "dropping-particle" : "", "family" : "Cohen", "given" : "Cynthia", "non-dropping-particle" : "", "parse-names" : false, "suffix" : "" } ], "container-title" : "Plastic and reconstructive surgery", "id" : "ITEM-7", "issue" : "3", "issued" : { "date-parts" : [ [ "2005", "3" ] ] }, "page" : "721-8", "title" : "Sentinel lymph node biopsy in the management of cutaneous head and neck melanoma.", "type" : "article-journal", "volume" : "115" }, "uris" : [ "http://www.mendeley.com/documents/?uuid=c42656d6-c7bb-4881-ba01-2d6aada4bc88" ] } ], "mendeley" : { "formattedCitation" : "&lt;sup&gt;100\u2013106&lt;/sup&gt;", "plainTextFormattedCitation" : "100\u2013106", "previouslyFormattedCitation" : "&lt;sup&gt;100\u2013106&lt;/sup&gt;"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100–106</w:t>
      </w:r>
      <w:r w:rsidRPr="003E73CD">
        <w:rPr>
          <w:sz w:val="22"/>
          <w:szCs w:val="22"/>
        </w:rPr>
        <w:fldChar w:fldCharType="end"/>
      </w:r>
      <w:proofErr w:type="gramStart"/>
      <w:r w:rsidRPr="003E73CD">
        <w:rPr>
          <w:sz w:val="22"/>
          <w:szCs w:val="22"/>
        </w:rPr>
        <w:t xml:space="preserve">  Lymphatic</w:t>
      </w:r>
      <w:proofErr w:type="gramEnd"/>
      <w:r w:rsidRPr="003E73CD">
        <w:rPr>
          <w:sz w:val="22"/>
          <w:szCs w:val="22"/>
        </w:rPr>
        <w:t xml:space="preserve"> drainage from head and neck sites is particularly rich and complex, often to multiple SLNs, and it may be that predictable drainage patterns do exist but have been overlooked for a variety of reasons.  For example, techniques used to demonstrate lymphatic drainage from the head and neck may not have sufficient “resolution”, resulting in the identification of SLNs draining areas of skin larger than the area of interest.</w:t>
      </w:r>
    </w:p>
    <w:p w14:paraId="2846A96A" w14:textId="52C5BE6B" w:rsidR="0061482C" w:rsidRPr="003E73CD" w:rsidRDefault="0061482C" w:rsidP="0061482C">
      <w:pPr>
        <w:widowControl w:val="0"/>
        <w:autoSpaceDE w:val="0"/>
        <w:autoSpaceDN w:val="0"/>
        <w:adjustRightInd w:val="0"/>
        <w:spacing w:line="480" w:lineRule="auto"/>
        <w:ind w:firstLine="720"/>
        <w:rPr>
          <w:sz w:val="22"/>
          <w:szCs w:val="22"/>
        </w:rPr>
      </w:pPr>
      <w:r w:rsidRPr="003E73CD">
        <w:rPr>
          <w:sz w:val="22"/>
          <w:szCs w:val="22"/>
        </w:rPr>
        <w:t>Previous studies assessing the predictability of lymphatic drainage from cutaneous head and neck tumour sites have subdivided the region into areas that remain large and diverse, such as the entire face.  The locations of SLNs from tumours within such areas have been compared with “clinically predicted” nodal drainage sites for those areas.</w:t>
      </w:r>
      <w:r w:rsidRPr="003E73CD">
        <w:rPr>
          <w:sz w:val="22"/>
          <w:szCs w:val="22"/>
        </w:rPr>
        <w:fldChar w:fldCharType="begin" w:fldLock="1"/>
      </w:r>
      <w:r w:rsidR="005676A9">
        <w:rPr>
          <w:sz w:val="22"/>
          <w:szCs w:val="22"/>
        </w:rPr>
        <w:instrText>ADDIN CSL_CITATION { "citationItems" : [ { "id" : "ITEM-1", "itemData" : { "ISSN" : "0002-9610", "PMID" : "7485733", "abstract" : "BACKGROUND: The technique of lymphoscintigraphy may allow a more selective approach to the management of clinically negative neck nodes among patients with cutaneous head and neck melanoma.\n\nPATIENTS AND METHODS: A group of 97 patients with cutaneous head and neck melanoma had preoperative lymphoscintigraphy using intradermal injections of technetium 99m antimony trisulfide colloid to identify sentinel nodes. Fifty-one patients were eligible for clinical analysis after initial definitive treatment by wide excision only (n = 11), wide excision and elective dissection of the neck (n = 19) or axilla (n = 1), or wide excision and a sentinel node biopsy procedure (n = 20).\n\nRESULTS: Sentinel nodes were identified in 95 of 97 lymphoscintigrams, and 85% of patients had multiple sentinel nodes. In 21 patients (22%), sentinel nodes were identified outside the parotid region and the 5 main neck levels, mostly in postauricular nodes (n = 13). Lymphoscintigrams were discordant with clinical predictions in 33 patients (34%). Lymph nodes were positive in 4 elective dissections and 4 sentinel node biopsies. Among 16 patients evaluable after wide excision and a negative sentinel node biopsy, 4 patients subsequently developed metastatic nodes; however, confident identification of all nodes marked as sentinel nodes on lymphoscintigraphy was not achieved at the original biopsy procedure in 3 of these patients.\n\nCONCLUSIONS: Lymphoscintigraphy and sentinel node biopsy are more difficult to perform in the head and neck than in other parts of the body. The reliability of sentinel node biopsy based on lymphoscintigraphy may be improved by identifying and marking all nodes that are considered to receive direct lymphatic drainage from the primary melanoma, and by use of a gamma probe intraoperatively.", "author" : [ { "dropping-particle" : "", "family" : "O'Brien", "given" : "C J", "non-dropping-particle" : "", "parse-names" : false, "suffix" : "" }, { "dropping-particle" : "", "family" : "Uren", "given" : "R F", "non-dropping-particle" : "", "parse-names" : false, "suffix" : "" }, { "dropping-particle" : "", "family" : "Thompson", "given" : "J F", "non-dropping-particle" : "", "parse-names" : false, "suffix" : "" }, { "dropping-particle" : "", "family" : "Howman-Giles", "given" : "R B", "non-dropping-particle" : "", "parse-names" : false, "suffix" : "" }, { "dropping-particle" : "", "family" : "Petersen-Schaefer", "given" : "K", "non-dropping-particle" : "", "parse-names" : false, "suffix" : "" }, { "dropping-particle" : "", "family" : "Shaw", "given" : "H M", "non-dropping-particle" : "", "parse-names" : false, "suffix" : "" }, { "dropping-particle" : "", "family" : "Quinn", "given" : "M J", "non-dropping-particle" : "", "parse-names" : false, "suffix" : "" }, { "dropping-particle" : "", "family" : "McCarthy", "given" : "W H", "non-dropping-particle" : "", "parse-names" : false, "suffix" : "" } ], "container-title" : "American journal of surgery", "id" : "ITEM-1", "issue" : "5", "issued" : { "date-parts" : [ [ "1995", "11" ] ] }, "page" : "461-6", "title" : "Prediction of potential metastatic sites in cutaneous head and neck melanoma using lymphoscintigraphy.", "type" : "article-journal", "volume" : "170" }, "uris" : [ "http://www.mendeley.com/documents/?uuid=05380489-57e3-4f1b-97e9-45bb73411cac" ] }, { "id" : "ITEM-2", "itemData" : { "ISSN" : "0032-1052", "PMID" : "9283554", "abstract" : "BACKGROUND: The sentinel lymph node is the first node or nodes to drain a cutaneous melanoma. Sentinel lymph node biopsy is performed to determine whether regional metastases are present. The authors' experience with the new technique of sentinel lymph node biopsy for melanoma of the head and neck is reported.\n\nPATIENTS AND METHODS: During the period of January of 1992 to December of 1995, 58 consecutive patients were identified from the melanoma database who had localization of the sentinel lymph node for primary cutaneous melanoma of the head and neck. Techniques for identification of the sentinel node(s) include preoperative lymphoscintigraphy and intraoperative Lymphazurin dye (vital blue dye) and technetium-99m-labeled sulfur colloid injection around the primary tumor site with Neoprobe mapping.\n\nRESULTS: Fifty-eight patients (13 female, 45 male), mean age 61 years, with melanoma of the head and neck with a mean Breslow thickness of 2.21 mm. (range, 0.82-6.87 mm.) and no regional lymphadenopathy underwent sentinel node mapping. The sentinel node was successfully identified in 55 patients (95 percent). Blue dye was visualized in 85 of 126 sentinel nodes excised (67 percent), whereas the remainder of the sentinel nodes were localized with the Neoprobe. Forty-nine patients who had successful mapping and sentinel node biopsy had no evidence of metastatic disease in the sentinel node or other nodes in the basin. Six of the fifty-five patients (11 percent) had evidence of micrometastatic disease, and all six had the sentinel node as the only site of metastasis. Five of six patients with micrometastases had a subsequent neck dissection and/or superficial parotidectomy. None of these patients had evidence of \"skip metastases\" with a negative sentinel node and higher level nodes positive for metastases. In total, 6 of the 18 sentinel nodes (33 percent) identified in these six patients contained micrometastatic disease, whereas none of the 139 other nodes sampled had any evidence of metastases. The exact probability that all six unpaired observations would consist of involvement of only the sentinel nodes is p = 0.0312.\n\nCONCLUSIONS: By combining the two mapping techniques in patients with melanoma of the head and neck, the sentinel node(s) can be mapped and identified individually, similar to melanoma in other locations. The sentinel nodes have been shown to contain the first evidence of regional metastatic melanoma. This staging information can be used to \u2026", "author" : [ { "dropping-particle" : "", "family" : "Wells", "given" : "K E", "non-dropping-particle" : "", "parse-names" : false, "suffix" : "" }, { "dropping-particle" : "", "family" : "Rapaport", "given" : "D P", "non-dropping-particle" : "", "parse-names" : false, "suffix" : "" }, { "dropping-particle" : "", "family" : "Cruse", "given" : "C W", "non-dropping-particle" : "", "parse-names" : false, "suffix" : "" }, { "dropping-particle" : "", "family" : "Payne", "given" : "W", "non-dropping-particle" : "", "parse-names" : false, "suffix" : "" }, { "dropping-particle" : "", "family" : "Albertini", "given" : "J", "non-dropping-particle" : "", "parse-names" : false, "suffix" : "" }, { "dropping-particle" : "", "family" : "Berman", "given" : "C", "non-dropping-particle" : "", "parse-names" : false, "suffix" : "" }, { "dropping-particle" : "", "family" : "Lyman", "given" : "G H", "non-dropping-particle" : "", "parse-names" : false, "suffix" : "" }, { "dropping-particle" : "", "family" : "Reintgen", "given" : "D S", "non-dropping-particle" : "", "parse-names" : false, "suffix" : "" } ], "container-title" : "Plastic and reconstructive surgery", "id" : "ITEM-2", "issue" : "3", "issued" : { "date-parts" : [ [ "1997", "9" ] ] }, "page" : "591-4", "title" : "Sentinel lymph node biopsy in melanoma of the head and neck.", "type" : "article-journal", "volume" : "100" }, "uris" : [ "http://www.mendeley.com/documents/?uuid=128645f0-95bc-4401-9787-92ae4891cb0e" ] } ], "mendeley" : { "formattedCitation" : "&lt;sup&gt;101,219&lt;/sup&gt;", "plainTextFormattedCitation" : "101,219", "previouslyFormattedCitation" : "&lt;sup&gt;101,219&lt;/sup&gt;" }, "properties" : { "noteIndex" : 0 }, "schema" : "https://github.com/citation-style-language/schema/raw/master/csl-citation.json" }</w:instrText>
      </w:r>
      <w:r w:rsidRPr="003E73CD">
        <w:rPr>
          <w:sz w:val="22"/>
          <w:szCs w:val="22"/>
        </w:rPr>
        <w:fldChar w:fldCharType="separate"/>
      </w:r>
      <w:r w:rsidR="00217FAC" w:rsidRPr="00217FAC">
        <w:rPr>
          <w:noProof/>
          <w:sz w:val="22"/>
          <w:szCs w:val="22"/>
          <w:vertAlign w:val="superscript"/>
        </w:rPr>
        <w:t>101,219</w:t>
      </w:r>
      <w:r w:rsidRPr="003E73CD">
        <w:rPr>
          <w:sz w:val="22"/>
          <w:szCs w:val="22"/>
        </w:rPr>
        <w:fldChar w:fldCharType="end"/>
      </w:r>
      <w:proofErr w:type="gramStart"/>
      <w:r w:rsidRPr="003E73CD">
        <w:rPr>
          <w:sz w:val="22"/>
          <w:szCs w:val="22"/>
        </w:rPr>
        <w:t xml:space="preserve">  As</w:t>
      </w:r>
      <w:proofErr w:type="gramEnd"/>
      <w:r w:rsidRPr="003E73CD">
        <w:rPr>
          <w:sz w:val="22"/>
          <w:szCs w:val="22"/>
        </w:rPr>
        <w:t xml:space="preserve"> a single subdivision of the head and neck, the face has typically been taken to comprise the forehead, anterior temples, eyelids, nose, mouth, cheeks and chin, and the recommended selective neck dissection for this entire area has been parotidectomy combined with clearance of Levels I-III or I-IV cervical lymph nodes.</w:t>
      </w:r>
      <w:r w:rsidRPr="003E73CD">
        <w:rPr>
          <w:sz w:val="22"/>
          <w:szCs w:val="22"/>
        </w:rPr>
        <w:fldChar w:fldCharType="begin" w:fldLock="1"/>
      </w:r>
      <w:r w:rsidR="005676A9">
        <w:rPr>
          <w:sz w:val="22"/>
          <w:szCs w:val="22"/>
        </w:rPr>
        <w:instrText>ADDIN CSL_CITATION { "citationItems" : [ { "id" : "ITEM-1", "itemData" : { "ISSN" : "1043-3074", "PMID" : "7782208", "abstract" : "BACKGROUND: The roles of modified and selective neck dissections in treating patients with clinical metastatic melanoma and the place of adjuvant radiotherapy are unclear. In the elective setting, the efficacy of various selective dissections also requires clarification. METHODS: The prospectively documented experience of the senior author (COB) was analyzed. A total of 175 patients had 183 neck dissections and 92 parotidectomies in 6 years. There were 75 therapeutic and 108 elective operations. Modified or selective neck dissections were performed in 58% of patients with clinical neck metastases. Ali but two elective operations were modified or selective dissections. Postoperative radiotherapy was given to 27 dissected necks. Minimum follow-up was 12 months, and 86% of patients were followed up for 2 years or to neck recurrence. RESULTS: Nodes were histologically positive in 80 dissections. The cumulative rate of control of metastatic melanoma in the neck was 86% at 5 years. Neck recurrence developed in 14% of radical dissections, 0% of modified, and 23% of selective dissections performed for clinical disease. Neck recurrence occurred after 5% of elective dissections. Recurrence was 7% among irradiated necks compared to 23% in nonirradiated (p-value not significant). The 5-year survival rate was 50%, and this was significantly worsened by increasing node involvement. CONCLUSIONS: Modified radical neck dissection is highly effective in controlling metastatic melanoma in selected patients. Selective dissections are less effective and need further study. Adjuvant radiotherapy appears to decrease the risk of neck recurrence. In the elective setting, recurrence is uncommon following the selective neck dissections described.", "author" : [ { "dropping-particle" : "", "family" : "O'Brien", "given" : "C J", "non-dropping-particle" : "", "parse-names" : false, "suffix" : "" }, { "dropping-particle" : "", "family" : "Petersen-Schaefer", "given" : "K", "non-dropping-particle" : "", "parse-names" : false, "suffix" : "" }, { "dropping-particle" : "", "family" : "Ruark", "given" : "D", "non-dropping-particle" : "", "parse-names" : false, "suffix" : "" }, { "dropping-particle" : "", "family" : "Coates", "given" : "A S", "non-dropping-particle" : "", "parse-names" : false, "suffix" : "" }, { "dropping-particle" : "", "family" : "Menzie", "given" : "S J", "non-dropping-particle" : "", "parse-names" : false, "suffix" : "" }, { "dropping-particle" : "", "family" : "Harrison", "given" : "R I", "non-dropping-particle" : "", "parse-names" : false, "suffix" : "" } ], "container-title" : "Head &amp; neck", "id" : "ITEM-1", "issue" : "3", "issued" : { "date-parts" : [ [ "1995", "1" ] ] }, "page" : "232-41", "title" : "Radical, modified, and selective neck dissection for cutaneous malignant melanoma.", "type" : "article-journal", "volume" : "17" }, "uris" : [ "http://www.mendeley.com/documents/?uuid=0bd55279-0bfa-4c15-a471-e1d439fd2fc7" ] } ], "mendeley" : { "formattedCitation" : "&lt;sup&gt;220&lt;/sup&gt;", "plainTextFormattedCitation" : "220", "previouslyFormattedCitation" : "&lt;sup&gt;220&lt;/sup&gt;" }, "properties" : { "noteIndex" : 0 }, "schema" : "https://github.com/citation-style-language/schema/raw/master/csl-citation.json" }</w:instrText>
      </w:r>
      <w:r w:rsidRPr="003E73CD">
        <w:rPr>
          <w:sz w:val="22"/>
          <w:szCs w:val="22"/>
        </w:rPr>
        <w:fldChar w:fldCharType="separate"/>
      </w:r>
      <w:r w:rsidR="00217FAC" w:rsidRPr="00217FAC">
        <w:rPr>
          <w:noProof/>
          <w:sz w:val="22"/>
          <w:szCs w:val="22"/>
          <w:vertAlign w:val="superscript"/>
        </w:rPr>
        <w:t>220</w:t>
      </w:r>
      <w:r w:rsidRPr="003E73CD">
        <w:rPr>
          <w:sz w:val="22"/>
          <w:szCs w:val="22"/>
        </w:rPr>
        <w:fldChar w:fldCharType="end"/>
      </w:r>
      <w:proofErr w:type="gramStart"/>
      <w:r w:rsidRPr="003E73CD">
        <w:rPr>
          <w:sz w:val="22"/>
          <w:szCs w:val="22"/>
        </w:rPr>
        <w:t xml:space="preserve">  The</w:t>
      </w:r>
      <w:proofErr w:type="gramEnd"/>
      <w:r w:rsidRPr="003E73CD">
        <w:rPr>
          <w:sz w:val="22"/>
          <w:szCs w:val="22"/>
        </w:rPr>
        <w:t xml:space="preserve"> multi-disciplinary team, faced with a patient who has a positive SLN (or SLNs) or clinically detected nodal metastasis from a primary cutaneous tumour on the face, must decide on the type and extent of neck dissection to be performed and/or the lymph nodes to be targeted during radiotherapy.  Any therapeutic intervention may fail if it does not include all potential sites of metastasis, but the routine inclusion of all possible sites, e.g. total head and neck irradiation or bilateral parotidectomies + level I-V neck dissections, would produce unacceptable morbidity and would clearly be inappropriate.  It would be logical to subdivide an area as large and anatomically diverse as the face into smaller zones, with the expectation of demonstrating more predictable lymphatic drainage from these zones to fewer nodal sites.  Evidence-based refinements could then be made to the existing recommendations for selective neck dissection and radiotherapy.  To investigate this hypothesis, the forehead (including the anterior temple) was selected as an anatomically unremarkable subdivision of the face in which to determine the variability (and thus unpredictability) of lymphatic drainage.  No previously published reports focusing on patterns of lymphatic drainage from the forehead could be found on literature review, and so the first aim of the present study was to describe the lymphatic drainage patterns from the forehead.  Additional aims were to document the frequency of drainage to contralateral SLNs, and to subdivide the forehead itself into zones and assess variability of drainage between zones in the hope that refinements could then be made to existing recommendations for selective neck dissections for tumo</w:t>
      </w:r>
      <w:r w:rsidR="007E5D67" w:rsidRPr="003E73CD">
        <w:rPr>
          <w:sz w:val="22"/>
          <w:szCs w:val="22"/>
        </w:rPr>
        <w:t>u</w:t>
      </w:r>
      <w:r w:rsidRPr="003E73CD">
        <w:rPr>
          <w:sz w:val="22"/>
          <w:szCs w:val="22"/>
        </w:rPr>
        <w:t>rs located on the forehead.</w:t>
      </w:r>
    </w:p>
    <w:p w14:paraId="39DE1A14" w14:textId="77777777" w:rsidR="0061482C" w:rsidRPr="003E73CD" w:rsidRDefault="0061482C" w:rsidP="0061482C">
      <w:pPr>
        <w:widowControl w:val="0"/>
        <w:autoSpaceDE w:val="0"/>
        <w:autoSpaceDN w:val="0"/>
        <w:adjustRightInd w:val="0"/>
        <w:spacing w:line="480" w:lineRule="auto"/>
        <w:rPr>
          <w:b/>
          <w:bCs/>
          <w:sz w:val="22"/>
          <w:szCs w:val="22"/>
        </w:rPr>
      </w:pPr>
    </w:p>
    <w:p w14:paraId="189B518D" w14:textId="77777777" w:rsidR="0061482C" w:rsidRPr="003E73CD" w:rsidRDefault="0061482C" w:rsidP="0061482C">
      <w:pPr>
        <w:widowControl w:val="0"/>
        <w:autoSpaceDE w:val="0"/>
        <w:autoSpaceDN w:val="0"/>
        <w:adjustRightInd w:val="0"/>
        <w:spacing w:line="480" w:lineRule="auto"/>
        <w:rPr>
          <w:b/>
          <w:bCs/>
          <w:sz w:val="22"/>
          <w:szCs w:val="22"/>
        </w:rPr>
      </w:pPr>
      <w:r w:rsidRPr="003E73CD">
        <w:rPr>
          <w:b/>
          <w:bCs/>
          <w:sz w:val="22"/>
          <w:szCs w:val="22"/>
        </w:rPr>
        <w:t>Methods</w:t>
      </w:r>
    </w:p>
    <w:p w14:paraId="1994515C" w14:textId="22D804B5" w:rsidR="0061482C" w:rsidRPr="003E73CD" w:rsidRDefault="0061482C" w:rsidP="0061482C">
      <w:pPr>
        <w:widowControl w:val="0"/>
        <w:autoSpaceDE w:val="0"/>
        <w:autoSpaceDN w:val="0"/>
        <w:adjustRightInd w:val="0"/>
        <w:spacing w:line="480" w:lineRule="auto"/>
        <w:ind w:firstLine="720"/>
        <w:rPr>
          <w:sz w:val="22"/>
          <w:szCs w:val="22"/>
        </w:rPr>
      </w:pPr>
      <w:r w:rsidRPr="003E73CD">
        <w:rPr>
          <w:sz w:val="22"/>
          <w:szCs w:val="22"/>
        </w:rPr>
        <w:t>Between March 1994 and July 2006 data were collected prospectively on all patients undergoing lymphoscintigraphy at the Sydney Melanoma Unit (SMU) for primary cutaneous tumo</w:t>
      </w:r>
      <w:r w:rsidR="007E5D67" w:rsidRPr="003E73CD">
        <w:rPr>
          <w:sz w:val="22"/>
          <w:szCs w:val="22"/>
        </w:rPr>
        <w:t>u</w:t>
      </w:r>
      <w:r w:rsidRPr="003E73CD">
        <w:rPr>
          <w:sz w:val="22"/>
          <w:szCs w:val="22"/>
        </w:rPr>
        <w:t xml:space="preserve">rs (melanomas and Merkel cell carcinomas).  The location of each primary tumour was mapped using a coordinate-based system.  For the present study the boundaries of the forehead were defined as shown in Figure </w:t>
      </w:r>
      <w:r w:rsidR="008E4096">
        <w:rPr>
          <w:sz w:val="22"/>
          <w:szCs w:val="22"/>
        </w:rPr>
        <w:t>2.2</w:t>
      </w:r>
      <w:r w:rsidR="0045660C" w:rsidRPr="003E73CD">
        <w:rPr>
          <w:sz w:val="22"/>
          <w:szCs w:val="22"/>
        </w:rPr>
        <w:t>.</w:t>
      </w:r>
      <w:r w:rsidRPr="003E73CD">
        <w:rPr>
          <w:sz w:val="22"/>
          <w:szCs w:val="22"/>
        </w:rPr>
        <w:t xml:space="preserve">1.  The forehead was further subdivided into a central glabellar zone, with supra-orbital and anterior temple zones laterally.  These subdivisions were based on the vascular anatomy of the area (see Figure </w:t>
      </w:r>
      <w:r w:rsidR="008E4096">
        <w:rPr>
          <w:sz w:val="22"/>
          <w:szCs w:val="22"/>
        </w:rPr>
        <w:t>2.2</w:t>
      </w:r>
      <w:r w:rsidR="0045660C" w:rsidRPr="003E73CD">
        <w:rPr>
          <w:sz w:val="22"/>
          <w:szCs w:val="22"/>
        </w:rPr>
        <w:t>.</w:t>
      </w:r>
      <w:r w:rsidRPr="003E73CD">
        <w:rPr>
          <w:sz w:val="22"/>
          <w:szCs w:val="22"/>
        </w:rPr>
        <w:t>1), based on the assumption that the lymphatic drainage would be likely to follow a similar pattern.  The central glabellar zone was based around the supra-trochlear vessels, the supra-orbital zone around the supra-orbital vessels and the anterior temple zone around the anterior branches of the superficial temporal vessels.</w:t>
      </w:r>
    </w:p>
    <w:p w14:paraId="6A0206AB" w14:textId="77777777" w:rsidR="0061482C" w:rsidRPr="003E73CD" w:rsidRDefault="0061482C" w:rsidP="0061482C">
      <w:pPr>
        <w:widowControl w:val="0"/>
        <w:autoSpaceDE w:val="0"/>
        <w:autoSpaceDN w:val="0"/>
        <w:adjustRightInd w:val="0"/>
        <w:spacing w:line="480" w:lineRule="auto"/>
        <w:rPr>
          <w:sz w:val="22"/>
          <w:szCs w:val="22"/>
        </w:rPr>
      </w:pPr>
    </w:p>
    <w:p w14:paraId="6AC6BC90" w14:textId="77777777" w:rsidR="0061482C" w:rsidRPr="003E73CD" w:rsidRDefault="0061482C" w:rsidP="0061482C">
      <w:pPr>
        <w:widowControl w:val="0"/>
        <w:autoSpaceDE w:val="0"/>
        <w:autoSpaceDN w:val="0"/>
        <w:adjustRightInd w:val="0"/>
        <w:spacing w:line="480" w:lineRule="auto"/>
        <w:rPr>
          <w:sz w:val="22"/>
          <w:szCs w:val="22"/>
        </w:rPr>
      </w:pPr>
    </w:p>
    <w:p w14:paraId="653CD679" w14:textId="77777777" w:rsidR="0061482C" w:rsidRPr="003E73CD" w:rsidRDefault="0061482C" w:rsidP="0061482C">
      <w:pPr>
        <w:widowControl w:val="0"/>
        <w:autoSpaceDE w:val="0"/>
        <w:autoSpaceDN w:val="0"/>
        <w:adjustRightInd w:val="0"/>
        <w:spacing w:line="480" w:lineRule="auto"/>
        <w:rPr>
          <w:sz w:val="22"/>
          <w:szCs w:val="22"/>
        </w:rPr>
      </w:pPr>
    </w:p>
    <w:p w14:paraId="69FCCB07" w14:textId="77777777" w:rsidR="0061482C" w:rsidRPr="003E73CD" w:rsidRDefault="0061482C" w:rsidP="0061482C">
      <w:pPr>
        <w:widowControl w:val="0"/>
        <w:autoSpaceDE w:val="0"/>
        <w:autoSpaceDN w:val="0"/>
        <w:adjustRightInd w:val="0"/>
        <w:spacing w:line="480" w:lineRule="auto"/>
        <w:rPr>
          <w:sz w:val="22"/>
          <w:szCs w:val="22"/>
        </w:rPr>
      </w:pPr>
    </w:p>
    <w:p w14:paraId="797D3B93" w14:textId="77777777" w:rsidR="007E5D67" w:rsidRPr="003E73CD" w:rsidRDefault="007E5D67">
      <w:pPr>
        <w:rPr>
          <w:sz w:val="22"/>
          <w:szCs w:val="22"/>
        </w:rPr>
      </w:pPr>
      <w:r w:rsidRPr="003E73CD">
        <w:rPr>
          <w:sz w:val="22"/>
          <w:szCs w:val="22"/>
        </w:rPr>
        <w:br w:type="page"/>
      </w:r>
    </w:p>
    <w:p w14:paraId="2205BB0A" w14:textId="356888DB" w:rsidR="0061482C" w:rsidRPr="003E73CD" w:rsidRDefault="0061482C" w:rsidP="0061482C">
      <w:pPr>
        <w:widowControl w:val="0"/>
        <w:autoSpaceDE w:val="0"/>
        <w:autoSpaceDN w:val="0"/>
        <w:adjustRightInd w:val="0"/>
        <w:spacing w:line="480" w:lineRule="auto"/>
        <w:rPr>
          <w:sz w:val="22"/>
          <w:szCs w:val="22"/>
        </w:rPr>
      </w:pPr>
      <w:r w:rsidRPr="003E73CD">
        <w:rPr>
          <w:sz w:val="22"/>
          <w:szCs w:val="22"/>
        </w:rPr>
        <w:t xml:space="preserve">Figure </w:t>
      </w:r>
      <w:r w:rsidR="008E4096">
        <w:rPr>
          <w:sz w:val="22"/>
          <w:szCs w:val="22"/>
        </w:rPr>
        <w:t>2.2</w:t>
      </w:r>
      <w:r w:rsidR="0045660C" w:rsidRPr="003E73CD">
        <w:rPr>
          <w:sz w:val="22"/>
          <w:szCs w:val="22"/>
        </w:rPr>
        <w:t>.</w:t>
      </w:r>
      <w:r w:rsidRPr="003E73CD">
        <w:rPr>
          <w:sz w:val="22"/>
          <w:szCs w:val="22"/>
        </w:rPr>
        <w:t xml:space="preserve">1.  </w:t>
      </w:r>
      <w:proofErr w:type="gramStart"/>
      <w:r w:rsidRPr="003E73CD">
        <w:rPr>
          <w:sz w:val="22"/>
          <w:szCs w:val="22"/>
        </w:rPr>
        <w:t>The zones and boundaries of the forehead, including their relationship to the vascular anatomy (“a” denotes anterior temple zone containing anterior branches of the superficial temporal vessels, “b” denotes supraorbital zone containing the supraorbital vessels and “c” denotes glabellar zone containing the supratrochlear vessels).</w:t>
      </w:r>
      <w:proofErr w:type="gramEnd"/>
    </w:p>
    <w:p w14:paraId="54637D1F" w14:textId="77777777" w:rsidR="007E5D67" w:rsidRPr="003E73CD" w:rsidRDefault="007E5D67" w:rsidP="0061482C">
      <w:pPr>
        <w:widowControl w:val="0"/>
        <w:autoSpaceDE w:val="0"/>
        <w:autoSpaceDN w:val="0"/>
        <w:adjustRightInd w:val="0"/>
        <w:spacing w:line="480" w:lineRule="auto"/>
        <w:rPr>
          <w:sz w:val="22"/>
          <w:szCs w:val="22"/>
        </w:rPr>
      </w:pPr>
    </w:p>
    <w:p w14:paraId="07C3FEE2" w14:textId="77777777" w:rsidR="007E5D67" w:rsidRPr="003E73CD" w:rsidRDefault="007E5D67" w:rsidP="0061482C">
      <w:pPr>
        <w:widowControl w:val="0"/>
        <w:autoSpaceDE w:val="0"/>
        <w:autoSpaceDN w:val="0"/>
        <w:adjustRightInd w:val="0"/>
        <w:spacing w:line="480" w:lineRule="auto"/>
        <w:rPr>
          <w:sz w:val="22"/>
          <w:szCs w:val="22"/>
        </w:rPr>
      </w:pPr>
    </w:p>
    <w:p w14:paraId="0515D7CE" w14:textId="77777777" w:rsidR="007E5D67" w:rsidRPr="003E73CD" w:rsidRDefault="007E5D67" w:rsidP="0061482C">
      <w:pPr>
        <w:widowControl w:val="0"/>
        <w:autoSpaceDE w:val="0"/>
        <w:autoSpaceDN w:val="0"/>
        <w:adjustRightInd w:val="0"/>
        <w:spacing w:line="480" w:lineRule="auto"/>
        <w:rPr>
          <w:sz w:val="22"/>
          <w:szCs w:val="22"/>
        </w:rPr>
      </w:pPr>
    </w:p>
    <w:p w14:paraId="3204BA0D" w14:textId="77777777" w:rsidR="007E5D67" w:rsidRPr="003E73CD" w:rsidRDefault="007E5D67" w:rsidP="0061482C">
      <w:pPr>
        <w:widowControl w:val="0"/>
        <w:autoSpaceDE w:val="0"/>
        <w:autoSpaceDN w:val="0"/>
        <w:adjustRightInd w:val="0"/>
        <w:spacing w:line="480" w:lineRule="auto"/>
        <w:rPr>
          <w:sz w:val="22"/>
          <w:szCs w:val="22"/>
        </w:rPr>
      </w:pPr>
    </w:p>
    <w:p w14:paraId="50E52CE6" w14:textId="77777777" w:rsidR="0061482C" w:rsidRPr="003E73CD" w:rsidRDefault="0061482C" w:rsidP="0061482C">
      <w:pPr>
        <w:widowControl w:val="0"/>
        <w:autoSpaceDE w:val="0"/>
        <w:autoSpaceDN w:val="0"/>
        <w:adjustRightInd w:val="0"/>
        <w:spacing w:line="480" w:lineRule="auto"/>
        <w:rPr>
          <w:sz w:val="22"/>
          <w:szCs w:val="22"/>
        </w:rPr>
      </w:pPr>
      <w:r w:rsidRPr="003E73CD">
        <w:rPr>
          <w:noProof/>
          <w:sz w:val="22"/>
          <w:szCs w:val="22"/>
        </w:rPr>
        <w:drawing>
          <wp:inline distT="0" distB="0" distL="0" distR="0" wp14:anchorId="0ECCC7E5" wp14:editId="611D427A">
            <wp:extent cx="2733040" cy="3373120"/>
            <wp:effectExtent l="0" t="0" r="1016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33040" cy="3373120"/>
                    </a:xfrm>
                    <a:prstGeom prst="rect">
                      <a:avLst/>
                    </a:prstGeom>
                    <a:noFill/>
                    <a:ln>
                      <a:noFill/>
                    </a:ln>
                  </pic:spPr>
                </pic:pic>
              </a:graphicData>
            </a:graphic>
          </wp:inline>
        </w:drawing>
      </w:r>
      <w:r w:rsidRPr="003E73CD">
        <w:rPr>
          <w:noProof/>
          <w:sz w:val="22"/>
          <w:szCs w:val="22"/>
        </w:rPr>
        <w:drawing>
          <wp:inline distT="0" distB="0" distL="0" distR="0" wp14:anchorId="3A8C3B8E" wp14:editId="30D58C61">
            <wp:extent cx="2509520" cy="3200400"/>
            <wp:effectExtent l="0" t="0" r="508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509520" cy="3200400"/>
                    </a:xfrm>
                    <a:prstGeom prst="rect">
                      <a:avLst/>
                    </a:prstGeom>
                    <a:noFill/>
                    <a:ln>
                      <a:noFill/>
                    </a:ln>
                  </pic:spPr>
                </pic:pic>
              </a:graphicData>
            </a:graphic>
          </wp:inline>
        </w:drawing>
      </w:r>
    </w:p>
    <w:p w14:paraId="02F84B3A" w14:textId="77777777" w:rsidR="0061482C" w:rsidRPr="003E73CD" w:rsidRDefault="0061482C" w:rsidP="0061482C">
      <w:pPr>
        <w:widowControl w:val="0"/>
        <w:autoSpaceDE w:val="0"/>
        <w:autoSpaceDN w:val="0"/>
        <w:adjustRightInd w:val="0"/>
        <w:spacing w:line="480" w:lineRule="auto"/>
        <w:rPr>
          <w:sz w:val="22"/>
          <w:szCs w:val="22"/>
        </w:rPr>
      </w:pPr>
    </w:p>
    <w:p w14:paraId="0A6A911E" w14:textId="77777777" w:rsidR="0061482C" w:rsidRPr="003E73CD" w:rsidRDefault="0061482C" w:rsidP="0061482C">
      <w:pPr>
        <w:widowControl w:val="0"/>
        <w:autoSpaceDE w:val="0"/>
        <w:autoSpaceDN w:val="0"/>
        <w:adjustRightInd w:val="0"/>
        <w:spacing w:line="480" w:lineRule="auto"/>
        <w:ind w:firstLine="720"/>
        <w:rPr>
          <w:sz w:val="22"/>
          <w:szCs w:val="22"/>
        </w:rPr>
      </w:pPr>
    </w:p>
    <w:p w14:paraId="354DE359" w14:textId="77777777" w:rsidR="0061482C" w:rsidRPr="003E73CD" w:rsidRDefault="0061482C" w:rsidP="0061482C">
      <w:pPr>
        <w:widowControl w:val="0"/>
        <w:autoSpaceDE w:val="0"/>
        <w:autoSpaceDN w:val="0"/>
        <w:adjustRightInd w:val="0"/>
        <w:spacing w:line="480" w:lineRule="auto"/>
        <w:ind w:firstLine="720"/>
        <w:rPr>
          <w:sz w:val="22"/>
          <w:szCs w:val="22"/>
        </w:rPr>
      </w:pPr>
    </w:p>
    <w:p w14:paraId="0817A7B1" w14:textId="77777777" w:rsidR="0061482C" w:rsidRPr="003E73CD" w:rsidRDefault="0061482C" w:rsidP="0061482C">
      <w:pPr>
        <w:widowControl w:val="0"/>
        <w:autoSpaceDE w:val="0"/>
        <w:autoSpaceDN w:val="0"/>
        <w:adjustRightInd w:val="0"/>
        <w:spacing w:line="480" w:lineRule="auto"/>
        <w:ind w:firstLine="720"/>
        <w:rPr>
          <w:sz w:val="22"/>
          <w:szCs w:val="22"/>
        </w:rPr>
      </w:pPr>
    </w:p>
    <w:p w14:paraId="0E88D7C8" w14:textId="77777777" w:rsidR="0061482C" w:rsidRPr="003E73CD" w:rsidRDefault="0061482C" w:rsidP="0061482C">
      <w:pPr>
        <w:widowControl w:val="0"/>
        <w:autoSpaceDE w:val="0"/>
        <w:autoSpaceDN w:val="0"/>
        <w:adjustRightInd w:val="0"/>
        <w:spacing w:line="480" w:lineRule="auto"/>
        <w:ind w:firstLine="720"/>
        <w:rPr>
          <w:sz w:val="22"/>
          <w:szCs w:val="22"/>
        </w:rPr>
      </w:pPr>
    </w:p>
    <w:p w14:paraId="28E7021A" w14:textId="77777777" w:rsidR="007E5D67" w:rsidRPr="003E73CD" w:rsidRDefault="007E5D67">
      <w:pPr>
        <w:rPr>
          <w:sz w:val="22"/>
          <w:szCs w:val="22"/>
        </w:rPr>
      </w:pPr>
      <w:r w:rsidRPr="003E73CD">
        <w:rPr>
          <w:sz w:val="22"/>
          <w:szCs w:val="22"/>
        </w:rPr>
        <w:br w:type="page"/>
      </w:r>
    </w:p>
    <w:p w14:paraId="32CABE67" w14:textId="5381F964" w:rsidR="0061482C" w:rsidRPr="003E73CD" w:rsidRDefault="0061482C" w:rsidP="0061482C">
      <w:pPr>
        <w:widowControl w:val="0"/>
        <w:autoSpaceDE w:val="0"/>
        <w:autoSpaceDN w:val="0"/>
        <w:adjustRightInd w:val="0"/>
        <w:spacing w:line="480" w:lineRule="auto"/>
        <w:ind w:firstLine="720"/>
        <w:rPr>
          <w:sz w:val="22"/>
          <w:szCs w:val="22"/>
        </w:rPr>
      </w:pPr>
      <w:r w:rsidRPr="003E73CD">
        <w:rPr>
          <w:sz w:val="22"/>
          <w:szCs w:val="22"/>
        </w:rPr>
        <w:t>The technique of lymphoscintigraphy at our institution has been described in detail previously</w:t>
      </w:r>
      <w:r w:rsidR="008E4096">
        <w:rPr>
          <w:sz w:val="22"/>
          <w:szCs w:val="22"/>
        </w:rPr>
        <w:t xml:space="preserve"> (see Section 2.1</w:t>
      </w:r>
      <w:r w:rsidR="00D434A3">
        <w:rPr>
          <w:sz w:val="22"/>
          <w:szCs w:val="22"/>
        </w:rPr>
        <w:t>)</w:t>
      </w:r>
      <w:r w:rsidRPr="003E73CD">
        <w:rPr>
          <w:sz w:val="22"/>
          <w:szCs w:val="22"/>
        </w:rPr>
        <w:t xml:space="preserve">.  Briefly, two or four intra-dermal injections of </w:t>
      </w:r>
      <w:r w:rsidRPr="003E73CD">
        <w:rPr>
          <w:sz w:val="22"/>
          <w:szCs w:val="22"/>
          <w:vertAlign w:val="superscript"/>
        </w:rPr>
        <w:t>99m</w:t>
      </w:r>
      <w:r w:rsidR="007E5D67" w:rsidRPr="003E73CD">
        <w:rPr>
          <w:sz w:val="22"/>
          <w:szCs w:val="22"/>
        </w:rPr>
        <w:t>technetium antimony sulph</w:t>
      </w:r>
      <w:r w:rsidRPr="003E73CD">
        <w:rPr>
          <w:sz w:val="22"/>
          <w:szCs w:val="22"/>
        </w:rPr>
        <w:t>ide colloid are placed immediately adjacent to the primary tumou</w:t>
      </w:r>
      <w:r w:rsidR="007E5D67" w:rsidRPr="003E73CD">
        <w:rPr>
          <w:sz w:val="22"/>
          <w:szCs w:val="22"/>
        </w:rPr>
        <w:t>r or on each side of the centre</w:t>
      </w:r>
      <w:r w:rsidRPr="003E73CD">
        <w:rPr>
          <w:sz w:val="22"/>
          <w:szCs w:val="22"/>
        </w:rPr>
        <w:t xml:space="preserve"> of the excision-biopsy site.</w:t>
      </w:r>
      <w:r w:rsidRPr="003E73CD">
        <w:rPr>
          <w:sz w:val="22"/>
          <w:szCs w:val="22"/>
        </w:rPr>
        <w:fldChar w:fldCharType="begin" w:fldLock="1"/>
      </w:r>
      <w:r w:rsidR="005676A9">
        <w:rPr>
          <w:sz w:val="22"/>
          <w:szCs w:val="22"/>
        </w:rPr>
        <w:instrText>ADDIN CSL_CITATION { "citationItems" : [ { "id" : "ITEM-1", "itemData" : { "ISSN" : "0960-8931", "PMID" : "7703720", "abstract" : "Lymphoscintigraphy (LS) has been performed for 8 years in patients of the Sydney Melanoma Unit, to define lymphatic drainage patterns. Over the past 2 years, LS has also been used to locate the sentinel lymph node prior to surgery. Our technique for LS and subsequent sentinel node biopsy has an accuracy of 97%. All sentinel nodes must be marked to ensure the successful application of the sentinel biopsy technique. We have found that the axilla and groin average just over one sentinel node per draining node group for lesions on the trunk and upper limb, but have noted that drainage to the groin differed when lower limb lesions were studied. Because of the anastomosis of lymph vessels in the upper thigh, multiple sentinel nodes are identified in the groin in some patients. We have found an average of three sentinel nodes in the groin when lymph drainage from lower limb lesions was studied with LS. This difference demands a modification of the LS technique, with early imaging of the groin nodes to identify all sentinel nodes in each patient. The depth of the sentinel nodes can also be measured and the location of all interval nodes marked on the skin. This ensures that all sentinel nodes and interval nodes can be removed at the time of surgery.", "author" : [ { "dropping-particle" : "", "family" : "Uren", "given" : "R F", "non-dropping-particle" : "", "parse-names" : false, "suffix" : "" }, { "dropping-particle" : "", "family" : "Howman-Giles", "given" : "R", "non-dropping-particle" : "", "parse-names" : false, "suffix" : "" }, { "dropping-particle" : "", "family" : "Thompson", "given" : "J F", "non-dropping-particle" : "", "parse-names" : false, "suffix" : "" }, { "dropping-particle" : "", "family" : "Shaw", "given" : "H M", "non-dropping-particle" : "", "parse-names" : false, "suffix" : "" }, { "dropping-particle" : "", "family" : "Quinn", "given" : "M J", "non-dropping-particle" : "", "parse-names" : false, "suffix" : "" }, { "dropping-particle" : "", "family" : "O'Brien", "given" : "C J", "non-dropping-particle" : "", "parse-names" : false, "suffix" : "" }, { "dropping-particle" : "", "family" : "McCarthy", "given" : "W H", "non-dropping-particle" : "", "parse-names" : false, "suffix" : "" } ], "container-title" : "Melanoma research", "id" : "ITEM-1", "issue" : "6", "issued" : { "date-parts" : [ [ "1994", "12" ] ] }, "page" : "395-9", "title" : "Lymphoscintigraphy to identify sentinel lymph nodes in patients with melanoma.", "type" : "article-journal", "volume" : "4" }, "uris" : [ "http://www.mendeley.com/documents/?uuid=66a865e9-2a07-40d3-a1e9-23f2effce343" ] } ], "mendeley" : { "formattedCitation" : "&lt;sup&gt;183&lt;/sup&gt;", "plainTextFormattedCitation" : "183", "previouslyFormattedCitation" : "&lt;sup&gt;183&lt;/sup&gt;" }, "properties" : { "noteIndex" : 0 }, "schema" : "https://github.com/citation-style-language/schema/raw/master/csl-citation.json" }</w:instrText>
      </w:r>
      <w:r w:rsidRPr="003E73CD">
        <w:rPr>
          <w:sz w:val="22"/>
          <w:szCs w:val="22"/>
        </w:rPr>
        <w:fldChar w:fldCharType="separate"/>
      </w:r>
      <w:r w:rsidR="00217FAC" w:rsidRPr="00217FAC">
        <w:rPr>
          <w:noProof/>
          <w:sz w:val="22"/>
          <w:szCs w:val="22"/>
          <w:vertAlign w:val="superscript"/>
        </w:rPr>
        <w:t>183</w:t>
      </w:r>
      <w:r w:rsidRPr="003E73CD">
        <w:rPr>
          <w:sz w:val="22"/>
          <w:szCs w:val="22"/>
        </w:rPr>
        <w:fldChar w:fldCharType="end"/>
      </w:r>
      <w:proofErr w:type="gramStart"/>
      <w:r w:rsidRPr="003E73CD">
        <w:rPr>
          <w:sz w:val="22"/>
          <w:szCs w:val="22"/>
        </w:rPr>
        <w:t xml:space="preserve">  The</w:t>
      </w:r>
      <w:proofErr w:type="gramEnd"/>
      <w:r w:rsidRPr="003E73CD">
        <w:rPr>
          <w:sz w:val="22"/>
          <w:szCs w:val="22"/>
        </w:rPr>
        <w:t xml:space="preserve"> volume of each injection is 0.05 to 0.1ml and contains 5 to 20 MBq of tracer depending on when surgery is planned.  A super-high resolution collimator is used, with dynamic imaging performed immediately following injection of tracer in order to identify and follow the lymphatic collecting vessels, thus allowing accurate identification of SLNs.  Delayed scans are performed at 1 to 2 hours, with imaging of all regions that could possibly contain SLNs.</w:t>
      </w:r>
    </w:p>
    <w:p w14:paraId="26F75417" w14:textId="6D864B58" w:rsidR="0061482C" w:rsidRPr="003E73CD" w:rsidRDefault="0061482C" w:rsidP="0061482C">
      <w:pPr>
        <w:widowControl w:val="0"/>
        <w:autoSpaceDE w:val="0"/>
        <w:autoSpaceDN w:val="0"/>
        <w:adjustRightInd w:val="0"/>
        <w:spacing w:line="480" w:lineRule="auto"/>
        <w:ind w:firstLine="720"/>
        <w:rPr>
          <w:sz w:val="22"/>
          <w:szCs w:val="22"/>
        </w:rPr>
      </w:pPr>
      <w:r w:rsidRPr="003E73CD">
        <w:rPr>
          <w:sz w:val="22"/>
          <w:szCs w:val="22"/>
        </w:rPr>
        <w:t>A SLN was defined as “any lymph node that received drainage directly from the primary tumour site”.</w:t>
      </w:r>
      <w:r w:rsidRPr="003E73CD">
        <w:rPr>
          <w:sz w:val="22"/>
          <w:szCs w:val="22"/>
        </w:rPr>
        <w:fldChar w:fldCharType="begin" w:fldLock="1"/>
      </w:r>
      <w:r w:rsidR="005676A9">
        <w:rPr>
          <w:sz w:val="22"/>
          <w:szCs w:val="22"/>
        </w:rPr>
        <w:instrText>ADDIN CSL_CITATION { "citationItems" : [ { "id" : "ITEM-1", "itemData" : { "ISSN" : "0960-8931", "PMID" : "7703720", "abstract" : "Lymphoscintigraphy (LS) has been performed for 8 years in patients of the Sydney Melanoma Unit, to define lymphatic drainage patterns. Over the past 2 years, LS has also been used to locate the sentinel lymph node prior to surgery. Our technique for LS and subsequent sentinel node biopsy has an accuracy of 97%. All sentinel nodes must be marked to ensure the successful application of the sentinel biopsy technique. We have found that the axilla and groin average just over one sentinel node per draining node group for lesions on the trunk and upper limb, but have noted that drainage to the groin differed when lower limb lesions were studied. Because of the anastomosis of lymph vessels in the upper thigh, multiple sentinel nodes are identified in the groin in some patients. We have found an average of three sentinel nodes in the groin when lymph drainage from lower limb lesions was studied with LS. This difference demands a modification of the LS technique, with early imaging of the groin nodes to identify all sentinel nodes in each patient. The depth of the sentinel nodes can also be measured and the location of all interval nodes marked on the skin. This ensures that all sentinel nodes and interval nodes can be removed at the time of surgery.", "author" : [ { "dropping-particle" : "", "family" : "Uren", "given" : "R F", "non-dropping-particle" : "", "parse-names" : false, "suffix" : "" }, { "dropping-particle" : "", "family" : "Howman-Giles", "given" : "R", "non-dropping-particle" : "", "parse-names" : false, "suffix" : "" }, { "dropping-particle" : "", "family" : "Thompson", "given" : "J F", "non-dropping-particle" : "", "parse-names" : false, "suffix" : "" }, { "dropping-particle" : "", "family" : "Shaw", "given" : "H M", "non-dropping-particle" : "", "parse-names" : false, "suffix" : "" }, { "dropping-particle" : "", "family" : "Quinn", "given" : "M J", "non-dropping-particle" : "", "parse-names" : false, "suffix" : "" }, { "dropping-particle" : "", "family" : "O'Brien", "given" : "C J", "non-dropping-particle" : "", "parse-names" : false, "suffix" : "" }, { "dropping-particle" : "", "family" : "McCarthy", "given" : "W H", "non-dropping-particle" : "", "parse-names" : false, "suffix" : "" } ], "container-title" : "Melanoma research", "id" : "ITEM-1", "issue" : "6", "issued" : { "date-parts" : [ [ "1994", "12" ] ] }, "page" : "395-9", "title" : "Lymphoscintigraphy to identify sentinel lymph nodes in patients with melanoma.", "type" : "article-journal", "volume" : "4" }, "uris" : [ "http://www.mendeley.com/documents/?uuid=66a865e9-2a07-40d3-a1e9-23f2effce343" ] }, { "id" : "ITEM-2", "itemData" : { "DOI" : "10.1053/ejso.1999.0752", "ISSN" : "0748-7983", "PMID" : "10744926", "author" : [ { "dropping-particle" : "", "family" : "Thompson", "given" : "J F", "non-dropping-particle" : "", "parse-names" : false, "suffix" : "" }, { "dropping-particle" : "", "family" : "Uren", "given" : "R F", "non-dropping-particle" : "", "parse-names" : false, "suffix" : "" } ], "container-title" : "European journal of surgical oncology : the journal of the European Society of Surgical Oncology and the British Association of Surgical Oncology", "id" : "ITEM-2", "issue" : "2", "issued" : { "date-parts" : [ [ "2000", "3" ] ] }, "page" : "103-4", "title" : "What is a 'sentinel' lymph node?", "type" : "article-journal", "volume" : "26" }, "uris" : [ "http://www.mendeley.com/documents/?uuid=88b1c784-d435-4100-8396-4ae0a2dd98c4" ] } ], "mendeley" : { "formattedCitation" : "&lt;sup&gt;183,212&lt;/sup&gt;", "plainTextFormattedCitation" : "183,212", "previouslyFormattedCitation" : "&lt;sup&gt;183,212&lt;/sup&gt;" }, "properties" : { "noteIndex" : 0 }, "schema" : "https://github.com/citation-style-language/schema/raw/master/csl-citation.json" }</w:instrText>
      </w:r>
      <w:r w:rsidRPr="003E73CD">
        <w:rPr>
          <w:sz w:val="22"/>
          <w:szCs w:val="22"/>
        </w:rPr>
        <w:fldChar w:fldCharType="separate"/>
      </w:r>
      <w:r w:rsidR="00217FAC" w:rsidRPr="00217FAC">
        <w:rPr>
          <w:noProof/>
          <w:sz w:val="22"/>
          <w:szCs w:val="22"/>
          <w:vertAlign w:val="superscript"/>
        </w:rPr>
        <w:t>183,212</w:t>
      </w:r>
      <w:r w:rsidRPr="003E73CD">
        <w:rPr>
          <w:sz w:val="22"/>
          <w:szCs w:val="22"/>
        </w:rPr>
        <w:fldChar w:fldCharType="end"/>
      </w:r>
      <w:proofErr w:type="gramStart"/>
      <w:r w:rsidRPr="003E73CD">
        <w:rPr>
          <w:sz w:val="22"/>
          <w:szCs w:val="22"/>
        </w:rPr>
        <w:t xml:space="preserve">  The</w:t>
      </w:r>
      <w:proofErr w:type="gramEnd"/>
      <w:r w:rsidRPr="003E73CD">
        <w:rPr>
          <w:sz w:val="22"/>
          <w:szCs w:val="22"/>
        </w:rPr>
        <w:t xml:space="preserve"> location of each SLN detected by lymphoscintigraphy was recorded and classified as levels I-V, pre-auricular (equivalent to parotid) and other sites (occipital, post-auricular and interval) that are not included as part of standard neck dissections.</w:t>
      </w:r>
    </w:p>
    <w:p w14:paraId="7961D04E" w14:textId="77777777" w:rsidR="0061482C" w:rsidRPr="003E73CD" w:rsidRDefault="0061482C" w:rsidP="0061482C">
      <w:pPr>
        <w:widowControl w:val="0"/>
        <w:autoSpaceDE w:val="0"/>
        <w:autoSpaceDN w:val="0"/>
        <w:adjustRightInd w:val="0"/>
        <w:spacing w:line="480" w:lineRule="auto"/>
        <w:ind w:firstLine="720"/>
        <w:rPr>
          <w:sz w:val="22"/>
          <w:szCs w:val="22"/>
        </w:rPr>
      </w:pPr>
      <w:r w:rsidRPr="003E73CD">
        <w:rPr>
          <w:sz w:val="22"/>
          <w:szCs w:val="22"/>
        </w:rPr>
        <w:t xml:space="preserve">Patients were eligible for inclusion in the study if they had undergone lymphoscintigraphy at the SMU for a primary cutaneous tumour located within the area defined as the forehead between March 1994 and July 2006.  </w:t>
      </w:r>
      <w:proofErr w:type="gramStart"/>
      <w:r w:rsidRPr="003E73CD">
        <w:rPr>
          <w:sz w:val="22"/>
          <w:szCs w:val="22"/>
        </w:rPr>
        <w:t>The variability of drainage from each zone of the forehead was assessed by comparing the number of SLNs, number of SLN sites, frequency of drainage to each site, frequency of contralateral drainage</w:t>
      </w:r>
      <w:proofErr w:type="gramEnd"/>
      <w:r w:rsidRPr="003E73CD">
        <w:rPr>
          <w:sz w:val="22"/>
          <w:szCs w:val="22"/>
        </w:rPr>
        <w:t>, and number of different drainage patterns identified for each zone.  For continuous variables, mean and standard deviations were calculated.  For categorical variables, frequencies and percentages were determined.  Statistical comparisons, using SPSS for Windows version 16.0, were made by one-way analysis of variance (ANOVA) with the Levene test for homogeneity of variance and the Bonferroni test to determine whether the means of the groups differed significantly.  In all cases a p value &lt;0.05 was regarded as statistically significant.</w:t>
      </w:r>
    </w:p>
    <w:p w14:paraId="38812FA5" w14:textId="77777777" w:rsidR="0061482C" w:rsidRPr="003E73CD" w:rsidRDefault="0061482C" w:rsidP="0061482C">
      <w:pPr>
        <w:widowControl w:val="0"/>
        <w:autoSpaceDE w:val="0"/>
        <w:autoSpaceDN w:val="0"/>
        <w:adjustRightInd w:val="0"/>
        <w:spacing w:line="480" w:lineRule="auto"/>
        <w:rPr>
          <w:sz w:val="22"/>
          <w:szCs w:val="22"/>
        </w:rPr>
      </w:pPr>
    </w:p>
    <w:p w14:paraId="4F0D8D01" w14:textId="77777777" w:rsidR="0061482C" w:rsidRPr="003E73CD" w:rsidRDefault="0061482C" w:rsidP="0061482C">
      <w:pPr>
        <w:widowControl w:val="0"/>
        <w:autoSpaceDE w:val="0"/>
        <w:autoSpaceDN w:val="0"/>
        <w:adjustRightInd w:val="0"/>
        <w:spacing w:line="480" w:lineRule="auto"/>
        <w:rPr>
          <w:b/>
          <w:bCs/>
          <w:sz w:val="22"/>
          <w:szCs w:val="22"/>
        </w:rPr>
      </w:pPr>
      <w:r w:rsidRPr="003E73CD">
        <w:rPr>
          <w:b/>
          <w:bCs/>
          <w:sz w:val="22"/>
          <w:szCs w:val="22"/>
        </w:rPr>
        <w:t>Results</w:t>
      </w:r>
    </w:p>
    <w:p w14:paraId="55E744D1" w14:textId="0271FE8F" w:rsidR="0061482C" w:rsidRPr="003E73CD" w:rsidRDefault="0061482C" w:rsidP="0061482C">
      <w:pPr>
        <w:widowControl w:val="0"/>
        <w:autoSpaceDE w:val="0"/>
        <w:autoSpaceDN w:val="0"/>
        <w:adjustRightInd w:val="0"/>
        <w:spacing w:line="480" w:lineRule="auto"/>
        <w:ind w:firstLine="720"/>
        <w:rPr>
          <w:sz w:val="22"/>
          <w:szCs w:val="22"/>
        </w:rPr>
      </w:pPr>
      <w:r w:rsidRPr="003E73CD">
        <w:rPr>
          <w:sz w:val="22"/>
          <w:szCs w:val="22"/>
        </w:rPr>
        <w:t xml:space="preserve">In the selected study period, 152 patients underwent lymphoscintigraphy for primary cutaneous tumours located on the forehead.  There were 122 males and 30 females with a median age of 67 (range 15 - 91) years.  Full details regarding the nature of the primary cutaneous tumour were available for 144 cases, of which 134 (93%) were melanomas, and 10 (7%) were Merkel cell carcinomas. The distribution of primary tumour sites and the pattern of lymphatic drainage from the entire forehead are shown in Figure </w:t>
      </w:r>
      <w:r w:rsidR="0048668C">
        <w:rPr>
          <w:sz w:val="22"/>
          <w:szCs w:val="22"/>
        </w:rPr>
        <w:t>2.2</w:t>
      </w:r>
      <w:r w:rsidR="0045660C" w:rsidRPr="003E73CD">
        <w:rPr>
          <w:sz w:val="22"/>
          <w:szCs w:val="22"/>
        </w:rPr>
        <w:t>.</w:t>
      </w:r>
      <w:r w:rsidRPr="003E73CD">
        <w:rPr>
          <w:sz w:val="22"/>
          <w:szCs w:val="22"/>
        </w:rPr>
        <w:t xml:space="preserve">2.  Sixty-two tumours were situated on the anterior temple, 68 supra-orbitally and 22 in the central glabellar zone.  Lymphoscintigraphy identified 441 SLNs in these 152 patients.  SLNs were found at up to five different sites in some patients, with most patients having SLNs at 2 sites (mean +/- standard deviation (SD): 2.1+/-0.96, median: 2).  The number of SLNs per patient varied from 1 to 8 (mean +/-SD: 2.90+/-1.30, median: 3). </w:t>
      </w:r>
    </w:p>
    <w:p w14:paraId="2447DD85" w14:textId="77777777" w:rsidR="0061482C" w:rsidRPr="003E73CD" w:rsidRDefault="0061482C" w:rsidP="0061482C">
      <w:pPr>
        <w:widowControl w:val="0"/>
        <w:autoSpaceDE w:val="0"/>
        <w:autoSpaceDN w:val="0"/>
        <w:adjustRightInd w:val="0"/>
        <w:spacing w:line="480" w:lineRule="auto"/>
        <w:rPr>
          <w:sz w:val="22"/>
          <w:szCs w:val="22"/>
        </w:rPr>
      </w:pPr>
    </w:p>
    <w:p w14:paraId="7409F7C0" w14:textId="77777777" w:rsidR="0061482C" w:rsidRPr="003E73CD" w:rsidRDefault="0061482C" w:rsidP="0061482C">
      <w:pPr>
        <w:widowControl w:val="0"/>
        <w:autoSpaceDE w:val="0"/>
        <w:autoSpaceDN w:val="0"/>
        <w:adjustRightInd w:val="0"/>
        <w:spacing w:line="480" w:lineRule="auto"/>
        <w:rPr>
          <w:sz w:val="22"/>
          <w:szCs w:val="22"/>
        </w:rPr>
      </w:pPr>
    </w:p>
    <w:p w14:paraId="3D72890C" w14:textId="77777777" w:rsidR="0061482C" w:rsidRPr="003E73CD" w:rsidRDefault="0061482C" w:rsidP="0061482C">
      <w:pPr>
        <w:widowControl w:val="0"/>
        <w:autoSpaceDE w:val="0"/>
        <w:autoSpaceDN w:val="0"/>
        <w:adjustRightInd w:val="0"/>
        <w:spacing w:line="480" w:lineRule="auto"/>
        <w:rPr>
          <w:sz w:val="22"/>
          <w:szCs w:val="22"/>
        </w:rPr>
      </w:pPr>
    </w:p>
    <w:p w14:paraId="6E00546B" w14:textId="77777777" w:rsidR="0061482C" w:rsidRPr="003E73CD" w:rsidRDefault="0061482C" w:rsidP="0061482C">
      <w:pPr>
        <w:widowControl w:val="0"/>
        <w:autoSpaceDE w:val="0"/>
        <w:autoSpaceDN w:val="0"/>
        <w:adjustRightInd w:val="0"/>
        <w:spacing w:line="480" w:lineRule="auto"/>
        <w:rPr>
          <w:sz w:val="22"/>
          <w:szCs w:val="22"/>
        </w:rPr>
      </w:pPr>
    </w:p>
    <w:p w14:paraId="1DB37C84" w14:textId="1EDCA1DA" w:rsidR="0061482C" w:rsidRPr="003E73CD" w:rsidRDefault="0061482C" w:rsidP="0061482C">
      <w:pPr>
        <w:widowControl w:val="0"/>
        <w:autoSpaceDE w:val="0"/>
        <w:autoSpaceDN w:val="0"/>
        <w:adjustRightInd w:val="0"/>
        <w:spacing w:line="480" w:lineRule="auto"/>
        <w:rPr>
          <w:sz w:val="22"/>
          <w:szCs w:val="22"/>
        </w:rPr>
      </w:pPr>
      <w:r w:rsidRPr="003E73CD">
        <w:rPr>
          <w:sz w:val="22"/>
          <w:szCs w:val="22"/>
        </w:rPr>
        <w:br w:type="page"/>
        <w:t xml:space="preserve">Figure </w:t>
      </w:r>
      <w:r w:rsidR="0048668C">
        <w:rPr>
          <w:sz w:val="22"/>
          <w:szCs w:val="22"/>
        </w:rPr>
        <w:t>2.2</w:t>
      </w:r>
      <w:r w:rsidR="0045660C" w:rsidRPr="003E73CD">
        <w:rPr>
          <w:sz w:val="22"/>
          <w:szCs w:val="22"/>
        </w:rPr>
        <w:t>.</w:t>
      </w:r>
      <w:r w:rsidRPr="003E73CD">
        <w:rPr>
          <w:sz w:val="22"/>
          <w:szCs w:val="22"/>
        </w:rPr>
        <w:t xml:space="preserve">2.  The pattern of lymphoscintigraphically demonstrated lymphatic drainage from the forehead.  </w:t>
      </w:r>
    </w:p>
    <w:p w14:paraId="09BCA04F" w14:textId="77777777" w:rsidR="0061482C" w:rsidRPr="003E73CD" w:rsidRDefault="0061482C" w:rsidP="0061482C">
      <w:pPr>
        <w:widowControl w:val="0"/>
        <w:autoSpaceDE w:val="0"/>
        <w:autoSpaceDN w:val="0"/>
        <w:adjustRightInd w:val="0"/>
        <w:spacing w:line="480" w:lineRule="auto"/>
        <w:rPr>
          <w:sz w:val="22"/>
          <w:szCs w:val="22"/>
        </w:rPr>
      </w:pPr>
      <w:r w:rsidRPr="003E73CD">
        <w:rPr>
          <w:noProof/>
          <w:sz w:val="22"/>
          <w:szCs w:val="22"/>
        </w:rPr>
        <w:drawing>
          <wp:inline distT="0" distB="0" distL="0" distR="0" wp14:anchorId="0B773E42" wp14:editId="771B42DB">
            <wp:extent cx="5485626" cy="5792893"/>
            <wp:effectExtent l="0" t="0" r="127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85626" cy="5792893"/>
                    </a:xfrm>
                    <a:prstGeom prst="rect">
                      <a:avLst/>
                    </a:prstGeom>
                    <a:noFill/>
                    <a:ln>
                      <a:noFill/>
                    </a:ln>
                  </pic:spPr>
                </pic:pic>
              </a:graphicData>
            </a:graphic>
          </wp:inline>
        </w:drawing>
      </w:r>
    </w:p>
    <w:p w14:paraId="245EADB3" w14:textId="77777777" w:rsidR="0061482C" w:rsidRPr="003E73CD" w:rsidRDefault="0061482C" w:rsidP="0061482C">
      <w:pPr>
        <w:widowControl w:val="0"/>
        <w:autoSpaceDE w:val="0"/>
        <w:autoSpaceDN w:val="0"/>
        <w:adjustRightInd w:val="0"/>
        <w:spacing w:line="480" w:lineRule="auto"/>
        <w:rPr>
          <w:sz w:val="22"/>
          <w:szCs w:val="22"/>
        </w:rPr>
      </w:pPr>
    </w:p>
    <w:p w14:paraId="5F3A6BF1" w14:textId="77777777" w:rsidR="0061482C" w:rsidRPr="003E73CD" w:rsidRDefault="0061482C" w:rsidP="0061482C">
      <w:pPr>
        <w:widowControl w:val="0"/>
        <w:autoSpaceDE w:val="0"/>
        <w:autoSpaceDN w:val="0"/>
        <w:adjustRightInd w:val="0"/>
        <w:spacing w:line="480" w:lineRule="auto"/>
        <w:rPr>
          <w:sz w:val="22"/>
          <w:szCs w:val="22"/>
        </w:rPr>
      </w:pPr>
    </w:p>
    <w:p w14:paraId="5F4BD411" w14:textId="77777777" w:rsidR="0061482C" w:rsidRPr="003E73CD" w:rsidRDefault="0061482C" w:rsidP="0061482C">
      <w:pPr>
        <w:widowControl w:val="0"/>
        <w:autoSpaceDE w:val="0"/>
        <w:autoSpaceDN w:val="0"/>
        <w:adjustRightInd w:val="0"/>
        <w:spacing w:line="480" w:lineRule="auto"/>
        <w:rPr>
          <w:sz w:val="22"/>
          <w:szCs w:val="22"/>
        </w:rPr>
      </w:pPr>
    </w:p>
    <w:p w14:paraId="7B137001" w14:textId="77777777" w:rsidR="0061482C" w:rsidRPr="003E73CD" w:rsidRDefault="0061482C" w:rsidP="0061482C">
      <w:pPr>
        <w:widowControl w:val="0"/>
        <w:autoSpaceDE w:val="0"/>
        <w:autoSpaceDN w:val="0"/>
        <w:adjustRightInd w:val="0"/>
        <w:spacing w:line="480" w:lineRule="auto"/>
        <w:rPr>
          <w:sz w:val="22"/>
          <w:szCs w:val="22"/>
        </w:rPr>
      </w:pPr>
    </w:p>
    <w:p w14:paraId="33BCE2C8" w14:textId="77777777" w:rsidR="0061482C" w:rsidRPr="003E73CD" w:rsidRDefault="0061482C" w:rsidP="0061482C">
      <w:pPr>
        <w:widowControl w:val="0"/>
        <w:autoSpaceDE w:val="0"/>
        <w:autoSpaceDN w:val="0"/>
        <w:adjustRightInd w:val="0"/>
        <w:spacing w:line="480" w:lineRule="auto"/>
        <w:rPr>
          <w:sz w:val="22"/>
          <w:szCs w:val="22"/>
        </w:rPr>
      </w:pPr>
    </w:p>
    <w:p w14:paraId="3BBA189E" w14:textId="77777777" w:rsidR="00D73C1D" w:rsidRPr="003E73CD" w:rsidRDefault="00D73C1D">
      <w:pPr>
        <w:rPr>
          <w:sz w:val="22"/>
          <w:szCs w:val="22"/>
        </w:rPr>
      </w:pPr>
      <w:r w:rsidRPr="003E73CD">
        <w:rPr>
          <w:sz w:val="22"/>
          <w:szCs w:val="22"/>
        </w:rPr>
        <w:br w:type="page"/>
      </w:r>
    </w:p>
    <w:p w14:paraId="7054D56A" w14:textId="2258205C" w:rsidR="0061482C" w:rsidRPr="003E73CD" w:rsidRDefault="0061482C" w:rsidP="0061482C">
      <w:pPr>
        <w:widowControl w:val="0"/>
        <w:autoSpaceDE w:val="0"/>
        <w:autoSpaceDN w:val="0"/>
        <w:adjustRightInd w:val="0"/>
        <w:spacing w:line="480" w:lineRule="auto"/>
        <w:ind w:firstLine="720"/>
        <w:rPr>
          <w:sz w:val="22"/>
          <w:szCs w:val="22"/>
        </w:rPr>
      </w:pPr>
      <w:r w:rsidRPr="003E73CD">
        <w:rPr>
          <w:sz w:val="22"/>
          <w:szCs w:val="22"/>
        </w:rPr>
        <w:t xml:space="preserve">The majority of primary tumour sites (84.9%) drained only to SLNs on the same side of the body.  Bilateral drainage was seen in 14.5% of cases and in a single patient lymphatic drainage occurred solely to a SLN on the opposite side of the body (Figure </w:t>
      </w:r>
      <w:r w:rsidR="0048668C">
        <w:rPr>
          <w:sz w:val="22"/>
          <w:szCs w:val="22"/>
        </w:rPr>
        <w:t>1.3</w:t>
      </w:r>
      <w:r w:rsidR="0045660C" w:rsidRPr="003E73CD">
        <w:rPr>
          <w:sz w:val="22"/>
          <w:szCs w:val="22"/>
        </w:rPr>
        <w:t>.</w:t>
      </w:r>
      <w:r w:rsidR="00D434A3">
        <w:rPr>
          <w:sz w:val="22"/>
          <w:szCs w:val="22"/>
        </w:rPr>
        <w:t>5</w:t>
      </w:r>
      <w:r w:rsidRPr="003E73CD">
        <w:rPr>
          <w:sz w:val="22"/>
          <w:szCs w:val="22"/>
        </w:rPr>
        <w:t>).  In this case the lymphatic channel was clearly seen passing down the ipsilateral neck before crossing the midline at the level of the hyoid bone and entering a SLN in the contralateral neck.  This anomalous drainage pattern was explained by a previous neck dissection on the side of the tumour.</w:t>
      </w:r>
    </w:p>
    <w:p w14:paraId="51CB2591" w14:textId="51633409" w:rsidR="0061482C" w:rsidRPr="003E73CD" w:rsidRDefault="0061482C" w:rsidP="00D434A3">
      <w:pPr>
        <w:widowControl w:val="0"/>
        <w:autoSpaceDE w:val="0"/>
        <w:autoSpaceDN w:val="0"/>
        <w:adjustRightInd w:val="0"/>
        <w:spacing w:line="480" w:lineRule="auto"/>
        <w:ind w:firstLine="720"/>
        <w:rPr>
          <w:sz w:val="22"/>
          <w:szCs w:val="22"/>
        </w:rPr>
      </w:pPr>
      <w:r w:rsidRPr="003E73CD">
        <w:rPr>
          <w:sz w:val="22"/>
          <w:szCs w:val="22"/>
        </w:rPr>
        <w:t xml:space="preserve">The locations of the 22 tumour sites that exhibited bilateral lymphatic drainage are shown in Figure </w:t>
      </w:r>
      <w:r w:rsidR="0048668C">
        <w:rPr>
          <w:sz w:val="22"/>
          <w:szCs w:val="22"/>
        </w:rPr>
        <w:t>2.2</w:t>
      </w:r>
      <w:r w:rsidR="0045660C" w:rsidRPr="003E73CD">
        <w:rPr>
          <w:sz w:val="22"/>
          <w:szCs w:val="22"/>
        </w:rPr>
        <w:t>.</w:t>
      </w:r>
      <w:r w:rsidR="00806C9E">
        <w:rPr>
          <w:sz w:val="22"/>
          <w:szCs w:val="22"/>
        </w:rPr>
        <w:t>3</w:t>
      </w:r>
      <w:r w:rsidRPr="003E73CD">
        <w:rPr>
          <w:sz w:val="22"/>
          <w:szCs w:val="22"/>
        </w:rPr>
        <w:t xml:space="preserve">.  Eighteen were located in the glabellar zone, </w:t>
      </w:r>
      <w:proofErr w:type="gramStart"/>
      <w:r w:rsidRPr="003E73CD">
        <w:rPr>
          <w:sz w:val="22"/>
          <w:szCs w:val="22"/>
        </w:rPr>
        <w:t>4 supra-orbitally</w:t>
      </w:r>
      <w:proofErr w:type="gramEnd"/>
      <w:r w:rsidRPr="003E73CD">
        <w:rPr>
          <w:sz w:val="22"/>
          <w:szCs w:val="22"/>
        </w:rPr>
        <w:t xml:space="preserve"> and none in the anteri</w:t>
      </w:r>
      <w:r w:rsidR="0045660C" w:rsidRPr="003E73CD">
        <w:rPr>
          <w:sz w:val="22"/>
          <w:szCs w:val="22"/>
        </w:rPr>
        <w:t>or temple zones</w:t>
      </w:r>
      <w:r w:rsidR="0048668C">
        <w:rPr>
          <w:sz w:val="22"/>
          <w:szCs w:val="22"/>
        </w:rPr>
        <w:t>.  From Figure 2.2</w:t>
      </w:r>
      <w:r w:rsidR="0045660C" w:rsidRPr="003E73CD">
        <w:rPr>
          <w:sz w:val="22"/>
          <w:szCs w:val="22"/>
        </w:rPr>
        <w:t>.2</w:t>
      </w:r>
      <w:r w:rsidRPr="003E73CD">
        <w:rPr>
          <w:sz w:val="22"/>
          <w:szCs w:val="22"/>
        </w:rPr>
        <w:t xml:space="preserve"> it is clear that the majority of SLNs (70.7%) were found at two sites: in the ipsilateral pre-auricular region (44.4%) and in ipsilateral level II cervical nodes (26.4%): 96.1% of patients had at least one SLN at one of these sites.  It should also be noted that 25% of patients had drainage to SLNs outside the standard fields included in neck dissections, and such SLNs accounted for 10.4% of all SLNs.  The commonest non-standard sites were post-auricular (24 patients) and interval (21 patients), with only one patient having drainage to an occipital node.  </w:t>
      </w:r>
    </w:p>
    <w:p w14:paraId="796D07D6" w14:textId="77777777" w:rsidR="0061482C" w:rsidRPr="003E73CD" w:rsidRDefault="0061482C" w:rsidP="0061482C">
      <w:pPr>
        <w:widowControl w:val="0"/>
        <w:autoSpaceDE w:val="0"/>
        <w:autoSpaceDN w:val="0"/>
        <w:adjustRightInd w:val="0"/>
        <w:spacing w:line="480" w:lineRule="auto"/>
        <w:rPr>
          <w:sz w:val="22"/>
          <w:szCs w:val="22"/>
        </w:rPr>
      </w:pPr>
    </w:p>
    <w:p w14:paraId="66D2869D" w14:textId="77777777" w:rsidR="0061482C" w:rsidRPr="003E73CD" w:rsidRDefault="0061482C" w:rsidP="0061482C">
      <w:pPr>
        <w:widowControl w:val="0"/>
        <w:autoSpaceDE w:val="0"/>
        <w:autoSpaceDN w:val="0"/>
        <w:adjustRightInd w:val="0"/>
        <w:spacing w:line="480" w:lineRule="auto"/>
        <w:rPr>
          <w:sz w:val="22"/>
          <w:szCs w:val="22"/>
        </w:rPr>
      </w:pPr>
    </w:p>
    <w:p w14:paraId="35832833" w14:textId="77777777" w:rsidR="0061482C" w:rsidRPr="003E73CD" w:rsidRDefault="0061482C" w:rsidP="0061482C">
      <w:pPr>
        <w:widowControl w:val="0"/>
        <w:autoSpaceDE w:val="0"/>
        <w:autoSpaceDN w:val="0"/>
        <w:adjustRightInd w:val="0"/>
        <w:spacing w:line="480" w:lineRule="auto"/>
        <w:rPr>
          <w:sz w:val="22"/>
          <w:szCs w:val="22"/>
        </w:rPr>
      </w:pPr>
    </w:p>
    <w:p w14:paraId="19F9D5CB" w14:textId="77777777" w:rsidR="0061482C" w:rsidRPr="003E73CD" w:rsidRDefault="0061482C" w:rsidP="0061482C">
      <w:pPr>
        <w:widowControl w:val="0"/>
        <w:autoSpaceDE w:val="0"/>
        <w:autoSpaceDN w:val="0"/>
        <w:adjustRightInd w:val="0"/>
        <w:spacing w:line="480" w:lineRule="auto"/>
        <w:rPr>
          <w:sz w:val="22"/>
          <w:szCs w:val="22"/>
        </w:rPr>
      </w:pPr>
    </w:p>
    <w:p w14:paraId="208B86F8" w14:textId="77777777" w:rsidR="0061482C" w:rsidRPr="003E73CD" w:rsidRDefault="0061482C" w:rsidP="0061482C">
      <w:pPr>
        <w:widowControl w:val="0"/>
        <w:autoSpaceDE w:val="0"/>
        <w:autoSpaceDN w:val="0"/>
        <w:adjustRightInd w:val="0"/>
        <w:spacing w:line="480" w:lineRule="auto"/>
        <w:rPr>
          <w:sz w:val="22"/>
          <w:szCs w:val="22"/>
        </w:rPr>
      </w:pPr>
    </w:p>
    <w:p w14:paraId="23C590BE" w14:textId="77777777" w:rsidR="0061482C" w:rsidRPr="003E73CD" w:rsidRDefault="0061482C" w:rsidP="0061482C">
      <w:pPr>
        <w:widowControl w:val="0"/>
        <w:autoSpaceDE w:val="0"/>
        <w:autoSpaceDN w:val="0"/>
        <w:adjustRightInd w:val="0"/>
        <w:spacing w:line="480" w:lineRule="auto"/>
        <w:rPr>
          <w:sz w:val="22"/>
          <w:szCs w:val="22"/>
        </w:rPr>
      </w:pPr>
    </w:p>
    <w:p w14:paraId="6D4E88C9" w14:textId="77777777" w:rsidR="0061482C" w:rsidRPr="003E73CD" w:rsidRDefault="0061482C" w:rsidP="0061482C">
      <w:pPr>
        <w:widowControl w:val="0"/>
        <w:autoSpaceDE w:val="0"/>
        <w:autoSpaceDN w:val="0"/>
        <w:adjustRightInd w:val="0"/>
        <w:spacing w:line="480" w:lineRule="auto"/>
        <w:rPr>
          <w:sz w:val="22"/>
          <w:szCs w:val="22"/>
        </w:rPr>
      </w:pPr>
    </w:p>
    <w:p w14:paraId="78E276F6" w14:textId="77777777" w:rsidR="0061482C" w:rsidRPr="003E73CD" w:rsidRDefault="0061482C" w:rsidP="0061482C">
      <w:pPr>
        <w:widowControl w:val="0"/>
        <w:autoSpaceDE w:val="0"/>
        <w:autoSpaceDN w:val="0"/>
        <w:adjustRightInd w:val="0"/>
        <w:spacing w:line="480" w:lineRule="auto"/>
        <w:rPr>
          <w:sz w:val="22"/>
          <w:szCs w:val="22"/>
        </w:rPr>
      </w:pPr>
    </w:p>
    <w:p w14:paraId="12C9E964" w14:textId="77777777" w:rsidR="00D73C1D" w:rsidRPr="003E73CD" w:rsidRDefault="00D73C1D">
      <w:pPr>
        <w:rPr>
          <w:sz w:val="22"/>
          <w:szCs w:val="22"/>
        </w:rPr>
      </w:pPr>
      <w:r w:rsidRPr="003E73CD">
        <w:rPr>
          <w:sz w:val="22"/>
          <w:szCs w:val="22"/>
        </w:rPr>
        <w:br w:type="page"/>
      </w:r>
    </w:p>
    <w:p w14:paraId="27D51E75" w14:textId="7E3B1A80" w:rsidR="0061482C" w:rsidRPr="003E73CD" w:rsidRDefault="0061482C" w:rsidP="0061482C">
      <w:pPr>
        <w:widowControl w:val="0"/>
        <w:autoSpaceDE w:val="0"/>
        <w:autoSpaceDN w:val="0"/>
        <w:adjustRightInd w:val="0"/>
        <w:spacing w:line="480" w:lineRule="auto"/>
        <w:rPr>
          <w:sz w:val="22"/>
          <w:szCs w:val="22"/>
        </w:rPr>
      </w:pPr>
      <w:r w:rsidRPr="003E73CD">
        <w:rPr>
          <w:sz w:val="22"/>
          <w:szCs w:val="22"/>
        </w:rPr>
        <w:t xml:space="preserve">Figure </w:t>
      </w:r>
      <w:r w:rsidR="0048668C">
        <w:rPr>
          <w:sz w:val="22"/>
          <w:szCs w:val="22"/>
        </w:rPr>
        <w:t>2.2</w:t>
      </w:r>
      <w:r w:rsidR="0045660C" w:rsidRPr="003E73CD">
        <w:rPr>
          <w:sz w:val="22"/>
          <w:szCs w:val="22"/>
        </w:rPr>
        <w:t>.</w:t>
      </w:r>
      <w:r w:rsidR="00806C9E">
        <w:rPr>
          <w:sz w:val="22"/>
          <w:szCs w:val="22"/>
        </w:rPr>
        <w:t>3</w:t>
      </w:r>
      <w:r w:rsidRPr="003E73CD">
        <w:rPr>
          <w:sz w:val="22"/>
          <w:szCs w:val="22"/>
        </w:rPr>
        <w:t xml:space="preserve">.  </w:t>
      </w:r>
      <w:proofErr w:type="gramStart"/>
      <w:r w:rsidRPr="003E73CD">
        <w:rPr>
          <w:sz w:val="22"/>
          <w:szCs w:val="22"/>
        </w:rPr>
        <w:t>The pattern of drainage from the 22 tumours with bilateral lymphatic drainage.</w:t>
      </w:r>
      <w:proofErr w:type="gramEnd"/>
    </w:p>
    <w:p w14:paraId="3E3C314A" w14:textId="5BEF1362" w:rsidR="008D0463" w:rsidRPr="003E73CD" w:rsidRDefault="009E72EA" w:rsidP="0061482C">
      <w:pPr>
        <w:widowControl w:val="0"/>
        <w:autoSpaceDE w:val="0"/>
        <w:autoSpaceDN w:val="0"/>
        <w:adjustRightInd w:val="0"/>
        <w:spacing w:line="480" w:lineRule="auto"/>
        <w:rPr>
          <w:sz w:val="22"/>
          <w:szCs w:val="22"/>
        </w:rPr>
      </w:pPr>
      <w:r>
        <w:rPr>
          <w:noProof/>
          <w:sz w:val="22"/>
          <w:szCs w:val="22"/>
        </w:rPr>
        <w:pict w14:anchorId="7AAC58B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54pt;margin-top:19.2pt;width:303.8pt;height:306pt;z-index:251659264;mso-wrap-edited:f;mso-position-horizontal-relative:text;mso-position-vertical-relative:text" wrapcoords="-38 0 -38 21523 21600 21523 21600 0 -38 0" o:allowincell="f">
            <v:imagedata r:id="rId50" o:title=""/>
            <w10:wrap type="through"/>
          </v:shape>
        </w:pict>
      </w:r>
    </w:p>
    <w:p w14:paraId="263BC897" w14:textId="61ECFE92" w:rsidR="008D0463" w:rsidRPr="003E73CD" w:rsidRDefault="008D0463" w:rsidP="0061482C">
      <w:pPr>
        <w:widowControl w:val="0"/>
        <w:autoSpaceDE w:val="0"/>
        <w:autoSpaceDN w:val="0"/>
        <w:adjustRightInd w:val="0"/>
        <w:spacing w:line="480" w:lineRule="auto"/>
        <w:rPr>
          <w:sz w:val="22"/>
          <w:szCs w:val="22"/>
        </w:rPr>
      </w:pPr>
    </w:p>
    <w:p w14:paraId="5E8B0120" w14:textId="3A0B169A" w:rsidR="008D0463" w:rsidRPr="003E73CD" w:rsidRDefault="008D0463" w:rsidP="0061482C">
      <w:pPr>
        <w:widowControl w:val="0"/>
        <w:autoSpaceDE w:val="0"/>
        <w:autoSpaceDN w:val="0"/>
        <w:adjustRightInd w:val="0"/>
        <w:spacing w:line="480" w:lineRule="auto"/>
        <w:rPr>
          <w:sz w:val="22"/>
          <w:szCs w:val="22"/>
        </w:rPr>
      </w:pPr>
    </w:p>
    <w:p w14:paraId="15B71247" w14:textId="128824DA" w:rsidR="008D0463" w:rsidRPr="003E73CD" w:rsidRDefault="008D0463" w:rsidP="0061482C">
      <w:pPr>
        <w:widowControl w:val="0"/>
        <w:autoSpaceDE w:val="0"/>
        <w:autoSpaceDN w:val="0"/>
        <w:adjustRightInd w:val="0"/>
        <w:spacing w:line="480" w:lineRule="auto"/>
        <w:rPr>
          <w:sz w:val="22"/>
          <w:szCs w:val="22"/>
        </w:rPr>
      </w:pPr>
    </w:p>
    <w:p w14:paraId="2B44E59E" w14:textId="40172CA9" w:rsidR="008D0463" w:rsidRPr="003E73CD" w:rsidRDefault="008D0463" w:rsidP="0061482C">
      <w:pPr>
        <w:widowControl w:val="0"/>
        <w:autoSpaceDE w:val="0"/>
        <w:autoSpaceDN w:val="0"/>
        <w:adjustRightInd w:val="0"/>
        <w:spacing w:line="480" w:lineRule="auto"/>
        <w:rPr>
          <w:sz w:val="22"/>
          <w:szCs w:val="22"/>
        </w:rPr>
      </w:pPr>
    </w:p>
    <w:p w14:paraId="0D299E3E" w14:textId="184FA321" w:rsidR="008D0463" w:rsidRPr="003E73CD" w:rsidRDefault="008D0463" w:rsidP="0061482C">
      <w:pPr>
        <w:widowControl w:val="0"/>
        <w:autoSpaceDE w:val="0"/>
        <w:autoSpaceDN w:val="0"/>
        <w:adjustRightInd w:val="0"/>
        <w:spacing w:line="480" w:lineRule="auto"/>
        <w:rPr>
          <w:sz w:val="22"/>
          <w:szCs w:val="22"/>
        </w:rPr>
      </w:pPr>
    </w:p>
    <w:p w14:paraId="10A85AB6" w14:textId="15F98646" w:rsidR="008D0463" w:rsidRPr="003E73CD" w:rsidRDefault="008D0463" w:rsidP="0061482C">
      <w:pPr>
        <w:widowControl w:val="0"/>
        <w:autoSpaceDE w:val="0"/>
        <w:autoSpaceDN w:val="0"/>
        <w:adjustRightInd w:val="0"/>
        <w:spacing w:line="480" w:lineRule="auto"/>
        <w:rPr>
          <w:sz w:val="22"/>
          <w:szCs w:val="22"/>
        </w:rPr>
      </w:pPr>
    </w:p>
    <w:p w14:paraId="25ACB5B6" w14:textId="0890F4F6" w:rsidR="008D0463" w:rsidRPr="003E73CD" w:rsidRDefault="008D0463" w:rsidP="0061482C">
      <w:pPr>
        <w:widowControl w:val="0"/>
        <w:autoSpaceDE w:val="0"/>
        <w:autoSpaceDN w:val="0"/>
        <w:adjustRightInd w:val="0"/>
        <w:spacing w:line="480" w:lineRule="auto"/>
        <w:rPr>
          <w:sz w:val="22"/>
          <w:szCs w:val="22"/>
        </w:rPr>
      </w:pPr>
    </w:p>
    <w:p w14:paraId="6DC3C66E" w14:textId="53887E66" w:rsidR="008D0463" w:rsidRPr="003E73CD" w:rsidRDefault="008D0463" w:rsidP="0061482C">
      <w:pPr>
        <w:widowControl w:val="0"/>
        <w:autoSpaceDE w:val="0"/>
        <w:autoSpaceDN w:val="0"/>
        <w:adjustRightInd w:val="0"/>
        <w:spacing w:line="480" w:lineRule="auto"/>
        <w:rPr>
          <w:sz w:val="22"/>
          <w:szCs w:val="22"/>
        </w:rPr>
      </w:pPr>
    </w:p>
    <w:p w14:paraId="0AA05676" w14:textId="22BFA1EF" w:rsidR="008D0463" w:rsidRPr="003E73CD" w:rsidRDefault="008D0463" w:rsidP="0061482C">
      <w:pPr>
        <w:widowControl w:val="0"/>
        <w:autoSpaceDE w:val="0"/>
        <w:autoSpaceDN w:val="0"/>
        <w:adjustRightInd w:val="0"/>
        <w:spacing w:line="480" w:lineRule="auto"/>
        <w:rPr>
          <w:sz w:val="22"/>
          <w:szCs w:val="22"/>
        </w:rPr>
      </w:pPr>
    </w:p>
    <w:p w14:paraId="35FE4905" w14:textId="7377B917" w:rsidR="0061482C" w:rsidRPr="003E73CD" w:rsidRDefault="0061482C" w:rsidP="0061482C">
      <w:pPr>
        <w:widowControl w:val="0"/>
        <w:autoSpaceDE w:val="0"/>
        <w:autoSpaceDN w:val="0"/>
        <w:adjustRightInd w:val="0"/>
        <w:spacing w:line="480" w:lineRule="auto"/>
        <w:rPr>
          <w:sz w:val="22"/>
          <w:szCs w:val="22"/>
        </w:rPr>
      </w:pPr>
    </w:p>
    <w:p w14:paraId="08060AFD" w14:textId="11FC34A9" w:rsidR="0061482C" w:rsidRPr="003E73CD" w:rsidRDefault="0061482C" w:rsidP="0061482C">
      <w:pPr>
        <w:widowControl w:val="0"/>
        <w:autoSpaceDE w:val="0"/>
        <w:autoSpaceDN w:val="0"/>
        <w:adjustRightInd w:val="0"/>
        <w:spacing w:line="480" w:lineRule="auto"/>
        <w:rPr>
          <w:sz w:val="22"/>
          <w:szCs w:val="22"/>
        </w:rPr>
      </w:pPr>
    </w:p>
    <w:p w14:paraId="6AE0374B" w14:textId="3934ACC0" w:rsidR="0061482C" w:rsidRPr="003E73CD" w:rsidRDefault="0061482C" w:rsidP="0061482C">
      <w:pPr>
        <w:widowControl w:val="0"/>
        <w:autoSpaceDE w:val="0"/>
        <w:autoSpaceDN w:val="0"/>
        <w:adjustRightInd w:val="0"/>
        <w:spacing w:line="480" w:lineRule="auto"/>
        <w:rPr>
          <w:sz w:val="22"/>
          <w:szCs w:val="22"/>
        </w:rPr>
      </w:pPr>
    </w:p>
    <w:p w14:paraId="6AF18587" w14:textId="4E9C6A14" w:rsidR="008D0463" w:rsidRPr="003E73CD" w:rsidRDefault="008D0463" w:rsidP="008D0463">
      <w:pPr>
        <w:widowControl w:val="0"/>
        <w:autoSpaceDE w:val="0"/>
        <w:autoSpaceDN w:val="0"/>
        <w:adjustRightInd w:val="0"/>
        <w:spacing w:line="480" w:lineRule="auto"/>
        <w:rPr>
          <w:sz w:val="20"/>
          <w:szCs w:val="20"/>
        </w:rPr>
      </w:pPr>
      <w:r w:rsidRPr="003E73CD">
        <w:rPr>
          <w:sz w:val="22"/>
          <w:szCs w:val="22"/>
        </w:rPr>
        <w:tab/>
      </w:r>
      <w:r w:rsidRPr="003E73CD">
        <w:rPr>
          <w:sz w:val="20"/>
          <w:szCs w:val="20"/>
        </w:rPr>
        <w:t>Shade darkens incrementally as number of tumours at particular site increases.</w:t>
      </w:r>
    </w:p>
    <w:p w14:paraId="36B6189B" w14:textId="7DC78977" w:rsidR="0061482C" w:rsidRPr="003E73CD" w:rsidRDefault="0061482C" w:rsidP="0061482C">
      <w:pPr>
        <w:widowControl w:val="0"/>
        <w:autoSpaceDE w:val="0"/>
        <w:autoSpaceDN w:val="0"/>
        <w:adjustRightInd w:val="0"/>
        <w:spacing w:line="480" w:lineRule="auto"/>
        <w:rPr>
          <w:sz w:val="22"/>
          <w:szCs w:val="22"/>
        </w:rPr>
      </w:pPr>
    </w:p>
    <w:p w14:paraId="02DABC91" w14:textId="78328A39" w:rsidR="0061482C" w:rsidRPr="003E73CD" w:rsidRDefault="0061482C" w:rsidP="0061482C">
      <w:pPr>
        <w:widowControl w:val="0"/>
        <w:autoSpaceDE w:val="0"/>
        <w:autoSpaceDN w:val="0"/>
        <w:adjustRightInd w:val="0"/>
        <w:spacing w:line="480" w:lineRule="auto"/>
        <w:rPr>
          <w:sz w:val="22"/>
          <w:szCs w:val="22"/>
        </w:rPr>
      </w:pPr>
    </w:p>
    <w:p w14:paraId="1C80BA61" w14:textId="3CBC6565" w:rsidR="0061482C" w:rsidRPr="003E73CD" w:rsidRDefault="0061482C" w:rsidP="0061482C">
      <w:pPr>
        <w:widowControl w:val="0"/>
        <w:autoSpaceDE w:val="0"/>
        <w:autoSpaceDN w:val="0"/>
        <w:adjustRightInd w:val="0"/>
        <w:spacing w:line="480" w:lineRule="auto"/>
        <w:rPr>
          <w:sz w:val="22"/>
          <w:szCs w:val="22"/>
        </w:rPr>
      </w:pPr>
    </w:p>
    <w:p w14:paraId="4CD51C2B" w14:textId="1CD1B980" w:rsidR="00DD390B" w:rsidRPr="003E73CD" w:rsidRDefault="00DD390B">
      <w:pPr>
        <w:rPr>
          <w:sz w:val="22"/>
          <w:szCs w:val="22"/>
        </w:rPr>
      </w:pPr>
      <w:r w:rsidRPr="003E73CD">
        <w:rPr>
          <w:sz w:val="22"/>
          <w:szCs w:val="22"/>
        </w:rPr>
        <w:br w:type="page"/>
      </w:r>
    </w:p>
    <w:p w14:paraId="117ADB75" w14:textId="60239846" w:rsidR="0061482C" w:rsidRPr="003E73CD" w:rsidRDefault="0061482C" w:rsidP="0061482C">
      <w:pPr>
        <w:widowControl w:val="0"/>
        <w:autoSpaceDE w:val="0"/>
        <w:autoSpaceDN w:val="0"/>
        <w:adjustRightInd w:val="0"/>
        <w:spacing w:line="480" w:lineRule="auto"/>
        <w:ind w:firstLine="720"/>
        <w:rPr>
          <w:sz w:val="22"/>
          <w:szCs w:val="22"/>
        </w:rPr>
      </w:pPr>
      <w:r w:rsidRPr="003E73CD">
        <w:rPr>
          <w:sz w:val="22"/>
          <w:szCs w:val="22"/>
        </w:rPr>
        <w:t xml:space="preserve">The pattern of drainage from each zone is shown in Figure </w:t>
      </w:r>
      <w:r w:rsidR="0048668C">
        <w:rPr>
          <w:sz w:val="22"/>
          <w:szCs w:val="22"/>
        </w:rPr>
        <w:t>2.2</w:t>
      </w:r>
      <w:r w:rsidR="0045660C" w:rsidRPr="003E73CD">
        <w:rPr>
          <w:sz w:val="22"/>
          <w:szCs w:val="22"/>
        </w:rPr>
        <w:t>.</w:t>
      </w:r>
      <w:r w:rsidR="00806C9E">
        <w:rPr>
          <w:sz w:val="22"/>
          <w:szCs w:val="22"/>
        </w:rPr>
        <w:t>4</w:t>
      </w:r>
      <w:r w:rsidRPr="003E73CD">
        <w:rPr>
          <w:sz w:val="22"/>
          <w:szCs w:val="22"/>
        </w:rPr>
        <w:t xml:space="preserve">.  From the anterior temple zone no contralateral drainage occurred, the mean number of SLNs was 2.68 (SD +/- 0.97) and the mean number of SLN sites was 1.84 (SD +/- 0.75).  Thirteen different drainage patterns were observed amongst 62 patients, with the most frequent being to ipsilateral pre-auricular and level II nodes.  Lymphoscintigraphy rarely demonstrated drainage to level I nodes from this zone (2.7% of cases).  Drainage from the supra-orbital zones occurred to a mean of 2.81 (SD +/- 1.36) SLNs and a mean of 2.05 (SD +/- 0.94) SLN sites.  The drainage patterns from the supra-orbital zones were more variable, with 22 different patterns for 68 patients.  Central glabellar zone drainage was to a mean of 3.64 (SD +/- 1.43) SLNs and 3.09 (SD +/- 0.95) SLN sites.  The drainage patterns from this zone showed by far the highest variability, with 19 different patterns amongst 22 patients.  The number of SLNs located in level I was also greatest in this group, with 40.9% of cases exhibiting drainage to this level.  Tumours located in the glabellar zone tended to drain to a greater number of SLNs (p=0.009), to a greater number of SLN sites (p=&lt;0.0001), and were more likely to exhibit bilateral drainage (p=&lt;0.0001) than tumours located more peripherally (one-way ANOVA).  </w:t>
      </w:r>
    </w:p>
    <w:p w14:paraId="3141D52C" w14:textId="77777777" w:rsidR="0061482C" w:rsidRPr="003E73CD" w:rsidRDefault="0061482C" w:rsidP="0061482C">
      <w:pPr>
        <w:widowControl w:val="0"/>
        <w:autoSpaceDE w:val="0"/>
        <w:autoSpaceDN w:val="0"/>
        <w:adjustRightInd w:val="0"/>
        <w:spacing w:line="480" w:lineRule="auto"/>
        <w:rPr>
          <w:sz w:val="22"/>
          <w:szCs w:val="22"/>
        </w:rPr>
      </w:pPr>
    </w:p>
    <w:p w14:paraId="459BBF44" w14:textId="77777777" w:rsidR="0061482C" w:rsidRPr="003E73CD" w:rsidRDefault="0061482C" w:rsidP="0061482C">
      <w:pPr>
        <w:widowControl w:val="0"/>
        <w:autoSpaceDE w:val="0"/>
        <w:autoSpaceDN w:val="0"/>
        <w:adjustRightInd w:val="0"/>
        <w:spacing w:line="480" w:lineRule="auto"/>
        <w:rPr>
          <w:sz w:val="22"/>
          <w:szCs w:val="22"/>
        </w:rPr>
      </w:pPr>
    </w:p>
    <w:p w14:paraId="03057C15" w14:textId="77777777" w:rsidR="0061482C" w:rsidRPr="003E73CD" w:rsidRDefault="0061482C" w:rsidP="0061482C">
      <w:pPr>
        <w:widowControl w:val="0"/>
        <w:autoSpaceDE w:val="0"/>
        <w:autoSpaceDN w:val="0"/>
        <w:adjustRightInd w:val="0"/>
        <w:spacing w:line="480" w:lineRule="auto"/>
        <w:rPr>
          <w:sz w:val="22"/>
          <w:szCs w:val="22"/>
        </w:rPr>
      </w:pPr>
    </w:p>
    <w:p w14:paraId="0475E615" w14:textId="77777777" w:rsidR="0061482C" w:rsidRPr="003E73CD" w:rsidRDefault="0061482C" w:rsidP="0061482C">
      <w:pPr>
        <w:widowControl w:val="0"/>
        <w:autoSpaceDE w:val="0"/>
        <w:autoSpaceDN w:val="0"/>
        <w:adjustRightInd w:val="0"/>
        <w:spacing w:line="480" w:lineRule="auto"/>
        <w:rPr>
          <w:sz w:val="22"/>
          <w:szCs w:val="22"/>
        </w:rPr>
      </w:pPr>
    </w:p>
    <w:p w14:paraId="3A086CCD" w14:textId="77777777" w:rsidR="0061482C" w:rsidRPr="003E73CD" w:rsidRDefault="0061482C" w:rsidP="0061482C">
      <w:pPr>
        <w:widowControl w:val="0"/>
        <w:autoSpaceDE w:val="0"/>
        <w:autoSpaceDN w:val="0"/>
        <w:adjustRightInd w:val="0"/>
        <w:spacing w:line="480" w:lineRule="auto"/>
        <w:rPr>
          <w:sz w:val="22"/>
          <w:szCs w:val="22"/>
        </w:rPr>
      </w:pPr>
    </w:p>
    <w:p w14:paraId="7042D5A5" w14:textId="77777777" w:rsidR="0061482C" w:rsidRPr="003E73CD" w:rsidRDefault="0061482C" w:rsidP="0061482C">
      <w:pPr>
        <w:widowControl w:val="0"/>
        <w:autoSpaceDE w:val="0"/>
        <w:autoSpaceDN w:val="0"/>
        <w:adjustRightInd w:val="0"/>
        <w:spacing w:line="480" w:lineRule="auto"/>
        <w:rPr>
          <w:sz w:val="22"/>
          <w:szCs w:val="22"/>
        </w:rPr>
      </w:pPr>
    </w:p>
    <w:p w14:paraId="4F0AFC0C" w14:textId="77777777" w:rsidR="0061482C" w:rsidRPr="003E73CD" w:rsidRDefault="0061482C" w:rsidP="0061482C">
      <w:pPr>
        <w:widowControl w:val="0"/>
        <w:autoSpaceDE w:val="0"/>
        <w:autoSpaceDN w:val="0"/>
        <w:adjustRightInd w:val="0"/>
        <w:spacing w:line="480" w:lineRule="auto"/>
        <w:rPr>
          <w:sz w:val="22"/>
          <w:szCs w:val="22"/>
        </w:rPr>
      </w:pPr>
    </w:p>
    <w:p w14:paraId="737441C8" w14:textId="77777777" w:rsidR="0061482C" w:rsidRPr="003E73CD" w:rsidRDefault="0061482C" w:rsidP="0061482C">
      <w:pPr>
        <w:widowControl w:val="0"/>
        <w:autoSpaceDE w:val="0"/>
        <w:autoSpaceDN w:val="0"/>
        <w:adjustRightInd w:val="0"/>
        <w:spacing w:line="480" w:lineRule="auto"/>
        <w:rPr>
          <w:sz w:val="22"/>
          <w:szCs w:val="22"/>
        </w:rPr>
      </w:pPr>
    </w:p>
    <w:p w14:paraId="4E0C854D" w14:textId="77777777" w:rsidR="0061482C" w:rsidRPr="003E73CD" w:rsidRDefault="0061482C" w:rsidP="0061482C">
      <w:pPr>
        <w:widowControl w:val="0"/>
        <w:autoSpaceDE w:val="0"/>
        <w:autoSpaceDN w:val="0"/>
        <w:adjustRightInd w:val="0"/>
        <w:spacing w:line="480" w:lineRule="auto"/>
        <w:rPr>
          <w:sz w:val="22"/>
          <w:szCs w:val="22"/>
        </w:rPr>
      </w:pPr>
    </w:p>
    <w:p w14:paraId="5162A753" w14:textId="77777777" w:rsidR="0061482C" w:rsidRPr="003E73CD" w:rsidRDefault="0061482C" w:rsidP="0061482C">
      <w:pPr>
        <w:widowControl w:val="0"/>
        <w:autoSpaceDE w:val="0"/>
        <w:autoSpaceDN w:val="0"/>
        <w:adjustRightInd w:val="0"/>
        <w:spacing w:line="480" w:lineRule="auto"/>
        <w:rPr>
          <w:sz w:val="22"/>
          <w:szCs w:val="22"/>
        </w:rPr>
      </w:pPr>
    </w:p>
    <w:p w14:paraId="50B9F883" w14:textId="77777777" w:rsidR="0061482C" w:rsidRPr="003E73CD" w:rsidRDefault="0061482C" w:rsidP="0061482C">
      <w:pPr>
        <w:widowControl w:val="0"/>
        <w:autoSpaceDE w:val="0"/>
        <w:autoSpaceDN w:val="0"/>
        <w:adjustRightInd w:val="0"/>
        <w:spacing w:line="480" w:lineRule="auto"/>
        <w:rPr>
          <w:sz w:val="22"/>
          <w:szCs w:val="22"/>
        </w:rPr>
      </w:pPr>
    </w:p>
    <w:p w14:paraId="21922E18" w14:textId="15CE2E6C" w:rsidR="0061482C" w:rsidRPr="003E73CD" w:rsidRDefault="0061482C" w:rsidP="0061482C">
      <w:pPr>
        <w:widowControl w:val="0"/>
        <w:autoSpaceDE w:val="0"/>
        <w:autoSpaceDN w:val="0"/>
        <w:adjustRightInd w:val="0"/>
        <w:spacing w:line="480" w:lineRule="auto"/>
        <w:rPr>
          <w:sz w:val="22"/>
          <w:szCs w:val="22"/>
        </w:rPr>
      </w:pPr>
      <w:r w:rsidRPr="003E73CD">
        <w:rPr>
          <w:sz w:val="22"/>
          <w:szCs w:val="22"/>
        </w:rPr>
        <w:t xml:space="preserve">Figure </w:t>
      </w:r>
      <w:r w:rsidR="0048668C">
        <w:rPr>
          <w:sz w:val="22"/>
          <w:szCs w:val="22"/>
        </w:rPr>
        <w:t>2.2</w:t>
      </w:r>
      <w:r w:rsidR="0045660C" w:rsidRPr="003E73CD">
        <w:rPr>
          <w:sz w:val="22"/>
          <w:szCs w:val="22"/>
        </w:rPr>
        <w:t>.</w:t>
      </w:r>
      <w:r w:rsidR="00806C9E">
        <w:rPr>
          <w:sz w:val="22"/>
          <w:szCs w:val="22"/>
        </w:rPr>
        <w:t>4</w:t>
      </w:r>
      <w:r w:rsidRPr="003E73CD">
        <w:rPr>
          <w:sz w:val="22"/>
          <w:szCs w:val="22"/>
        </w:rPr>
        <w:t>.  The pattern of lymphoscintigraphically demonstrated lymphatic drainage from each forehead zone.</w:t>
      </w:r>
    </w:p>
    <w:p w14:paraId="7FFF0E68" w14:textId="77777777" w:rsidR="0061482C" w:rsidRPr="003E73CD" w:rsidRDefault="0061482C" w:rsidP="0061482C">
      <w:pPr>
        <w:widowControl w:val="0"/>
        <w:autoSpaceDE w:val="0"/>
        <w:autoSpaceDN w:val="0"/>
        <w:adjustRightInd w:val="0"/>
        <w:spacing w:line="480" w:lineRule="auto"/>
        <w:rPr>
          <w:sz w:val="22"/>
          <w:szCs w:val="22"/>
        </w:rPr>
      </w:pPr>
    </w:p>
    <w:p w14:paraId="76D8A324" w14:textId="77777777" w:rsidR="0061482C" w:rsidRPr="003E73CD" w:rsidRDefault="0061482C" w:rsidP="0061482C">
      <w:pPr>
        <w:widowControl w:val="0"/>
        <w:autoSpaceDE w:val="0"/>
        <w:autoSpaceDN w:val="0"/>
        <w:adjustRightInd w:val="0"/>
        <w:spacing w:line="480" w:lineRule="auto"/>
        <w:rPr>
          <w:sz w:val="22"/>
          <w:szCs w:val="22"/>
        </w:rPr>
      </w:pPr>
      <w:r w:rsidRPr="003E73CD">
        <w:rPr>
          <w:noProof/>
          <w:sz w:val="22"/>
          <w:szCs w:val="22"/>
        </w:rPr>
        <w:drawing>
          <wp:inline distT="0" distB="0" distL="0" distR="0" wp14:anchorId="40D3FE55" wp14:editId="1FD0E6E9">
            <wp:extent cx="5191760" cy="7762240"/>
            <wp:effectExtent l="0" t="0" r="0" b="1016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91760" cy="7762240"/>
                    </a:xfrm>
                    <a:prstGeom prst="rect">
                      <a:avLst/>
                    </a:prstGeom>
                    <a:noFill/>
                    <a:ln>
                      <a:noFill/>
                    </a:ln>
                  </pic:spPr>
                </pic:pic>
              </a:graphicData>
            </a:graphic>
          </wp:inline>
        </w:drawing>
      </w:r>
    </w:p>
    <w:p w14:paraId="6FF7838D" w14:textId="77777777" w:rsidR="0061482C" w:rsidRPr="003E73CD" w:rsidRDefault="0061482C" w:rsidP="0061482C">
      <w:pPr>
        <w:widowControl w:val="0"/>
        <w:autoSpaceDE w:val="0"/>
        <w:autoSpaceDN w:val="0"/>
        <w:adjustRightInd w:val="0"/>
        <w:spacing w:line="480" w:lineRule="auto"/>
        <w:rPr>
          <w:b/>
          <w:bCs/>
          <w:sz w:val="22"/>
          <w:szCs w:val="22"/>
        </w:rPr>
      </w:pPr>
      <w:r w:rsidRPr="003E73CD">
        <w:rPr>
          <w:b/>
          <w:bCs/>
          <w:sz w:val="22"/>
          <w:szCs w:val="22"/>
        </w:rPr>
        <w:t>Discussion</w:t>
      </w:r>
    </w:p>
    <w:p w14:paraId="057EB296" w14:textId="6EBE8520" w:rsidR="0061482C" w:rsidRPr="003E73CD" w:rsidRDefault="0061482C" w:rsidP="0061482C">
      <w:pPr>
        <w:widowControl w:val="0"/>
        <w:autoSpaceDE w:val="0"/>
        <w:autoSpaceDN w:val="0"/>
        <w:adjustRightInd w:val="0"/>
        <w:spacing w:line="480" w:lineRule="auto"/>
        <w:ind w:firstLine="720"/>
        <w:rPr>
          <w:sz w:val="22"/>
          <w:szCs w:val="22"/>
        </w:rPr>
      </w:pPr>
      <w:r w:rsidRPr="003E73CD">
        <w:rPr>
          <w:sz w:val="22"/>
          <w:szCs w:val="22"/>
        </w:rPr>
        <w:t>Early studies of lymphatic anatomy and lymphatic mapping are well documented.</w:t>
      </w:r>
      <w:r w:rsidRPr="003E73CD">
        <w:rPr>
          <w:sz w:val="22"/>
          <w:szCs w:val="22"/>
        </w:rPr>
        <w:fldChar w:fldCharType="begin" w:fldLock="1"/>
      </w:r>
      <w:r w:rsidR="005676A9">
        <w:rPr>
          <w:sz w:val="22"/>
          <w:szCs w:val="22"/>
        </w:rPr>
        <w:instrText>ADDIN CSL_CITATION { "citationItems" : [ { "id" : "ITEM-1", "itemData" : { "author" : [ { "dropping-particle" : "", "family" : "Uren", "given" : "R. F.", "non-dropping-particle" : "", "parse-names" : false, "suffix" : "" }, { "dropping-particle" : "", "family" : "Thompson", "given" : "J. F.", "non-dropping-particle" : "", "parse-names" : false, "suffix" : "" }, { "dropping-particle" : "", "family" : "Howman-Giles", "given" : "R. B.", "non-dropping-particle" : "", "parse-names" : false, "suffix" : "" } ], "id" : "ITEM-1", "issued" : { "date-parts" : [ [ "1999" ] ] }, "publisher" : "Harwood Academic Publishers", "publisher-place" : "Amsterdam", "title" : "Lymphatic drainage of the skin and breast: locating the sentinel nodes.", "type" : "book" }, "uris" : [ "http://www.mendeley.com/documents/?uuid=f4de906f-e5ae-4927-be59-d3e5ad466855" ] }, { "id" : "ITEM-2", "itemData" : { "author" : [ { "dropping-particle" : "", "family" : "Uren", "given" : "R. F.", "non-dropping-particle" : "", "parse-names" : false, "suffix" : "" }, { "dropping-particle" : "", "family" : "Thompson", "given" : "J. F.", "non-dropping-particle" : "", "parse-names" : false, "suffix" : "" }, { "dropping-particle" : "", "family" : "Coventry", "given" : "B. J.", "non-dropping-particle" : "", "parse-names" : false, "suffix" : "" }, { "dropping-particle" : "", "family" : "Chatterton", "given" : "B. E.", "non-dropping-particle" : "", "parse-names" : false, "suffix" : "" } ], "chapter-number" : "Lymphoscin", "container-title" : "Cutaneous Melanoma", "edition" : "5th Editio", "editor" : [ { "dropping-particle" : "", "family" : "Balch", "given" : "C. M.", "non-dropping-particle" : "", "parse-names" : false, "suffix" : "" }, { "dropping-particle" : "", "family" : "Houghton", "given" : "A.", "non-dropping-particle" : "", "parse-names" : false, "suffix" : "" }, { "dropping-particle" : "", "family" : "Sober", "given" : "A.J.", "non-dropping-particle" : "", "parse-names" : false, "suffix" : "" }, { "dropping-particle" : "", "family" : "Soong", "given" : "S-J.", "non-dropping-particle" : "", "parse-names" : false, "suffix" : "" }, { "dropping-particle" : "", "family" : "Atkins", "given" : "M. B.", "non-dropping-particle" : "", "parse-names" : false, "suffix" : "" }, { "dropping-particle" : "", "family" : "Thompson", "given" : "J. F.", "non-dropping-particle" : "", "parse-names" : false, "suffix" : "" } ], "id" : "ITEM-2", "issued" : { "date-parts" : [ [ "2009" ] ] }, "publisher" : "CRC Press", "publisher-place" : "St Louis", "title" : "Lymphoscintigraphy in patients with melanoma.", "type" : "chapter" }, "uris" : [ "http://www.mendeley.com/documents/?uuid=95d0f9f5-84d1-4f9e-8c12-bc934c214fb8" ] } ], "mendeley" : { "formattedCitation" : "&lt;sup&gt;221,222&lt;/sup&gt;", "plainTextFormattedCitation" : "221,222", "previouslyFormattedCitation" : "&lt;sup&gt;221,222&lt;/sup&gt;" }, "properties" : { "noteIndex" : 0 }, "schema" : "https://github.com/citation-style-language/schema/raw/master/csl-citation.json" }</w:instrText>
      </w:r>
      <w:r w:rsidRPr="003E73CD">
        <w:rPr>
          <w:sz w:val="22"/>
          <w:szCs w:val="22"/>
        </w:rPr>
        <w:fldChar w:fldCharType="separate"/>
      </w:r>
      <w:r w:rsidR="00217FAC" w:rsidRPr="00217FAC">
        <w:rPr>
          <w:noProof/>
          <w:sz w:val="22"/>
          <w:szCs w:val="22"/>
          <w:vertAlign w:val="superscript"/>
        </w:rPr>
        <w:t>221,222</w:t>
      </w:r>
      <w:r w:rsidRPr="003E73CD">
        <w:rPr>
          <w:sz w:val="22"/>
          <w:szCs w:val="22"/>
        </w:rPr>
        <w:fldChar w:fldCharType="end"/>
      </w:r>
      <w:proofErr w:type="gramStart"/>
      <w:r w:rsidRPr="003E73CD">
        <w:rPr>
          <w:sz w:val="22"/>
          <w:szCs w:val="22"/>
        </w:rPr>
        <w:t xml:space="preserve">  In</w:t>
      </w:r>
      <w:proofErr w:type="gramEnd"/>
      <w:r w:rsidRPr="003E73CD">
        <w:rPr>
          <w:sz w:val="22"/>
          <w:szCs w:val="22"/>
        </w:rPr>
        <w:t xml:space="preserve"> 1952 Kinmonth developed the technique of x-ray contrast lymphangiography for in vivo imaging of lymphatic vessels and the lymph nodes to which they drained.</w:t>
      </w:r>
      <w:r w:rsidRPr="003E73CD">
        <w:rPr>
          <w:sz w:val="22"/>
          <w:szCs w:val="22"/>
        </w:rPr>
        <w:fldChar w:fldCharType="begin" w:fldLock="1"/>
      </w:r>
      <w:r w:rsidR="001C6CB8">
        <w:rPr>
          <w:sz w:val="22"/>
          <w:szCs w:val="22"/>
        </w:rPr>
        <w:instrText>ADDIN CSL_CITATION { "citationItems" : [ { "id" : "ITEM-1", "itemData" : { "ISSN" : "0143-5221", "PMID" : "14896514", "author" : [ { "dropping-particle" : "", "family" : "Kinmonth", "given" : "J B", "non-dropping-particle" : "", "parse-names" : false, "suffix" : "" } ], "container-title" : "Clinical science (London, England : 1979)", "id" : "ITEM-1", "issue" : "1", "issued" : { "date-parts" : [ [ "1952", "2" ] ] }, "page" : "13-20", "title" : "Lymphangiography in man; a method of outlining lymphatic trunks at operation.", "type" : "article-journal", "volume" : "11" }, "uris" : [ "http://www.mendeley.com/documents/?uuid=6498490b-73e7-461b-87b5-d43906c726f5" ] } ], "mendeley" : { "formattedCitation" : "&lt;sup&gt;97&lt;/sup&gt;", "plainTextFormattedCitation" : "97", "previouslyFormattedCitation" : "&lt;sup&gt;97&lt;/sup&gt;"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97</w:t>
      </w:r>
      <w:r w:rsidRPr="003E73CD">
        <w:rPr>
          <w:sz w:val="22"/>
          <w:szCs w:val="22"/>
        </w:rPr>
        <w:fldChar w:fldCharType="end"/>
      </w:r>
      <w:proofErr w:type="gramStart"/>
      <w:r w:rsidRPr="003E73CD">
        <w:rPr>
          <w:sz w:val="22"/>
          <w:szCs w:val="22"/>
        </w:rPr>
        <w:t xml:space="preserve">  The</w:t>
      </w:r>
      <w:proofErr w:type="gramEnd"/>
      <w:r w:rsidRPr="003E73CD">
        <w:rPr>
          <w:sz w:val="22"/>
          <w:szCs w:val="22"/>
        </w:rPr>
        <w:t xml:space="preserve"> procedure involved subcutaneous injection of Patent Blue dye on the dorsum of the hand or foot.  This allowed identification of a blue-stained lymphatic channel, which was then cannulated so that a radio-opaque dye could be injected.  Around the same time the technique of lymphoscintigraphy using radioactive colloidal gold was introduced.</w:t>
      </w:r>
      <w:r w:rsidRPr="003E73CD">
        <w:rPr>
          <w:sz w:val="22"/>
          <w:szCs w:val="22"/>
        </w:rPr>
        <w:fldChar w:fldCharType="begin" w:fldLock="1"/>
      </w:r>
      <w:r w:rsidR="001C6CB8">
        <w:rPr>
          <w:sz w:val="22"/>
          <w:szCs w:val="22"/>
        </w:rPr>
        <w:instrText>ADDIN CSL_CITATION { "citationItems" : [ { "id" : "ITEM-1", "itemData" : { "ISSN" : "0008-543X", "PMID" : "13106841", "author" : [ { "dropping-particle" : "", "family" : "Sherman", "given" : "A I", "non-dropping-particle" : "", "parse-names" : false, "suffix" : "" }, { "dropping-particle" : "", "family" : "Ter-Pogossian", "given" : "M", "non-dropping-particle" : "", "parse-names" : false, "suffix" : "" } ], "container-title" : "Cancer", "id" : "ITEM-1", "issue" : "6", "issued" : { "date-parts" : [ [ "1953", "11" ] ] }, "page" : "1238-40", "title" : "Lymph-node concentration of radioactive colloidal gold following interstitial injection.", "type" : "article-journal", "volume" : "6" }, "uris" : [ "http://www.mendeley.com/documents/?uuid=eeddd67e-ba03-4f7f-98c6-c737f7c09139" ] } ], "mendeley" : { "formattedCitation" : "&lt;sup&gt;98&lt;/sup&gt;", "plainTextFormattedCitation" : "98", "previouslyFormattedCitation" : "&lt;sup&gt;98&lt;/sup&gt;"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98</w:t>
      </w:r>
      <w:r w:rsidRPr="003E73CD">
        <w:rPr>
          <w:sz w:val="22"/>
          <w:szCs w:val="22"/>
        </w:rPr>
        <w:fldChar w:fldCharType="end"/>
      </w:r>
      <w:proofErr w:type="gramStart"/>
      <w:r w:rsidRPr="003E73CD">
        <w:rPr>
          <w:sz w:val="22"/>
          <w:szCs w:val="22"/>
        </w:rPr>
        <w:t xml:space="preserve">  However</w:t>
      </w:r>
      <w:proofErr w:type="gramEnd"/>
      <w:r w:rsidRPr="003E73CD">
        <w:rPr>
          <w:sz w:val="22"/>
          <w:szCs w:val="22"/>
        </w:rPr>
        <w:t>, x-ray lymphangiography initially became the standard method for imaging the lymphatic system in vivo.  A notable limitation of lymphangiography as a method of lymphatic mapping is that it involves cannulation of lymphatic vessels.  It is now well documented that several lymphatic vessels may drain from a tumo</w:t>
      </w:r>
      <w:r w:rsidR="000A3745" w:rsidRPr="003E73CD">
        <w:rPr>
          <w:sz w:val="22"/>
          <w:szCs w:val="22"/>
        </w:rPr>
        <w:t>u</w:t>
      </w:r>
      <w:r w:rsidRPr="003E73CD">
        <w:rPr>
          <w:sz w:val="22"/>
          <w:szCs w:val="22"/>
        </w:rPr>
        <w:t>r site, each terminating in a different SLN.  Failure to cannulate all the relevant lymphatic vessels could therefore result in failure to identify all SLNs draining that site.  The cadaveric studies undertaken by early investigators such as Sappey used similar techniques of cannulation and injection of opaque substances to demonstrate lymphatics.  They produced models showing areas with apparently predictable lymphatic drainage and distinct boundaries between these.</w:t>
      </w:r>
      <w:r w:rsidRPr="003E73CD">
        <w:rPr>
          <w:sz w:val="22"/>
          <w:szCs w:val="22"/>
        </w:rPr>
        <w:fldChar w:fldCharType="begin" w:fldLock="1"/>
      </w:r>
      <w:r w:rsidR="001C6CB8">
        <w:rPr>
          <w:sz w:val="22"/>
          <w:szCs w:val="22"/>
        </w:rPr>
        <w:instrText>ADDIN CSL_CITATION { "citationItems" : [ { "id" : "ITEM-1", "itemData" : { "author" : [ { "dropping-particle" : "", "family" : "Sappey", "given" : "P.C.", "non-dropping-particle" : "", "parse-names" : false, "suffix" : "" } ], "id" : "ITEM-1", "issued" : { "date-parts" : [ [ "1874" ] ] }, "publisher" : "Delahaye", "publisher-place" : "Paris", "title" : "Anatomie, physiologie, pathologie des vaisseaux lymphatiques consid\u00e2er\u00e2es chez l'homme et les vert\u00e2ebr\u00e2es", "type" : "book" }, "uris" : [ "http://www.mendeley.com/documents/?uuid=e0452392-5ff2-4fb5-b884-e9e3e6040415" ] } ], "mendeley" : { "formattedCitation" : "&lt;sup&gt;91&lt;/sup&gt;", "plainTextFormattedCitation" : "91", "previouslyFormattedCitation" : "&lt;sup&gt;91&lt;/sup&gt;"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91</w:t>
      </w:r>
      <w:r w:rsidRPr="003E73CD">
        <w:rPr>
          <w:sz w:val="22"/>
          <w:szCs w:val="22"/>
        </w:rPr>
        <w:fldChar w:fldCharType="end"/>
      </w:r>
      <w:proofErr w:type="gramStart"/>
      <w:r w:rsidRPr="003E73CD">
        <w:rPr>
          <w:sz w:val="22"/>
          <w:szCs w:val="22"/>
        </w:rPr>
        <w:t xml:space="preserve">  Lymphoscintigraphy</w:t>
      </w:r>
      <w:proofErr w:type="gramEnd"/>
      <w:r w:rsidRPr="003E73CD">
        <w:rPr>
          <w:sz w:val="22"/>
          <w:szCs w:val="22"/>
        </w:rPr>
        <w:t xml:space="preserve"> subsequently produced clear evidence that strict boundaries did not exist, and demonstrated that lymphatic drainage patterns from the same area of skin could vary greatly from patient to patient.</w:t>
      </w:r>
      <w:r w:rsidRPr="003E73CD">
        <w:rPr>
          <w:sz w:val="22"/>
          <w:szCs w:val="22"/>
        </w:rPr>
        <w:fldChar w:fldCharType="begin" w:fldLock="1"/>
      </w:r>
      <w:r w:rsidR="001C6CB8">
        <w:rPr>
          <w:sz w:val="22"/>
          <w:szCs w:val="22"/>
        </w:rPr>
        <w:instrText>ADDIN CSL_CITATION { "citationItems" : [ { "id" : "ITEM-1", "itemData" : { "ISSN" : "0161-5505", "PMID" : "8355060", "abstract" : "Lymphoscintigraphy was performed in 209 patients with high-risk melanoma of the trunk referred to the Sydney Melanoma Unit and considered for lymph node dissection. Lymphoscintigraphy accurately defined the draining lymph node groups and was 94% sensitive in detecting draining sites that contained metastases. When combined with the clinical finding of palpable lymph nodes, the sensitivity rose to 98%. Most patients showed lymph drainage to one or two node groups and only 22 patients showed drainage to 3 or more node groups. The major lymph channels could also be marked on the skin prior to incontinuity dissection. Most patients had multiple draining lymph channels and these often diverged significantly from each other in the path to the draining node group. The number and location of interval nodes could be determined and marked on the skin. These and the major lymph channels could thus be excised at the time of surgery. Unusual drainage patterns were sometimes seen; for example, three patients displayed a new lymph pathway with direct drainage from the back anteriorly to the para-aortic nodes. The location of the sentinel nodes in each draining lymph-node group could also be marked on the skin prior to surgery, enabling quick and accurate identification of this node, using the blue-dye technique if biopsy were to be performed. These findings lead us to recommend lymphoscintigraphy prior to wide local excision in patients with truncal melanoma who are candidates for surgery. Lymphoscintigraphy results will help plan surgery and lead to minimum surgical intervention, consistent with effective surgical management.", "author" : [ { "dropping-particle" : "", "family" : "Uren", "given" : "R F", "non-dropping-particle" : "", "parse-names" : false, "suffix" : "" }, { "dropping-particle" : "", "family" : "Howman-Giles", "given" : "R B", "non-dropping-particle" : "", "parse-names" : false, "suffix" : "" }, { "dropping-particle" : "", "family" : "Shaw", "given" : "H M", "non-dropping-particle" : "", "parse-names" : false, "suffix" : "" }, { "dropping-particle" : "", "family" : "Thompson", "given" : "J F", "non-dropping-particle" : "", "parse-names" : false, "suffix" : "" }, { "dropping-particle" : "", "family" : "McCarthy", "given" : "W H", "non-dropping-particle" : "", "parse-names" : false, "suffix" : "" } ], "container-title" : "Journal of nuclear medicine : official publication, Society of Nuclear Medicine", "id" : "ITEM-1", "issue" : "9", "issued" : { "date-parts" : [ [ "1993", "9" ] ] }, "page" : "1435-40", "title" : "Lymphoscintigraphy in high-risk melanoma of the trunk: predicting draining node groups, defining lymphatic channels and locating the sentinel node.", "type" : "article-journal", "volume" : "34" }, "uris" : [ "http://www.mendeley.com/documents/?uuid=274338cb-ae32-48f7-bdbd-96e8755842db" ] } ], "mendeley" : { "formattedCitation" : "&lt;sup&gt;99&lt;/sup&gt;", "plainTextFormattedCitation" : "99", "previouslyFormattedCitation" : "&lt;sup&gt;99&lt;/sup&gt;"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99</w:t>
      </w:r>
      <w:r w:rsidRPr="003E73CD">
        <w:rPr>
          <w:sz w:val="22"/>
          <w:szCs w:val="22"/>
        </w:rPr>
        <w:fldChar w:fldCharType="end"/>
      </w:r>
      <w:proofErr w:type="gramStart"/>
      <w:r w:rsidRPr="003E73CD">
        <w:rPr>
          <w:sz w:val="22"/>
          <w:szCs w:val="22"/>
        </w:rPr>
        <w:t xml:space="preserve">  This</w:t>
      </w:r>
      <w:proofErr w:type="gramEnd"/>
      <w:r w:rsidRPr="003E73CD">
        <w:rPr>
          <w:sz w:val="22"/>
          <w:szCs w:val="22"/>
        </w:rPr>
        <w:t xml:space="preserve"> latter finding was perhaps most apparent in the head and neck, leading to its reputation as an area with unpredictable lymphatic drainage.</w:t>
      </w:r>
      <w:r w:rsidRPr="003E73CD">
        <w:rPr>
          <w:sz w:val="22"/>
          <w:szCs w:val="22"/>
        </w:rPr>
        <w:fldChar w:fldCharType="begin" w:fldLock="1"/>
      </w:r>
      <w:r w:rsidR="001C6CB8">
        <w:rPr>
          <w:sz w:val="22"/>
          <w:szCs w:val="22"/>
        </w:rPr>
        <w:instrText>ADDIN CSL_CITATION { "citationItems" : [ { "id" : "ITEM-1", "itemData" : { "ISSN" : "0032-1052", "PMID" : "8134434", "abstract" : "Lymphoscintigraphy has been shown to be of assistance in defining the lymphatic drainage pattern of melanoma. In this study, lymphoscintigraphy was performed on 25 patients with primary melanoma (stages I and II at diagnosis) of the head and neck to determine whether the lymphatic drainage seen on lymphoscintigram was the same as the surgeon's expected lymphatic drainage. The lymphoscintigrams were discordant in 21 of the patients (84 percent) with drainage to a lymphatic basin not predicted clinically. Based on the discordant lymphoscintigram, a change in surgical therapy occurred in 13 of 21 patients (62 percent). Of the 25 patients, 18 underwent prophylactic node dissections and 7 did not. Of the nodal basins removed, 27 of 38 nodal bases (71 percent) were seen on lymphoscintigraphy. Melanoma metastatic to lymph nodes was removed from nodal basins identified by the lymphoscintigram, but not predicted clinically, in two patients (8 percent). Historical anatomical patterns of lymph drainage and the clinical impression of experienced surgeons cannot reliably predict the pattern of lymphatic drainage in patients with melanoma of the head and neck.", "author" : [ { "dropping-particle" : "", "family" : "Wells", "given" : "K E", "non-dropping-particle" : "", "parse-names" : false, "suffix" : "" }, { "dropping-particle" : "", "family" : "Cruse", "given" : "C W", "non-dropping-particle" : "", "parse-names" : false, "suffix" : "" }, { "dropping-particle" : "", "family" : "Daniels", "given" : "S", "non-dropping-particle" : "", "parse-names" : false, "suffix" : "" }, { "dropping-particle" : "", "family" : "Berman", "given" : "C", "non-dropping-particle" : "", "parse-names" : false, "suffix" : "" }, { "dropping-particle" : "", "family" : "Norman", "given" : "J", "non-dropping-particle" : "", "parse-names" : false, "suffix" : "" }, { "dropping-particle" : "", "family" : "Reintgen", "given" : "D S", "non-dropping-particle" : "", "parse-names" : false, "suffix" : "" } ], "container-title" : "Plastic and reconstructive surgery", "id" : "ITEM-1", "issue" : "4", "issued" : { "date-parts" : [ [ "1994", "4" ] ] }, "page" : "757-61", "title" : "The use of lymphoscintigraphy in melanoma of the head and neck.", "type" : "article-journal", "volume" : "93" }, "uris" : [ "http://www.mendeley.com/documents/?uuid=a743256c-eac3-4845-9faf-4815af449197" ] }, { "id" : "ITEM-2", "itemData" : { "ISSN" : "0002-9610", "PMID" : "7485733", "abstract" : "BACKGROUND: The technique of lymphoscintigraphy may allow a more selective approach to the management of clinically negative neck nodes among patients with cutaneous head and neck melanoma.\n\nPATIENTS AND METHODS: A group of 97 patients with cutaneous head and neck melanoma had preoperative lymphoscintigraphy using intradermal injections of technetium 99m antimony trisulfide colloid to identify sentinel nodes. Fifty-one patients were eligible for clinical analysis after initial definitive treatment by wide excision only (n = 11), wide excision and elective dissection of the neck (n = 19) or axilla (n = 1), or wide excision and a sentinel node biopsy procedure (n = 20).\n\nRESULTS: Sentinel nodes were identified in 95 of 97 lymphoscintigrams, and 85% of patients had multiple sentinel nodes. In 21 patients (22%), sentinel nodes were identified outside the parotid region and the 5 main neck levels, mostly in postauricular nodes (n = 13). Lymphoscintigrams were discordant with clinical predictions in 33 patients (34%). Lymph nodes were positive in 4 elective dissections and 4 sentinel node biopsies. Among 16 patients evaluable after wide excision and a negative sentinel node biopsy, 4 patients subsequently developed metastatic nodes; however, confident identification of all nodes marked as sentinel nodes on lymphoscintigraphy was not achieved at the original biopsy procedure in 3 of these patients.\n\nCONCLUSIONS: Lymphoscintigraphy and sentinel node biopsy are more difficult to perform in the head and neck than in other parts of the body. The reliability of sentinel node biopsy based on lymphoscintigraphy may be improved by identifying and marking all nodes that are considered to receive direct lymphatic drainage from the primary melanoma, and by use of a gamma probe intraoperatively.", "author" : [ { "dropping-particle" : "", "family" : "O'Brien", "given" : "C J", "non-dropping-particle" : "", "parse-names" : false, "suffix" : "" }, { "dropping-particle" : "", "family" : "Uren", "given" : "R F", "non-dropping-particle" : "", "parse-names" : false, "suffix" : "" }, { "dropping-particle" : "", "family" : "Thompson", "given" : "J F", "non-dropping-particle" : "", "parse-names" : false, "suffix" : "" }, { "dropping-particle" : "", "family" : "Howman-Giles", "given" : "R B", "non-dropping-particle" : "", "parse-names" : false, "suffix" : "" }, { "dropping-particle" : "", "family" : "Petersen-Schaefer", "given" : "K", "non-dropping-particle" : "", "parse-names" : false, "suffix" : "" }, { "dropping-particle" : "", "family" : "Shaw", "given" : "H M", "non-dropping-particle" : "", "parse-names" : false, "suffix" : "" }, { "dropping-particle" : "", "family" : "Quinn", "given" : "M J", "non-dropping-particle" : "", "parse-names" : false, "suffix" : "" }, { "dropping-particle" : "", "family" : "McCarthy", "given" : "W H", "non-dropping-particle" : "", "parse-names" : false, "suffix" : "" } ], "container-title" : "American journal of surgery", "id" : "ITEM-2", "issue" : "5", "issued" : { "date-parts" : [ [ "1995", "11" ] ] }, "page" : "461-6", "title" : "Prediction of potential metastatic sites in cutaneous head and neck melanoma using lymphoscintigraphy.", "type" : "article-journal", "volume" : "170" }, "uris" : [ "http://www.mendeley.com/documents/?uuid=05380489-57e3-4f1b-97e9-45bb73411cac" ] }, { "id" : "ITEM-3", "itemData" : { "ISSN" : "0886-4470", "PMID" : "10722003", "abstract" : "OBJECTIVE: To describe a clinical experience with sentinel lymph node biopsy (SLNB) of head and neck nodal basins for clinical stage I melanomas draining to these areas.\n\nDESIGN: Consecutive clinical case series with a mean follow-up of 10.7 months.\n\nSETTING: University tertiary care referral medical center.\n\nPATIENTS: Seventy patients with clinical stage I cutaneous melanoma who underwent SLNB of cervical and/or parotid lymph node basins.\n\nINTERVENTIONS: Patients underwent same-day preoperative technetium Tc 99m lymphoscintigraphy followed by SLNB using gamma probe and blue dye (66 patients) and blue dye alone (4 patients). Patients with histological evidence of tumor (here in after \"positive\") according to SLNB results underwent modified cervical completion lymph node dissection, including parotidectomy, as appropriate. Patients without histological evidence of tumor (hereinafter \"negative\") according to SLNB results were followed up clinically without undergoing completion lymph node dissection.\n\nMAIN OUTCOME MEASURES: The rates of SLNB success, SLNB positivity, completion lymph node dissection positivity, complications, and SLNB false-negative results were determined by clinical follow-up.\n\nRESULTS: Locations of melanomas in the 70 patients were the face (n = 20), neck (n = 14), ear (n = 9), scalp (n = 9), and upper thorax (n = 18). Locations of basins that underwent biopsy (n = 104) were in the cervical (n = 68), parotid (n = 19), and axillary (n = 17) regions. The mean Breslow thickness was 2.1 mm (range, 0.4-12.0 mm). Sentinel lymph node biopsy was successful in 103 basins (99%). The mean number of sentinel lymph nodes per basin was 2.5 (range, 1.0-8.0). Positive sentinel lymph nodes were found in 12 patients (17%) and 15 basins (14%). Sentinel lymph node biopsy results correlated with the American Joint Committee on Cancer tumor stage (P = .05) and a Breslow thickness of 1.23 mm or greater (P = .03). Additional tumor-containing nodes were noted in 5 (42%) of the 12 patients who underwent completion lymph node dissection, and these results correlated with the presence of multiple positive sentinel lymph nodes (P = .01). There were complications in 3 patients (4%) (seromas in 2 patients and temporary spinal accessory nerve paresis in 1 patient). One nodal recurrence in a basin that was negative according to SLNB results (SLNB with blue dye only) was noted (false-negative rate, 2%). The results of SLNB were accurate in 69 patients (99%).\n\nCONCLUSIO\u2026", "author" : [ { "dropping-particle" : "", "family" : "Wagner", "given" : "J D", "non-dropping-particle" : "", "parse-names" : false, "suffix" : "" }, { "dropping-particle" : "", "family" : "Park", "given" : "H M", "non-dropping-particle" : "", "parse-names" : false, "suffix" : "" }, { "dropping-particle" : "", "family" : "Coleman", "given" : "J J", "non-dropping-particle" : "", "parse-names" : false, "suffix" : "" }, { "dropping-particle" : "", "family" : "Love", "given" : "C", "non-dropping-particle" : "", "parse-names" : false, "suffix" : "" }, { "dropping-particle" : "", "family" : "Hayes", "given" : "J T", "non-dropping-particle" : "", "parse-names" : false, "suffix" : "" } ], "container-title" : "Archives of otolaryngology--head &amp; neck surgery", "id" : "ITEM-3", "issue" : "3", "issued" : { "date-parts" : [ [ "2000", "3" ] ] }, "page" : "313-21", "title" : "Cervical sentinel lymph node biopsy for melanomas of the head and neck and upper thorax.", "type" : "article-journal", "volume" : "126" }, "uris" : [ "http://www.mendeley.com/documents/?uuid=b4c557f4-a433-4729-92fc-ab775d1b54c4" ] }, { "id" : "ITEM-4", "itemData" : { "ISSN" : "1043-3074", "PMID" : "10585602", "abstract" : "BACKGROUND: Lymphatic drainage in the head and neck region is known to be particularly complex. This study explores the value of sentinel node biopsy for melanoma in the head and neck region.\n\nMETHODS: Thirty consecutive patients with clinically localized cutaneous melanoma in the head and neck region were included. Sentinel node biopsy was performed with blue dye and a gamma probe after preoperative lymphoscintigraphy. Average follow-up was 23 months (range, 1-48).\n\nRESULTS: In 27 of 30 patients, a sentinel node was identified (90%). Only 53% of sentinel nodes were both blue and radioactive. A sentinel node was tumor-positive in 8 patients. The sentinel node was false-negative in two cases. Sensitivity of the procedure was 80% (8 of 10).\n\nCONCLUSIONS: Sentinel node biopsy in the head and neck region is a technically demanding procedure. Although it may help determine whether a neck dissection is necessary in certain patients, further investigation is required before this technique can be recommended for the standard management of cutaneous head and neck melanoma.", "author" : [ { "dropping-particle" : "", "family" : "Jansen", "given" : "L", "non-dropping-particle" : "", "parse-names" : false, "suffix" : "" }, { "dropping-particle" : "", "family" : "Koops", "given" : "H S", "non-dropping-particle" : "", "parse-names" : false, "suffix" : "" }, { "dropping-particle" : "", "family" : "Nieweg", "given" : "O E", "non-dropping-particle" : "", "parse-names" : false, "suffix" : "" }, { "dropping-particle" : "", "family" : "Doting", "given" : "M H", "non-dropping-particle" : "", "parse-names" : false, "suffix" : "" }, { "dropping-particle" : "", "family" : "Kapteijn", "given" : "B A", "non-dropping-particle" : "", "parse-names" : false, "suffix" : "" }, { "dropping-particle" : "", "family" : "Balm", "given" : "A J", "non-dropping-particle" : "", "parse-names" : false, "suffix" : "" }, { "dropping-particle" : "", "family" : "Vermey", "given" : "A", "non-dropping-particle" : "", "parse-names" : false, "suffix" : "" }, { "dropping-particle" : "", "family" : "Plukker", "given" : "J T", "non-dropping-particle" : "", "parse-names" : false, "suffix" : "" }, { "dropping-particle" : "", "family" : "Hoefnagel", "given" : "C A", "non-dropping-particle" : "", "parse-names" : false, "suffix" : "" }, { "dropping-particle" : "", "family" : "Piers", "given" : "D A", "non-dropping-particle" : "", "parse-names" : false, "suffix" : "" }, { "dropping-particle" : "", "family" : "Kroon", "given" : "B B", "non-dropping-particle" : "", "parse-names" : false, "suffix" : "" } ], "container-title" : "Head &amp; neck", "id" : "ITEM-4", "issue" : "1", "issued" : { "date-parts" : [ [ "2000", "1" ] ] }, "page" : "27-33", "title" : "Sentinel node biopsy for melanoma in the head and neck region.", "type" : "article-journal", "volume" : "22" }, "uris" : [ "http://www.mendeley.com/documents/?uuid=ebf06b8a-0b18-4332-ad38-26959ee6e80c" ] }, { "id" : "ITEM-5", "itemData" : { "ISSN" : "0960-8931", "PMID" : "15305159", "abstract" : "Sentinel lymph node biopsy may be more technically challenging for melanoma of the head and neck compared with other locations because of the complex lymphatic drainage patterns. This study demonstrates the value of sentinel node biopsy for head and neck melanoma, and highlights the associated difficulties. Thirty consecutive patients with primary cutaneous melanoma of the head and neck (n=26) or draining to the neck (n=4) underwent preoperative lymphoscintigraphy. This was followed by intraoperative lymphatic mapping using blue dye alone (n=8) or in combination with a hand-held gamma probe (n=22) and sentinel lymphadenectomy. Modified neck dissection was performed in all patients with positive sentinel nodes. The study population had a male predominance (73%). Most lesions were nodular and were not ulcerated. In two patients (6.2%) preoperative lymphoscintigraphy failed to demonstrate the draining nodes, which were retrieved by surgery, and in two patients (6.2%) the sentinel node was not found at surgery despite preoperative visualization. Overall, the sentinel node was identified 93% of the time: in seven out of eight cases (88%) using blue dye alone, and in 21 out of 22 cases (96%) using a combination of blue dye and gamma probe. Four out of 28 basins were deemed positive for metastases. Twenty-three of the 24 patients with negative sentinel nodes were free of disease at a median of 31 months (range 9-91 months). There was one false-negative case salvaged by surgery. The sentinel node technique is technically demanding but advantageous for most patients with head and neck melanoma. Identification rates seem to be better when preoperative lymphoscintigraphy is combined with intraoperative blue dye mapping and a hand-held gamma probe. The relative contribution of each component could not be determined.", "author" : [ { "dropping-particle" : "", "family" : "Shpitzer", "given" : "Thomas", "non-dropping-particle" : "", "parse-names" : false, "suffix" : "" }, { "dropping-particle" : "", "family" : "Segal", "given" : "Karl", "non-dropping-particle" : "", "parse-names" : false, "suffix" : "" }, { "dropping-particle" : "", "family" : "Schachter", "given" : "Jacob", "non-dropping-particle" : "", "parse-names" : false, "suffix" : "" }, { "dropping-particle" : "", "family" : "Hardoff", "given" : "Ruth", "non-dropping-particle" : "", "parse-names" : false, "suffix" : "" }, { "dropping-particle" : "", "family" : "Guttman", "given" : "Dan", "non-dropping-particle" : "", "parse-names" : false, "suffix" : "" }, { "dropping-particle" : "", "family" : "Ulanovski", "given" : "David", "non-dropping-particle" : "", "parse-names" : false, "suffix" : "" }, { "dropping-particle" : "", "family" : "Feinmesser", "given" : "Raphael", "non-dropping-particle" : "", "parse-names" : false, "suffix" : "" }, { "dropping-particle" : "", "family" : "Gutman", "given" : "Haim", "non-dropping-particle" : "", "parse-names" : false, "suffix" : "" } ], "container-title" : "Melanoma research", "id" : "ITEM-5", "issue" : "4", "issued" : { "date-parts" : [ [ "2004", "8" ] ] }, "page" : "283-7", "title" : "Sentinel node guided surgery for melanoma in the head and neck region.", "type" : "article-journal", "volume" : "14" }, "uris" : [ "http://www.mendeley.com/documents/?uuid=734af4cf-b37d-4fee-aeeb-61e9559c8d87" ] }, { "id" : "ITEM-6", "itemData" : { "DOI" : "10.1001/archotol.130.7.844", "ISSN" : "0886-4470", "PMID" : "15262761", "abstract" : "OBJECTIVES: To analyze lymphatic drainage patterns and recurrence patterns in patients undergoing sentinel lymph node biopsy (SLNB) for cutaneous head and neck melanoma. DESIGN: Retrospective review of a consecutive series with a mean follow-up of 35 months. SETTING: Tertiary cancer care center. PATIENTS: Fifty-one patients with clinically node-negative cutaneous melanoma of the head and neck region staged by means of SLNB. INTERVENTIONS: Sentinel lymph nodes (SLNs) were identified using preoperative lymphatic mapping along with intraoperative gamma probe evaluation and isosulfan blue dye injection. Patients with a positive SLNB finding by hematoxylin-eosin or immunohistochemical evaluation underwent completion lymphadenectomy of the affected lymphatic basin and were considered for further adjuvant treatment. Patients with a negative SLNB finding were observed clinically. MAIN OUTCOME MEASURES: Location characteristics of SLNs, incidence of positive SLNs, same-basin recurrence, and disease-free survival. RESULTS: The mean number of SLNs per patients was 2.75. The extent of SLNB included removal of 1 node (n = 11), multiple nodes from 1 basin (n = 18), 1 node in multiple basins (n = 7), and multiple nodes in multiple basins (n = 15). Drainage to unexpected basins was found in 13 of 51 patients. Parotid region drainage was identified in 18 patients. There were no same-basin recurrences in patients with a negative SLNB finding. Thirty-six-month disease-free survival was 88.9% for patients with a negative SLN and 72.9% for patients with a positive SLN (P=.17). CONCLUSIONS: The number and location of SLNs is variable and difficult to predict for head and neck cutaneous melanoma. Preoperative lymphoscintigraphy is an important planning instrument to guide complete removal of all SLNs. Based on 3-year follow-up, this procedure can be expected to provide low same-basin recurrence rates for patients with a negative SLN.", "author" : [ { "dropping-particle" : "", "family" : "Fincher", "given" : "Timothy R.", "non-dropping-particle" : "", "parse-names" : false, "suffix" : "" }, { "dropping-particle" : "", "family" : "O'Brien", "given" : "John C.", "non-dropping-particle" : "", "parse-names" : false, "suffix" : "" }, { "dropping-particle" : "", "family" : "McCarty", "given" : "Todd M.", "non-dropping-particle" : "", "parse-names" : false, "suffix" : "" }, { "dropping-particle" : "", "family" : "Fisher", "given" : "Tammy L.", "non-dropping-particle" : "", "parse-names" : false, "suffix" : "" }, { "dropping-particle" : "", "family" : "Preskitt", "given" : "John T.", "non-dropping-particle" : "", "parse-names" : false, "suffix" : "" }, { "dropping-particle" : "", "family" : "Lieberman", "given" : "Zelig H.", "non-dropping-particle" : "", "parse-names" : false, "suffix" : "" }, { "dropping-particle" : "", "family" : "Stephens", "given" : "Jeffrey F.", "non-dropping-particle" : "", "parse-names" : false, "suffix" : "" }, { "dropping-particle" : "", "family" : "Kuhn", "given" : "Joseph A.", "non-dropping-particle" : "", "parse-names" : false, "suffix" : "" } ], "container-title" : "Archives of Otolaryngology\u2013Head &amp; Neck Surgery", "id" : "ITEM-6", "issue" : "7", "issued" : { "date-parts" : [ [ "2004", "7", "1" ] ] }, "page" : "844-848", "title" : "Patterns of Drainage and Recurrence Following Sentinel Lymph Node Biopsy for Cutaneous Melanoma of the Head and Neck", "type" : "article-journal", "volume" : "130" }, "uris" : [ "http://www.mendeley.com/documents/?uuid=038e1964-9817-40ad-86f8-1eaa2078941d" ] }, { "id" : "ITEM-7", "itemData" : { "ISSN" : "1529-4242", "PMID" : "15731669", "abstract" : "Sentinel lymph node biopsy has revolutionized the surgical management of primary malignant melanoma. Most series on sentinel lymph node mapping have concentrated on extremity and truncal melanomas. The head and neck region has a rich and unpredictable lymphatic system. The use of sentinel lymph node mapping in the management of head and neck melanoma is evaluated. The authors conducted a retrospective review of patients treated for clinical stage I and stage II malignant melanoma of the head and neck with dynamic lymphoscintigraphy and gamma probe-guided sentinel lymph node biopsy. One hundred thirty-two patients (99 male patients and 33 female patients) were identified. The primary melanoma sites were the scalp (n = 54), ear (n = 14), face (n = 37), and neck (n = 27). Primary tumor staging was as follows: T1, 11; T2, 38; T3, 39; and T4, 44. Dynamic lymphoscintigraphy visualized sentinel lymph nodes in 128 patients (97 percent). In 71 cases (55 percent), a single draining nodal basin was identified, and in 57 cases there were multiple draining nodal basins (two basins, 55; three basins, two). Sentinel lymph nodes were successfully identified in 176 of 186 nodal basins (95 percent). Positive sentinel lymph nodes were identified in 22 patients (17.6 percent). Sentinel lymph node positivity by tumor staging was as follows: T2, 10.8 percent; T3, 19.4 percent; and T4, 26.8 percent. Completion lymphadenectomy revealed residual disease in seven patients (33.3 percent). Sentinel lymph node mapping for head and neck melanoma can be performed with results comparable to those of other anatomical sites.", "author" : [ { "dropping-particle" : "", "family" : "Carlson", "given" : "Grant W", "non-dropping-particle" : "", "parse-names" : false, "suffix" : "" }, { "dropping-particle" : "", "family" : "Murray", "given" : "Douglas R", "non-dropping-particle" : "", "parse-names" : false, "suffix" : "" }, { "dropping-particle" : "", "family" : "Lyles", "given" : "Robert H", "non-dropping-particle" : "", "parse-names" : false, "suffix" : "" }, { "dropping-particle" : "", "family" : "Hestley", "given" : "Andrea", "non-dropping-particle" : "", "parse-names" : false, "suffix" : "" }, { "dropping-particle" : "", "family" : "Cohen", "given" : "Cynthia", "non-dropping-particle" : "", "parse-names" : false, "suffix" : "" } ], "container-title" : "Plastic and reconstructive surgery", "id" : "ITEM-7", "issue" : "3", "issued" : { "date-parts" : [ [ "2005", "3" ] ] }, "page" : "721-8", "title" : "Sentinel lymph node biopsy in the management of cutaneous head and neck melanoma.", "type" : "article-journal", "volume" : "115" }, "uris" : [ "http://www.mendeley.com/documents/?uuid=c42656d6-c7bb-4881-ba01-2d6aada4bc88" ] } ], "mendeley" : { "formattedCitation" : "&lt;sup&gt;100\u2013106&lt;/sup&gt;", "plainTextFormattedCitation" : "100\u2013106", "previouslyFormattedCitation" : "&lt;sup&gt;100\u2013106&lt;/sup&gt;"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100–106</w:t>
      </w:r>
      <w:r w:rsidRPr="003E73CD">
        <w:rPr>
          <w:sz w:val="22"/>
          <w:szCs w:val="22"/>
        </w:rPr>
        <w:fldChar w:fldCharType="end"/>
      </w:r>
      <w:proofErr w:type="gramStart"/>
      <w:r w:rsidRPr="003E73CD">
        <w:rPr>
          <w:sz w:val="22"/>
          <w:szCs w:val="22"/>
        </w:rPr>
        <w:t xml:space="preserve">  In</w:t>
      </w:r>
      <w:proofErr w:type="gramEnd"/>
      <w:r w:rsidRPr="003E73CD">
        <w:rPr>
          <w:sz w:val="22"/>
          <w:szCs w:val="22"/>
        </w:rPr>
        <w:t xml:space="preserve"> the literature, cited rates of discordance between predicted and lymphoscintigraphically-determined SLN sites in the head and neck vary from 7% to 37%.</w:t>
      </w:r>
      <w:r w:rsidRPr="003E73CD">
        <w:rPr>
          <w:sz w:val="22"/>
          <w:szCs w:val="22"/>
        </w:rPr>
        <w:fldChar w:fldCharType="begin" w:fldLock="1"/>
      </w:r>
      <w:r w:rsidR="001C6CB8">
        <w:rPr>
          <w:sz w:val="22"/>
          <w:szCs w:val="22"/>
        </w:rPr>
        <w:instrText>ADDIN CSL_CITATION { "citationItems" : [ { "id" : "ITEM-1", "itemData" : { "ISSN" : "0032-1052", "PMID" : "8134434", "abstract" : "Lymphoscintigraphy has been shown to be of assistance in defining the lymphatic drainage pattern of melanoma. In this study, lymphoscintigraphy was performed on 25 patients with primary melanoma (stages I and II at diagnosis) of the head and neck to determine whether the lymphatic drainage seen on lymphoscintigram was the same as the surgeon's expected lymphatic drainage. The lymphoscintigrams were discordant in 21 of the patients (84 percent) with drainage to a lymphatic basin not predicted clinically. Based on the discordant lymphoscintigram, a change in surgical therapy occurred in 13 of 21 patients (62 percent). Of the 25 patients, 18 underwent prophylactic node dissections and 7 did not. Of the nodal basins removed, 27 of 38 nodal bases (71 percent) were seen on lymphoscintigraphy. Melanoma metastatic to lymph nodes was removed from nodal basins identified by the lymphoscintigram, but not predicted clinically, in two patients (8 percent). Historical anatomical patterns of lymph drainage and the clinical impression of experienced surgeons cannot reliably predict the pattern of lymphatic drainage in patients with melanoma of the head and neck.", "author" : [ { "dropping-particle" : "", "family" : "Wells", "given" : "K E", "non-dropping-particle" : "", "parse-names" : false, "suffix" : "" }, { "dropping-particle" : "", "family" : "Cruse", "given" : "C W", "non-dropping-particle" : "", "parse-names" : false, "suffix" : "" }, { "dropping-particle" : "", "family" : "Daniels", "given" : "S", "non-dropping-particle" : "", "parse-names" : false, "suffix" : "" }, { "dropping-particle" : "", "family" : "Berman", "given" : "C", "non-dropping-particle" : "", "parse-names" : false, "suffix" : "" }, { "dropping-particle" : "", "family" : "Norman", "given" : "J", "non-dropping-particle" : "", "parse-names" : false, "suffix" : "" }, { "dropping-particle" : "", "family" : "Reintgen", "given" : "D S", "non-dropping-particle" : "", "parse-names" : false, "suffix" : "" } ], "container-title" : "Plastic and reconstructive surgery", "id" : "ITEM-1", "issue" : "4", "issued" : { "date-parts" : [ [ "1994", "4" ] ] }, "page" : "757-61", "title" : "The use of lymphoscintigraphy in melanoma of the head and neck.", "type" : "article-journal", "volume" : "93" }, "uris" : [ "http://www.mendeley.com/documents/?uuid=a743256c-eac3-4845-9faf-4815af449197" ] }, { "id" : "ITEM-2", "itemData" : { "ISSN" : "0002-9610", "PMID" : "7485733", "abstract" : "BACKGROUND: The technique of lymphoscintigraphy may allow a more selective approach to the management of clinically negative neck nodes among patients with cutaneous head and neck melanoma.\n\nPATIENTS AND METHODS: A group of 97 patients with cutaneous head and neck melanoma had preoperative lymphoscintigraphy using intradermal injections of technetium 99m antimony trisulfide colloid to identify sentinel nodes. Fifty-one patients were eligible for clinical analysis after initial definitive treatment by wide excision only (n = 11), wide excision and elective dissection of the neck (n = 19) or axilla (n = 1), or wide excision and a sentinel node biopsy procedure (n = 20).\n\nRESULTS: Sentinel nodes were identified in 95 of 97 lymphoscintigrams, and 85% of patients had multiple sentinel nodes. In 21 patients (22%), sentinel nodes were identified outside the parotid region and the 5 main neck levels, mostly in postauricular nodes (n = 13). Lymphoscintigrams were discordant with clinical predictions in 33 patients (34%). Lymph nodes were positive in 4 elective dissections and 4 sentinel node biopsies. Among 16 patients evaluable after wide excision and a negative sentinel node biopsy, 4 patients subsequently developed metastatic nodes; however, confident identification of all nodes marked as sentinel nodes on lymphoscintigraphy was not achieved at the original biopsy procedure in 3 of these patients.\n\nCONCLUSIONS: Lymphoscintigraphy and sentinel node biopsy are more difficult to perform in the head and neck than in other parts of the body. The reliability of sentinel node biopsy based on lymphoscintigraphy may be improved by identifying and marking all nodes that are considered to receive direct lymphatic drainage from the primary melanoma, and by use of a gamma probe intraoperatively.", "author" : [ { "dropping-particle" : "", "family" : "O'Brien", "given" : "C J", "non-dropping-particle" : "", "parse-names" : false, "suffix" : "" }, { "dropping-particle" : "", "family" : "Uren", "given" : "R F", "non-dropping-particle" : "", "parse-names" : false, "suffix" : "" }, { "dropping-particle" : "", "family" : "Thompson", "given" : "J F", "non-dropping-particle" : "", "parse-names" : false, "suffix" : "" }, { "dropping-particle" : "", "family" : "Howman-Giles", "given" : "R B", "non-dropping-particle" : "", "parse-names" : false, "suffix" : "" }, { "dropping-particle" : "", "family" : "Petersen-Schaefer", "given" : "K", "non-dropping-particle" : "", "parse-names" : false, "suffix" : "" }, { "dropping-particle" : "", "family" : "Shaw", "given" : "H M", "non-dropping-particle" : "", "parse-names" : false, "suffix" : "" }, { "dropping-particle" : "", "family" : "Quinn", "given" : "M J", "non-dropping-particle" : "", "parse-names" : false, "suffix" : "" }, { "dropping-particle" : "", "family" : "McCarthy", "given" : "W H", "non-dropping-particle" : "", "parse-names" : false, "suffix" : "" } ], "container-title" : "American journal of surgery", "id" : "ITEM-2", "issue" : "5", "issued" : { "date-parts" : [ [ "1995", "11" ] ] }, "page" : "461-6", "title" : "Prediction of potential metastatic sites in cutaneous head and neck melanoma using lymphoscintigraphy.", "type" : "article-journal", "volume" : "170" }, "uris" : [ "http://www.mendeley.com/documents/?uuid=05380489-57e3-4f1b-97e9-45bb73411cac" ] }, { "id" : "ITEM-3", "itemData" : { "ISSN" : "1043-3074", "PMID" : "10585602", "abstract" : "BACKGROUND: Lymphatic drainage in the head and neck region is known to be particularly complex. This study explores the value of sentinel node biopsy for melanoma in the head and neck region.\n\nMETHODS: Thirty consecutive patients with clinically localized cutaneous melanoma in the head and neck region were included. Sentinel node biopsy was performed with blue dye and a gamma probe after preoperative lymphoscintigraphy. Average follow-up was 23 months (range, 1-48).\n\nRESULTS: In 27 of 30 patients, a sentinel node was identified (90%). Only 53% of sentinel nodes were both blue and radioactive. A sentinel node was tumor-positive in 8 patients. The sentinel node was false-negative in two cases. Sensitivity of the procedure was 80% (8 of 10).\n\nCONCLUSIONS: Sentinel node biopsy in the head and neck region is a technically demanding procedure. Although it may help determine whether a neck dissection is necessary in certain patients, further investigation is required before this technique can be recommended for the standard management of cutaneous head and neck melanoma.", "author" : [ { "dropping-particle" : "", "family" : "Jansen", "given" : "L", "non-dropping-particle" : "", "parse-names" : false, "suffix" : "" }, { "dropping-particle" : "", "family" : "Koops", "given" : "H S", "non-dropping-particle" : "", "parse-names" : false, "suffix" : "" }, { "dropping-particle" : "", "family" : "Nieweg", "given" : "O E", "non-dropping-particle" : "", "parse-names" : false, "suffix" : "" }, { "dropping-particle" : "", "family" : "Doting", "given" : "M H", "non-dropping-particle" : "", "parse-names" : false, "suffix" : "" }, { "dropping-particle" : "", "family" : "Kapteijn", "given" : "B A", "non-dropping-particle" : "", "parse-names" : false, "suffix" : "" }, { "dropping-particle" : "", "family" : "Balm", "given" : "A J", "non-dropping-particle" : "", "parse-names" : false, "suffix" : "" }, { "dropping-particle" : "", "family" : "Vermey", "given" : "A", "non-dropping-particle" : "", "parse-names" : false, "suffix" : "" }, { "dropping-particle" : "", "family" : "Plukker", "given" : "J T", "non-dropping-particle" : "", "parse-names" : false, "suffix" : "" }, { "dropping-particle" : "", "family" : "Hoefnagel", "given" : "C A", "non-dropping-particle" : "", "parse-names" : false, "suffix" : "" }, { "dropping-particle" : "", "family" : "Piers", "given" : "D A", "non-dropping-particle" : "", "parse-names" : false, "suffix" : "" }, { "dropping-particle" : "", "family" : "Kroon", "given" : "B B", "non-dropping-particle" : "", "parse-names" : false, "suffix" : "" } ], "container-title" : "Head &amp; neck", "id" : "ITEM-3", "issue" : "1", "issued" : { "date-parts" : [ [ "2000", "1" ] ] }, "page" : "27-33", "title" : "Sentinel node biopsy for melanoma in the head and neck region.", "type" : "article-journal", "volume" : "22" }, "uris" : [ "http://www.mendeley.com/documents/?uuid=ebf06b8a-0b18-4332-ad38-26959ee6e80c" ] }, { "id" : "ITEM-4", "itemData" : { "ISSN" : "0960-8931", "PMID" : "15305159", "abstract" : "Sentinel lymph node biopsy may be more technically challenging for melanoma of the head and neck compared with other locations because of the complex lymphatic drainage patterns. This study demonstrates the value of sentinel node biopsy for head and neck melanoma, and highlights the associated difficulties. Thirty consecutive patients with primary cutaneous melanoma of the head and neck (n=26) or draining to the neck (n=4) underwent preoperative lymphoscintigraphy. This was followed by intraoperative lymphatic mapping using blue dye alone (n=8) or in combination with a hand-held gamma probe (n=22) and sentinel lymphadenectomy. Modified neck dissection was performed in all patients with positive sentinel nodes. The study population had a male predominance (73%). Most lesions were nodular and were not ulcerated. In two patients (6.2%) preoperative lymphoscintigraphy failed to demonstrate the draining nodes, which were retrieved by surgery, and in two patients (6.2%) the sentinel node was not found at surgery despite preoperative visualization. Overall, the sentinel node was identified 93% of the time: in seven out of eight cases (88%) using blue dye alone, and in 21 out of 22 cases (96%) using a combination of blue dye and gamma probe. Four out of 28 basins were deemed positive for metastases. Twenty-three of the 24 patients with negative sentinel nodes were free of disease at a median of 31 months (range 9-91 months). There was one false-negative case salvaged by surgery. The sentinel node technique is technically demanding but advantageous for most patients with head and neck melanoma. Identification rates seem to be better when preoperative lymphoscintigraphy is combined with intraoperative blue dye mapping and a hand-held gamma probe. The relative contribution of each component could not be determined.", "author" : [ { "dropping-particle" : "", "family" : "Shpitzer", "given" : "Thomas", "non-dropping-particle" : "", "parse-names" : false, "suffix" : "" }, { "dropping-particle" : "", "family" : "Segal", "given" : "Karl", "non-dropping-particle" : "", "parse-names" : false, "suffix" : "" }, { "dropping-particle" : "", "family" : "Schachter", "given" : "Jacob", "non-dropping-particle" : "", "parse-names" : false, "suffix" : "" }, { "dropping-particle" : "", "family" : "Hardoff", "given" : "Ruth", "non-dropping-particle" : "", "parse-names" : false, "suffix" : "" }, { "dropping-particle" : "", "family" : "Guttman", "given" : "Dan", "non-dropping-particle" : "", "parse-names" : false, "suffix" : "" }, { "dropping-particle" : "", "family" : "Ulanovski", "given" : "David", "non-dropping-particle" : "", "parse-names" : false, "suffix" : "" }, { "dropping-particle" : "", "family" : "Feinmesser", "given" : "Raphael", "non-dropping-particle" : "", "parse-names" : false, "suffix" : "" }, { "dropping-particle" : "", "family" : "Gutman", "given" : "Haim", "non-dropping-particle" : "", "parse-names" : false, "suffix" : "" } ], "container-title" : "Melanoma research", "id" : "ITEM-4", "issue" : "4", "issued" : { "date-parts" : [ [ "2004", "8" ] ] }, "page" : "283-7", "title" : "Sentinel node guided surgery for melanoma in the head and neck region.", "type" : "article-journal", "volume" : "14" }, "uris" : [ "http://www.mendeley.com/documents/?uuid=734af4cf-b37d-4fee-aeeb-61e9559c8d87" ] }, { "id" : "ITEM-5", "itemData" : { "DOI" : "10.1001/archotol.130.7.844", "ISSN" : "0886-4470", "PMID" : "15262761", "abstract" : "OBJECTIVES: To analyze lymphatic drainage patterns and recurrence patterns in patients undergoing sentinel lymph node biopsy (SLNB) for cutaneous head and neck melanoma. DESIGN: Retrospective review of a consecutive series with a mean follow-up of 35 months. SETTING: Tertiary cancer care center. PATIENTS: Fifty-one patients with clinically node-negative cutaneous melanoma of the head and neck region staged by means of SLNB. INTERVENTIONS: Sentinel lymph nodes (SLNs) were identified using preoperative lymphatic mapping along with intraoperative gamma probe evaluation and isosulfan blue dye injection. Patients with a positive SLNB finding by hematoxylin-eosin or immunohistochemical evaluation underwent completion lymphadenectomy of the affected lymphatic basin and were considered for further adjuvant treatment. Patients with a negative SLNB finding were observed clinically. MAIN OUTCOME MEASURES: Location characteristics of SLNs, incidence of positive SLNs, same-basin recurrence, and disease-free survival. RESULTS: The mean number of SLNs per patients was 2.75. The extent of SLNB included removal of 1 node (n = 11), multiple nodes from 1 basin (n = 18), 1 node in multiple basins (n = 7), and multiple nodes in multiple basins (n = 15). Drainage to unexpected basins was found in 13 of 51 patients. Parotid region drainage was identified in 18 patients. There were no same-basin recurrences in patients with a negative SLNB finding. Thirty-six-month disease-free survival was 88.9% for patients with a negative SLN and 72.9% for patients with a positive SLN (P=.17). CONCLUSIONS: The number and location of SLNs is variable and difficult to predict for head and neck cutaneous melanoma. Preoperative lymphoscintigraphy is an important planning instrument to guide complete removal of all SLNs. Based on 3-year follow-up, this procedure can be expected to provide low same-basin recurrence rates for patients with a negative SLN.", "author" : [ { "dropping-particle" : "", "family" : "Fincher", "given" : "Timothy R.", "non-dropping-particle" : "", "parse-names" : false, "suffix" : "" }, { "dropping-particle" : "", "family" : "O'Brien", "given" : "John C.", "non-dropping-particle" : "", "parse-names" : false, "suffix" : "" }, { "dropping-particle" : "", "family" : "McCarty", "given" : "Todd M.", "non-dropping-particle" : "", "parse-names" : false, "suffix" : "" }, { "dropping-particle" : "", "family" : "Fisher", "given" : "Tammy L.", "non-dropping-particle" : "", "parse-names" : false, "suffix" : "" }, { "dropping-particle" : "", "family" : "Preskitt", "given" : "John T.", "non-dropping-particle" : "", "parse-names" : false, "suffix" : "" }, { "dropping-particle" : "", "family" : "Lieberman", "given" : "Zelig H.", "non-dropping-particle" : "", "parse-names" : false, "suffix" : "" }, { "dropping-particle" : "", "family" : "Stephens", "given" : "Jeffrey F.", "non-dropping-particle" : "", "parse-names" : false, "suffix" : "" }, { "dropping-particle" : "", "family" : "Kuhn", "given" : "Joseph A.", "non-dropping-particle" : "", "parse-names" : false, "suffix" : "" } ], "container-title" : "Archives of Otolaryngology\u2013Head &amp; Neck Surgery", "id" : "ITEM-5", "issue" : "7", "issued" : { "date-parts" : [ [ "2004", "7", "1" ] ] }, "page" : "844-848", "title" : "Patterns of Drainage and Recurrence Following Sentinel Lymph Node Biopsy for Cutaneous Melanoma of the Head and Neck", "type" : "article-journal", "volume" : "130" }, "uris" : [ "http://www.mendeley.com/documents/?uuid=038e1964-9817-40ad-86f8-1eaa2078941d" ] } ], "mendeley" : { "formattedCitation" : "&lt;sup&gt;100,101,103\u2013105&lt;/sup&gt;", "plainTextFormattedCitation" : "100,101,103\u2013105", "previouslyFormattedCitation" : "&lt;sup&gt;100,101,103\u2013105&lt;/sup&gt;"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100,101,103–105</w:t>
      </w:r>
      <w:r w:rsidRPr="003E73CD">
        <w:rPr>
          <w:sz w:val="22"/>
          <w:szCs w:val="22"/>
        </w:rPr>
        <w:fldChar w:fldCharType="end"/>
      </w:r>
    </w:p>
    <w:p w14:paraId="6895C96E" w14:textId="669A34D5" w:rsidR="0061482C" w:rsidRPr="003E73CD" w:rsidRDefault="0061482C" w:rsidP="0061482C">
      <w:pPr>
        <w:widowControl w:val="0"/>
        <w:autoSpaceDE w:val="0"/>
        <w:autoSpaceDN w:val="0"/>
        <w:adjustRightInd w:val="0"/>
        <w:spacing w:line="480" w:lineRule="auto"/>
        <w:ind w:firstLine="720"/>
        <w:rPr>
          <w:sz w:val="22"/>
          <w:szCs w:val="22"/>
        </w:rPr>
      </w:pPr>
      <w:r w:rsidRPr="003E73CD">
        <w:rPr>
          <w:sz w:val="22"/>
          <w:szCs w:val="22"/>
        </w:rPr>
        <w:t>Two recent studies have provided valuable insights into the lymphatic anatomy of the head and neck, and have contributed greatly to current understanding in this area.</w:t>
      </w:r>
      <w:r w:rsidRPr="003E73CD">
        <w:rPr>
          <w:sz w:val="22"/>
          <w:szCs w:val="22"/>
        </w:rPr>
        <w:fldChar w:fldCharType="begin" w:fldLock="1"/>
      </w:r>
      <w:r w:rsidR="005676A9">
        <w:rPr>
          <w:sz w:val="22"/>
          <w:szCs w:val="22"/>
        </w:rPr>
        <w:instrText>ADDIN CSL_CITATION { "citationItems" : [ { "id" : "ITEM-1", "itemData" : { "DOI" : "10.1097/PRS.0b013e31816aa072", "ISSN" : "1529-4242", "PMID" : "18453984", "abstract" : "BACKGROUND: Current knowledge of the anatomy of the lymphatic system does not match or explain some of the unexpected clinical and lymphoscintigraphic findings seen in head and neck cancer patients. There is the need, therefore, to remap the lymphatic network of the superficial tissues of the head and neck region.\n\nMETHODS: Eighteen halves of the superficial tissues of the head and neck from nine fresh human cadavers were studied over a 20-month period using a mixture of 6% hydrogen peroxide (Orion Laboratories, Balcatta, Australia) with and without India ink to detect the lymphatic vessels and then inject them with a radiopaque lead oxide mixture (AJAX Chemicals, Sydney, Australia).\n\nRESULTS: These unique studies showed (1) lymph capillaries arising from the skin and the galea layers draining sequentially into precollecting lymph vessels, collecting lymphatics, and the first-tier lymph nodes; (2) collecting vessels averaging 0.2 mm in diameter with unusual \"lymphatic ampullae\" structures and inactive lymph nodes observed often along their course; (3) different network patterns between subjects and between sides of the same subject; (4) similar relationships between lymphatic and venous systems; (5) a lymphaticovenous shunt in the occipital region; (6) lymphatics sometimes bypassing the expected nodes to reach sentinel nodes in the root of the neck; and (7) the lymphatics of the anterior neck lying above the platysma and coursing horizontally, obliquely, and upward toward the mandible.\n\nCONCLUSION: A map of the head and neck lymphatics is presented to aid clinicians with the management of trauma and malignancies in the region.", "author" : [ { "dropping-particle" : "", "family" : "Pan", "given" : "Wei-Ren", "non-dropping-particle" : "", "parse-names" : false, "suffix" : "" }, { "dropping-particle" : "", "family" : "Suami", "given" : "Hiroo", "non-dropping-particle" : "", "parse-names" : false, "suffix" : "" }, { "dropping-particle" : "", "family" : "Taylor", "given" : "G Ian", "non-dropping-particle" : "", "parse-names" : false, "suffix" : "" } ], "container-title" : "Plastic and reconstructive surgery", "id" : "ITEM-1", "issue" : "5", "issued" : { "date-parts" : [ [ "2008", "5" ] ] }, "page" : "1614-24; discussion 1625-6", "title" : "Lymphatic drainage of the superficial tissues of the head and neck: anatomical study and clinical implications.", "type" : "article-journal", "volume" : "121" }, "uris" : [ "http://www.mendeley.com/documents/?uuid=72a58cc7-be87-4e4d-8fc4-c8463fa9f261" ] }, { "id" : "ITEM-2", "itemData" : { "DOI" : "10.1002/hed.21089", "ISSN" : "10433074", "PMID" : "19360751", "abstract" : "BACKGROUND: Lymphatic drainage from skin on the head and neck is complex. We sought to provide improved visualization and analysis of the patterns of head and neck skin lymphatic drainage using aggregated lymphoscintigraphy data.\n\nMETHODS: Lymphoscintigraphy data from 929 patients with cutaneous melanoma on the head and neck collected at the Sydney Melanoma Unit have been mapped onto a 3-dimensional computer model of the skin and lymph nodes.\n\nRESULTS: Novel heat maps and interactive software have been created, which show subtle differences in lymphatic drainage patterns when compared with those that are previously reported. Posterior head and neck node fields largely drained posterior regions of the head and neck, whereas anterolateral skin regions were generally drained by the other head and neck node fields.\n\nCONCLUSIONS: The heat maps and interactive software tool provide novel visualization of head and neck lymphatic drainage patterns, which has both educational and clinical utility.", "author" : [ { "dropping-particle" : "", "family" : "Reynolds", "given" : "Hayley M.", "non-dropping-particle" : "", "parse-names" : false, "suffix" : "" }, { "dropping-particle" : "", "family" : "Smith", "given" : "Nicolas P.", "non-dropping-particle" : "", "parse-names" : false, "suffix" : "" }, { "dropping-particle" : "", "family" : "Uren", "given" : "Roger F.", "non-dropping-particle" : "", "parse-names" : false, "suffix" : "" }, { "dropping-particle" : "", "family" : "Thompson", "given" : "John F.", "non-dropping-particle" : "", "parse-names" : false, "suffix" : "" }, { "dropping-particle" : "", "family" : "Dunbar", "given" : "P. Rod", "non-dropping-particle" : "", "parse-names" : false, "suffix" : "" } ], "container-title" : "Head &amp; Neck", "id" : "ITEM-2", "issue" : "10", "issued" : { "date-parts" : [ [ "2009", "10" ] ] }, "page" : "1316-1325", "title" : "Three-dimensional visualization of skin lymphatic drainage patterns of the head and neck", "type" : "article-journal", "volume" : "31" }, "uris" : [ "http://www.mendeley.com/documents/?uuid=830361f0-f28f-4e05-bcb1-003202323ed6" ] } ], "mendeley" : { "formattedCitation" : "&lt;sup&gt;213,223&lt;/sup&gt;", "plainTextFormattedCitation" : "213,223", "previouslyFormattedCitation" : "&lt;sup&gt;213,223&lt;/sup&gt;" }, "properties" : { "noteIndex" : 0 }, "schema" : "https://github.com/citation-style-language/schema/raw/master/csl-citation.json" }</w:instrText>
      </w:r>
      <w:r w:rsidRPr="003E73CD">
        <w:rPr>
          <w:sz w:val="22"/>
          <w:szCs w:val="22"/>
        </w:rPr>
        <w:fldChar w:fldCharType="separate"/>
      </w:r>
      <w:r w:rsidR="00217FAC" w:rsidRPr="00217FAC">
        <w:rPr>
          <w:noProof/>
          <w:sz w:val="22"/>
          <w:szCs w:val="22"/>
          <w:vertAlign w:val="superscript"/>
        </w:rPr>
        <w:t>213,223</w:t>
      </w:r>
      <w:r w:rsidRPr="003E73CD">
        <w:rPr>
          <w:sz w:val="22"/>
          <w:szCs w:val="22"/>
        </w:rPr>
        <w:fldChar w:fldCharType="end"/>
      </w:r>
      <w:proofErr w:type="gramStart"/>
      <w:r w:rsidRPr="003E73CD">
        <w:rPr>
          <w:sz w:val="22"/>
          <w:szCs w:val="22"/>
        </w:rPr>
        <w:t xml:space="preserve">  The</w:t>
      </w:r>
      <w:proofErr w:type="gramEnd"/>
      <w:r w:rsidRPr="003E73CD">
        <w:rPr>
          <w:sz w:val="22"/>
          <w:szCs w:val="22"/>
        </w:rPr>
        <w:t xml:space="preserve"> first of these was undertaken by Pan, Suami and Taylor.</w:t>
      </w:r>
      <w:r w:rsidRPr="003E73CD">
        <w:rPr>
          <w:sz w:val="22"/>
          <w:szCs w:val="22"/>
        </w:rPr>
        <w:fldChar w:fldCharType="begin" w:fldLock="1"/>
      </w:r>
      <w:r w:rsidR="005676A9">
        <w:rPr>
          <w:sz w:val="22"/>
          <w:szCs w:val="22"/>
        </w:rPr>
        <w:instrText>ADDIN CSL_CITATION { "citationItems" : [ { "id" : "ITEM-1", "itemData" : { "DOI" : "10.1097/PRS.0b013e31816aa072", "ISSN" : "1529-4242", "PMID" : "18453984", "abstract" : "BACKGROUND: Current knowledge of the anatomy of the lymphatic system does not match or explain some of the unexpected clinical and lymphoscintigraphic findings seen in head and neck cancer patients. There is the need, therefore, to remap the lymphatic network of the superficial tissues of the head and neck region.\n\nMETHODS: Eighteen halves of the superficial tissues of the head and neck from nine fresh human cadavers were studied over a 20-month period using a mixture of 6% hydrogen peroxide (Orion Laboratories, Balcatta, Australia) with and without India ink to detect the lymphatic vessels and then inject them with a radiopaque lead oxide mixture (AJAX Chemicals, Sydney, Australia).\n\nRESULTS: These unique studies showed (1) lymph capillaries arising from the skin and the galea layers draining sequentially into precollecting lymph vessels, collecting lymphatics, and the first-tier lymph nodes; (2) collecting vessels averaging 0.2 mm in diameter with unusual \"lymphatic ampullae\" structures and inactive lymph nodes observed often along their course; (3) different network patterns between subjects and between sides of the same subject; (4) similar relationships between lymphatic and venous systems; (5) a lymphaticovenous shunt in the occipital region; (6) lymphatics sometimes bypassing the expected nodes to reach sentinel nodes in the root of the neck; and (7) the lymphatics of the anterior neck lying above the platysma and coursing horizontally, obliquely, and upward toward the mandible.\n\nCONCLUSION: A map of the head and neck lymphatics is presented to aid clinicians with the management of trauma and malignancies in the region.", "author" : [ { "dropping-particle" : "", "family" : "Pan", "given" : "Wei-Ren", "non-dropping-particle" : "", "parse-names" : false, "suffix" : "" }, { "dropping-particle" : "", "family" : "Suami", "given" : "Hiroo", "non-dropping-particle" : "", "parse-names" : false, "suffix" : "" }, { "dropping-particle" : "", "family" : "Taylor", "given" : "G Ian", "non-dropping-particle" : "", "parse-names" : false, "suffix" : "" } ], "container-title" : "Plastic and reconstructive surgery", "id" : "ITEM-1", "issue" : "5", "issued" : { "date-parts" : [ [ "2008", "5" ] ] }, "page" : "1614-24; discussion 1625-6", "title" : "Lymphatic drainage of the superficial tissues of the head and neck: anatomical study and clinical implications.", "type" : "article-journal", "volume" : "121" }, "uris" : [ "http://www.mendeley.com/documents/?uuid=72a58cc7-be87-4e4d-8fc4-c8463fa9f261" ] } ], "mendeley" : { "formattedCitation" : "&lt;sup&gt;213&lt;/sup&gt;", "plainTextFormattedCitation" : "213", "previouslyFormattedCitation" : "&lt;sup&gt;213&lt;/sup&gt;" }, "properties" : { "noteIndex" : 0 }, "schema" : "https://github.com/citation-style-language/schema/raw/master/csl-citation.json" }</w:instrText>
      </w:r>
      <w:r w:rsidRPr="003E73CD">
        <w:rPr>
          <w:sz w:val="22"/>
          <w:szCs w:val="22"/>
        </w:rPr>
        <w:fldChar w:fldCharType="separate"/>
      </w:r>
      <w:r w:rsidR="00217FAC" w:rsidRPr="00217FAC">
        <w:rPr>
          <w:noProof/>
          <w:sz w:val="22"/>
          <w:szCs w:val="22"/>
          <w:vertAlign w:val="superscript"/>
        </w:rPr>
        <w:t>213</w:t>
      </w:r>
      <w:r w:rsidRPr="003E73CD">
        <w:rPr>
          <w:sz w:val="22"/>
          <w:szCs w:val="22"/>
        </w:rPr>
        <w:fldChar w:fldCharType="end"/>
      </w:r>
      <w:proofErr w:type="gramStart"/>
      <w:r w:rsidRPr="003E73CD">
        <w:rPr>
          <w:sz w:val="22"/>
          <w:szCs w:val="22"/>
        </w:rPr>
        <w:t xml:space="preserve">  Using</w:t>
      </w:r>
      <w:proofErr w:type="gramEnd"/>
      <w:r w:rsidRPr="003E73CD">
        <w:rPr>
          <w:sz w:val="22"/>
          <w:szCs w:val="22"/>
        </w:rPr>
        <w:t xml:space="preserve"> a mixture of hydrogen peroxide with and without India ink they were able to detect lymphatic vessels and inject them with a radio-opaque lead oxide mixture.  This technique was carried out to map lymphatics of the superficial head and neck tissues from 9 fresh-frozen human cadavers.  The specimen from each cadaver was divided in half at the midline and so the presence or absence of lymphatic vessels crossing the midline could not be investigated.  However, in one cadaver shown in their paper a lymphatic vessel can be seen passing vertically down the forehead, through the glabellar region, medial to the eye and then obliquely over the face to a buccinator node.  This pathway was not recorded in the drawings by Sappey, in which all lymphatic vessels were shown running transversely across the forehead from the midline.</w:t>
      </w:r>
      <w:r w:rsidRPr="003E73CD">
        <w:rPr>
          <w:sz w:val="22"/>
          <w:szCs w:val="22"/>
        </w:rPr>
        <w:fldChar w:fldCharType="begin" w:fldLock="1"/>
      </w:r>
      <w:r w:rsidR="001C6CB8">
        <w:rPr>
          <w:sz w:val="22"/>
          <w:szCs w:val="22"/>
        </w:rPr>
        <w:instrText>ADDIN CSL_CITATION { "citationItems" : [ { "id" : "ITEM-1", "itemData" : { "author" : [ { "dropping-particle" : "", "family" : "Sappey", "given" : "P.C.", "non-dropping-particle" : "", "parse-names" : false, "suffix" : "" } ], "id" : "ITEM-1", "issued" : { "date-parts" : [ [ "1874" ] ] }, "publisher" : "Delahaye", "publisher-place" : "Paris", "title" : "Anatomie, physiologie, pathologie des vaisseaux lymphatiques consid\u00e2er\u00e2es chez l'homme et les vert\u00e2ebr\u00e2es", "type" : "book" }, "uris" : [ "http://www.mendeley.com/documents/?uuid=e0452392-5ff2-4fb5-b884-e9e3e6040415" ] } ], "mendeley" : { "formattedCitation" : "&lt;sup&gt;91&lt;/sup&gt;", "plainTextFormattedCitation" : "91", "previouslyFormattedCitation" : "&lt;sup&gt;91&lt;/sup&gt;" }, "properties" : { "noteIndex" : 0 }, "schema" : "https://github.com/citation-style-language/schema/raw/master/csl-citation.json" }</w:instrText>
      </w:r>
      <w:r w:rsidRPr="003E73CD">
        <w:rPr>
          <w:sz w:val="22"/>
          <w:szCs w:val="22"/>
        </w:rPr>
        <w:fldChar w:fldCharType="separate"/>
      </w:r>
      <w:r w:rsidR="00E03647" w:rsidRPr="00E03647">
        <w:rPr>
          <w:noProof/>
          <w:sz w:val="22"/>
          <w:szCs w:val="22"/>
          <w:vertAlign w:val="superscript"/>
        </w:rPr>
        <w:t>91</w:t>
      </w:r>
      <w:r w:rsidRPr="003E73CD">
        <w:rPr>
          <w:sz w:val="22"/>
          <w:szCs w:val="22"/>
        </w:rPr>
        <w:fldChar w:fldCharType="end"/>
      </w:r>
      <w:r w:rsidRPr="003E73CD">
        <w:rPr>
          <w:sz w:val="22"/>
          <w:szCs w:val="22"/>
        </w:rPr>
        <w:t xml:space="preserve">   The present study based on lymphoscintigraphy corroborates the findings in cadavers of Pan et al. and demonstrates, in vivo, that drainage can occur from the central forehead and glabella via lymphatics that pass vertically down the forehead between the eyes, beside the nose and across the cheek to level 1 or preauricular nodes (Figure </w:t>
      </w:r>
      <w:r w:rsidR="0048668C">
        <w:rPr>
          <w:sz w:val="22"/>
          <w:szCs w:val="22"/>
        </w:rPr>
        <w:t>2.2</w:t>
      </w:r>
      <w:r w:rsidR="0045660C" w:rsidRPr="003E73CD">
        <w:rPr>
          <w:sz w:val="22"/>
          <w:szCs w:val="22"/>
        </w:rPr>
        <w:t>.</w:t>
      </w:r>
      <w:r w:rsidR="00806C9E">
        <w:rPr>
          <w:sz w:val="22"/>
          <w:szCs w:val="22"/>
        </w:rPr>
        <w:t>5</w:t>
      </w:r>
      <w:r w:rsidRPr="003E73CD">
        <w:rPr>
          <w:sz w:val="22"/>
          <w:szCs w:val="22"/>
        </w:rPr>
        <w:t>).</w:t>
      </w:r>
      <w:r w:rsidRPr="003E73CD">
        <w:rPr>
          <w:sz w:val="22"/>
          <w:szCs w:val="22"/>
        </w:rPr>
        <w:fldChar w:fldCharType="begin" w:fldLock="1"/>
      </w:r>
      <w:r w:rsidR="005676A9">
        <w:rPr>
          <w:sz w:val="22"/>
          <w:szCs w:val="22"/>
        </w:rPr>
        <w:instrText>ADDIN CSL_CITATION { "citationItems" : [ { "id" : "ITEM-1", "itemData" : { "DOI" : "10.1097/PRS.0b013e31816aa072", "ISSN" : "1529-4242", "PMID" : "18453984", "abstract" : "BACKGROUND: Current knowledge of the anatomy of the lymphatic system does not match or explain some of the unexpected clinical and lymphoscintigraphic findings seen in head and neck cancer patients. There is the need, therefore, to remap the lymphatic network of the superficial tissues of the head and neck region.\n\nMETHODS: Eighteen halves of the superficial tissues of the head and neck from nine fresh human cadavers were studied over a 20-month period using a mixture of 6% hydrogen peroxide (Orion Laboratories, Balcatta, Australia) with and without India ink to detect the lymphatic vessels and then inject them with a radiopaque lead oxide mixture (AJAX Chemicals, Sydney, Australia).\n\nRESULTS: These unique studies showed (1) lymph capillaries arising from the skin and the galea layers draining sequentially into precollecting lymph vessels, collecting lymphatics, and the first-tier lymph nodes; (2) collecting vessels averaging 0.2 mm in diameter with unusual \"lymphatic ampullae\" structures and inactive lymph nodes observed often along their course; (3) different network patterns between subjects and between sides of the same subject; (4) similar relationships between lymphatic and venous systems; (5) a lymphaticovenous shunt in the occipital region; (6) lymphatics sometimes bypassing the expected nodes to reach sentinel nodes in the root of the neck; and (7) the lymphatics of the anterior neck lying above the platysma and coursing horizontally, obliquely, and upward toward the mandible.\n\nCONCLUSION: A map of the head and neck lymphatics is presented to aid clinicians with the management of trauma and malignancies in the region.", "author" : [ { "dropping-particle" : "", "family" : "Pan", "given" : "Wei-Ren", "non-dropping-particle" : "", "parse-names" : false, "suffix" : "" }, { "dropping-particle" : "", "family" : "Suami", "given" : "Hiroo", "non-dropping-particle" : "", "parse-names" : false, "suffix" : "" }, { "dropping-particle" : "", "family" : "Taylor", "given" : "G Ian", "non-dropping-particle" : "", "parse-names" : false, "suffix" : "" } ], "container-title" : "Plastic and reconstructive surgery", "id" : "ITEM-1", "issue" : "5", "issued" : { "date-parts" : [ [ "2008", "5" ] ] }, "page" : "1614-24; discussion 1625-6", "title" : "Lymphatic drainage of the superficial tissues of the head and neck: anatomical study and clinical implications.", "type" : "article-journal", "volume" : "121" }, "uris" : [ "http://www.mendeley.com/documents/?uuid=72a58cc7-be87-4e4d-8fc4-c8463fa9f261" ] } ], "mendeley" : { "formattedCitation" : "&lt;sup&gt;213&lt;/sup&gt;", "plainTextFormattedCitation" : "213", "previouslyFormattedCitation" : "&lt;sup&gt;213&lt;/sup&gt;" }, "properties" : { "noteIndex" : 0 }, "schema" : "https://github.com/citation-style-language/schema/raw/master/csl-citation.json" }</w:instrText>
      </w:r>
      <w:r w:rsidRPr="003E73CD">
        <w:rPr>
          <w:sz w:val="22"/>
          <w:szCs w:val="22"/>
        </w:rPr>
        <w:fldChar w:fldCharType="separate"/>
      </w:r>
      <w:r w:rsidR="00217FAC" w:rsidRPr="00217FAC">
        <w:rPr>
          <w:noProof/>
          <w:sz w:val="22"/>
          <w:szCs w:val="22"/>
          <w:vertAlign w:val="superscript"/>
        </w:rPr>
        <w:t>213</w:t>
      </w:r>
      <w:r w:rsidRPr="003E73CD">
        <w:rPr>
          <w:sz w:val="22"/>
          <w:szCs w:val="22"/>
        </w:rPr>
        <w:fldChar w:fldCharType="end"/>
      </w:r>
      <w:proofErr w:type="gramStart"/>
      <w:r w:rsidRPr="003E73CD">
        <w:rPr>
          <w:sz w:val="22"/>
          <w:szCs w:val="22"/>
        </w:rPr>
        <w:t xml:space="preserve">  This</w:t>
      </w:r>
      <w:proofErr w:type="gramEnd"/>
      <w:r w:rsidRPr="003E73CD">
        <w:rPr>
          <w:sz w:val="22"/>
          <w:szCs w:val="22"/>
        </w:rPr>
        <w:t xml:space="preserve"> pattern of drainage was clearly observed on lymphoscintigraphy in 5 patients and suggests that the lymphatics of the forehead follow a similar pattern to that of the blood vessels. </w:t>
      </w:r>
    </w:p>
    <w:p w14:paraId="555D6FDB" w14:textId="77777777" w:rsidR="0061482C" w:rsidRPr="003E73CD" w:rsidRDefault="0061482C" w:rsidP="0061482C">
      <w:pPr>
        <w:widowControl w:val="0"/>
        <w:autoSpaceDE w:val="0"/>
        <w:autoSpaceDN w:val="0"/>
        <w:adjustRightInd w:val="0"/>
        <w:spacing w:line="480" w:lineRule="auto"/>
        <w:rPr>
          <w:sz w:val="22"/>
          <w:szCs w:val="22"/>
        </w:rPr>
      </w:pPr>
    </w:p>
    <w:p w14:paraId="7C98F7CD" w14:textId="77777777" w:rsidR="0061482C" w:rsidRPr="003E73CD" w:rsidRDefault="0061482C" w:rsidP="0061482C">
      <w:pPr>
        <w:widowControl w:val="0"/>
        <w:autoSpaceDE w:val="0"/>
        <w:autoSpaceDN w:val="0"/>
        <w:adjustRightInd w:val="0"/>
        <w:spacing w:line="480" w:lineRule="auto"/>
        <w:rPr>
          <w:sz w:val="22"/>
          <w:szCs w:val="22"/>
        </w:rPr>
      </w:pPr>
    </w:p>
    <w:p w14:paraId="13676C1C" w14:textId="77777777" w:rsidR="0061482C" w:rsidRPr="003E73CD" w:rsidRDefault="0061482C" w:rsidP="0061482C">
      <w:pPr>
        <w:widowControl w:val="0"/>
        <w:autoSpaceDE w:val="0"/>
        <w:autoSpaceDN w:val="0"/>
        <w:adjustRightInd w:val="0"/>
        <w:spacing w:line="480" w:lineRule="auto"/>
        <w:rPr>
          <w:sz w:val="22"/>
          <w:szCs w:val="22"/>
        </w:rPr>
      </w:pPr>
    </w:p>
    <w:p w14:paraId="01AB32BC" w14:textId="77777777" w:rsidR="0061482C" w:rsidRPr="003E73CD" w:rsidRDefault="0061482C" w:rsidP="0061482C">
      <w:pPr>
        <w:widowControl w:val="0"/>
        <w:autoSpaceDE w:val="0"/>
        <w:autoSpaceDN w:val="0"/>
        <w:adjustRightInd w:val="0"/>
        <w:spacing w:line="480" w:lineRule="auto"/>
        <w:rPr>
          <w:sz w:val="22"/>
          <w:szCs w:val="22"/>
        </w:rPr>
      </w:pPr>
    </w:p>
    <w:p w14:paraId="5EA2F49C" w14:textId="77777777" w:rsidR="00DD390B" w:rsidRPr="003E73CD" w:rsidRDefault="00DD390B">
      <w:pPr>
        <w:rPr>
          <w:sz w:val="22"/>
          <w:szCs w:val="22"/>
        </w:rPr>
      </w:pPr>
      <w:r w:rsidRPr="003E73CD">
        <w:rPr>
          <w:sz w:val="22"/>
          <w:szCs w:val="22"/>
        </w:rPr>
        <w:br w:type="page"/>
      </w:r>
    </w:p>
    <w:p w14:paraId="1FC6117E" w14:textId="54132F3F" w:rsidR="0061482C" w:rsidRPr="003E73CD" w:rsidRDefault="0061482C" w:rsidP="0061482C">
      <w:pPr>
        <w:widowControl w:val="0"/>
        <w:autoSpaceDE w:val="0"/>
        <w:autoSpaceDN w:val="0"/>
        <w:adjustRightInd w:val="0"/>
        <w:spacing w:line="480" w:lineRule="auto"/>
        <w:rPr>
          <w:sz w:val="22"/>
          <w:szCs w:val="22"/>
        </w:rPr>
      </w:pPr>
      <w:r w:rsidRPr="003E73CD">
        <w:rPr>
          <w:sz w:val="22"/>
          <w:szCs w:val="22"/>
        </w:rPr>
        <w:t xml:space="preserve">Figure </w:t>
      </w:r>
      <w:r w:rsidR="0048668C">
        <w:rPr>
          <w:sz w:val="22"/>
          <w:szCs w:val="22"/>
        </w:rPr>
        <w:t>2.2</w:t>
      </w:r>
      <w:r w:rsidR="0045660C" w:rsidRPr="003E73CD">
        <w:rPr>
          <w:sz w:val="22"/>
          <w:szCs w:val="22"/>
        </w:rPr>
        <w:t>.</w:t>
      </w:r>
      <w:r w:rsidR="00806C9E">
        <w:rPr>
          <w:sz w:val="22"/>
          <w:szCs w:val="22"/>
        </w:rPr>
        <w:t>5</w:t>
      </w:r>
      <w:r w:rsidRPr="003E73CD">
        <w:rPr>
          <w:sz w:val="22"/>
          <w:szCs w:val="22"/>
        </w:rPr>
        <w:t>.  Lymphatic drainage pathway observed from the central forehead and glabella.</w:t>
      </w:r>
    </w:p>
    <w:p w14:paraId="0C99D549" w14:textId="77777777" w:rsidR="0061482C" w:rsidRPr="003E73CD" w:rsidRDefault="0061482C" w:rsidP="0061482C">
      <w:pPr>
        <w:widowControl w:val="0"/>
        <w:autoSpaceDE w:val="0"/>
        <w:autoSpaceDN w:val="0"/>
        <w:adjustRightInd w:val="0"/>
        <w:spacing w:line="480" w:lineRule="auto"/>
        <w:rPr>
          <w:sz w:val="22"/>
          <w:szCs w:val="22"/>
        </w:rPr>
      </w:pPr>
    </w:p>
    <w:p w14:paraId="04981914" w14:textId="77777777" w:rsidR="0061482C" w:rsidRPr="003E73CD" w:rsidRDefault="0061482C" w:rsidP="0061482C">
      <w:pPr>
        <w:widowControl w:val="0"/>
        <w:autoSpaceDE w:val="0"/>
        <w:autoSpaceDN w:val="0"/>
        <w:adjustRightInd w:val="0"/>
        <w:spacing w:line="480" w:lineRule="auto"/>
        <w:rPr>
          <w:sz w:val="22"/>
          <w:szCs w:val="22"/>
        </w:rPr>
      </w:pPr>
      <w:r w:rsidRPr="003E73CD">
        <w:rPr>
          <w:noProof/>
          <w:sz w:val="22"/>
          <w:szCs w:val="22"/>
        </w:rPr>
        <w:drawing>
          <wp:inline distT="0" distB="0" distL="0" distR="0" wp14:anchorId="2C373EEE" wp14:editId="5E75F279">
            <wp:extent cx="4724400" cy="7863840"/>
            <wp:effectExtent l="0" t="0" r="0" b="1016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24400" cy="7863840"/>
                    </a:xfrm>
                    <a:prstGeom prst="rect">
                      <a:avLst/>
                    </a:prstGeom>
                    <a:noFill/>
                    <a:ln>
                      <a:noFill/>
                    </a:ln>
                  </pic:spPr>
                </pic:pic>
              </a:graphicData>
            </a:graphic>
          </wp:inline>
        </w:drawing>
      </w:r>
    </w:p>
    <w:p w14:paraId="5A06D9A6" w14:textId="77777777" w:rsidR="0061482C" w:rsidRPr="003E73CD" w:rsidRDefault="0061482C" w:rsidP="0061482C">
      <w:pPr>
        <w:widowControl w:val="0"/>
        <w:autoSpaceDE w:val="0"/>
        <w:autoSpaceDN w:val="0"/>
        <w:adjustRightInd w:val="0"/>
        <w:spacing w:line="480" w:lineRule="auto"/>
        <w:rPr>
          <w:sz w:val="22"/>
          <w:szCs w:val="22"/>
        </w:rPr>
      </w:pPr>
    </w:p>
    <w:p w14:paraId="53D896C9" w14:textId="33F579E9" w:rsidR="0061482C" w:rsidRPr="003E73CD" w:rsidRDefault="0061482C" w:rsidP="0061482C">
      <w:pPr>
        <w:widowControl w:val="0"/>
        <w:autoSpaceDE w:val="0"/>
        <w:autoSpaceDN w:val="0"/>
        <w:adjustRightInd w:val="0"/>
        <w:spacing w:line="480" w:lineRule="auto"/>
        <w:ind w:firstLine="720"/>
        <w:rPr>
          <w:sz w:val="22"/>
          <w:szCs w:val="22"/>
        </w:rPr>
      </w:pPr>
      <w:r w:rsidRPr="003E73CD">
        <w:rPr>
          <w:sz w:val="22"/>
          <w:szCs w:val="22"/>
        </w:rPr>
        <w:t>The second important recent study was by Reynolds et al, who mapped lymphoscintigraphy data collected at the SMU onto a 3-dimensional computer model.</w:t>
      </w:r>
      <w:r w:rsidRPr="003E73CD">
        <w:rPr>
          <w:sz w:val="22"/>
          <w:szCs w:val="22"/>
        </w:rPr>
        <w:fldChar w:fldCharType="begin" w:fldLock="1"/>
      </w:r>
      <w:r w:rsidR="005676A9">
        <w:rPr>
          <w:sz w:val="22"/>
          <w:szCs w:val="22"/>
        </w:rPr>
        <w:instrText>ADDIN CSL_CITATION { "citationItems" : [ { "id" : "ITEM-1", "itemData" : { "DOI" : "10.1002/hed.21089", "ISSN" : "10433074", "PMID" : "19360751", "abstract" : "BACKGROUND: Lymphatic drainage from skin on the head and neck is complex. We sought to provide improved visualization and analysis of the patterns of head and neck skin lymphatic drainage using aggregated lymphoscintigraphy data.\n\nMETHODS: Lymphoscintigraphy data from 929 patients with cutaneous melanoma on the head and neck collected at the Sydney Melanoma Unit have been mapped onto a 3-dimensional computer model of the skin and lymph nodes.\n\nRESULTS: Novel heat maps and interactive software have been created, which show subtle differences in lymphatic drainage patterns when compared with those that are previously reported. Posterior head and neck node fields largely drained posterior regions of the head and neck, whereas anterolateral skin regions were generally drained by the other head and neck node fields.\n\nCONCLUSIONS: The heat maps and interactive software tool provide novel visualization of head and neck lymphatic drainage patterns, which has both educational and clinical utility.", "author" : [ { "dropping-particle" : "", "family" : "Reynolds", "given" : "Hayley M.", "non-dropping-particle" : "", "parse-names" : false, "suffix" : "" }, { "dropping-particle" : "", "family" : "Smith", "given" : "Nicolas P.", "non-dropping-particle" : "", "parse-names" : false, "suffix" : "" }, { "dropping-particle" : "", "family" : "Uren", "given" : "Roger F.", "non-dropping-particle" : "", "parse-names" : false, "suffix" : "" }, { "dropping-particle" : "", "family" : "Thompson", "given" : "John F.", "non-dropping-particle" : "", "parse-names" : false, "suffix" : "" }, { "dropping-particle" : "", "family" : "Dunbar", "given" : "P. Rod", "non-dropping-particle" : "", "parse-names" : false, "suffix" : "" } ], "container-title" : "Head &amp; Neck", "id" : "ITEM-1", "issue" : "10", "issued" : { "date-parts" : [ [ "2009", "10" ] ] }, "page" : "1316-1325", "title" : "Three-dimensional visualization of skin lymphatic drainage patterns of the head and neck", "type" : "article-journal", "volume" : "31" }, "uris" : [ "http://www.mendeley.com/documents/?uuid=830361f0-f28f-4e05-bcb1-003202323ed6" ] } ], "mendeley" : { "formattedCitation" : "&lt;sup&gt;223&lt;/sup&gt;", "plainTextFormattedCitation" : "223", "previouslyFormattedCitation" : "&lt;sup&gt;223&lt;/sup&gt;" }, "properties" : { "noteIndex" : 0 }, "schema" : "https://github.com/citation-style-language/schema/raw/master/csl-citation.json" }</w:instrText>
      </w:r>
      <w:r w:rsidRPr="003E73CD">
        <w:rPr>
          <w:sz w:val="22"/>
          <w:szCs w:val="22"/>
        </w:rPr>
        <w:fldChar w:fldCharType="separate"/>
      </w:r>
      <w:r w:rsidR="00217FAC" w:rsidRPr="00217FAC">
        <w:rPr>
          <w:noProof/>
          <w:sz w:val="22"/>
          <w:szCs w:val="22"/>
          <w:vertAlign w:val="superscript"/>
        </w:rPr>
        <w:t>223</w:t>
      </w:r>
      <w:r w:rsidRPr="003E73CD">
        <w:rPr>
          <w:sz w:val="22"/>
          <w:szCs w:val="22"/>
        </w:rPr>
        <w:fldChar w:fldCharType="end"/>
      </w:r>
      <w:proofErr w:type="gramStart"/>
      <w:r w:rsidRPr="003E73CD">
        <w:rPr>
          <w:sz w:val="22"/>
          <w:szCs w:val="22"/>
        </w:rPr>
        <w:t xml:space="preserve">  Their</w:t>
      </w:r>
      <w:proofErr w:type="gramEnd"/>
      <w:r w:rsidRPr="003E73CD">
        <w:rPr>
          <w:sz w:val="22"/>
          <w:szCs w:val="22"/>
        </w:rPr>
        <w:t xml:space="preserve"> findings confirmed that lymphatic drainage from the head and neck is unpredictable, but also highlighted regions where lymphatic drainage appears to change from anterior to posterior lymph node fields.  The 3-dimensional model that was produced can be used to show likely locations of sentinel nodes for a given primary tumour site on the head and neck; it is available to view online at http://www.bioeng.aukland.ac.nz/head.</w:t>
      </w:r>
    </w:p>
    <w:p w14:paraId="371D82EC" w14:textId="77777777" w:rsidR="0061482C" w:rsidRPr="003E73CD" w:rsidRDefault="0061482C" w:rsidP="0061482C">
      <w:pPr>
        <w:widowControl w:val="0"/>
        <w:autoSpaceDE w:val="0"/>
        <w:autoSpaceDN w:val="0"/>
        <w:adjustRightInd w:val="0"/>
        <w:spacing w:line="480" w:lineRule="auto"/>
        <w:ind w:firstLine="720"/>
        <w:rPr>
          <w:sz w:val="22"/>
          <w:szCs w:val="22"/>
        </w:rPr>
      </w:pPr>
      <w:r w:rsidRPr="003E73CD">
        <w:rPr>
          <w:sz w:val="22"/>
          <w:szCs w:val="22"/>
        </w:rPr>
        <w:t xml:space="preserve">In the present study, variability of lymphoscintigraphically-determined lymphatic drainage from the forehead has been clearly demonstrated.  Subdivision of the forehead into anterior temple, supra-orbital and glabellar zones indicated that the lymphatic drainage pattern becomes more predictable as one moves laterally from the glabella to the anterior temple.  The findings provide information of clinical relevance for SLN biopsy as well as for selective neck dissection.  For the patient with a centrally-located tumour, the higher likelihood of bilateral drainage to a greater number of SLNs in a greater number of SLN sites means SLN biopsy is likely to entail a longer, more challenging procedure, involving several skin incisions.  In some cases the sheer number of widely distributed SLNs identified by lymphoscintigraphy may lead the surgeon to decide that it is inappropriate to attempt SLN biopsy, thus potentially impacting the ability to determine prognosis.  In contrast, for patients with a tumour located on the anterior temple, the high likelihood that SLNs will be located ipsilaterally in a lower number of different sites means that SLN biopsy is more likely to be achievable via a single incision, with more limited surgical exploration.  The likelihood that SLN biopsy will involve surgical exploration in the pre-auricular (parotid) region is high irrespective of which zone of the forehead a patient’s tumour falls within.  89% of lymphoscintigrams demonstrated lymphatic drainage from the forehead to at least one SLN at this site.  </w:t>
      </w:r>
    </w:p>
    <w:p w14:paraId="023472C7" w14:textId="77777777" w:rsidR="0061482C" w:rsidRPr="003E73CD" w:rsidRDefault="0061482C" w:rsidP="0061482C">
      <w:pPr>
        <w:widowControl w:val="0"/>
        <w:autoSpaceDE w:val="0"/>
        <w:autoSpaceDN w:val="0"/>
        <w:adjustRightInd w:val="0"/>
        <w:spacing w:line="480" w:lineRule="auto"/>
        <w:ind w:firstLine="720"/>
        <w:rPr>
          <w:sz w:val="22"/>
          <w:szCs w:val="22"/>
        </w:rPr>
      </w:pPr>
      <w:r w:rsidRPr="003E73CD">
        <w:rPr>
          <w:sz w:val="22"/>
          <w:szCs w:val="22"/>
        </w:rPr>
        <w:t>Level I cervical nodes have traditionally been included within all elective and therapeutic neck dissections for tumours located on the face.  The present findings provide evidence to suggest that, whilst this may be appropriate for tumours in the central glabellar zone (40.9% of which exhibited drainage to level I), a more selective approach should be considered for laterally located tumours, particularly those on the anterior temple, since only 2.7% of patients were shown to have drainage from the anterior temple to level I nodes.  Limiting a selective neck dissection to the preauricular region and levels II-IV in such patients may reduce morbidity without compromising the efficacy of the procedure.</w:t>
      </w:r>
    </w:p>
    <w:p w14:paraId="3123E402" w14:textId="77777777" w:rsidR="0061482C" w:rsidRPr="003E73CD" w:rsidRDefault="0061482C" w:rsidP="0061482C">
      <w:pPr>
        <w:widowControl w:val="0"/>
        <w:autoSpaceDE w:val="0"/>
        <w:autoSpaceDN w:val="0"/>
        <w:adjustRightInd w:val="0"/>
        <w:spacing w:line="480" w:lineRule="auto"/>
        <w:rPr>
          <w:sz w:val="22"/>
          <w:szCs w:val="22"/>
        </w:rPr>
      </w:pPr>
    </w:p>
    <w:p w14:paraId="48EEDE8B" w14:textId="77777777" w:rsidR="0061482C" w:rsidRPr="003E73CD" w:rsidRDefault="0061482C" w:rsidP="0061482C">
      <w:pPr>
        <w:widowControl w:val="0"/>
        <w:autoSpaceDE w:val="0"/>
        <w:autoSpaceDN w:val="0"/>
        <w:adjustRightInd w:val="0"/>
        <w:spacing w:line="480" w:lineRule="auto"/>
        <w:rPr>
          <w:sz w:val="22"/>
          <w:szCs w:val="22"/>
        </w:rPr>
      </w:pPr>
    </w:p>
    <w:p w14:paraId="0EDC65B9" w14:textId="77777777" w:rsidR="0061482C" w:rsidRPr="003E73CD" w:rsidRDefault="0061482C" w:rsidP="0061482C">
      <w:pPr>
        <w:widowControl w:val="0"/>
        <w:autoSpaceDE w:val="0"/>
        <w:autoSpaceDN w:val="0"/>
        <w:adjustRightInd w:val="0"/>
        <w:spacing w:line="480" w:lineRule="auto"/>
        <w:rPr>
          <w:sz w:val="22"/>
          <w:szCs w:val="22"/>
        </w:rPr>
      </w:pPr>
      <w:r w:rsidRPr="003E73CD">
        <w:rPr>
          <w:sz w:val="22"/>
          <w:szCs w:val="22"/>
        </w:rPr>
        <w:br w:type="page"/>
      </w:r>
    </w:p>
    <w:p w14:paraId="1E82D7CF" w14:textId="77777777" w:rsidR="009F3345" w:rsidRDefault="009F3345" w:rsidP="0048668C">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1C9DEE47" w14:textId="77777777" w:rsidR="009F3345" w:rsidRDefault="009F3345" w:rsidP="0048668C">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71CAD79B" w14:textId="77777777" w:rsidR="009F3345" w:rsidRDefault="009F3345" w:rsidP="0048668C">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0DBE4FE5" w14:textId="77777777" w:rsidR="009F3345" w:rsidRDefault="009F3345" w:rsidP="0048668C">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590BBDF6" w14:textId="77777777" w:rsidR="009F3345" w:rsidRDefault="009F3345" w:rsidP="0048668C">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328361EE" w14:textId="77777777" w:rsidR="009F3345" w:rsidRDefault="009F3345" w:rsidP="0048668C">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7550BFF3" w14:textId="77777777" w:rsidR="009F3345" w:rsidRDefault="009F3345" w:rsidP="0048668C">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35E0BAF9" w14:textId="77777777" w:rsidR="009F3345" w:rsidRDefault="009F3345" w:rsidP="0048668C">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0971B94D" w14:textId="77777777" w:rsidR="009F3345" w:rsidRDefault="0048668C" w:rsidP="0048668C">
      <w:pPr>
        <w:pBdr>
          <w:top w:val="single" w:sz="4" w:space="1" w:color="auto" w:shadow="1"/>
          <w:left w:val="single" w:sz="4" w:space="4" w:color="auto" w:shadow="1"/>
          <w:bottom w:val="single" w:sz="4" w:space="1" w:color="auto" w:shadow="1"/>
          <w:right w:val="single" w:sz="4" w:space="4" w:color="auto" w:shadow="1"/>
        </w:pBdr>
        <w:jc w:val="center"/>
        <w:rPr>
          <w:sz w:val="48"/>
          <w:szCs w:val="48"/>
        </w:rPr>
      </w:pPr>
      <w:r w:rsidRPr="0048668C">
        <w:rPr>
          <w:sz w:val="48"/>
          <w:szCs w:val="48"/>
        </w:rPr>
        <w:t>Section 3</w:t>
      </w:r>
    </w:p>
    <w:p w14:paraId="75D8F4EB" w14:textId="77777777" w:rsidR="009F3345" w:rsidRDefault="009F3345" w:rsidP="0048668C">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1F38C10D" w14:textId="77777777" w:rsidR="009F3345" w:rsidRDefault="009F3345" w:rsidP="0048668C">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5F52D5EE" w14:textId="77777777" w:rsidR="009F3345" w:rsidRDefault="009F3345" w:rsidP="0048668C">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07E5ECDF" w14:textId="77777777" w:rsidR="009F3345" w:rsidRDefault="009F3345" w:rsidP="0048668C">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1ABCDF96" w14:textId="77777777" w:rsidR="009F3345" w:rsidRDefault="009F3345" w:rsidP="0048668C">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5ADA3649" w14:textId="77777777" w:rsidR="009F3345" w:rsidRDefault="009F3345" w:rsidP="0048668C">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00618296" w14:textId="77777777" w:rsidR="009F3345" w:rsidRDefault="009F3345" w:rsidP="0048668C">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37DB75D5" w14:textId="77777777" w:rsidR="009F3345" w:rsidRDefault="009F3345" w:rsidP="0048668C">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79442ED7" w14:textId="77777777" w:rsidR="009F3345" w:rsidRDefault="009F3345" w:rsidP="0048668C">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47C5DAC0" w14:textId="77777777" w:rsidR="009F3345" w:rsidRDefault="009F3345" w:rsidP="0048668C">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0C65E047" w14:textId="77777777" w:rsidR="009F3345" w:rsidRDefault="009F3345" w:rsidP="0048668C">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3B59C62E" w14:textId="77777777" w:rsidR="009F3345" w:rsidRDefault="009F3345" w:rsidP="0048668C">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7E14AA00" w14:textId="77777777" w:rsidR="009F3345" w:rsidRDefault="009F3345" w:rsidP="0048668C">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79CAB34A" w14:textId="77777777" w:rsidR="009F3345" w:rsidRDefault="009F3345" w:rsidP="0048668C">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645A065F" w14:textId="6ADE8674" w:rsidR="0048668C" w:rsidRPr="0048668C" w:rsidRDefault="0048668C" w:rsidP="009F3345">
      <w:pPr>
        <w:pBdr>
          <w:top w:val="single" w:sz="4" w:space="1" w:color="auto" w:shadow="1"/>
          <w:left w:val="single" w:sz="4" w:space="4" w:color="auto" w:shadow="1"/>
          <w:bottom w:val="single" w:sz="4" w:space="1" w:color="auto" w:shadow="1"/>
          <w:right w:val="single" w:sz="4" w:space="4" w:color="auto" w:shadow="1"/>
        </w:pBdr>
        <w:rPr>
          <w:b/>
          <w:sz w:val="48"/>
          <w:szCs w:val="48"/>
          <w:bdr w:val="single" w:sz="4" w:space="0" w:color="auto" w:shadow="1"/>
        </w:rPr>
      </w:pPr>
      <w:r w:rsidRPr="0048668C">
        <w:rPr>
          <w:b/>
          <w:sz w:val="48"/>
          <w:szCs w:val="48"/>
          <w:bdr w:val="single" w:sz="4" w:space="0" w:color="auto" w:shadow="1"/>
        </w:rPr>
        <w:br w:type="page"/>
      </w:r>
    </w:p>
    <w:p w14:paraId="38371AE9" w14:textId="78E0D50B" w:rsidR="0061482C" w:rsidRPr="003E73CD" w:rsidRDefault="0061482C" w:rsidP="0061482C">
      <w:pPr>
        <w:widowControl w:val="0"/>
        <w:autoSpaceDE w:val="0"/>
        <w:autoSpaceDN w:val="0"/>
        <w:adjustRightInd w:val="0"/>
        <w:spacing w:line="480" w:lineRule="auto"/>
        <w:rPr>
          <w:b/>
          <w:sz w:val="28"/>
          <w:szCs w:val="28"/>
        </w:rPr>
      </w:pPr>
      <w:r w:rsidRPr="003E73CD">
        <w:rPr>
          <w:b/>
          <w:sz w:val="28"/>
          <w:szCs w:val="28"/>
        </w:rPr>
        <w:t>Section 3 – Occult nodal metastasis studies</w:t>
      </w:r>
    </w:p>
    <w:p w14:paraId="067154A3" w14:textId="77777777" w:rsidR="002224C9" w:rsidRPr="003E73CD" w:rsidRDefault="002224C9" w:rsidP="002224C9">
      <w:pPr>
        <w:spacing w:line="480" w:lineRule="auto"/>
        <w:rPr>
          <w:sz w:val="22"/>
          <w:szCs w:val="22"/>
        </w:rPr>
      </w:pPr>
      <w:r w:rsidRPr="003E73CD">
        <w:rPr>
          <w:sz w:val="22"/>
          <w:szCs w:val="22"/>
        </w:rPr>
        <w:tab/>
      </w:r>
    </w:p>
    <w:p w14:paraId="131EE2D9" w14:textId="44C89807" w:rsidR="002224C9" w:rsidRPr="003E73CD" w:rsidRDefault="002224C9" w:rsidP="002224C9">
      <w:pPr>
        <w:spacing w:line="480" w:lineRule="auto"/>
        <w:ind w:firstLine="720"/>
        <w:rPr>
          <w:sz w:val="22"/>
          <w:szCs w:val="22"/>
        </w:rPr>
      </w:pPr>
      <w:r w:rsidRPr="003E73CD">
        <w:rPr>
          <w:sz w:val="22"/>
          <w:szCs w:val="22"/>
        </w:rPr>
        <w:t>This section addresses the following questions:</w:t>
      </w:r>
    </w:p>
    <w:p w14:paraId="44598C12" w14:textId="5431D38C" w:rsidR="0048668C" w:rsidRPr="003E73CD" w:rsidRDefault="0048668C" w:rsidP="0048668C">
      <w:pPr>
        <w:spacing w:line="480" w:lineRule="auto"/>
        <w:rPr>
          <w:sz w:val="22"/>
          <w:szCs w:val="22"/>
        </w:rPr>
      </w:pPr>
      <w:r w:rsidRPr="003E73CD">
        <w:rPr>
          <w:sz w:val="22"/>
          <w:szCs w:val="22"/>
        </w:rPr>
        <w:t>- What factors determine prognosis for patients who complete the standard sentinel node-based management pathw</w:t>
      </w:r>
      <w:r>
        <w:rPr>
          <w:sz w:val="22"/>
          <w:szCs w:val="22"/>
        </w:rPr>
        <w:t>ay? – Section</w:t>
      </w:r>
      <w:r w:rsidR="008820E5">
        <w:rPr>
          <w:sz w:val="22"/>
          <w:szCs w:val="22"/>
        </w:rPr>
        <w:t>s</w:t>
      </w:r>
      <w:r>
        <w:rPr>
          <w:sz w:val="22"/>
          <w:szCs w:val="22"/>
        </w:rPr>
        <w:t xml:space="preserve"> 3.1 + 3.2 + 3.3</w:t>
      </w:r>
      <w:r w:rsidRPr="003E73CD">
        <w:rPr>
          <w:sz w:val="22"/>
          <w:szCs w:val="22"/>
        </w:rPr>
        <w:t>.</w:t>
      </w:r>
    </w:p>
    <w:p w14:paraId="3A5F6635" w14:textId="168D95ED" w:rsidR="0048668C" w:rsidRPr="003E73CD" w:rsidRDefault="0048668C" w:rsidP="0048668C">
      <w:pPr>
        <w:spacing w:line="480" w:lineRule="auto"/>
        <w:rPr>
          <w:sz w:val="22"/>
          <w:szCs w:val="22"/>
        </w:rPr>
      </w:pPr>
      <w:r w:rsidRPr="003E73CD">
        <w:rPr>
          <w:sz w:val="22"/>
          <w:szCs w:val="22"/>
        </w:rPr>
        <w:t xml:space="preserve">- </w:t>
      </w:r>
      <w:proofErr w:type="gramStart"/>
      <w:r w:rsidRPr="003E73CD">
        <w:rPr>
          <w:sz w:val="22"/>
          <w:szCs w:val="22"/>
        </w:rPr>
        <w:t>Prognosis is determined by the total number of metastatic nodes</w:t>
      </w:r>
      <w:proofErr w:type="gramEnd"/>
      <w:r w:rsidRPr="003E73CD">
        <w:rPr>
          <w:sz w:val="22"/>
          <w:szCs w:val="22"/>
        </w:rPr>
        <w:t xml:space="preserve"> but does it make a difference whether these nodes are sentinel only or a mixture of sentinel and non-sentinel? – Section</w:t>
      </w:r>
      <w:r w:rsidR="008820E5">
        <w:rPr>
          <w:sz w:val="22"/>
          <w:szCs w:val="22"/>
        </w:rPr>
        <w:t>s</w:t>
      </w:r>
      <w:r w:rsidRPr="003E73CD">
        <w:rPr>
          <w:sz w:val="22"/>
          <w:szCs w:val="22"/>
        </w:rPr>
        <w:t xml:space="preserve"> 3.1</w:t>
      </w:r>
      <w:r>
        <w:rPr>
          <w:sz w:val="22"/>
          <w:szCs w:val="22"/>
        </w:rPr>
        <w:t xml:space="preserve"> + 3.2</w:t>
      </w:r>
      <w:r w:rsidRPr="003E73CD">
        <w:rPr>
          <w:sz w:val="22"/>
          <w:szCs w:val="22"/>
        </w:rPr>
        <w:t>.</w:t>
      </w:r>
    </w:p>
    <w:p w14:paraId="22F16378" w14:textId="79CCE016" w:rsidR="002224C9" w:rsidRPr="003E73CD" w:rsidRDefault="002224C9" w:rsidP="002224C9">
      <w:pPr>
        <w:spacing w:line="480" w:lineRule="auto"/>
        <w:rPr>
          <w:sz w:val="22"/>
          <w:szCs w:val="22"/>
        </w:rPr>
      </w:pPr>
      <w:r w:rsidRPr="003E73CD">
        <w:rPr>
          <w:sz w:val="22"/>
          <w:szCs w:val="22"/>
        </w:rPr>
        <w:t>- Can the likelihood of metastasis to non-sentinel nodes be determined prior to completion lymph node dissection so that it could be avoided for patients who are at low risk of having non-sentine</w:t>
      </w:r>
      <w:r w:rsidR="00202947">
        <w:rPr>
          <w:sz w:val="22"/>
          <w:szCs w:val="22"/>
        </w:rPr>
        <w:t>l node metastases? – Section 3.2</w:t>
      </w:r>
      <w:r w:rsidRPr="003E73CD">
        <w:rPr>
          <w:sz w:val="22"/>
          <w:szCs w:val="22"/>
        </w:rPr>
        <w:t>.</w:t>
      </w:r>
    </w:p>
    <w:p w14:paraId="0B924D95" w14:textId="50BD666F" w:rsidR="002224C9" w:rsidRPr="003E73CD" w:rsidRDefault="002224C9" w:rsidP="002224C9">
      <w:pPr>
        <w:spacing w:line="480" w:lineRule="auto"/>
        <w:rPr>
          <w:sz w:val="22"/>
          <w:szCs w:val="22"/>
        </w:rPr>
      </w:pPr>
      <w:r w:rsidRPr="003E73CD">
        <w:rPr>
          <w:sz w:val="22"/>
          <w:szCs w:val="22"/>
        </w:rPr>
        <w:t>- Can patients be grouped according to prognosis in an easily applicable manner that would allow decisions to be made regarding their need for</w:t>
      </w:r>
      <w:r w:rsidR="00202947">
        <w:rPr>
          <w:sz w:val="22"/>
          <w:szCs w:val="22"/>
        </w:rPr>
        <w:t xml:space="preserve"> adjuvant therapy? – Section</w:t>
      </w:r>
      <w:r w:rsidR="008820E5">
        <w:rPr>
          <w:sz w:val="22"/>
          <w:szCs w:val="22"/>
        </w:rPr>
        <w:t>s</w:t>
      </w:r>
      <w:r w:rsidR="00202947">
        <w:rPr>
          <w:sz w:val="22"/>
          <w:szCs w:val="22"/>
        </w:rPr>
        <w:t xml:space="preserve"> 3.2 + 3.3</w:t>
      </w:r>
      <w:r w:rsidRPr="003E73CD">
        <w:rPr>
          <w:sz w:val="22"/>
          <w:szCs w:val="22"/>
        </w:rPr>
        <w:t>.</w:t>
      </w:r>
    </w:p>
    <w:p w14:paraId="19DC128A" w14:textId="77777777" w:rsidR="002224C9" w:rsidRPr="003E73CD" w:rsidRDefault="002224C9" w:rsidP="002224C9">
      <w:pPr>
        <w:spacing w:line="480" w:lineRule="auto"/>
        <w:rPr>
          <w:sz w:val="22"/>
          <w:szCs w:val="22"/>
        </w:rPr>
      </w:pPr>
    </w:p>
    <w:p w14:paraId="2ABFF3B4" w14:textId="297C74A0" w:rsidR="002224C9" w:rsidRPr="003E73CD" w:rsidRDefault="00202947" w:rsidP="002224C9">
      <w:pPr>
        <w:spacing w:line="480" w:lineRule="auto"/>
        <w:rPr>
          <w:sz w:val="22"/>
          <w:szCs w:val="22"/>
        </w:rPr>
      </w:pPr>
      <w:r>
        <w:rPr>
          <w:sz w:val="22"/>
          <w:szCs w:val="22"/>
        </w:rPr>
        <w:tab/>
        <w:t>Section 3.2</w:t>
      </w:r>
      <w:r w:rsidR="002224C9" w:rsidRPr="003E73CD">
        <w:rPr>
          <w:sz w:val="22"/>
          <w:szCs w:val="22"/>
        </w:rPr>
        <w:t xml:space="preserve"> is included (with permission) as it was when published in Annals of Surgical Oncology in 2010, in order to reflect the literature at the time that the research was carried out.  </w:t>
      </w:r>
      <w:r>
        <w:rPr>
          <w:sz w:val="22"/>
          <w:szCs w:val="22"/>
        </w:rPr>
        <w:t>The systematic review (Section 3.1</w:t>
      </w:r>
      <w:r w:rsidR="002224C9" w:rsidRPr="003E73CD">
        <w:rPr>
          <w:sz w:val="22"/>
          <w:szCs w:val="22"/>
        </w:rPr>
        <w:t xml:space="preserve">) </w:t>
      </w:r>
      <w:r w:rsidR="004428D7" w:rsidRPr="003E73CD">
        <w:rPr>
          <w:sz w:val="22"/>
          <w:szCs w:val="22"/>
        </w:rPr>
        <w:t>and the more general reviews in Sections 1.1 and 1.2 cover</w:t>
      </w:r>
      <w:r w:rsidR="002224C9" w:rsidRPr="003E73CD">
        <w:rPr>
          <w:sz w:val="22"/>
          <w:szCs w:val="22"/>
        </w:rPr>
        <w:t xml:space="preserve"> relevant literature that was published prior and</w:t>
      </w:r>
      <w:r w:rsidR="000D3121" w:rsidRPr="003E73CD">
        <w:rPr>
          <w:sz w:val="22"/>
          <w:szCs w:val="22"/>
        </w:rPr>
        <w:t xml:space="preserve"> subsequent to it</w:t>
      </w:r>
      <w:r w:rsidR="002224C9" w:rsidRPr="003E73CD">
        <w:rPr>
          <w:sz w:val="22"/>
          <w:szCs w:val="22"/>
        </w:rPr>
        <w:t>.</w:t>
      </w:r>
    </w:p>
    <w:p w14:paraId="74BD82A3" w14:textId="77777777" w:rsidR="002224C9" w:rsidRPr="003E73CD" w:rsidRDefault="002224C9" w:rsidP="0061482C">
      <w:pPr>
        <w:spacing w:line="480" w:lineRule="auto"/>
        <w:rPr>
          <w:sz w:val="22"/>
          <w:szCs w:val="22"/>
        </w:rPr>
      </w:pPr>
    </w:p>
    <w:p w14:paraId="3E9E39ED" w14:textId="77777777" w:rsidR="00EB738E" w:rsidRDefault="00EB738E">
      <w:pPr>
        <w:rPr>
          <w:sz w:val="28"/>
          <w:szCs w:val="28"/>
        </w:rPr>
      </w:pPr>
      <w:r>
        <w:rPr>
          <w:sz w:val="28"/>
          <w:szCs w:val="28"/>
        </w:rPr>
        <w:br w:type="page"/>
      </w:r>
    </w:p>
    <w:p w14:paraId="2A69F4F7" w14:textId="2A2BE966" w:rsidR="00EB738E" w:rsidRPr="003E73CD" w:rsidRDefault="00202947" w:rsidP="00EB738E">
      <w:pPr>
        <w:spacing w:line="480" w:lineRule="auto"/>
        <w:rPr>
          <w:sz w:val="28"/>
          <w:szCs w:val="28"/>
        </w:rPr>
      </w:pPr>
      <w:r>
        <w:rPr>
          <w:sz w:val="28"/>
          <w:szCs w:val="28"/>
        </w:rPr>
        <w:t>3.1</w:t>
      </w:r>
      <w:r w:rsidR="00EB738E" w:rsidRPr="003E73CD">
        <w:rPr>
          <w:sz w:val="28"/>
          <w:szCs w:val="28"/>
        </w:rPr>
        <w:t>: What is the prognostic significance of non-sentinel node metastasis in melanoma: A systematic review.</w:t>
      </w:r>
    </w:p>
    <w:p w14:paraId="3DE75FB4" w14:textId="77777777" w:rsidR="00EB738E" w:rsidRPr="003E73CD" w:rsidRDefault="00EB738E" w:rsidP="00EB738E">
      <w:pPr>
        <w:spacing w:line="480" w:lineRule="auto"/>
        <w:rPr>
          <w:sz w:val="22"/>
          <w:szCs w:val="22"/>
        </w:rPr>
      </w:pPr>
    </w:p>
    <w:p w14:paraId="704F4A2A" w14:textId="77777777" w:rsidR="00EB738E" w:rsidRPr="003E73CD" w:rsidRDefault="00EB738E" w:rsidP="00EB738E">
      <w:pPr>
        <w:spacing w:line="480" w:lineRule="auto"/>
        <w:rPr>
          <w:b/>
          <w:sz w:val="22"/>
          <w:szCs w:val="22"/>
        </w:rPr>
      </w:pPr>
      <w:r w:rsidRPr="003E73CD">
        <w:rPr>
          <w:b/>
          <w:sz w:val="22"/>
          <w:szCs w:val="22"/>
        </w:rPr>
        <w:t>ABSTRACT</w:t>
      </w:r>
    </w:p>
    <w:p w14:paraId="2CDD1BEE" w14:textId="77777777" w:rsidR="00EB738E" w:rsidRPr="003E73CD" w:rsidRDefault="00EB738E" w:rsidP="00EB738E">
      <w:pPr>
        <w:spacing w:line="480" w:lineRule="auto"/>
        <w:rPr>
          <w:sz w:val="22"/>
          <w:szCs w:val="22"/>
        </w:rPr>
      </w:pPr>
      <w:r w:rsidRPr="003E73CD">
        <w:rPr>
          <w:sz w:val="22"/>
          <w:szCs w:val="22"/>
        </w:rPr>
        <w:tab/>
        <w:t xml:space="preserve">BACKGROUND: It is well established that prognosis for patients with melanoma is related to the total number of metastatic nodes.  When patients with clinically localised melanoma are staged by sentinel node biopsy, and then by completion lymph node dissection if sentinel node positive, it is possible to differentiate the metastatic nodes into sentinel and non-sentinel nodes.  This differentiation may have prognostic significance.  The objective of this systematic review was to identify all studies that have investigated the prognostic significance of non-sentinel node metastasis in melanoma, and in particular, to identify studies that have performed analyses to account for the confounding effect of total number of positive nodes. </w:t>
      </w:r>
    </w:p>
    <w:p w14:paraId="398537E0" w14:textId="77777777" w:rsidR="00EB738E" w:rsidRPr="003E73CD" w:rsidRDefault="00EB738E" w:rsidP="00EB738E">
      <w:pPr>
        <w:spacing w:line="480" w:lineRule="auto"/>
        <w:rPr>
          <w:sz w:val="22"/>
          <w:szCs w:val="22"/>
        </w:rPr>
      </w:pPr>
      <w:r w:rsidRPr="003E73CD">
        <w:rPr>
          <w:sz w:val="22"/>
          <w:szCs w:val="22"/>
        </w:rPr>
        <w:tab/>
        <w:t xml:space="preserve">METHODS: Studies were eligible for inclusion if analyses were performed for an effect on survival due to the presence of metastases in non-sentinel nodes.  </w:t>
      </w:r>
      <w:proofErr w:type="gramStart"/>
      <w:r w:rsidRPr="003E73CD">
        <w:rPr>
          <w:sz w:val="22"/>
          <w:szCs w:val="22"/>
        </w:rPr>
        <w:t>Studies which included only univariate analyses</w:t>
      </w:r>
      <w:proofErr w:type="gramEnd"/>
      <w:r w:rsidRPr="003E73CD">
        <w:rPr>
          <w:sz w:val="22"/>
          <w:szCs w:val="22"/>
        </w:rPr>
        <w:t xml:space="preserve"> or survival curve analyses that did not account for total number of positive nodes were excluded.  Electronic database searches (PubMed, OVID, EMBASE and Cochrane library) were performed and supplemented by hand searching reference lists.  Data were collected using a standardised form and studies meeting the inclusion criteria were critically analysed to identify the studies that had performed analyses that accounted for total number of positive nodes.</w:t>
      </w:r>
    </w:p>
    <w:p w14:paraId="46BD71FA" w14:textId="77777777" w:rsidR="00EB738E" w:rsidRPr="003E73CD" w:rsidRDefault="00EB738E" w:rsidP="00EB738E">
      <w:pPr>
        <w:spacing w:line="480" w:lineRule="auto"/>
        <w:rPr>
          <w:sz w:val="22"/>
          <w:szCs w:val="22"/>
        </w:rPr>
      </w:pPr>
      <w:r w:rsidRPr="003E73CD">
        <w:rPr>
          <w:sz w:val="22"/>
          <w:szCs w:val="22"/>
        </w:rPr>
        <w:tab/>
        <w:t>RESULTS: Eleven studies met the inclusion criteria.  All were retrospective cohort studies.  Four studies compared survival based on non-sentinel node status and accounted for total number of positive nodes.  Three studies performed multivariate analyses that accounted for an effect due to total number of positive nodes.  In all cases, survival was worse for patients who were non-sentinel node negative.</w:t>
      </w:r>
    </w:p>
    <w:p w14:paraId="6CCA6959" w14:textId="77777777" w:rsidR="00EB738E" w:rsidRPr="003E73CD" w:rsidRDefault="00EB738E" w:rsidP="00EB738E">
      <w:pPr>
        <w:spacing w:line="480" w:lineRule="auto"/>
        <w:rPr>
          <w:sz w:val="22"/>
          <w:szCs w:val="22"/>
        </w:rPr>
      </w:pPr>
      <w:r w:rsidRPr="003E73CD">
        <w:rPr>
          <w:sz w:val="22"/>
          <w:szCs w:val="22"/>
        </w:rPr>
        <w:tab/>
        <w:t>CONCLUSIONS: In retrospective cohort studies investigating non-sentinel node status in relation to overall or disease-specific survival, presence of non-sentinel node metastasis has consistently been associated with reduced survival.</w:t>
      </w:r>
    </w:p>
    <w:p w14:paraId="2C3859E5" w14:textId="77777777" w:rsidR="00EB738E" w:rsidRPr="003E73CD" w:rsidRDefault="00EB738E" w:rsidP="00EB738E">
      <w:pPr>
        <w:spacing w:line="480" w:lineRule="auto"/>
        <w:rPr>
          <w:sz w:val="22"/>
          <w:szCs w:val="22"/>
        </w:rPr>
      </w:pPr>
      <w:r w:rsidRPr="003E73CD">
        <w:rPr>
          <w:sz w:val="22"/>
          <w:szCs w:val="22"/>
        </w:rPr>
        <w:t xml:space="preserve"> </w:t>
      </w:r>
    </w:p>
    <w:p w14:paraId="08DD62AA" w14:textId="77777777" w:rsidR="00EB738E" w:rsidRPr="003E73CD" w:rsidRDefault="00EB738E" w:rsidP="00EB738E">
      <w:pPr>
        <w:spacing w:line="480" w:lineRule="auto"/>
        <w:rPr>
          <w:b/>
          <w:sz w:val="22"/>
          <w:szCs w:val="22"/>
        </w:rPr>
      </w:pPr>
      <w:r w:rsidRPr="003E73CD">
        <w:rPr>
          <w:b/>
          <w:sz w:val="22"/>
          <w:szCs w:val="22"/>
        </w:rPr>
        <w:t>INTRODUCTION</w:t>
      </w:r>
    </w:p>
    <w:p w14:paraId="301EB746" w14:textId="59B1400D" w:rsidR="00EB738E" w:rsidRPr="003E73CD" w:rsidRDefault="00EB738E" w:rsidP="00EB738E">
      <w:pPr>
        <w:spacing w:line="480" w:lineRule="auto"/>
        <w:ind w:firstLine="720"/>
        <w:rPr>
          <w:sz w:val="22"/>
          <w:szCs w:val="22"/>
        </w:rPr>
      </w:pPr>
      <w:r w:rsidRPr="003E73CD">
        <w:rPr>
          <w:sz w:val="22"/>
          <w:szCs w:val="22"/>
        </w:rPr>
        <w:t>The current AJCC staging system for melanoma (see Figure 1.1.3) recognises the importance of the total number of metastatic nodes as a prognostic indicator and separates patients into N1, N2 or N3 categories with 1 metastatic node, 2-3 metastatic nodes and 4 or more metastatic nodes respectively.  For patients who are staged by sentinel node biopsy, it is possible to differentiate between metastatic sentinel nodes and metastatic non-sentinel nodes.  The question whether such a distinction provides useful prognostic information forms the main focus of this thesis and was unclear from the literatu</w:t>
      </w:r>
      <w:r w:rsidR="00202947">
        <w:rPr>
          <w:sz w:val="22"/>
          <w:szCs w:val="22"/>
        </w:rPr>
        <w:t>re when the study in Section 3.2</w:t>
      </w:r>
      <w:r w:rsidRPr="003E73CD">
        <w:rPr>
          <w:sz w:val="22"/>
          <w:szCs w:val="22"/>
        </w:rPr>
        <w:t xml:space="preserve"> was begun.  However, the subject has also been addressed by a number of other investigators, before, during and following publication of th</w:t>
      </w:r>
      <w:r w:rsidR="00202947">
        <w:rPr>
          <w:sz w:val="22"/>
          <w:szCs w:val="22"/>
        </w:rPr>
        <w:t>e study presented in Section 3.2</w:t>
      </w:r>
      <w:r w:rsidRPr="003E73CD">
        <w:rPr>
          <w:sz w:val="22"/>
          <w:szCs w:val="22"/>
        </w:rPr>
        <w:t>.  This section therefore aims to provide a systematic review of the literature, updated until January 2016.  The key to unraveling the significance of non-sentinel node metastasis being to determine the relative prognostic significance of the variables: total number of positive nodes, number of positive sentinel nodes (or sentinel node status) and number of positive non-sentinel nodes (or non-sentinel node status) when they are applied to a population of sentinel node positive melanoma patients.</w:t>
      </w:r>
    </w:p>
    <w:p w14:paraId="2569D604" w14:textId="77777777" w:rsidR="00EB738E" w:rsidRPr="003E73CD" w:rsidRDefault="00EB738E" w:rsidP="00EB738E">
      <w:pPr>
        <w:spacing w:line="480" w:lineRule="auto"/>
        <w:rPr>
          <w:sz w:val="22"/>
          <w:szCs w:val="22"/>
        </w:rPr>
      </w:pPr>
    </w:p>
    <w:p w14:paraId="68442C45" w14:textId="77777777" w:rsidR="00EB738E" w:rsidRPr="003E73CD" w:rsidRDefault="00EB738E" w:rsidP="00EB738E">
      <w:pPr>
        <w:spacing w:line="480" w:lineRule="auto"/>
        <w:rPr>
          <w:b/>
          <w:sz w:val="22"/>
          <w:szCs w:val="22"/>
        </w:rPr>
      </w:pPr>
      <w:r w:rsidRPr="003E73CD">
        <w:rPr>
          <w:b/>
          <w:sz w:val="22"/>
          <w:szCs w:val="22"/>
        </w:rPr>
        <w:t>METHODS</w:t>
      </w:r>
    </w:p>
    <w:p w14:paraId="1A634496" w14:textId="77777777" w:rsidR="00EB738E" w:rsidRPr="003E73CD" w:rsidRDefault="00EB738E" w:rsidP="00EB738E">
      <w:pPr>
        <w:spacing w:line="480" w:lineRule="auto"/>
        <w:ind w:firstLine="720"/>
        <w:rPr>
          <w:sz w:val="22"/>
          <w:szCs w:val="22"/>
        </w:rPr>
      </w:pPr>
      <w:r w:rsidRPr="003E73CD">
        <w:rPr>
          <w:sz w:val="22"/>
          <w:szCs w:val="22"/>
        </w:rPr>
        <w:t>In order to address the free-form question “What is the significance of non-sentinel node metastasis in melanoma”, a structured question was developed according to the PICOS (Populations, Interventions or exposures, Comparisons, Outcomes, Study designs) acronym.</w:t>
      </w:r>
      <w:r w:rsidRPr="003E73CD">
        <w:rPr>
          <w:sz w:val="22"/>
          <w:szCs w:val="22"/>
        </w:rPr>
        <w:fldChar w:fldCharType="begin" w:fldLock="1"/>
      </w:r>
      <w:r>
        <w:rPr>
          <w:sz w:val="22"/>
          <w:szCs w:val="22"/>
        </w:rPr>
        <w:instrText>ADDIN CSL_CITATION { "citationItems" : [ { "id" : "ITEM-1", "itemData" : { "DOI" : "10.1371/journal.pmed.1000097", "ISSN" : "1549-1676", "PMID" : "19621072", "author" : [ { "dropping-particle" : "", "family" : "Moher", "given" : "David", "non-dropping-particle" : "", "parse-names" : false, "suffix" : "" }, { "dropping-particle" : "", "family" : "Liberati", "given" : "Alessandro", "non-dropping-particle" : "", "parse-names" : false, "suffix" : "" }, { "dropping-particle" : "", "family" : "Tetzlaff", "given" : "Jennifer", "non-dropping-particle" : "", "parse-names" : false, "suffix" : "" }, { "dropping-particle" : "", "family" : "Altman", "given" : "Douglas G", "non-dropping-particle" : "", "parse-names" : false, "suffix" : "" } ], "container-title" : "PLoS medicine", "id" : "ITEM-1", "issue" : "7", "issued" : { "date-parts" : [ [ "2009", "7", "21" ] ] }, "page" : "e1000097", "title" : "Preferred reporting items for systematic reviews and meta-analyses: the PRISMA statement.", "type" : "article-journal", "volume" : "6" }, "uris" : [ "http://www.mendeley.com/documents/?uuid=a783d13e-282c-4dfc-b922-ba83e37ab9b9" ] } ], "mendeley" : { "formattedCitation" : "&lt;sup&gt;166&lt;/sup&gt;", "plainTextFormattedCitation" : "166", "previouslyFormattedCitation" : "&lt;sup&gt;166&lt;/sup&gt;" }, "properties" : { "noteIndex" : 0 }, "schema" : "https://github.com/citation-style-language/schema/raw/master/csl-citation.json" }</w:instrText>
      </w:r>
      <w:r w:rsidRPr="003E73CD">
        <w:rPr>
          <w:sz w:val="22"/>
          <w:szCs w:val="22"/>
        </w:rPr>
        <w:fldChar w:fldCharType="separate"/>
      </w:r>
      <w:r w:rsidRPr="00CE2A17">
        <w:rPr>
          <w:noProof/>
          <w:sz w:val="22"/>
          <w:szCs w:val="22"/>
          <w:vertAlign w:val="superscript"/>
        </w:rPr>
        <w:t>166</w:t>
      </w:r>
      <w:r w:rsidRPr="003E73CD">
        <w:rPr>
          <w:sz w:val="22"/>
          <w:szCs w:val="22"/>
        </w:rPr>
        <w:fldChar w:fldCharType="end"/>
      </w:r>
      <w:proofErr w:type="gramStart"/>
      <w:r w:rsidRPr="003E73CD">
        <w:rPr>
          <w:sz w:val="22"/>
          <w:szCs w:val="22"/>
        </w:rPr>
        <w:t xml:space="preserve">  This</w:t>
      </w:r>
      <w:proofErr w:type="gramEnd"/>
      <w:r w:rsidRPr="003E73CD">
        <w:rPr>
          <w:sz w:val="22"/>
          <w:szCs w:val="22"/>
        </w:rPr>
        <w:t xml:space="preserve"> was as follows.</w:t>
      </w:r>
    </w:p>
    <w:p w14:paraId="6D4AE915" w14:textId="77777777" w:rsidR="00EB738E" w:rsidRPr="003E73CD" w:rsidRDefault="00EB738E" w:rsidP="00EB738E">
      <w:pPr>
        <w:spacing w:line="480" w:lineRule="auto"/>
        <w:rPr>
          <w:sz w:val="22"/>
          <w:szCs w:val="22"/>
        </w:rPr>
      </w:pPr>
    </w:p>
    <w:p w14:paraId="6DDCCC7A" w14:textId="77777777" w:rsidR="00EB738E" w:rsidRPr="003E73CD" w:rsidRDefault="00EB738E" w:rsidP="00EB738E">
      <w:pPr>
        <w:spacing w:line="480" w:lineRule="auto"/>
        <w:rPr>
          <w:sz w:val="22"/>
          <w:szCs w:val="22"/>
        </w:rPr>
      </w:pPr>
      <w:r w:rsidRPr="003E73CD">
        <w:rPr>
          <w:sz w:val="22"/>
          <w:szCs w:val="22"/>
        </w:rPr>
        <w:t>Populations: Populations of melanoma patients with clinically localised disease who, following positive sentinel node biopsy for cutaneous melanoma, have undergone completion lymph node dissection.</w:t>
      </w:r>
    </w:p>
    <w:p w14:paraId="4A9D5C48" w14:textId="77777777" w:rsidR="00EB738E" w:rsidRPr="003E73CD" w:rsidRDefault="00EB738E" w:rsidP="00EB738E">
      <w:pPr>
        <w:spacing w:line="480" w:lineRule="auto"/>
        <w:rPr>
          <w:sz w:val="22"/>
          <w:szCs w:val="22"/>
        </w:rPr>
      </w:pPr>
    </w:p>
    <w:p w14:paraId="11EA08A8" w14:textId="77777777" w:rsidR="00EB738E" w:rsidRPr="003E73CD" w:rsidRDefault="00EB738E" w:rsidP="00EB738E">
      <w:pPr>
        <w:spacing w:line="480" w:lineRule="auto"/>
        <w:rPr>
          <w:sz w:val="22"/>
          <w:szCs w:val="22"/>
        </w:rPr>
      </w:pPr>
      <w:r w:rsidRPr="003E73CD">
        <w:rPr>
          <w:sz w:val="22"/>
          <w:szCs w:val="22"/>
        </w:rPr>
        <w:t>Interventions or exposures: Completion lymph node dissection following positive sentinel node biopsy, which would divide the population into two groups: non-sentinel node positive and non-sentinel node negative, based on the presence or absence of micrometastatic disease within the lymph nodes removed.</w:t>
      </w:r>
    </w:p>
    <w:p w14:paraId="5A5AC7FB" w14:textId="77777777" w:rsidR="00EB738E" w:rsidRPr="003E73CD" w:rsidRDefault="00EB738E" w:rsidP="00EB738E">
      <w:pPr>
        <w:spacing w:line="480" w:lineRule="auto"/>
        <w:rPr>
          <w:sz w:val="22"/>
          <w:szCs w:val="22"/>
        </w:rPr>
      </w:pPr>
    </w:p>
    <w:p w14:paraId="67B6D5CD" w14:textId="77777777" w:rsidR="00EB738E" w:rsidRPr="003E73CD" w:rsidRDefault="00EB738E" w:rsidP="00EB738E">
      <w:pPr>
        <w:spacing w:line="480" w:lineRule="auto"/>
        <w:rPr>
          <w:sz w:val="22"/>
          <w:szCs w:val="22"/>
        </w:rPr>
      </w:pPr>
      <w:r w:rsidRPr="003E73CD">
        <w:rPr>
          <w:sz w:val="22"/>
          <w:szCs w:val="22"/>
        </w:rPr>
        <w:t>Comparisons: Patient-related, primary tumour related and/or lymph node-related variables assessed as predictors of survival.</w:t>
      </w:r>
    </w:p>
    <w:p w14:paraId="6C350FB5" w14:textId="77777777" w:rsidR="00EB738E" w:rsidRPr="003E73CD" w:rsidRDefault="00EB738E" w:rsidP="00EB738E">
      <w:pPr>
        <w:spacing w:line="480" w:lineRule="auto"/>
        <w:rPr>
          <w:sz w:val="22"/>
          <w:szCs w:val="22"/>
        </w:rPr>
      </w:pPr>
    </w:p>
    <w:p w14:paraId="4AA884B8" w14:textId="77777777" w:rsidR="00EB738E" w:rsidRPr="003E73CD" w:rsidRDefault="00EB738E" w:rsidP="00EB738E">
      <w:pPr>
        <w:spacing w:line="480" w:lineRule="auto"/>
        <w:rPr>
          <w:sz w:val="22"/>
          <w:szCs w:val="22"/>
        </w:rPr>
      </w:pPr>
      <w:r w:rsidRPr="003E73CD">
        <w:rPr>
          <w:sz w:val="22"/>
          <w:szCs w:val="22"/>
        </w:rPr>
        <w:t>Outcomes: Overall survival or melanoma (disease)-specific survival.</w:t>
      </w:r>
    </w:p>
    <w:p w14:paraId="3DF86B53" w14:textId="77777777" w:rsidR="00EB738E" w:rsidRPr="003E73CD" w:rsidRDefault="00EB738E" w:rsidP="00EB738E">
      <w:pPr>
        <w:spacing w:line="480" w:lineRule="auto"/>
        <w:rPr>
          <w:sz w:val="22"/>
          <w:szCs w:val="22"/>
        </w:rPr>
      </w:pPr>
    </w:p>
    <w:p w14:paraId="7E3A18E1" w14:textId="77777777" w:rsidR="00EB738E" w:rsidRDefault="00EB738E" w:rsidP="00EB738E">
      <w:pPr>
        <w:spacing w:line="480" w:lineRule="auto"/>
        <w:rPr>
          <w:sz w:val="22"/>
          <w:szCs w:val="22"/>
        </w:rPr>
      </w:pPr>
      <w:r w:rsidRPr="003E73CD">
        <w:rPr>
          <w:sz w:val="22"/>
          <w:szCs w:val="22"/>
        </w:rPr>
        <w:t>Study designs: Observational studies documenting survival and examining non-sentinel node status as a putative independent predictor of survival in sentinel node positive melanoma patients</w:t>
      </w:r>
      <w:r>
        <w:rPr>
          <w:sz w:val="22"/>
          <w:szCs w:val="22"/>
        </w:rPr>
        <w:t xml:space="preserve">. </w:t>
      </w:r>
    </w:p>
    <w:p w14:paraId="15D965C1" w14:textId="77777777" w:rsidR="00EB738E" w:rsidRPr="003E73CD" w:rsidRDefault="00EB738E" w:rsidP="00EB738E">
      <w:pPr>
        <w:spacing w:line="480" w:lineRule="auto"/>
        <w:rPr>
          <w:sz w:val="22"/>
          <w:szCs w:val="22"/>
        </w:rPr>
      </w:pPr>
    </w:p>
    <w:p w14:paraId="502153E3" w14:textId="77777777" w:rsidR="00EB738E" w:rsidRPr="003E73CD" w:rsidRDefault="00EB738E" w:rsidP="00EB738E">
      <w:pPr>
        <w:spacing w:line="480" w:lineRule="auto"/>
        <w:rPr>
          <w:sz w:val="22"/>
          <w:szCs w:val="22"/>
        </w:rPr>
      </w:pPr>
    </w:p>
    <w:p w14:paraId="299BFCD7" w14:textId="77777777" w:rsidR="00EB738E" w:rsidRDefault="00EB738E" w:rsidP="00EB738E">
      <w:pPr>
        <w:spacing w:line="480" w:lineRule="auto"/>
        <w:rPr>
          <w:sz w:val="22"/>
          <w:szCs w:val="22"/>
        </w:rPr>
      </w:pPr>
      <w:r w:rsidRPr="003E73CD">
        <w:rPr>
          <w:sz w:val="22"/>
          <w:szCs w:val="22"/>
        </w:rPr>
        <w:tab/>
        <w:t>The systematic review was conducted with reference to the PRISMA (Preferred Reporting Items for Systematic reviews and Meta-analysis) guidelines.</w:t>
      </w:r>
      <w:r w:rsidRPr="003E73CD">
        <w:rPr>
          <w:sz w:val="22"/>
          <w:szCs w:val="22"/>
        </w:rPr>
        <w:fldChar w:fldCharType="begin" w:fldLock="1"/>
      </w:r>
      <w:r>
        <w:rPr>
          <w:sz w:val="22"/>
          <w:szCs w:val="22"/>
        </w:rPr>
        <w:instrText>ADDIN CSL_CITATION { "citationItems" : [ { "id" : "ITEM-1", "itemData" : { "DOI" : "10.1371/journal.pmed.1000097", "ISSN" : "1549-1676", "PMID" : "19621072", "author" : [ { "dropping-particle" : "", "family" : "Moher", "given" : "David", "non-dropping-particle" : "", "parse-names" : false, "suffix" : "" }, { "dropping-particle" : "", "family" : "Liberati", "given" : "Alessandro", "non-dropping-particle" : "", "parse-names" : false, "suffix" : "" }, { "dropping-particle" : "", "family" : "Tetzlaff", "given" : "Jennifer", "non-dropping-particle" : "", "parse-names" : false, "suffix" : "" }, { "dropping-particle" : "", "family" : "Altman", "given" : "Douglas G", "non-dropping-particle" : "", "parse-names" : false, "suffix" : "" } ], "container-title" : "PLoS medicine", "id" : "ITEM-1", "issue" : "7", "issued" : { "date-parts" : [ [ "2009", "7", "21" ] ] }, "page" : "e1000097", "title" : "Preferred reporting items for systematic reviews and meta-analyses: the PRISMA statement.", "type" : "article-journal", "volume" : "6" }, "uris" : [ "http://www.mendeley.com/documents/?uuid=a783d13e-282c-4dfc-b922-ba83e37ab9b9" ] } ], "mendeley" : { "formattedCitation" : "&lt;sup&gt;166&lt;/sup&gt;", "plainTextFormattedCitation" : "166", "previouslyFormattedCitation" : "&lt;sup&gt;166&lt;/sup&gt;" }, "properties" : { "noteIndex" : 0 }, "schema" : "https://github.com/citation-style-language/schema/raw/master/csl-citation.json" }</w:instrText>
      </w:r>
      <w:r w:rsidRPr="003E73CD">
        <w:rPr>
          <w:sz w:val="22"/>
          <w:szCs w:val="22"/>
        </w:rPr>
        <w:fldChar w:fldCharType="separate"/>
      </w:r>
      <w:r w:rsidRPr="00CE2A17">
        <w:rPr>
          <w:noProof/>
          <w:sz w:val="22"/>
          <w:szCs w:val="22"/>
          <w:vertAlign w:val="superscript"/>
        </w:rPr>
        <w:t>166</w:t>
      </w:r>
      <w:r w:rsidRPr="003E73CD">
        <w:rPr>
          <w:sz w:val="22"/>
          <w:szCs w:val="22"/>
        </w:rPr>
        <w:fldChar w:fldCharType="end"/>
      </w:r>
      <w:proofErr w:type="gramStart"/>
      <w:r w:rsidRPr="003E73CD">
        <w:rPr>
          <w:sz w:val="22"/>
          <w:szCs w:val="22"/>
        </w:rPr>
        <w:t xml:space="preserve">  </w:t>
      </w:r>
      <w:r>
        <w:rPr>
          <w:sz w:val="22"/>
          <w:szCs w:val="22"/>
        </w:rPr>
        <w:t>The</w:t>
      </w:r>
      <w:proofErr w:type="gramEnd"/>
      <w:r>
        <w:rPr>
          <w:sz w:val="22"/>
          <w:szCs w:val="22"/>
        </w:rPr>
        <w:t xml:space="preserve"> criteria for inclusion in the critical literature review were:</w:t>
      </w:r>
    </w:p>
    <w:p w14:paraId="603F819F" w14:textId="77777777" w:rsidR="00EB738E" w:rsidRDefault="00EB738E" w:rsidP="00EB738E">
      <w:pPr>
        <w:spacing w:line="480" w:lineRule="auto"/>
        <w:rPr>
          <w:sz w:val="22"/>
          <w:szCs w:val="22"/>
        </w:rPr>
      </w:pPr>
      <w:r>
        <w:rPr>
          <w:sz w:val="22"/>
          <w:szCs w:val="22"/>
        </w:rPr>
        <w:t>1.  Studies reporting survival (overall, disease-specific or recurrence-free) for sentinel node positive melanoma patients who had undergone completion lymph node dissection.</w:t>
      </w:r>
    </w:p>
    <w:p w14:paraId="7F5C8F78" w14:textId="77777777" w:rsidR="00EB738E" w:rsidRDefault="00EB738E" w:rsidP="00EB738E">
      <w:pPr>
        <w:spacing w:line="480" w:lineRule="auto"/>
        <w:rPr>
          <w:sz w:val="22"/>
          <w:szCs w:val="22"/>
        </w:rPr>
      </w:pPr>
      <w:r>
        <w:rPr>
          <w:sz w:val="22"/>
          <w:szCs w:val="22"/>
        </w:rPr>
        <w:t xml:space="preserve">2.   Multivariate analysis performed for factors predictive of survival. </w:t>
      </w:r>
    </w:p>
    <w:p w14:paraId="1CF8DF37" w14:textId="77777777" w:rsidR="00EB738E" w:rsidRDefault="00EB738E" w:rsidP="00EB738E">
      <w:pPr>
        <w:spacing w:line="480" w:lineRule="auto"/>
        <w:rPr>
          <w:sz w:val="22"/>
          <w:szCs w:val="22"/>
        </w:rPr>
      </w:pPr>
    </w:p>
    <w:p w14:paraId="1297F4C2" w14:textId="77777777" w:rsidR="00EB738E" w:rsidRDefault="00EB738E" w:rsidP="00EB738E">
      <w:pPr>
        <w:spacing w:line="480" w:lineRule="auto"/>
        <w:ind w:firstLine="720"/>
        <w:rPr>
          <w:sz w:val="22"/>
          <w:szCs w:val="22"/>
        </w:rPr>
      </w:pPr>
      <w:r>
        <w:rPr>
          <w:sz w:val="22"/>
          <w:szCs w:val="22"/>
        </w:rPr>
        <w:t>To fully address the study question, and be included in the final tables, studies must also have met one or more of the following criteria:</w:t>
      </w:r>
    </w:p>
    <w:p w14:paraId="6A957DA8" w14:textId="77777777" w:rsidR="00EB738E" w:rsidRDefault="00EB738E" w:rsidP="00EB738E">
      <w:pPr>
        <w:spacing w:line="480" w:lineRule="auto"/>
        <w:rPr>
          <w:sz w:val="22"/>
          <w:szCs w:val="22"/>
        </w:rPr>
      </w:pPr>
      <w:r>
        <w:rPr>
          <w:sz w:val="22"/>
          <w:szCs w:val="22"/>
        </w:rPr>
        <w:t>1.  Performed multivariate analysis for overall or disease-specific survival that accounted for the difference in total number of positive nodes between non-sentinel node positive and non-sentinel node negative patients.</w:t>
      </w:r>
    </w:p>
    <w:p w14:paraId="0402854E" w14:textId="77777777" w:rsidR="00EB738E" w:rsidRDefault="00EB738E" w:rsidP="00EB738E">
      <w:pPr>
        <w:spacing w:line="480" w:lineRule="auto"/>
        <w:rPr>
          <w:sz w:val="22"/>
          <w:szCs w:val="22"/>
        </w:rPr>
      </w:pPr>
      <w:r>
        <w:rPr>
          <w:sz w:val="22"/>
          <w:szCs w:val="22"/>
        </w:rPr>
        <w:t>2.  Performed alternative analyses to determine the effect of non-sentinel node status on survival using a method that excluded total number of positive nodes as a potential confounding factor.</w:t>
      </w:r>
    </w:p>
    <w:p w14:paraId="6FC0AAB2" w14:textId="77777777" w:rsidR="00EB738E" w:rsidRDefault="00EB738E" w:rsidP="00EB738E">
      <w:pPr>
        <w:spacing w:line="480" w:lineRule="auto"/>
        <w:rPr>
          <w:sz w:val="22"/>
          <w:szCs w:val="22"/>
        </w:rPr>
      </w:pPr>
    </w:p>
    <w:p w14:paraId="4D6152B1" w14:textId="51BF2D71" w:rsidR="00EB738E" w:rsidRPr="003E73CD" w:rsidRDefault="00EB738E" w:rsidP="00EB738E">
      <w:pPr>
        <w:spacing w:line="480" w:lineRule="auto"/>
        <w:ind w:firstLine="720"/>
        <w:rPr>
          <w:sz w:val="22"/>
          <w:szCs w:val="22"/>
        </w:rPr>
      </w:pPr>
      <w:r w:rsidRPr="003E73CD">
        <w:rPr>
          <w:sz w:val="22"/>
          <w:szCs w:val="22"/>
        </w:rPr>
        <w:t>Electronic searches were carried out using PubMed, EMBASE, OVID and the Cochrane library, including in-process and other non-indexed citations with the maximum years included in each database and no language limitations.  The search terms “melanoma”, “sentinel node”, “non-sentinel node” and possible variations were used.  Articles including the term “breast” in the title were excluded.  The retrieved records were screened by title and excluded if not relevant.  Abstracts were reviewed for the remaining records and further exclusions made or full text articles obtained for review.  For each full text article the reference lists were examined and any potentially relevant studies screened to determine eligibilit</w:t>
      </w:r>
      <w:r w:rsidR="00202947">
        <w:rPr>
          <w:sz w:val="22"/>
          <w:szCs w:val="22"/>
        </w:rPr>
        <w:t>y.  The flow diagram in Figure 3.1</w:t>
      </w:r>
      <w:r w:rsidRPr="003E73CD">
        <w:rPr>
          <w:sz w:val="22"/>
          <w:szCs w:val="22"/>
        </w:rPr>
        <w:t xml:space="preserve">.1 shows the number of exclusions at each stage.  Included studies were assessed for methodological quality and descriptive statistical data were collected.  </w:t>
      </w:r>
      <w:r>
        <w:rPr>
          <w:sz w:val="22"/>
          <w:szCs w:val="22"/>
        </w:rPr>
        <w:t>Methodological quality was assessed qualitatively and also by a quantitative method, developed from the STROBE (Strengthening of Reporting of Observational Studies in Epidemiology) Statement checklist.</w:t>
      </w:r>
      <w:r>
        <w:rPr>
          <w:sz w:val="22"/>
          <w:szCs w:val="22"/>
        </w:rPr>
        <w:fldChar w:fldCharType="begin" w:fldLock="1"/>
      </w:r>
      <w:r>
        <w:rPr>
          <w:sz w:val="22"/>
          <w:szCs w:val="22"/>
        </w:rPr>
        <w:instrText>ADDIN CSL_CITATION { "citationItems" : [ { "id" : "ITEM-1", "itemData" : { "DOI" : "10.1016/S0140-6736(07)61602-X", "ISBN" : "1549-1676 (Electronic)\\n1549-1277 (Linking)", "ISSN" : "1474-547X", "PMID" : "18064739", "abstract" : "Much biomedical research is observational. The reporting of such research is often inadequate, which hampers the assessment of its strengths and weaknesses and of a study's generalizability. The Strengthening the Reporting of Observational Studies in Epidemiology (STROBE) Initiative developed recommendations on what should be included in an accurate and complete report of an observational study. We defined the scope of the recommendations to cover 3 main study designs: cohort, case\u2013control, and cross-sectional studies. We convened a 2-day workshop in September 2004, with methodologists, researchers, and journal editors, to draft a checklist of items. This list was subsequently revised during several meetings of the coordinating group and in e-mail discussions with the larger group of STROBE contributors, taking into account empirical evidence and methodological considerations. The workshop and the subsequent iterative process of consultation and revision resulted in a checklist of 22 items (the STROBE Statement) that relate to the title, abstract, introduction, methods, results, and discussion sections of articles. Eighteen items are common to all 3 study designs and 4 are specific for cohort, case\u2013control, or cross-sectional studies. A detailed Explanation and Elaboration document is published separately and is freely available at http://www.annals.org and on the Web sites of PLoS Medicine and Epidemiology. We hope that the STROBE Statement will contribute to improving the quality of reporting of observational studies. Many questions in medical research are investigated in observational studies (1). Much of the research into the cause of diseases relies on cohort, case\u2013control, or cross-sectional studies. Observational studies also have a role in research into the benefits and harms of medical interventions (2). Randomized trials cannot answer all important questions about a given intervention. For example, observational studies are more suitable to detect rare or late adverse effects of treatments and are more likely to provide an indication of what is achieved in daily medical practice (3). Research should be reported transparently so that readers can follow what was planned, what was done, what was found, and what conclusions were drawn. The credibility of research depends on a critical assessment by others of the strengths and weaknesses in study design, conduct, and analysis. Transparent reporting is also needed to judge whether and how results ca\u2026", "author" : [ { "dropping-particle" : "", "family" : "Elm", "given" : "E", "non-dropping-particle" : "von", "parse-names" : false, "suffix" : "" }, { "dropping-particle" : "", "family" : "Altman", "given" : "D G", "non-dropping-particle" : "", "parse-names" : false, "suffix" : "" }, { "dropping-particle" : "", "family" : "Egger M S.J.", "given" : "Pocock", "non-dropping-particle" : "", "parse-names" : false, "suffix" : "" }, { "dropping-particle" : "", "family" : "G\u00f8tzsche", "given" : "P C", "non-dropping-particle" : "", "parse-names" : false, "suffix" : "" }, { "dropping-particle" : "", "family" : "Vandenbroucke", "given" : "J P", "non-dropping-particle" : "", "parse-names" : false, "suffix" : "" }, { "dropping-particle" : "", "family" : "Initiative", "given" : "STROBE", "non-dropping-particle" : "", "parse-names" : false, "suffix" : "" } ], "container-title" : "J Clin Epidemiol", "id" : "ITEM-1", "issue" : "4", "issued" : { "date-parts" : [ [ "2008" ] ] }, "page" : "344-349", "title" : "The Strengthening the Reporting of Observational Studies in Epidemiology (STROBE)statement: guidelines for reporting observational studies.", "type" : "article-journal", "volume" : "61" }, "uris" : [ "http://www.mendeley.com/documents/?uuid=00b519f7-8c42-41aa-9cf6-13d9dd5114da" ] } ], "mendeley" : { "formattedCitation" : "&lt;sup&gt;167&lt;/sup&gt;", "plainTextFormattedCitation" : "167", "previouslyFormattedCitation" : "&lt;sup&gt;167&lt;/sup&gt;" }, "properties" : { "noteIndex" : 0 }, "schema" : "https://github.com/citation-style-language/schema/raw/master/csl-citation.json" }</w:instrText>
      </w:r>
      <w:r>
        <w:rPr>
          <w:sz w:val="22"/>
          <w:szCs w:val="22"/>
        </w:rPr>
        <w:fldChar w:fldCharType="separate"/>
      </w:r>
      <w:r w:rsidRPr="00217FAC">
        <w:rPr>
          <w:noProof/>
          <w:sz w:val="22"/>
          <w:szCs w:val="22"/>
          <w:vertAlign w:val="superscript"/>
        </w:rPr>
        <w:t>167</w:t>
      </w:r>
      <w:r>
        <w:rPr>
          <w:sz w:val="22"/>
          <w:szCs w:val="22"/>
        </w:rPr>
        <w:fldChar w:fldCharType="end"/>
      </w:r>
      <w:proofErr w:type="gramStart"/>
      <w:r>
        <w:rPr>
          <w:sz w:val="22"/>
          <w:szCs w:val="22"/>
        </w:rPr>
        <w:t xml:space="preserve">  This</w:t>
      </w:r>
      <w:proofErr w:type="gramEnd"/>
      <w:r>
        <w:rPr>
          <w:sz w:val="22"/>
          <w:szCs w:val="22"/>
        </w:rPr>
        <w:t xml:space="preserve"> was produced by allocating a score for each item on the 21-point checklist, so that each study could be scored out of 70 points (see Appendix).  </w:t>
      </w:r>
      <w:r w:rsidRPr="003E73CD">
        <w:rPr>
          <w:sz w:val="22"/>
          <w:szCs w:val="22"/>
        </w:rPr>
        <w:t xml:space="preserve">Data were then extracted regarding survival characteristics for each study population based on non-sentinel node status.  The results of univariate and multivariate analyses for factors predictive of survival in each study were also retrieved. </w:t>
      </w:r>
    </w:p>
    <w:p w14:paraId="29AE3D06" w14:textId="1CBA92E6" w:rsidR="00EB738E" w:rsidRPr="003E73CD" w:rsidRDefault="00202947" w:rsidP="00EB738E">
      <w:pPr>
        <w:spacing w:line="480" w:lineRule="auto"/>
        <w:rPr>
          <w:sz w:val="22"/>
          <w:szCs w:val="22"/>
        </w:rPr>
      </w:pPr>
      <w:r>
        <w:rPr>
          <w:sz w:val="22"/>
          <w:szCs w:val="22"/>
        </w:rPr>
        <w:t>Figure 3.1</w:t>
      </w:r>
      <w:r w:rsidR="00EB738E" w:rsidRPr="003E73CD">
        <w:rPr>
          <w:sz w:val="22"/>
          <w:szCs w:val="22"/>
        </w:rPr>
        <w:t>.1. Flow diagram for the systematic review</w:t>
      </w:r>
    </w:p>
    <w:p w14:paraId="1C67D82A" w14:textId="77777777" w:rsidR="00EB738E" w:rsidRPr="003E73CD" w:rsidRDefault="00EB738E" w:rsidP="00EB738E">
      <w:pPr>
        <w:spacing w:line="480" w:lineRule="auto"/>
        <w:rPr>
          <w:sz w:val="20"/>
          <w:szCs w:val="20"/>
        </w:rPr>
      </w:pPr>
    </w:p>
    <w:p w14:paraId="56DC7396" w14:textId="77777777" w:rsidR="00EB738E" w:rsidRPr="003E73CD" w:rsidRDefault="00EB738E" w:rsidP="00EB738E">
      <w:pPr>
        <w:spacing w:line="480" w:lineRule="auto"/>
        <w:rPr>
          <w:sz w:val="20"/>
          <w:szCs w:val="20"/>
        </w:rPr>
      </w:pPr>
      <w:r w:rsidRPr="003E73CD">
        <w:rPr>
          <w:noProof/>
          <w:sz w:val="20"/>
          <w:szCs w:val="20"/>
        </w:rPr>
        <mc:AlternateContent>
          <mc:Choice Requires="wps">
            <w:drawing>
              <wp:anchor distT="0" distB="0" distL="114300" distR="114300" simplePos="0" relativeHeight="251677696" behindDoc="0" locked="0" layoutInCell="1" allowOverlap="1" wp14:anchorId="4FF99A7E" wp14:editId="35A8A9F1">
                <wp:simplePos x="0" y="0"/>
                <wp:positionH relativeFrom="column">
                  <wp:posOffset>1143000</wp:posOffset>
                </wp:positionH>
                <wp:positionV relativeFrom="paragraph">
                  <wp:posOffset>974725</wp:posOffset>
                </wp:positionV>
                <wp:extent cx="0" cy="800100"/>
                <wp:effectExtent l="127000" t="25400" r="101600" b="114300"/>
                <wp:wrapNone/>
                <wp:docPr id="32" name="Straight Arrow Connector 32"/>
                <wp:cNvGraphicFramePr/>
                <a:graphic xmlns:a="http://schemas.openxmlformats.org/drawingml/2006/main">
                  <a:graphicData uri="http://schemas.microsoft.com/office/word/2010/wordprocessingShape">
                    <wps:wsp>
                      <wps:cNvCnPr/>
                      <wps:spPr>
                        <a:xfrm>
                          <a:off x="0" y="0"/>
                          <a:ext cx="0" cy="8001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0,0l21600,21600e" filled="f">
                <v:path arrowok="t" fillok="f" o:connecttype="none"/>
                <o:lock v:ext="edit" shapetype="t"/>
              </v:shapetype>
              <v:shape id="Straight Arrow Connector 32" o:spid="_x0000_s1026" type="#_x0000_t32" style="position:absolute;margin-left:90pt;margin-top:76.75pt;width:0;height:63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" strokecolor="#4f81bd [3204]" strokeweight="2pt">
                <v:stroke endarrow="open"/>
                <v:shadow on="t" opacity="24903f" mv:blur="40000f" origin=",.5" offset="0,20000emu"/>
              </v:shape>
            </w:pict>
          </mc:Fallback>
        </mc:AlternateContent>
      </w:r>
      <w:r w:rsidRPr="003E73CD">
        <w:rPr>
          <w:noProof/>
          <w:sz w:val="20"/>
          <w:szCs w:val="20"/>
        </w:rPr>
        <mc:AlternateContent>
          <mc:Choice Requires="wps">
            <w:drawing>
              <wp:anchor distT="0" distB="0" distL="114300" distR="114300" simplePos="0" relativeHeight="251676672" behindDoc="0" locked="0" layoutInCell="1" allowOverlap="1" wp14:anchorId="228C580C" wp14:editId="7D1A817F">
                <wp:simplePos x="0" y="0"/>
                <wp:positionH relativeFrom="column">
                  <wp:posOffset>1943100</wp:posOffset>
                </wp:positionH>
                <wp:positionV relativeFrom="paragraph">
                  <wp:posOffset>860425</wp:posOffset>
                </wp:positionV>
                <wp:extent cx="1943100" cy="2400300"/>
                <wp:effectExtent l="76200" t="25400" r="63500" b="114300"/>
                <wp:wrapNone/>
                <wp:docPr id="33" name="Straight Arrow Connector 33"/>
                <wp:cNvGraphicFramePr/>
                <a:graphic xmlns:a="http://schemas.openxmlformats.org/drawingml/2006/main">
                  <a:graphicData uri="http://schemas.microsoft.com/office/word/2010/wordprocessingShape">
                    <wps:wsp>
                      <wps:cNvCnPr/>
                      <wps:spPr>
                        <a:xfrm flipH="1">
                          <a:off x="0" y="0"/>
                          <a:ext cx="1943100" cy="24003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shape id="Straight Arrow Connector 33" o:spid="_x0000_s1026" type="#_x0000_t32" style="position:absolute;margin-left:153pt;margin-top:67.75pt;width:153pt;height:189pt;flip:x;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" strokecolor="#4f81bd [3204]" strokeweight="2pt">
                <v:stroke endarrow="open"/>
                <v:shadow on="t" opacity="24903f" mv:blur="40000f" origin=",.5" offset="0,20000emu"/>
              </v:shape>
            </w:pict>
          </mc:Fallback>
        </mc:AlternateContent>
      </w:r>
      <w:r w:rsidRPr="003E73CD">
        <w:rPr>
          <w:noProof/>
          <w:sz w:val="20"/>
          <w:szCs w:val="20"/>
        </w:rPr>
        <mc:AlternateContent>
          <mc:Choice Requires="wps">
            <w:drawing>
              <wp:inline distT="0" distB="0" distL="0" distR="0" wp14:anchorId="7CE6EDBA" wp14:editId="423AFDDE">
                <wp:extent cx="2286000" cy="1003300"/>
                <wp:effectExtent l="0" t="0" r="25400" b="38100"/>
                <wp:docPr id="34" name="Text Box 34"/>
                <wp:cNvGraphicFramePr/>
                <a:graphic xmlns:a="http://schemas.openxmlformats.org/drawingml/2006/main">
                  <a:graphicData uri="http://schemas.microsoft.com/office/word/2010/wordprocessingShape">
                    <wps:wsp>
                      <wps:cNvSpPr txBox="1"/>
                      <wps:spPr>
                        <a:xfrm>
                          <a:off x="0" y="0"/>
                          <a:ext cx="2286000" cy="1003300"/>
                        </a:xfrm>
                        <a:prstGeom prst="rect">
                          <a:avLst/>
                        </a:prstGeom>
                        <a:noFill/>
                        <a:ln>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280CA54" w14:textId="77777777" w:rsidR="00397FF8" w:rsidRDefault="00397FF8" w:rsidP="00EB738E">
                            <w:r>
                              <w:t xml:space="preserve">Records identified via electronic database searches (PubMed, OVID, Cochrane library, EMBASE) </w:t>
                            </w:r>
                          </w:p>
                          <w:p w14:paraId="61DEE0D0" w14:textId="77777777" w:rsidR="00397FF8" w:rsidRDefault="00397FF8" w:rsidP="00EB738E">
                            <w:r>
                              <w:t>(</w:t>
                            </w:r>
                            <w:proofErr w:type="gramStart"/>
                            <w:r>
                              <w:t>n</w:t>
                            </w:r>
                            <w:proofErr w:type="gramEnd"/>
                            <w:r>
                              <w:t xml:space="preserve"> = 252)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id="_x0000_t202" coordsize="21600,21600" o:spt="202" path="m0,0l0,21600,21600,21600,21600,0xe">
                <v:stroke joinstyle="miter"/>
                <v:path gradientshapeok="t" o:connecttype="rect"/>
              </v:shapetype>
              <v:shape id="Text Box 34" o:spid="_x0000_s1026" type="#_x0000_t202" style="width:180pt;height:79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" filled="f" strokecolor="black [3213]">
                <v:textbox>
                  <w:txbxContent>
                    <w:p w14:paraId="4280CA54" w14:textId="77777777" w:rsidR="00397FF8" w:rsidRDefault="00397FF8" w:rsidP="00EB738E">
                      <w:r>
                        <w:t xml:space="preserve">Records identified via electronic database searches (PubMed, OVID, Cochrane library, EMBASE) </w:t>
                      </w:r>
                    </w:p>
                    <w:p w14:paraId="61DEE0D0" w14:textId="77777777" w:rsidR="00397FF8" w:rsidRDefault="00397FF8" w:rsidP="00EB738E">
                      <w:r>
                        <w:t>(</w:t>
                      </w:r>
                      <w:proofErr w:type="gramStart"/>
                      <w:r>
                        <w:t>n</w:t>
                      </w:r>
                      <w:proofErr w:type="gramEnd"/>
                      <w:r>
                        <w:t xml:space="preserve"> = 252)</w:t>
                      </w:r>
                    </w:p>
                  </w:txbxContent>
                </v:textbox>
                <w10:anchorlock/>
              </v:shape>
            </w:pict>
          </mc:Fallback>
        </mc:AlternateContent>
      </w:r>
      <w:r w:rsidRPr="003E73CD">
        <w:rPr>
          <w:noProof/>
          <w:sz w:val="20"/>
          <w:szCs w:val="20"/>
        </w:rPr>
        <mc:AlternateContent>
          <mc:Choice Requires="wps">
            <w:drawing>
              <wp:anchor distT="0" distB="0" distL="114300" distR="114300" simplePos="0" relativeHeight="251669504" behindDoc="0" locked="0" layoutInCell="1" allowOverlap="1" wp14:anchorId="6C2A0CE1" wp14:editId="243D0EC6">
                <wp:simplePos x="0" y="0"/>
                <wp:positionH relativeFrom="column">
                  <wp:posOffset>3086100</wp:posOffset>
                </wp:positionH>
                <wp:positionV relativeFrom="paragraph">
                  <wp:posOffset>144780</wp:posOffset>
                </wp:positionV>
                <wp:extent cx="2057400" cy="685800"/>
                <wp:effectExtent l="0" t="0" r="25400" b="25400"/>
                <wp:wrapSquare wrapText="bothSides"/>
                <wp:docPr id="38" name="Text Box 38"/>
                <wp:cNvGraphicFramePr/>
                <a:graphic xmlns:a="http://schemas.openxmlformats.org/drawingml/2006/main">
                  <a:graphicData uri="http://schemas.microsoft.com/office/word/2010/wordprocessingShape">
                    <wps:wsp>
                      <wps:cNvSpPr txBox="1"/>
                      <wps:spPr>
                        <a:xfrm>
                          <a:off x="0" y="0"/>
                          <a:ext cx="2057400" cy="685800"/>
                        </a:xfrm>
                        <a:prstGeom prst="rect">
                          <a:avLst/>
                        </a:prstGeom>
                        <a:noFill/>
                        <a:ln>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E6385C5" w14:textId="77777777" w:rsidR="00397FF8" w:rsidRDefault="00397FF8" w:rsidP="00EB738E">
                            <w:r>
                              <w:t xml:space="preserve">Records identified via manual searching </w:t>
                            </w:r>
                          </w:p>
                          <w:p w14:paraId="0B0FBA39" w14:textId="77777777" w:rsidR="00397FF8" w:rsidRDefault="00397FF8" w:rsidP="00EB738E">
                            <w:r>
                              <w:t>(</w:t>
                            </w:r>
                            <w:proofErr w:type="gramStart"/>
                            <w:r>
                              <w:t>n</w:t>
                            </w:r>
                            <w:proofErr w:type="gramEnd"/>
                            <w:r>
                              <w:t xml:space="preserve"> =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 o:spid="_x0000_s1027" type="#_x0000_t202" style="position:absolute;margin-left:243pt;margin-top:11.4pt;width:162pt;height:5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" filled="f" strokecolor="black [3213]">
                <v:textbox>
                  <w:txbxContent>
                    <w:p w14:paraId="3E6385C5" w14:textId="77777777" w:rsidR="00397FF8" w:rsidRDefault="00397FF8" w:rsidP="00EB738E">
                      <w:r>
                        <w:t xml:space="preserve">Records identified via manual searching </w:t>
                      </w:r>
                    </w:p>
                    <w:p w14:paraId="0B0FBA39" w14:textId="77777777" w:rsidR="00397FF8" w:rsidRDefault="00397FF8" w:rsidP="00EB738E">
                      <w:r>
                        <w:t>(</w:t>
                      </w:r>
                      <w:proofErr w:type="gramStart"/>
                      <w:r>
                        <w:t>n</w:t>
                      </w:r>
                      <w:proofErr w:type="gramEnd"/>
                      <w:r>
                        <w:t xml:space="preserve"> = 3)</w:t>
                      </w:r>
                    </w:p>
                  </w:txbxContent>
                </v:textbox>
                <w10:wrap type="square"/>
              </v:shape>
            </w:pict>
          </mc:Fallback>
        </mc:AlternateContent>
      </w:r>
    </w:p>
    <w:p w14:paraId="624B2166" w14:textId="77777777" w:rsidR="00EB738E" w:rsidRPr="003E73CD" w:rsidRDefault="00EB738E" w:rsidP="00EB738E">
      <w:pPr>
        <w:spacing w:line="480" w:lineRule="auto"/>
        <w:rPr>
          <w:sz w:val="20"/>
          <w:szCs w:val="20"/>
        </w:rPr>
      </w:pPr>
    </w:p>
    <w:p w14:paraId="774D3313" w14:textId="77777777" w:rsidR="00EB738E" w:rsidRPr="003E73CD" w:rsidRDefault="00EB738E" w:rsidP="00EB738E">
      <w:pPr>
        <w:spacing w:line="480" w:lineRule="auto"/>
        <w:rPr>
          <w:sz w:val="20"/>
          <w:szCs w:val="20"/>
        </w:rPr>
      </w:pPr>
      <w:r w:rsidRPr="003E73CD">
        <w:rPr>
          <w:noProof/>
          <w:sz w:val="20"/>
          <w:szCs w:val="20"/>
        </w:rPr>
        <mc:AlternateContent>
          <mc:Choice Requires="wps">
            <w:drawing>
              <wp:anchor distT="0" distB="0" distL="114300" distR="114300" simplePos="0" relativeHeight="251671552" behindDoc="0" locked="0" layoutInCell="1" allowOverlap="1" wp14:anchorId="556C7F4C" wp14:editId="3E5C5762">
                <wp:simplePos x="0" y="0"/>
                <wp:positionH relativeFrom="column">
                  <wp:posOffset>571500</wp:posOffset>
                </wp:positionH>
                <wp:positionV relativeFrom="paragraph">
                  <wp:posOffset>301625</wp:posOffset>
                </wp:positionV>
                <wp:extent cx="1257300" cy="914400"/>
                <wp:effectExtent l="0" t="0" r="38100" b="25400"/>
                <wp:wrapSquare wrapText="bothSides"/>
                <wp:docPr id="39" name="Text Box 39"/>
                <wp:cNvGraphicFramePr/>
                <a:graphic xmlns:a="http://schemas.openxmlformats.org/drawingml/2006/main">
                  <a:graphicData uri="http://schemas.microsoft.com/office/word/2010/wordprocessingShape">
                    <wps:wsp>
                      <wps:cNvSpPr txBox="1"/>
                      <wps:spPr>
                        <a:xfrm>
                          <a:off x="0" y="0"/>
                          <a:ext cx="1257300" cy="914400"/>
                        </a:xfrm>
                        <a:prstGeom prst="rect">
                          <a:avLst/>
                        </a:prstGeom>
                        <a:noFill/>
                        <a:ln>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567E682" w14:textId="77777777" w:rsidR="00397FF8" w:rsidRDefault="00397FF8" w:rsidP="00EB738E">
                            <w:r>
                              <w:t xml:space="preserve">Duplicates removed </w:t>
                            </w:r>
                          </w:p>
                          <w:p w14:paraId="2E030635" w14:textId="77777777" w:rsidR="00397FF8" w:rsidRDefault="00397FF8" w:rsidP="00EB738E">
                            <w:r>
                              <w:t>(</w:t>
                            </w:r>
                            <w:proofErr w:type="gramStart"/>
                            <w:r>
                              <w:t>n</w:t>
                            </w:r>
                            <w:proofErr w:type="gramEnd"/>
                            <w:r>
                              <w:t xml:space="preserve"> = 67)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9" o:spid="_x0000_s1028" type="#_x0000_t202" style="position:absolute;margin-left:45pt;margin-top:23.75pt;width:99pt;height:1in;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" filled="f" strokecolor="black [3213]">
                <v:textbox>
                  <w:txbxContent>
                    <w:p w14:paraId="7567E682" w14:textId="77777777" w:rsidR="00397FF8" w:rsidRDefault="00397FF8" w:rsidP="00EB738E">
                      <w:r>
                        <w:t xml:space="preserve">Duplicates removed </w:t>
                      </w:r>
                    </w:p>
                    <w:p w14:paraId="2E030635" w14:textId="77777777" w:rsidR="00397FF8" w:rsidRDefault="00397FF8" w:rsidP="00EB738E">
                      <w:r>
                        <w:t>(</w:t>
                      </w:r>
                      <w:proofErr w:type="gramStart"/>
                      <w:r>
                        <w:t>n</w:t>
                      </w:r>
                      <w:proofErr w:type="gramEnd"/>
                      <w:r>
                        <w:t xml:space="preserve"> = 67)</w:t>
                      </w:r>
                    </w:p>
                  </w:txbxContent>
                </v:textbox>
                <w10:wrap type="square"/>
              </v:shape>
            </w:pict>
          </mc:Fallback>
        </mc:AlternateContent>
      </w:r>
    </w:p>
    <w:p w14:paraId="67AD44C1" w14:textId="77777777" w:rsidR="00EB738E" w:rsidRPr="003E73CD" w:rsidRDefault="00EB738E" w:rsidP="00EB738E">
      <w:pPr>
        <w:spacing w:line="480" w:lineRule="auto"/>
        <w:rPr>
          <w:sz w:val="20"/>
          <w:szCs w:val="20"/>
        </w:rPr>
      </w:pPr>
    </w:p>
    <w:p w14:paraId="7D338CD5" w14:textId="77777777" w:rsidR="00EB738E" w:rsidRPr="003E73CD" w:rsidRDefault="00EB738E" w:rsidP="00EB738E">
      <w:pPr>
        <w:spacing w:line="480" w:lineRule="auto"/>
        <w:rPr>
          <w:sz w:val="20"/>
          <w:szCs w:val="20"/>
        </w:rPr>
      </w:pPr>
    </w:p>
    <w:p w14:paraId="3DAEB6B9" w14:textId="77777777" w:rsidR="00EB738E" w:rsidRPr="003E73CD" w:rsidRDefault="00EB738E" w:rsidP="00EB738E">
      <w:pPr>
        <w:spacing w:line="480" w:lineRule="auto"/>
        <w:rPr>
          <w:sz w:val="20"/>
          <w:szCs w:val="20"/>
        </w:rPr>
      </w:pPr>
    </w:p>
    <w:p w14:paraId="72A4AE0C" w14:textId="77777777" w:rsidR="00EB738E" w:rsidRPr="003E73CD" w:rsidRDefault="00EB738E" w:rsidP="00EB738E">
      <w:pPr>
        <w:spacing w:line="480" w:lineRule="auto"/>
        <w:rPr>
          <w:sz w:val="20"/>
          <w:szCs w:val="20"/>
        </w:rPr>
      </w:pPr>
      <w:r w:rsidRPr="003E73CD">
        <w:rPr>
          <w:noProof/>
          <w:sz w:val="20"/>
          <w:szCs w:val="20"/>
        </w:rPr>
        <mc:AlternateContent>
          <mc:Choice Requires="wps">
            <w:drawing>
              <wp:anchor distT="0" distB="0" distL="114300" distR="114300" simplePos="0" relativeHeight="251678720" behindDoc="0" locked="0" layoutInCell="1" allowOverlap="1" wp14:anchorId="77911D18" wp14:editId="15162166">
                <wp:simplePos x="0" y="0"/>
                <wp:positionH relativeFrom="column">
                  <wp:posOffset>1143000</wp:posOffset>
                </wp:positionH>
                <wp:positionV relativeFrom="paragraph">
                  <wp:posOffset>10160</wp:posOffset>
                </wp:positionV>
                <wp:extent cx="0" cy="571500"/>
                <wp:effectExtent l="127000" t="25400" r="101600" b="114300"/>
                <wp:wrapNone/>
                <wp:docPr id="40" name="Straight Arrow Connector 40"/>
                <wp:cNvGraphicFramePr/>
                <a:graphic xmlns:a="http://schemas.openxmlformats.org/drawingml/2006/main">
                  <a:graphicData uri="http://schemas.microsoft.com/office/word/2010/wordprocessingShape">
                    <wps:wsp>
                      <wps:cNvCnPr/>
                      <wps:spPr>
                        <a:xfrm>
                          <a:off x="0" y="0"/>
                          <a:ext cx="0" cy="5715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40" o:spid="_x0000_s1026" type="#_x0000_t32" style="position:absolute;margin-left:90pt;margin-top:.8pt;width:0;height:4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" strokecolor="#4f81bd [3204]" strokeweight="2pt">
                <v:stroke endarrow="open"/>
                <v:shadow on="t" opacity="24903f" mv:blur="40000f" origin=",.5" offset="0,20000emu"/>
              </v:shape>
            </w:pict>
          </mc:Fallback>
        </mc:AlternateContent>
      </w:r>
    </w:p>
    <w:p w14:paraId="32B5F035" w14:textId="77777777" w:rsidR="00EB738E" w:rsidRPr="003E73CD" w:rsidRDefault="00EB738E" w:rsidP="00EB738E">
      <w:pPr>
        <w:spacing w:line="480" w:lineRule="auto"/>
        <w:rPr>
          <w:sz w:val="20"/>
          <w:szCs w:val="20"/>
        </w:rPr>
      </w:pPr>
      <w:r w:rsidRPr="003E73CD">
        <w:rPr>
          <w:noProof/>
          <w:sz w:val="20"/>
          <w:szCs w:val="20"/>
        </w:rPr>
        <mc:AlternateContent>
          <mc:Choice Requires="wps">
            <w:drawing>
              <wp:anchor distT="0" distB="0" distL="114300" distR="114300" simplePos="0" relativeHeight="251672576" behindDoc="0" locked="0" layoutInCell="1" allowOverlap="1" wp14:anchorId="0D0C0D51" wp14:editId="226785F0">
                <wp:simplePos x="0" y="0"/>
                <wp:positionH relativeFrom="column">
                  <wp:posOffset>3086100</wp:posOffset>
                </wp:positionH>
                <wp:positionV relativeFrom="paragraph">
                  <wp:posOffset>283845</wp:posOffset>
                </wp:positionV>
                <wp:extent cx="2089150" cy="914400"/>
                <wp:effectExtent l="0" t="0" r="19050" b="25400"/>
                <wp:wrapSquare wrapText="bothSides"/>
                <wp:docPr id="41" name="Text Box 41"/>
                <wp:cNvGraphicFramePr/>
                <a:graphic xmlns:a="http://schemas.openxmlformats.org/drawingml/2006/main">
                  <a:graphicData uri="http://schemas.microsoft.com/office/word/2010/wordprocessingShape">
                    <wps:wsp>
                      <wps:cNvSpPr txBox="1"/>
                      <wps:spPr>
                        <a:xfrm>
                          <a:off x="0" y="0"/>
                          <a:ext cx="2089150" cy="914400"/>
                        </a:xfrm>
                        <a:prstGeom prst="rect">
                          <a:avLst/>
                        </a:prstGeom>
                        <a:noFill/>
                        <a:ln>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511F832" w14:textId="77777777" w:rsidR="00397FF8" w:rsidRDefault="00397FF8" w:rsidP="00EB738E">
                            <w:r>
                              <w:t>Records excluded by title</w:t>
                            </w:r>
                          </w:p>
                          <w:p w14:paraId="5D6B60F1" w14:textId="77777777" w:rsidR="00397FF8" w:rsidRDefault="00397FF8" w:rsidP="00EB738E">
                            <w:r>
                              <w:t>(</w:t>
                            </w:r>
                            <w:proofErr w:type="gramStart"/>
                            <w:r>
                              <w:t>n</w:t>
                            </w:r>
                            <w:proofErr w:type="gramEnd"/>
                            <w:r>
                              <w:t xml:space="preserve"> = 88)</w:t>
                            </w:r>
                          </w:p>
                          <w:p w14:paraId="7B72E207" w14:textId="77777777" w:rsidR="00397FF8" w:rsidRDefault="00397FF8" w:rsidP="00EB738E">
                            <w:r>
                              <w:t>Records excluded by abstract</w:t>
                            </w:r>
                          </w:p>
                          <w:p w14:paraId="015616A4" w14:textId="77777777" w:rsidR="00397FF8" w:rsidRDefault="00397FF8" w:rsidP="00EB738E">
                            <w:r>
                              <w:t>(</w:t>
                            </w:r>
                            <w:proofErr w:type="gramStart"/>
                            <w:r>
                              <w:t>n</w:t>
                            </w:r>
                            <w:proofErr w:type="gramEnd"/>
                            <w:r>
                              <w:t xml:space="preserve"> = 80)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1" o:spid="_x0000_s1029" type="#_x0000_t202" style="position:absolute;margin-left:243pt;margin-top:22.35pt;width:164.5pt;height:1in;z-index:2516725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" filled="f" strokecolor="black [3213]">
                <v:textbox>
                  <w:txbxContent>
                    <w:p w14:paraId="4511F832" w14:textId="77777777" w:rsidR="00397FF8" w:rsidRDefault="00397FF8" w:rsidP="00EB738E">
                      <w:r>
                        <w:t>Records excluded by title</w:t>
                      </w:r>
                    </w:p>
                    <w:p w14:paraId="5D6B60F1" w14:textId="77777777" w:rsidR="00397FF8" w:rsidRDefault="00397FF8" w:rsidP="00EB738E">
                      <w:r>
                        <w:t>(</w:t>
                      </w:r>
                      <w:proofErr w:type="gramStart"/>
                      <w:r>
                        <w:t>n</w:t>
                      </w:r>
                      <w:proofErr w:type="gramEnd"/>
                      <w:r>
                        <w:t xml:space="preserve"> = 88)</w:t>
                      </w:r>
                    </w:p>
                    <w:p w14:paraId="7B72E207" w14:textId="77777777" w:rsidR="00397FF8" w:rsidRDefault="00397FF8" w:rsidP="00EB738E">
                      <w:r>
                        <w:t>Records excluded by abstract</w:t>
                      </w:r>
                    </w:p>
                    <w:p w14:paraId="015616A4" w14:textId="77777777" w:rsidR="00397FF8" w:rsidRDefault="00397FF8" w:rsidP="00EB738E">
                      <w:r>
                        <w:t>(</w:t>
                      </w:r>
                      <w:proofErr w:type="gramStart"/>
                      <w:r>
                        <w:t>n</w:t>
                      </w:r>
                      <w:proofErr w:type="gramEnd"/>
                      <w:r>
                        <w:t xml:space="preserve"> = 80) </w:t>
                      </w:r>
                    </w:p>
                  </w:txbxContent>
                </v:textbox>
                <w10:wrap type="square"/>
              </v:shape>
            </w:pict>
          </mc:Fallback>
        </mc:AlternateContent>
      </w:r>
      <w:r w:rsidRPr="003E73CD">
        <w:rPr>
          <w:noProof/>
          <w:sz w:val="20"/>
          <w:szCs w:val="20"/>
        </w:rPr>
        <mc:AlternateContent>
          <mc:Choice Requires="wps">
            <w:drawing>
              <wp:anchor distT="0" distB="0" distL="114300" distR="114300" simplePos="0" relativeHeight="251670528" behindDoc="0" locked="0" layoutInCell="1" allowOverlap="1" wp14:anchorId="788A13C9" wp14:editId="642610C9">
                <wp:simplePos x="0" y="0"/>
                <wp:positionH relativeFrom="column">
                  <wp:posOffset>800100</wp:posOffset>
                </wp:positionH>
                <wp:positionV relativeFrom="paragraph">
                  <wp:posOffset>283845</wp:posOffset>
                </wp:positionV>
                <wp:extent cx="1257300" cy="914400"/>
                <wp:effectExtent l="0" t="0" r="38100" b="25400"/>
                <wp:wrapSquare wrapText="bothSides"/>
                <wp:docPr id="42" name="Text Box 42"/>
                <wp:cNvGraphicFramePr/>
                <a:graphic xmlns:a="http://schemas.openxmlformats.org/drawingml/2006/main">
                  <a:graphicData uri="http://schemas.microsoft.com/office/word/2010/wordprocessingShape">
                    <wps:wsp>
                      <wps:cNvSpPr txBox="1"/>
                      <wps:spPr>
                        <a:xfrm>
                          <a:off x="0" y="0"/>
                          <a:ext cx="1257300" cy="914400"/>
                        </a:xfrm>
                        <a:prstGeom prst="rect">
                          <a:avLst/>
                        </a:prstGeom>
                        <a:noFill/>
                        <a:ln>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EAF3ADD" w14:textId="77777777" w:rsidR="00397FF8" w:rsidRDefault="00397FF8" w:rsidP="00EB738E">
                            <w:r>
                              <w:t>Records screened</w:t>
                            </w:r>
                          </w:p>
                          <w:p w14:paraId="03720D5A" w14:textId="77777777" w:rsidR="00397FF8" w:rsidRDefault="00397FF8" w:rsidP="00EB738E">
                            <w:r>
                              <w:t>(</w:t>
                            </w:r>
                            <w:proofErr w:type="gramStart"/>
                            <w:r>
                              <w:t>n</w:t>
                            </w:r>
                            <w:proofErr w:type="gramEnd"/>
                            <w:r>
                              <w:t xml:space="preserve"> = 188)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2" o:spid="_x0000_s1030" type="#_x0000_t202" style="position:absolute;margin-left:63pt;margin-top:22.35pt;width:99pt;height:1in;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" filled="f" strokecolor="black [3213]">
                <v:textbox>
                  <w:txbxContent>
                    <w:p w14:paraId="5EAF3ADD" w14:textId="77777777" w:rsidR="00397FF8" w:rsidRDefault="00397FF8" w:rsidP="00EB738E">
                      <w:r>
                        <w:t>Records screened</w:t>
                      </w:r>
                    </w:p>
                    <w:p w14:paraId="03720D5A" w14:textId="77777777" w:rsidR="00397FF8" w:rsidRDefault="00397FF8" w:rsidP="00EB738E">
                      <w:r>
                        <w:t>(</w:t>
                      </w:r>
                      <w:proofErr w:type="gramStart"/>
                      <w:r>
                        <w:t>n</w:t>
                      </w:r>
                      <w:proofErr w:type="gramEnd"/>
                      <w:r>
                        <w:t xml:space="preserve"> = 188)</w:t>
                      </w:r>
                    </w:p>
                  </w:txbxContent>
                </v:textbox>
                <w10:wrap type="square"/>
              </v:shape>
            </w:pict>
          </mc:Fallback>
        </mc:AlternateContent>
      </w:r>
    </w:p>
    <w:p w14:paraId="08CCDFD3" w14:textId="77777777" w:rsidR="00EB738E" w:rsidRPr="003E73CD" w:rsidRDefault="00EB738E" w:rsidP="00EB738E">
      <w:pPr>
        <w:spacing w:line="480" w:lineRule="auto"/>
        <w:rPr>
          <w:sz w:val="20"/>
          <w:szCs w:val="20"/>
        </w:rPr>
      </w:pPr>
    </w:p>
    <w:p w14:paraId="36B34877" w14:textId="77777777" w:rsidR="00EB738E" w:rsidRPr="003E73CD" w:rsidRDefault="00EB738E" w:rsidP="00EB738E">
      <w:pPr>
        <w:spacing w:line="480" w:lineRule="auto"/>
        <w:rPr>
          <w:sz w:val="20"/>
          <w:szCs w:val="20"/>
        </w:rPr>
      </w:pPr>
      <w:r w:rsidRPr="003E73CD">
        <w:rPr>
          <w:noProof/>
          <w:sz w:val="20"/>
          <w:szCs w:val="20"/>
        </w:rPr>
        <mc:AlternateContent>
          <mc:Choice Requires="wps">
            <w:drawing>
              <wp:anchor distT="0" distB="0" distL="114300" distR="114300" simplePos="0" relativeHeight="251679744" behindDoc="0" locked="0" layoutInCell="1" allowOverlap="1" wp14:anchorId="235ED825" wp14:editId="0896D737">
                <wp:simplePos x="0" y="0"/>
                <wp:positionH relativeFrom="column">
                  <wp:posOffset>2057400</wp:posOffset>
                </wp:positionH>
                <wp:positionV relativeFrom="paragraph">
                  <wp:posOffset>145415</wp:posOffset>
                </wp:positionV>
                <wp:extent cx="1028700" cy="0"/>
                <wp:effectExtent l="0" t="101600" r="38100" b="177800"/>
                <wp:wrapNone/>
                <wp:docPr id="43" name="Straight Arrow Connector 43"/>
                <wp:cNvGraphicFramePr/>
                <a:graphic xmlns:a="http://schemas.openxmlformats.org/drawingml/2006/main">
                  <a:graphicData uri="http://schemas.microsoft.com/office/word/2010/wordprocessingShape">
                    <wps:wsp>
                      <wps:cNvCnPr/>
                      <wps:spPr>
                        <a:xfrm>
                          <a:off x="0" y="0"/>
                          <a:ext cx="10287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shape id="Straight Arrow Connector 43" o:spid="_x0000_s1026" type="#_x0000_t32" style="position:absolute;margin-left:162pt;margin-top:11.45pt;width:81pt;height:0;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" strokecolor="#4f81bd [3204]" strokeweight="2pt">
                <v:stroke endarrow="open"/>
                <v:shadow on="t" opacity="24903f" mv:blur="40000f" origin=",.5" offset="0,20000emu"/>
              </v:shape>
            </w:pict>
          </mc:Fallback>
        </mc:AlternateContent>
      </w:r>
    </w:p>
    <w:p w14:paraId="16EFDA85" w14:textId="77777777" w:rsidR="00EB738E" w:rsidRPr="003E73CD" w:rsidRDefault="00EB738E" w:rsidP="00EB738E">
      <w:pPr>
        <w:spacing w:line="480" w:lineRule="auto"/>
        <w:rPr>
          <w:sz w:val="20"/>
          <w:szCs w:val="20"/>
        </w:rPr>
      </w:pPr>
    </w:p>
    <w:p w14:paraId="0A9ED944" w14:textId="77777777" w:rsidR="00EB738E" w:rsidRPr="003E73CD" w:rsidRDefault="00EB738E" w:rsidP="00EB738E">
      <w:pPr>
        <w:spacing w:line="480" w:lineRule="auto"/>
        <w:rPr>
          <w:sz w:val="20"/>
          <w:szCs w:val="20"/>
        </w:rPr>
      </w:pPr>
      <w:r w:rsidRPr="003E73CD">
        <w:rPr>
          <w:noProof/>
          <w:sz w:val="20"/>
          <w:szCs w:val="20"/>
        </w:rPr>
        <mc:AlternateContent>
          <mc:Choice Requires="wps">
            <w:drawing>
              <wp:anchor distT="0" distB="0" distL="114300" distR="114300" simplePos="0" relativeHeight="251681792" behindDoc="0" locked="0" layoutInCell="1" allowOverlap="1" wp14:anchorId="1DCB0F4E" wp14:editId="1216F144">
                <wp:simplePos x="0" y="0"/>
                <wp:positionH relativeFrom="column">
                  <wp:posOffset>1371600</wp:posOffset>
                </wp:positionH>
                <wp:positionV relativeFrom="paragraph">
                  <wp:posOffset>6985</wp:posOffset>
                </wp:positionV>
                <wp:extent cx="0" cy="457200"/>
                <wp:effectExtent l="127000" t="25400" r="152400" b="101600"/>
                <wp:wrapNone/>
                <wp:docPr id="44" name="Straight Arrow Connector 44"/>
                <wp:cNvGraphicFramePr/>
                <a:graphic xmlns:a="http://schemas.openxmlformats.org/drawingml/2006/main">
                  <a:graphicData uri="http://schemas.microsoft.com/office/word/2010/wordprocessingShape">
                    <wps:wsp>
                      <wps:cNvCnPr/>
                      <wps:spPr>
                        <a:xfrm>
                          <a:off x="0" y="0"/>
                          <a:ext cx="0" cy="4572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shape id="Straight Arrow Connector 44" o:spid="_x0000_s1026" type="#_x0000_t32" style="position:absolute;margin-left:108pt;margin-top:.55pt;width:0;height:36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" strokecolor="#4f81bd [3204]" strokeweight="2pt">
                <v:stroke endarrow="open"/>
                <v:shadow on="t" opacity="24903f" mv:blur="40000f" origin=",.5" offset="0,20000emu"/>
              </v:shape>
            </w:pict>
          </mc:Fallback>
        </mc:AlternateContent>
      </w:r>
    </w:p>
    <w:p w14:paraId="0B01BAFB" w14:textId="77777777" w:rsidR="00EB738E" w:rsidRPr="003E73CD" w:rsidRDefault="00EB738E" w:rsidP="00EB738E">
      <w:pPr>
        <w:spacing w:line="480" w:lineRule="auto"/>
        <w:rPr>
          <w:sz w:val="20"/>
          <w:szCs w:val="20"/>
        </w:rPr>
      </w:pPr>
      <w:r w:rsidRPr="003E73CD">
        <w:rPr>
          <w:noProof/>
          <w:sz w:val="20"/>
          <w:szCs w:val="20"/>
        </w:rPr>
        <mc:AlternateContent>
          <mc:Choice Requires="wps">
            <w:drawing>
              <wp:anchor distT="0" distB="0" distL="114300" distR="114300" simplePos="0" relativeHeight="251674624" behindDoc="0" locked="0" layoutInCell="1" allowOverlap="1" wp14:anchorId="15326D96" wp14:editId="4AA2C997">
                <wp:simplePos x="0" y="0"/>
                <wp:positionH relativeFrom="column">
                  <wp:posOffset>3314700</wp:posOffset>
                </wp:positionH>
                <wp:positionV relativeFrom="paragraph">
                  <wp:posOffset>166370</wp:posOffset>
                </wp:positionV>
                <wp:extent cx="1714500" cy="914400"/>
                <wp:effectExtent l="0" t="0" r="38100" b="25400"/>
                <wp:wrapSquare wrapText="bothSides"/>
                <wp:docPr id="45" name="Text Box 45"/>
                <wp:cNvGraphicFramePr/>
                <a:graphic xmlns:a="http://schemas.openxmlformats.org/drawingml/2006/main">
                  <a:graphicData uri="http://schemas.microsoft.com/office/word/2010/wordprocessingShape">
                    <wps:wsp>
                      <wps:cNvSpPr txBox="1"/>
                      <wps:spPr>
                        <a:xfrm>
                          <a:off x="0" y="0"/>
                          <a:ext cx="1714500" cy="914400"/>
                        </a:xfrm>
                        <a:prstGeom prst="rect">
                          <a:avLst/>
                        </a:prstGeom>
                        <a:noFill/>
                        <a:ln>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976E533" w14:textId="77777777" w:rsidR="00397FF8" w:rsidRDefault="00397FF8" w:rsidP="00EB738E">
                            <w:r>
                              <w:t xml:space="preserve">Records excluded after full text review, </w:t>
                            </w:r>
                          </w:p>
                          <w:p w14:paraId="7143B582" w14:textId="77777777" w:rsidR="00397FF8" w:rsidRDefault="00397FF8" w:rsidP="00EB738E">
                            <w:proofErr w:type="gramStart"/>
                            <w:r>
                              <w:t>with</w:t>
                            </w:r>
                            <w:proofErr w:type="gramEnd"/>
                            <w:r>
                              <w:t xml:space="preserve"> reasons</w:t>
                            </w:r>
                          </w:p>
                          <w:p w14:paraId="4D973037" w14:textId="77777777" w:rsidR="00397FF8" w:rsidRDefault="00397FF8" w:rsidP="00EB738E">
                            <w:r>
                              <w:t>(</w:t>
                            </w:r>
                            <w:proofErr w:type="gramStart"/>
                            <w:r>
                              <w:t>n</w:t>
                            </w:r>
                            <w:proofErr w:type="gramEnd"/>
                            <w:r>
                              <w:t xml:space="preserve"> = 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5" o:spid="_x0000_s1031" type="#_x0000_t202" style="position:absolute;margin-left:261pt;margin-top:13.1pt;width:135pt;height:1in;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" filled="f" strokecolor="black [3213]">
                <v:textbox>
                  <w:txbxContent>
                    <w:p w14:paraId="4976E533" w14:textId="77777777" w:rsidR="00397FF8" w:rsidRDefault="00397FF8" w:rsidP="00EB738E">
                      <w:r>
                        <w:t xml:space="preserve">Records excluded after full text review, </w:t>
                      </w:r>
                    </w:p>
                    <w:p w14:paraId="7143B582" w14:textId="77777777" w:rsidR="00397FF8" w:rsidRDefault="00397FF8" w:rsidP="00EB738E">
                      <w:proofErr w:type="gramStart"/>
                      <w:r>
                        <w:t>with</w:t>
                      </w:r>
                      <w:proofErr w:type="gramEnd"/>
                      <w:r>
                        <w:t xml:space="preserve"> reasons</w:t>
                      </w:r>
                    </w:p>
                    <w:p w14:paraId="4D973037" w14:textId="77777777" w:rsidR="00397FF8" w:rsidRDefault="00397FF8" w:rsidP="00EB738E">
                      <w:r>
                        <w:t>(</w:t>
                      </w:r>
                      <w:proofErr w:type="gramStart"/>
                      <w:r>
                        <w:t>n</w:t>
                      </w:r>
                      <w:proofErr w:type="gramEnd"/>
                      <w:r>
                        <w:t xml:space="preserve"> = 9)</w:t>
                      </w:r>
                    </w:p>
                  </w:txbxContent>
                </v:textbox>
                <w10:wrap type="square"/>
              </v:shape>
            </w:pict>
          </mc:Fallback>
        </mc:AlternateContent>
      </w:r>
      <w:r w:rsidRPr="003E73CD">
        <w:rPr>
          <w:noProof/>
          <w:sz w:val="20"/>
          <w:szCs w:val="20"/>
        </w:rPr>
        <mc:AlternateContent>
          <mc:Choice Requires="wps">
            <w:drawing>
              <wp:anchor distT="0" distB="0" distL="114300" distR="114300" simplePos="0" relativeHeight="251673600" behindDoc="0" locked="0" layoutInCell="1" allowOverlap="1" wp14:anchorId="621C853D" wp14:editId="7B3057C3">
                <wp:simplePos x="0" y="0"/>
                <wp:positionH relativeFrom="column">
                  <wp:posOffset>800100</wp:posOffset>
                </wp:positionH>
                <wp:positionV relativeFrom="paragraph">
                  <wp:posOffset>166370</wp:posOffset>
                </wp:positionV>
                <wp:extent cx="1943100" cy="914400"/>
                <wp:effectExtent l="0" t="0" r="38100" b="25400"/>
                <wp:wrapSquare wrapText="bothSides"/>
                <wp:docPr id="46" name="Text Box 46"/>
                <wp:cNvGraphicFramePr/>
                <a:graphic xmlns:a="http://schemas.openxmlformats.org/drawingml/2006/main">
                  <a:graphicData uri="http://schemas.microsoft.com/office/word/2010/wordprocessingShape">
                    <wps:wsp>
                      <wps:cNvSpPr txBox="1"/>
                      <wps:spPr>
                        <a:xfrm>
                          <a:off x="0" y="0"/>
                          <a:ext cx="1943100" cy="914400"/>
                        </a:xfrm>
                        <a:prstGeom prst="rect">
                          <a:avLst/>
                        </a:prstGeom>
                        <a:noFill/>
                        <a:ln>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C218EB7" w14:textId="77777777" w:rsidR="00397FF8" w:rsidRDefault="00397FF8" w:rsidP="00EB738E">
                            <w:r>
                              <w:t>Records for full text review</w:t>
                            </w:r>
                          </w:p>
                          <w:p w14:paraId="6E6CC90F" w14:textId="77777777" w:rsidR="00397FF8" w:rsidRDefault="00397FF8" w:rsidP="00EB738E">
                            <w:r>
                              <w:t>(</w:t>
                            </w:r>
                            <w:proofErr w:type="gramStart"/>
                            <w:r>
                              <w:t>n</w:t>
                            </w:r>
                            <w:proofErr w:type="gramEnd"/>
                            <w:r>
                              <w:t xml:space="preserve"> =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6" o:spid="_x0000_s1032" type="#_x0000_t202" style="position:absolute;margin-left:63pt;margin-top:13.1pt;width:153pt;height:1in;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" filled="f" strokecolor="black [3213]">
                <v:textbox>
                  <w:txbxContent>
                    <w:p w14:paraId="3C218EB7" w14:textId="77777777" w:rsidR="00397FF8" w:rsidRDefault="00397FF8" w:rsidP="00EB738E">
                      <w:r>
                        <w:t>Records for full text review</w:t>
                      </w:r>
                    </w:p>
                    <w:p w14:paraId="6E6CC90F" w14:textId="77777777" w:rsidR="00397FF8" w:rsidRDefault="00397FF8" w:rsidP="00EB738E">
                      <w:r>
                        <w:t>(</w:t>
                      </w:r>
                      <w:proofErr w:type="gramStart"/>
                      <w:r>
                        <w:t>n</w:t>
                      </w:r>
                      <w:proofErr w:type="gramEnd"/>
                      <w:r>
                        <w:t xml:space="preserve"> = 20)</w:t>
                      </w:r>
                    </w:p>
                  </w:txbxContent>
                </v:textbox>
                <w10:wrap type="square"/>
              </v:shape>
            </w:pict>
          </mc:Fallback>
        </mc:AlternateContent>
      </w:r>
    </w:p>
    <w:p w14:paraId="5C6EE847" w14:textId="77777777" w:rsidR="00EB738E" w:rsidRPr="003E73CD" w:rsidRDefault="00EB738E" w:rsidP="00EB738E">
      <w:pPr>
        <w:spacing w:line="480" w:lineRule="auto"/>
        <w:rPr>
          <w:sz w:val="20"/>
          <w:szCs w:val="20"/>
        </w:rPr>
      </w:pPr>
    </w:p>
    <w:p w14:paraId="25D1D55E" w14:textId="77777777" w:rsidR="00EB738E" w:rsidRPr="003E73CD" w:rsidRDefault="00EB738E" w:rsidP="00EB738E">
      <w:pPr>
        <w:spacing w:line="480" w:lineRule="auto"/>
        <w:rPr>
          <w:sz w:val="20"/>
          <w:szCs w:val="20"/>
        </w:rPr>
      </w:pPr>
      <w:r w:rsidRPr="003E73CD">
        <w:rPr>
          <w:noProof/>
          <w:sz w:val="20"/>
          <w:szCs w:val="20"/>
        </w:rPr>
        <mc:AlternateContent>
          <mc:Choice Requires="wps">
            <w:drawing>
              <wp:anchor distT="0" distB="0" distL="114300" distR="114300" simplePos="0" relativeHeight="251680768" behindDoc="0" locked="0" layoutInCell="1" allowOverlap="1" wp14:anchorId="08A3D58B" wp14:editId="1043F929">
                <wp:simplePos x="0" y="0"/>
                <wp:positionH relativeFrom="column">
                  <wp:posOffset>2743200</wp:posOffset>
                </wp:positionH>
                <wp:positionV relativeFrom="paragraph">
                  <wp:posOffset>27940</wp:posOffset>
                </wp:positionV>
                <wp:extent cx="571500" cy="0"/>
                <wp:effectExtent l="0" t="101600" r="38100" b="177800"/>
                <wp:wrapNone/>
                <wp:docPr id="47" name="Straight Arrow Connector 47"/>
                <wp:cNvGraphicFramePr/>
                <a:graphic xmlns:a="http://schemas.openxmlformats.org/drawingml/2006/main">
                  <a:graphicData uri="http://schemas.microsoft.com/office/word/2010/wordprocessingShape">
                    <wps:wsp>
                      <wps:cNvCnPr/>
                      <wps:spPr>
                        <a:xfrm>
                          <a:off x="0" y="0"/>
                          <a:ext cx="5715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shape id="Straight Arrow Connector 47" o:spid="_x0000_s1026" type="#_x0000_t32" style="position:absolute;margin-left:3in;margin-top:2.2pt;width:45pt;height:0;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" strokecolor="#4f81bd [3204]" strokeweight="2pt">
                <v:stroke endarrow="open"/>
                <v:shadow on="t" opacity="24903f" mv:blur="40000f" origin=",.5" offset="0,20000emu"/>
              </v:shape>
            </w:pict>
          </mc:Fallback>
        </mc:AlternateContent>
      </w:r>
    </w:p>
    <w:p w14:paraId="7DF34E5D" w14:textId="77777777" w:rsidR="00EB738E" w:rsidRPr="003E73CD" w:rsidRDefault="00EB738E" w:rsidP="00EB738E">
      <w:pPr>
        <w:spacing w:line="480" w:lineRule="auto"/>
        <w:rPr>
          <w:sz w:val="20"/>
          <w:szCs w:val="20"/>
        </w:rPr>
      </w:pPr>
      <w:r w:rsidRPr="003E73CD">
        <w:rPr>
          <w:noProof/>
          <w:sz w:val="20"/>
          <w:szCs w:val="20"/>
        </w:rPr>
        <mc:AlternateContent>
          <mc:Choice Requires="wps">
            <w:drawing>
              <wp:anchor distT="0" distB="0" distL="114300" distR="114300" simplePos="0" relativeHeight="251682816" behindDoc="0" locked="0" layoutInCell="1" allowOverlap="1" wp14:anchorId="1ABA4E32" wp14:editId="7856A5C2">
                <wp:simplePos x="0" y="0"/>
                <wp:positionH relativeFrom="column">
                  <wp:posOffset>1943100</wp:posOffset>
                </wp:positionH>
                <wp:positionV relativeFrom="paragraph">
                  <wp:posOffset>187960</wp:posOffset>
                </wp:positionV>
                <wp:extent cx="0" cy="685800"/>
                <wp:effectExtent l="127000" t="25400" r="101600" b="101600"/>
                <wp:wrapNone/>
                <wp:docPr id="48" name="Straight Arrow Connector 48"/>
                <wp:cNvGraphicFramePr/>
                <a:graphic xmlns:a="http://schemas.openxmlformats.org/drawingml/2006/main">
                  <a:graphicData uri="http://schemas.microsoft.com/office/word/2010/wordprocessingShape">
                    <wps:wsp>
                      <wps:cNvCnPr/>
                      <wps:spPr>
                        <a:xfrm>
                          <a:off x="0" y="0"/>
                          <a:ext cx="0" cy="6858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shape id="Straight Arrow Connector 48" o:spid="_x0000_s1026" type="#_x0000_t32" style="position:absolute;margin-left:153pt;margin-top:14.8pt;width:0;height:54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" strokecolor="#4f81bd [3204]" strokeweight="2pt">
                <v:stroke endarrow="open"/>
                <v:shadow on="t" opacity="24903f" mv:blur="40000f" origin=",.5" offset="0,20000emu"/>
              </v:shape>
            </w:pict>
          </mc:Fallback>
        </mc:AlternateContent>
      </w:r>
    </w:p>
    <w:p w14:paraId="7A12301B" w14:textId="77777777" w:rsidR="00EB738E" w:rsidRPr="003E73CD" w:rsidRDefault="00EB738E" w:rsidP="00EB738E">
      <w:pPr>
        <w:spacing w:line="480" w:lineRule="auto"/>
        <w:rPr>
          <w:sz w:val="20"/>
          <w:szCs w:val="20"/>
        </w:rPr>
      </w:pPr>
    </w:p>
    <w:p w14:paraId="26CC726C" w14:textId="77777777" w:rsidR="00EB738E" w:rsidRPr="003E73CD" w:rsidRDefault="00EB738E" w:rsidP="00EB738E">
      <w:pPr>
        <w:spacing w:line="480" w:lineRule="auto"/>
        <w:rPr>
          <w:sz w:val="20"/>
          <w:szCs w:val="20"/>
        </w:rPr>
      </w:pPr>
      <w:r w:rsidRPr="003E73CD">
        <w:rPr>
          <w:noProof/>
          <w:sz w:val="20"/>
          <w:szCs w:val="20"/>
        </w:rPr>
        <mc:AlternateContent>
          <mc:Choice Requires="wps">
            <w:drawing>
              <wp:anchor distT="0" distB="0" distL="114300" distR="114300" simplePos="0" relativeHeight="251675648" behindDoc="0" locked="0" layoutInCell="1" allowOverlap="1" wp14:anchorId="2F21FC43" wp14:editId="45D768B0">
                <wp:simplePos x="0" y="0"/>
                <wp:positionH relativeFrom="column">
                  <wp:posOffset>1371600</wp:posOffset>
                </wp:positionH>
                <wp:positionV relativeFrom="paragraph">
                  <wp:posOffset>278130</wp:posOffset>
                </wp:positionV>
                <wp:extent cx="1258570" cy="914400"/>
                <wp:effectExtent l="0" t="0" r="36830" b="25400"/>
                <wp:wrapSquare wrapText="bothSides"/>
                <wp:docPr id="49" name="Text Box 49"/>
                <wp:cNvGraphicFramePr/>
                <a:graphic xmlns:a="http://schemas.openxmlformats.org/drawingml/2006/main">
                  <a:graphicData uri="http://schemas.microsoft.com/office/word/2010/wordprocessingShape">
                    <wps:wsp>
                      <wps:cNvSpPr txBox="1"/>
                      <wps:spPr>
                        <a:xfrm>
                          <a:off x="0" y="0"/>
                          <a:ext cx="1258570" cy="914400"/>
                        </a:xfrm>
                        <a:prstGeom prst="rect">
                          <a:avLst/>
                        </a:prstGeom>
                        <a:noFill/>
                        <a:ln>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E6A48B2" w14:textId="77777777" w:rsidR="00397FF8" w:rsidRDefault="00397FF8" w:rsidP="00EB738E">
                            <w:r>
                              <w:t>Studies included</w:t>
                            </w:r>
                          </w:p>
                          <w:p w14:paraId="2E73C56F" w14:textId="77777777" w:rsidR="00397FF8" w:rsidRDefault="00397FF8" w:rsidP="00EB738E">
                            <w:r>
                              <w:t>(</w:t>
                            </w:r>
                            <w:proofErr w:type="gramStart"/>
                            <w:r>
                              <w:t>n</w:t>
                            </w:r>
                            <w:proofErr w:type="gramEnd"/>
                            <w:r>
                              <w:t xml:space="preserve"> = 11)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9" o:spid="_x0000_s1033" type="#_x0000_t202" style="position:absolute;margin-left:108pt;margin-top:21.9pt;width:99.1pt;height:1in;z-index:2516756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" filled="f" strokecolor="black [3213]">
                <v:textbox>
                  <w:txbxContent>
                    <w:p w14:paraId="5E6A48B2" w14:textId="77777777" w:rsidR="00397FF8" w:rsidRDefault="00397FF8" w:rsidP="00EB738E">
                      <w:r>
                        <w:t>Studies included</w:t>
                      </w:r>
                    </w:p>
                    <w:p w14:paraId="2E73C56F" w14:textId="77777777" w:rsidR="00397FF8" w:rsidRDefault="00397FF8" w:rsidP="00EB738E">
                      <w:r>
                        <w:t>(</w:t>
                      </w:r>
                      <w:proofErr w:type="gramStart"/>
                      <w:r>
                        <w:t>n</w:t>
                      </w:r>
                      <w:proofErr w:type="gramEnd"/>
                      <w:r>
                        <w:t xml:space="preserve"> = 11)</w:t>
                      </w:r>
                    </w:p>
                  </w:txbxContent>
                </v:textbox>
                <w10:wrap type="square"/>
              </v:shape>
            </w:pict>
          </mc:Fallback>
        </mc:AlternateContent>
      </w:r>
    </w:p>
    <w:p w14:paraId="0C4E6165" w14:textId="77777777" w:rsidR="00EB738E" w:rsidRPr="003E73CD" w:rsidRDefault="00EB738E" w:rsidP="00EB738E">
      <w:pPr>
        <w:spacing w:line="480" w:lineRule="auto"/>
        <w:rPr>
          <w:sz w:val="20"/>
          <w:szCs w:val="20"/>
        </w:rPr>
      </w:pPr>
    </w:p>
    <w:p w14:paraId="35FB1019" w14:textId="77777777" w:rsidR="00EB738E" w:rsidRPr="003E73CD" w:rsidRDefault="00EB738E" w:rsidP="00EB738E">
      <w:pPr>
        <w:spacing w:line="480" w:lineRule="auto"/>
        <w:rPr>
          <w:sz w:val="20"/>
          <w:szCs w:val="20"/>
        </w:rPr>
      </w:pPr>
    </w:p>
    <w:p w14:paraId="7BA54F98" w14:textId="77777777" w:rsidR="00EB738E" w:rsidRPr="003E73CD" w:rsidRDefault="00EB738E" w:rsidP="00EB738E">
      <w:pPr>
        <w:spacing w:line="480" w:lineRule="auto"/>
        <w:rPr>
          <w:b/>
          <w:sz w:val="20"/>
          <w:szCs w:val="20"/>
        </w:rPr>
      </w:pPr>
    </w:p>
    <w:p w14:paraId="0FEB631F" w14:textId="77777777" w:rsidR="00EB738E" w:rsidRPr="003E73CD" w:rsidRDefault="00EB738E" w:rsidP="00EB738E">
      <w:pPr>
        <w:rPr>
          <w:b/>
          <w:sz w:val="20"/>
          <w:szCs w:val="20"/>
        </w:rPr>
      </w:pPr>
      <w:r w:rsidRPr="003E73CD">
        <w:rPr>
          <w:b/>
          <w:sz w:val="20"/>
          <w:szCs w:val="20"/>
        </w:rPr>
        <w:br w:type="page"/>
      </w:r>
    </w:p>
    <w:p w14:paraId="54465B20" w14:textId="77777777" w:rsidR="00EB738E" w:rsidRPr="003E73CD" w:rsidRDefault="00EB738E" w:rsidP="00EB738E">
      <w:pPr>
        <w:spacing w:line="480" w:lineRule="auto"/>
        <w:rPr>
          <w:b/>
          <w:sz w:val="22"/>
          <w:szCs w:val="22"/>
        </w:rPr>
      </w:pPr>
      <w:r w:rsidRPr="003E73CD">
        <w:rPr>
          <w:b/>
          <w:sz w:val="22"/>
          <w:szCs w:val="22"/>
        </w:rPr>
        <w:t>RESULTS</w:t>
      </w:r>
    </w:p>
    <w:p w14:paraId="12B990A7" w14:textId="0D0F9927" w:rsidR="00EB738E" w:rsidRPr="003E73CD" w:rsidRDefault="00EB738E" w:rsidP="008820E5">
      <w:pPr>
        <w:spacing w:line="480" w:lineRule="auto"/>
        <w:ind w:firstLine="720"/>
        <w:rPr>
          <w:sz w:val="22"/>
          <w:szCs w:val="22"/>
        </w:rPr>
      </w:pPr>
      <w:r w:rsidRPr="003E73CD">
        <w:rPr>
          <w:sz w:val="22"/>
          <w:szCs w:val="22"/>
        </w:rPr>
        <w:t>Twenty full text articles were assessed and 9 were excluded.  Five of these exclusions were because they did not contain data regarding non-sentinel node status and survival.</w:t>
      </w:r>
      <w:r w:rsidRPr="003E73CD">
        <w:rPr>
          <w:sz w:val="22"/>
          <w:szCs w:val="22"/>
        </w:rPr>
        <w:fldChar w:fldCharType="begin" w:fldLock="1"/>
      </w:r>
      <w:r>
        <w:rPr>
          <w:sz w:val="22"/>
          <w:szCs w:val="22"/>
        </w:rPr>
        <w:instrText>ADDIN CSL_CITATION { "citationItems" : [ { "id" : "ITEM-1", "itemData" : { "DOI" : "10.1245/s10434-009-0667-2", "ISSN" : "1534-4681", "PMID" : "19669838", "author" : [ { "dropping-particle" : "", "family" : "Sondak", "given" : "Vernon K", "non-dropping-particle" : "", "parse-names" : false, "suffix" : "" } ], "container-title" : "Annals of surgical oncology", "id" : "ITEM-1", "issue" : "11", "issued" : { "date-parts" : [ [ "2009", "11" ] ] }, "page" : "2965-7", "title" : "Nonsentinel node metastases in melanoma: do they reflect the biology of the tumor, the lymph node or the surgeon? : Editorial to Accompany Ghaferi et al., ASO-2009-03-0312.R1.", "type" : "article-journal", "volume" : "16" }, "uris" : [ "http://www.mendeley.com/documents/?uuid=0a4c866f-cdfe-4588-9e8f-661a35b97e27" ] }, { "id" : "ITEM-2", "itemData" : { "DOI" : "10.1245/s10434-007-9734-8", "ISSN" : "1534-4681", "PMID" : "18165880", "abstract" : "BACKGROUND: Identification of melanoma patients who need completion lymphadenectomy and adjuvant treatment after positive sentinel lymph node (SLN) biopsy would be a fundamental step forward toward personalized medicine. This study tested the hypothesis that the microscopic features of metastatic SLNs might predict not only nonsentinel lymph node (NSLN) status, but also patients' clinical outcomes.\n\nMETHODS: A retrospective analysis was performed on 96 consecutive melanoma patients who underwent completion lymphadenectomy after positive SLN biopsy. Patients' age and sex, primary tumor Breslow thickness, number of positive SLNs, the largest diameter and depth of invasion of metastatic deposits in the SLN, S stage, and pattern of nodal involvement were correlated with the presence of metastatic disease in NSLNs as well as with the likelihood of tumor recurrence and patient death.\n\nRESULTS: At pathological examination, 20 patients (20.8%) had metastatic melanoma in the NSLN. Pattern of nodal involvement, depth of invasion of SLN by metastatic disease, and S stage were statistically significantly associated with the presence of metastatic disease in NSLN. Multivariate analysis revealed that only the SLN depth of invasion was an independent predictor of NSLN status (P = .0035). This parameter was also significantly associated with disease-free and overall survival, both by univariate (P &lt; .0001 and P = .0006, respectively) and multivariate (P &lt; .0001 and P = .0013, respectively) survival analysis.\n\nCONCLUSIONS: These findings support further investigation of SLN depth of invasion as a predictive factor of potential clinical use to select patients as candidates for completion lymphadenectomy and adjuvant treatment.", "author" : [ { "dropping-particle" : "", "family" : "Rossi", "given" : "Carlo Riccardo", "non-dropping-particle" : "", "parse-names" : false, "suffix" : "" }, { "dropping-particle" : "", "family" : "Salvo", "given" : "Gian Luca", "non-dropping-particle" : "De", "parse-names" : false, "suffix" : "" }, { "dropping-particle" : "", "family" : "Bonandini", "given" : "Elena", "non-dropping-particle" : "", "parse-names" : false, "suffix" : "" }, { "dropping-particle" : "", "family" : "Mocellin", "given" : "Simone", "non-dropping-particle" : "", "parse-names" : false, "suffix" : "" }, { "dropping-particle" : "", "family" : "Foletto", "given" : "Mirto", "non-dropping-particle" : "", "parse-names" : false, "suffix" : "" }, { "dropping-particle" : "", "family" : "Pasquali", "given" : "Sandro", "non-dropping-particle" : "", "parse-names" : false, "suffix" : "" }, { "dropping-particle" : "", "family" : "Pilati", "given" : "Pierluigi", "non-dropping-particle" : "", "parse-names" : false, "suffix" : "" }, { "dropping-particle" : "", "family" : "Lise", "given" : "Mario", "non-dropping-particle" : "", "parse-names" : false, "suffix" : "" }, { "dropping-particle" : "", "family" : "Nitti", "given" : "Donato", "non-dropping-particle" : "", "parse-names" : false, "suffix" : "" }, { "dropping-particle" : "", "family" : "Rizzo", "given" : "Elisa", "non-dropping-particle" : "", "parse-names" : false, "suffix" : "" }, { "dropping-particle" : "", "family" : "Montesco", "given" : "Maria Cristina", "non-dropping-particle" : "", "parse-names" : false, "suffix" : "" } ], "container-title" : "Annals of surgical oncology", "id" : "ITEM-2", "issue" : "4", "issued" : { "date-parts" : [ [ "2008", "4" ] ] }, "page" : "1202-10", "title" : "Factors predictive of nonsentinel lymph node involvement and clinical outcome in melanoma patients with metastatic sentinel lymph node.", "type" : "article-journal", "volume" : "15" }, "uris" : [ "http://www.mendeley.com/documents/?uuid=1eae11c2-e4cc-4656-8016-e49758758783" ] }, { "id" : "ITEM-3", "itemData" : { "DOI" : "10.1371/journal.pone.0029791", "ISSN" : "1932-6203", "PMID" : "22276129", "abstract" : "BACKGROUND: This study investigated survival probabilities and prognostic factors in sentinel lymph node biopsy (SLNB) staged patients with cutaneous melanoma (CM) with the aim of defining subgroups of patients who are at higher risk for recurrences and who should be considered for adjuvant clinical trials.\n\nMETHODS: Patients with primary CM who underwent SLNB in the Department of Dermatology, University of Tuebingen, Germany, between 1996 and 2009 were included into this study. Survival probabilities and prognostic factors were evaluated by Kaplan-Meier and multivariate Cox proportional hazard models.\n\nRESULTS: 1909 SLNB staged patients were evaluated. Median follow-up time was 44 months. Median tumor thickness was 1.8 mm, ulceration was present in 31.8% of cases. The 5-year Overall Survival (OS) was 90.3% in SLNB negative patients (IB 96.2%, IIA 87.0%, IIB 78.1%, IIC 72.6%). Patients with micrometastases (stage IIIA/B) had a 5-year OS rate of 70.9% which was clearly less favorable than for stages I-II. Multivariate analysis revealed tumor thickness, ulceration, body site, histopathologic subtype and SLNB status as independent significant prognostic factors.\n\nCONCLUSION: Survival rates of patients with primary CM in stages I-II were shown to be much more favorable than previously reported from non sentinel node staged collectives. For future clinical trials, sample size calculations should be adapted using survival probabilities based on sentinel node staging.", "author" : [ { "dropping-particle" : "", "family" : "Elsaesser", "given" : "Otmar", "non-dropping-particle" : "", "parse-names" : false, "suffix" : "" }, { "dropping-particle" : "", "family" : "Leiter", "given" : "Ulrike", "non-dropping-particle" : "", "parse-names" : false, "suffix" : "" }, { "dropping-particle" : "", "family" : "Buettner", "given" : "Petra G", "non-dropping-particle" : "", "parse-names" : false, "suffix" : "" }, { "dropping-particle" : "", "family" : "Eigentler", "given" : "Thomas K", "non-dropping-particle" : "", "parse-names" : false, "suffix" : "" }, { "dropping-particle" : "", "family" : "Meier", "given" : "Friedegund", "non-dropping-particle" : "", "parse-names" : false, "suffix" : "" }, { "dropping-particle" : "", "family" : "Weide", "given" : "Benjamin", "non-dropping-particle" : "", "parse-names" : false, "suffix" : "" }, { "dropping-particle" : "", "family" : "Metzler", "given" : "Gisela", "non-dropping-particle" : "", "parse-names" : false, "suffix" : "" }, { "dropping-particle" : "", "family" : "Breuninger", "given" : "Helmut", "non-dropping-particle" : "", "parse-names" : false, "suffix" : "" }, { "dropping-particle" : "", "family" : "Garbe", "given" : "Claus", "non-dropping-particle" : "", "parse-names" : false, "suffix" : "" } ], "container-title" : "PloS one", "id" : "ITEM-3", "issue" : "1", "issued" : { "date-parts" : [ [ "2012", "1" ] ] }, "page" : "e29791", "title" : "Prognosis of sentinel node staged patients with primary cutaneous melanoma.", "type" : "article-journal", "volume" : "7" }, "uris" : [ "http://www.mendeley.com/documents/?uuid=92b0c869-cc13-4da6-b3a7-c130da29dd60" ] }, { "id" : "ITEM-4", "itemData" : { "DOI" : "10.1016/j.ejso.2013.02.022", "ISSN" : "1532-2157", "PMID" : "23571104", "abstract" : "BACKGROUND: The current recommendation for patients with cutaneous melanoma and a positive sentinel lymph node (SLN) biopsy is a complete lymph node dissection (CLND). However, metastatic melanoma is not present in approximately 80% of CLND specimens. A meta-analysis was performed to identify the clinicopathological variables most predictive of non-sentinel node (NSN) metastases when the sentinel node is positive in patients with melanoma.\n\nMETHODS: A systematic search was conducted using MEDLINE, PubMed, EMBASE, Current Contents Connect, Cochrane library, Google scholar, Science Direct, and Web of Science. The search identified 54 relevant articles reporting the frequency of NSN metastases in melanoma. Original data was abstracted from each study and used to calculate a pooled odds ratio (OR) and 95% confidence interval (95% CI).\n\nFINDINGS: The pooled estimates that were found to be significantly associated with the high likelihood of NSN metastases were: ulceration (OR: 1.88, 95% CI: 1.53-2.31), satellitosis (OR: 3.25, 95% CI: 1.86-5.66), neurotropism (OR: 2.51, 95% CI: 1.39-4.53), &gt;1 positive SLN (OR: 1.77, 95% CI: 1.2-2.62), Starz 3 (old) (OR: 1.83, 95% CI: 0.89-3.76), Angiolymphatic invasion (OR: 2.46, 95% CI: 1.34-4.54), extensive location (OR: 2.22, 95% CI: 1.74-2.81), macrometastases &gt;2 mm (OR: 1.95, 95% CI: 1.61-2.35), extranodal extension (OR: 3.38, 95% CI: 1.79-6.40) and capsular involvement (OR: 3.16, 95% CI: 1.37-7.27). There were 3 characteristics not associated with NSN metastases: subcapsular location (OR: 0.51, 95% CI: 0.38-0.67), Rotterdam Criteria &lt;0.1 mm (OR: 0.29, 95% CI: 0.17-0.50) and Starz I (new) (OR: 0.44, 95% CI: 0.22-0.91). Other variables including gender, Breslow thickness 2-4 mm and extremity as primary site were found to be equivocal.\n\nINTERPRETATION: This meta-analysis provides evidence that patients with low SLN tumor burden could probably be spared the morbidity associated with CLND. We identified 9 factors predictive of non-SLN metastases that should be recorded and evaluated routinely in SLN databases. However, further studies are needed to confirm the standard criteria for not performing CLND.", "author" : [ { "dropping-particle" : "", "family" : "Nagaraja", "given" : "V", "non-dropping-particle" : "", "parse-names" : false, "suffix" : "" }, { "dropping-particle" : "", "family" : "Eslick", "given" : "G D", "non-dropping-particle" : "", "parse-names" : false, "suffix" : "" } ], "container-title" : "European journal of surgical oncology : the journal of the European Society of Surgical Oncology and the British Association of Surgical Oncology", "id" : "ITEM-4", "issue" : "7", "issued" : { "date-parts" : [ [ "2013", "7" ] ] }, "page" : "669-80", "title" : "Is complete lymph node dissection after a positive sentinel lymph node biopsy for cutaneous melanoma always necessary? A meta-analysis.", "type" : "article-journal", "volume" : "39" }, "uris" : [ "http://www.mendeley.com/documents/?uuid=67cfe721-6734-4747-a69b-b9f8a004fffc" ] }, { "id" : "ITEM-5", "itemData" : { "author" : [ { "dropping-particle" : "", "family" : "Kjerkegaard", "given" : "U", "non-dropping-particle" : "", "parse-names" : false, "suffix" : "" }, { "dropping-particle" : "", "family" : "Eldon", "given" : "M", "non-dropping-particle" : "", "parse-names" : false, "suffix" : "" } ], "container-title" : "European Journal of Plastic \u2026", "id" : "ITEM-5", "issued" : { "date-parts" : [ [ "2015" ] ] }, "title" : "A single-center retrospective study on 659 re-excisions of melanoma and 769 sentinel node biopsies in 2008\u20132012", "type" : "article-journal" }, "uris" : [ "http://www.mendeley.com/documents/?uuid=2c3a5c23-0416-43c5-916b-e12516b57444" ] } ], "mendeley" : { "formattedCitation" : "&lt;sup&gt;152,163,168\u2013170&lt;/sup&gt;", "plainTextFormattedCitation" : "152,163,168\u2013170", "previouslyFormattedCitation" : "&lt;sup&gt;152,163,168\u2013170&lt;/sup&gt;" }, "properties" : { "noteIndex" : 0 }, "schema" : "https://github.com/citation-style-language/schema/raw/master/csl-citation.json" }</w:instrText>
      </w:r>
      <w:r w:rsidRPr="003E73CD">
        <w:rPr>
          <w:sz w:val="22"/>
          <w:szCs w:val="22"/>
        </w:rPr>
        <w:fldChar w:fldCharType="separate"/>
      </w:r>
      <w:r w:rsidRPr="00217FAC">
        <w:rPr>
          <w:noProof/>
          <w:sz w:val="22"/>
          <w:szCs w:val="22"/>
          <w:vertAlign w:val="superscript"/>
        </w:rPr>
        <w:t>152,163,168–170</w:t>
      </w:r>
      <w:r w:rsidRPr="003E73CD">
        <w:rPr>
          <w:sz w:val="22"/>
          <w:szCs w:val="22"/>
        </w:rPr>
        <w:fldChar w:fldCharType="end"/>
      </w:r>
      <w:r w:rsidRPr="003E73CD">
        <w:rPr>
          <w:sz w:val="22"/>
          <w:szCs w:val="22"/>
        </w:rPr>
        <w:t xml:space="preserve"> In the remaining 4 excluded studies the effect of non-sentinel node status was investigated but not by multivariate analysis or by an alternative method that accounted for the effect of an increasing total number of positive nodes in the non-sentinel node positive population.</w:t>
      </w:r>
      <w:r w:rsidRPr="003E73CD">
        <w:rPr>
          <w:sz w:val="22"/>
          <w:szCs w:val="22"/>
        </w:rPr>
        <w:fldChar w:fldCharType="begin" w:fldLock="1"/>
      </w:r>
      <w:r>
        <w:rPr>
          <w:sz w:val="22"/>
          <w:szCs w:val="22"/>
        </w:rPr>
        <w:instrText>ADDIN CSL_CITATION { "citationItems" : [ { "id" : "ITEM-1", "itemData" : { "abstract" : "Aims: Sentinel lymph node (SLN) -positive melanoma patients are usually recommended completion lymph node dissection (CLND) with the aim to provide regional disease control and improve survival. Nevertheless, only 20% these patients have additional metastases in non-sentinel lymph nodes (NSLN), indicating that CLND may be unnecessary in the majority of patients. In this retrospective study, we (i) sought to identify clinico-pathological features predicting NSLN status, as well as disease-free (DFS) and -specific (DSS) survival and (ii) evaluated the applicability of previously published algorithms, which were able to define a group of patients at zero-risk for NSLN-metastasis. Methods: This analysis included 504 consecutive melanoma patients stage I and II who underwent successful SLN-biopsy (SLNB) at our institute between 1998 and 2005. Metastatic SLN were re-evaluated for tumor burden and categorized according to two different micro-anatomic classifications and the S/U-score (Size of the sentinel node metastasis &gt;2 mm/Ulceration of the primary melanoma) was assessed. DFS and DSS were calculated for all analyses. Results: Out of 504 melanoma patients stage I or II, 85 (17%) were SLN-positive and 18 of 85 (21%) were found with positive NSLN in the CLND specimen. Median follow-up was 31 months. Neither primary tumor characteristics (age, gender, Clark level, Breslow thickness, ulceration of the primary melanoma, site and histological subtype of the primary melanoma), nor features of the sentinel node tumor (number and site of draining lymph node basins, number of positive sentinel nodes and size of sentinel node tumor (&lt;2 mm vs. \u22652 mm) were able to predict additional positive lymph nodes in the CLND specimen. Likewise the implementation of published algorithms was not able to identify patients at negligible risk for harboring NSLN metastases. Upon univariate analysis, disease-free survival in SLN-positive patients was correlated with Breslow thickness, sentinel node tumor size &gt;2 mm and S/U score. In respect to disease-specific survival the significant prognostic parameters were Breslow thickness, ulceration, sentinel node tumor size &gt;2 mm and the S/U score. After a median follow-up of 31 months recurrence rates (37% vs. 78%, p = 0.02) and death from disease (24% vs. 50%, p &lt; 0.01) were significantly different in patients with SLN-metastasis only as compared to patients with NSLN-metastasis. Conclusion: NSLN status cannot be predicted in this data analys\u2026", "author" : [ { "dropping-particle" : "", "family" : "Roka", "given" : "F.", "non-dropping-particle" : "", "parse-names" : false, "suffix" : "" }, { "dropping-particle" : "", "family" : "Mastan", "given" : "P.", "non-dropping-particle" : "", "parse-names" : false, "suffix" : "" }, { "dropping-particle" : "", "family" : "Binder", "given" : "M.", "non-dropping-particle" : "", "parse-names" : false, "suffix" : "" }, { "dropping-particle" : "", "family" : "Okamoto", "given" : "I.", "non-dropping-particle" : "", "parse-names" : false, "suffix" : "" }, { "dropping-particle" : "", "family" : "Mittlboeck", "given" : "M.", "non-dropping-particle" : "", "parse-names" : false, "suffix" : "" }, { "dropping-particle" : "", "family" : "Horvat", "given" : "R.", "non-dropping-particle" : "", "parse-names" : false, "suffix" : "" }, { "dropping-particle" : "", "family" : "Pehamberger", "given" : "H.", "non-dropping-particle" : "", "parse-names" : false, "suffix" : "" }, { "dropping-particle" : "", "family" : "Diem", "given" : "E.", "non-dropping-particle" : "", "parse-names" : false, "suffix" : "" } ], "container-title" : "European Journal of Surgical Oncology", "id" : "ITEM-1", "issue" : "1", "issued" : { "date-parts" : [ [ "2008" ] ] }, "page" : "82-88", "title" : "Prediction of non-sentinel node status and outcome in sentinel node-positive melanoma patients", "type" : "article-journal", "volume" : "34" }, "uris" : [ "http://www.mendeley.com/documents/?uuid=d5930a2d-7bb7-4c4a-a437-72ecc437a08e" ] }, { "id" : "ITEM-2", "itemData" : { "DOI" : "10.1016/j.bjps.2009.07.043", "ISSN" : "1878-0539", "PMID" : "19800304", "author" : [ { "dropping-particle" : "", "family" : "Wright", "given" : "E H", "non-dropping-particle" : "", "parse-names" : false, "suffix" : "" }, { "dropping-particle" : "", "family" : "Stanley", "given" : "P R W", "non-dropping-particle" : "", "parse-names" : false, "suffix" : "" }, { "dropping-particle" : "", "family" : "Roy", "given" : "A", "non-dropping-particle" : "", "parse-names" : false, "suffix" : "" } ], "container-title" : "Journal of plastic, reconstructive &amp; aesthetic surgery : JPRAS", "id" : "ITEM-2", "issue" : "5", "issued" : { "date-parts" : [ [ "2010", "5" ] ] }, "page" : "e500-2", "title" : "Evaluation of sentinel lymph nodes positive for melanoma for features predictive of non-sentinel nodal disease and patient prognosis: a 49 patient series.", "type" : "article-journal", "volume" : "63" }, "uris" : [ "http://www.mendeley.com/documents/?uuid=f53b7da0-fb1e-43be-9edf-1c2c5c612d52" ] }, { "id" : "ITEM-3", "itemData" : { "DOI" : "10.1245/s10434-011-2095-3", "ISSN" : "1534-4681", "PMID" : "21989664", "abstract" : "BACKGROUND: The primary objectives of this work are to (1) quantitate tumor burden in sentinel lymph nodes (SLNs), and (2) assess the independent contributions of SLN tumor burden and primary melanoma thickness (PMT) with respect to progression-free survival (PFS) and overall survival (OS).\n\nMETHODS: Sixty-three patients (41 male and 22 female) with one or more positive SLNs were available for review in this study, with median follow-up of 6.8 years. PMT was measured and SLN metastases were assessed for size, as maximum metastasis size (MMS) in mm, by hematoxylin and eosin (H&amp;E) and immunohistochemistry (S100 and HMB45). PFS and OS were calculated from time of SLN resection until melanoma recurrence or death. Univariate and multivariate analyses and trend test were performed.\n\nRESULTS: Kaplan-Meier estimates of PFS and OS differed significantly by MMS (log-rank P = 0.031 for PFS and P = 0.016 for OS) and PMT (log-rank P = 0.036 for PFS and P &lt; 0.001 for OS). After adjusting for age and gender, the hazard ratio (HR) associated with MMS was 1.09 per mm increase (P = 0.05) for PFS, and 6.30 (P = 0.014) and 5.41 (P = 0.048) for OS in patients, respectively, with MMS of 0.6-5.5 mm and MMS \u22655.5 mm compared with those with MMS &lt;0.6 mm. When patients were stratified by their tumor characteristics of PMT, the risk for disease progression and worse OS was substantially higher for the group with PMT \u2265 4.5 mm (HR = 13.10 and P = 0.022 for PFS; HR = 17.26 and P &lt; 0.001 for OS) relative to the baseline group with PMT &lt;1.6 mm. All patients had completion lymph node dissection (CLND) except for four patients. Patients with positive CLND (14, 22.2%) showed significant worse PFS (P = 0.002) and OS (P = 0.0003) than the negative CLND group (45, 71.4%).\n\nCONCLUSIONS: PMT and MMS were independently prognostic of PFS and OS in melanoma patients. Patients with negative CLND had significantly better PFS and OS than those with positive CLND.", "author" : [ { "dropping-particle" : "", "family" : "Baehner", "given" : "Frederick L", "non-dropping-particle" : "", "parse-names" : false, "suffix" : "" }, { "dropping-particle" : "", "family" : "Li", "given" : "Rui", "non-dropping-particle" : "", "parse-names" : false, "suffix" : "" }, { "dropping-particle" : "", "family" : "Jenkins", "given" : "Tyler", "non-dropping-particle" : "", "parse-names" : false, "suffix" : "" }, { "dropping-particle" : "", "family" : "Hwang", "given" : "Jimmy", "non-dropping-particle" : "", "parse-names" : false, "suffix" : "" }, { "dropping-particle" : "", "family" : "Kashani-Sabet", "given" : "Mohammed", "non-dropping-particle" : "", "parse-names" : false, "suffix" : "" }, { "dropping-particle" : "", "family" : "Allen", "given" : "Robert E", "non-dropping-particle" : "", "parse-names" : false, "suffix" : "" }, { "dropping-particle" : "", "family" : "Leong", "given" : "Stanley P L", "non-dropping-particle" : "", "parse-names" : false, "suffix" : "" } ], "container-title" : "Annals of surgical oncology", "id" : "ITEM-3", "issue" : "3", "issued" : { "date-parts" : [ [ "2012", "3" ] ] }, "page" : "1034-42", "title" : "The impact of primary melanoma thickness and microscopic tumor burden in sentinel lymph nodes on melanoma patient survival.", "type" : "article-journal", "volume" : "19" }, "uris" : [ "http://www.mendeley.com/documents/?uuid=9635ea80-e1c1-49c4-8e42-63b4a337996c" ] }, { "id" : "ITEM-4", "itemData" : { "author" : [ { "dropping-particle" : "", "family" : "Patuzzo", "given" : "Roberto", "non-dropping-particle" : "", "parse-names" : false, "suffix" : "" }, { "dropping-particle" : "", "family" : "Gallino", "given" : "Gianfranco", "non-dropping-particle" : "", "parse-names" : false, "suffix" : "" }, { "dropping-particle" : "", "family" : "Maurichi", "given" : "Andrea", "non-dropping-particle" : "", "parse-names" : false, "suffix" : "" }, { "dropping-particle" : "", "family" : "Ruggeri", "given" : "Roberta", "non-dropping-particle" : "", "parse-names" : false, "suffix" : "" }, { "dropping-particle" : "", "family" : "Mattavelli", "given" : "Ilaria", "non-dropping-particle" : "", "parse-names" : false, "suffix" : "" }, { "dropping-particle" : "", "family" : "Florio", "given" : "Annabella", "non-dropping-particle" : "Di", "parse-names" : false, "suffix" : "" }, { "dropping-particle" : "", "family" : "Bonarini", "given" : "Giulia Elisa", "non-dropping-particle" : "", "parse-names" : false, "suffix" : "" }, { "dropping-particle" : "", "family" : "Fazio", "given" : "Adele", "non-dropping-particle" : "Di", "parse-names" : false, "suffix" : "" }, { "dropping-particle" : "", "family" : "Nicolo", "given" : "Gabriella", "non-dropping-particle" : "", "parse-names" : false, "suffix" : "" }, { "dropping-particle" : "", "family" : "Santinami", "given" : "Mario", "non-dropping-particle" : "", "parse-names" : false, "suffix" : "" } ], "container-title" : "ASCO Meeting Abstracts", "id" : "ITEM-4", "issue" : "15_suppl", "issued" : { "date-parts" : [ [ "2015", "5", "20" ] ] }, "page" : "e20058", "title" : "The prognostic role of further positive non sentinel nodes in melanoma patients.", "type" : "article-journal", "volume" : "33" }, "uris" : [ "http://www.mendeley.com/documents/?uuid=49193022-1d1f-4f3f-8218-ccd8c90e1c76" ] } ], "mendeley" : { "formattedCitation" : "&lt;sup&gt;155,171\u2013173&lt;/sup&gt;", "plainTextFormattedCitation" : "155,171\u2013173", "previouslyFormattedCitation" : "&lt;sup&gt;155,171\u2013173&lt;/sup&gt;" }, "properties" : { "noteIndex" : 0 }, "schema" : "https://github.com/citation-style-language/schema/raw/master/csl-citation.json" }</w:instrText>
      </w:r>
      <w:r w:rsidRPr="003E73CD">
        <w:rPr>
          <w:sz w:val="22"/>
          <w:szCs w:val="22"/>
        </w:rPr>
        <w:fldChar w:fldCharType="separate"/>
      </w:r>
      <w:r w:rsidRPr="00217FAC">
        <w:rPr>
          <w:noProof/>
          <w:sz w:val="22"/>
          <w:szCs w:val="22"/>
          <w:vertAlign w:val="superscript"/>
        </w:rPr>
        <w:t>155,171–173</w:t>
      </w:r>
      <w:r w:rsidRPr="003E73CD">
        <w:rPr>
          <w:sz w:val="22"/>
          <w:szCs w:val="22"/>
        </w:rPr>
        <w:fldChar w:fldCharType="end"/>
      </w:r>
      <w:proofErr w:type="gramStart"/>
      <w:r w:rsidRPr="003E73CD">
        <w:rPr>
          <w:sz w:val="22"/>
          <w:szCs w:val="22"/>
        </w:rPr>
        <w:t xml:space="preserve">  These</w:t>
      </w:r>
      <w:proofErr w:type="gramEnd"/>
      <w:r w:rsidRPr="003E73CD">
        <w:rPr>
          <w:sz w:val="22"/>
          <w:szCs w:val="22"/>
        </w:rPr>
        <w:t xml:space="preserve"> excluded studies that did investigate non-sentinel node status as a predictor of survival</w:t>
      </w:r>
      <w:r w:rsidR="00202947">
        <w:rPr>
          <w:sz w:val="22"/>
          <w:szCs w:val="22"/>
        </w:rPr>
        <w:t xml:space="preserve"> have been summarized in Table 3.1</w:t>
      </w:r>
      <w:r w:rsidRPr="003E73CD">
        <w:rPr>
          <w:sz w:val="22"/>
          <w:szCs w:val="22"/>
        </w:rPr>
        <w:t>.1.</w:t>
      </w:r>
    </w:p>
    <w:p w14:paraId="73EF111C" w14:textId="320A9BA4" w:rsidR="00EB738E" w:rsidRPr="003E73CD" w:rsidRDefault="00EB738E" w:rsidP="00EB738E">
      <w:pPr>
        <w:spacing w:line="480" w:lineRule="auto"/>
        <w:ind w:firstLine="720"/>
        <w:rPr>
          <w:sz w:val="22"/>
          <w:szCs w:val="22"/>
        </w:rPr>
      </w:pPr>
      <w:r w:rsidRPr="003E73CD">
        <w:rPr>
          <w:sz w:val="22"/>
          <w:szCs w:val="22"/>
        </w:rPr>
        <w:t>Eleven studies met the inclusion criteria and are summarized in Table 1.3.2.</w:t>
      </w:r>
      <w:r w:rsidRPr="003E73CD">
        <w:rPr>
          <w:sz w:val="22"/>
          <w:szCs w:val="22"/>
        </w:rPr>
        <w:fldChar w:fldCharType="begin" w:fldLock="1"/>
      </w:r>
      <w:r>
        <w:rPr>
          <w:sz w:val="22"/>
          <w:szCs w:val="22"/>
        </w:rPr>
        <w:instrText>ADDIN CSL_CITATION { "citationItems" : [ { "id" : "ITEM-1", "itemData" : { "DOI" : "10.1200/JCO.2006.06.3198", "ISSN" : "1527-7755", "PMID" : "16983115", "abstract" : "PURPOSE: To evaluate the prognostic significance of sentinel node biopsy in the management of stage IB and II melanoma patients, and to evaluate the status of nonsentinel nodes as a \"second step key factor\" to assess the prognosis of these patients.\n\nPATIENTS AND METHODS: We conducted an analysis of data collected in a prospective database.\n\nRESULTS: From February 1994 to June 2005, 1,108 consecutive patients with stage IB and II melanoma were submitted to sentinel node biopsy; 176 patients (15.9%) had occult node metastases. The frequency of positive nodes increased with increasing Breslow's thickness. The largest diameter of metastatic foci and their localization within the lymph node were associated with the risk of nonsentinel node metastases only. The 5-year survival of patients with positive sentinel nodes was 81.4% in patients with one positive node and 39.6% in patients with two positive nodes (P = .056). Multivariate analysis indicated that status of sentinel nodes is a key factor and that sex and Breslow's thickness maintain statistically significant relevance. Ulceration, which was associated with survival when considered as single factor (P &lt; .001) had no impact on survival in the multivariate analysis (P = .10). To evaluate the relevance of metastases to nonsentinel nodes, we identified four groups of patients.\n\nCONCLUSION: Evaluation of the sentinel node is a useful procedure to identify patients to be submitted for complete lymph node dissection. The procedure makes it possible to assess the best prognosis of patients.", "author" : [ { "dropping-particle" : "", "family" : "Cascinelli", "given" : "Natale", "non-dropping-particle" : "", "parse-names" : false, "suffix" : "" }, { "dropping-particle" : "", "family" : "Bombardieri", "given" : "Emilio", "non-dropping-particle" : "", "parse-names" : false, "suffix" : "" }, { "dropping-particle" : "", "family" : "Bufalino", "given" : "Rosaria", "non-dropping-particle" : "", "parse-names" : false, "suffix" : "" }, { "dropping-particle" : "", "family" : "Camerini", "given" : "Tiziana", "non-dropping-particle" : "", "parse-names" : false, "suffix" : "" }, { "dropping-particle" : "", "family" : "Carbone", "given" : "Antonino", "non-dropping-particle" : "", "parse-names" : false, "suffix" : "" }, { "dropping-particle" : "", "family" : "Clemente", "given" : "Claudio", "non-dropping-particle" : "", "parse-names" : false, "suffix" : "" }, { "dropping-particle" : "", "family" : "Lenisa", "given" : "Leonardo", "non-dropping-particle" : "", "parse-names" : false, "suffix" : "" }, { "dropping-particle" : "", "family" : "Mascheroni", "given" : "Luigi", "non-dropping-particle" : "", "parse-names" : false, "suffix" : "" }, { "dropping-particle" : "", "family" : "Maurichi", "given" : "Andrea", "non-dropping-particle" : "", "parse-names" : false, "suffix" : "" }, { "dropping-particle" : "", "family" : "Pennacchioli", "given" : "Elisabetta", "non-dropping-particle" : "", "parse-names" : false, "suffix" : "" }, { "dropping-particle" : "", "family" : "Patuzzo", "given" : "Roberto", "non-dropping-particle" : "", "parse-names" : false, "suffix" : "" }, { "dropping-particle" : "", "family" : "Santinami", "given" : "Mario", "non-dropping-particle" : "", "parse-names" : false, "suffix" : "" }, { "dropping-particle" : "", "family" : "Tragni", "given" : "Gabrina", "non-dropping-particle" : "", "parse-names" : false, "suffix" : "" } ], "container-title" : "Journal of clinical oncology : official journal of the American Society of Clinical Oncology", "id" : "ITEM-1", "issue" : "27", "issued" : { "date-parts" : [ [ "2006", "9", "20" ] ] }, "page" : "4464-71", "title" : "Sentinel and nonsentinel node status in stage IB and II melanoma patients: two-step prognostic indicators of survival.", "type" : "article-journal", "volume" : "24" }, "uris" : [ "http://www.mendeley.com/documents/?uuid=87a2810c-0f27-4812-8c91-b5fcb57b53ff" ] }, { "id" : "ITEM-2", "itemData" : { "DOI" : "10.1245/s10434-008-0187-5", "ISSN" : "1534-4681", "PMID" : "18979135", "abstract" : "While sentinel lymph node biopsy (SLN) is a highly accurate and well-tolerated procedure for patients with cutaneous melanoma, the role of the completion lymph node dissection (CLND) for patients with positive SLN biopsy remains unknown. This study aimed to look at the prognostic value of a positive nonsentinel lymph node (NSLN). A prospectively maintained database identified 222 patients with cutaneous melanoma and a positive SLN biopsy, without evidence of distant disease. All of these patients underwent CLND, and 37 patients (17%) had positive NSLN. With median follow-up of 33 months, patients with negative NSLN had median survival of 104 months, while patients with positive NSLN had median survival of 36 months (p &lt; 0.001). There were no survivors in the patients with positive NSLN beyond 6 years. When patients with an equal number of positive nodes were analyzed, the presence of a positive NSLN was still associated with worse melanoma-specific survival (66 months for NSLN- versus 34 months for NSLN+, p = 0.04). While increasing age, tumor thickness, and male sex were associated with an increased risk of death on multivariate analysis, a positive NSLN was the most important predictor of survival (hazard ratio 2.5). We conclude that positive NSLN is an independent predictor of disease-specific survival in patients with cutaneous melanoma.", "author" : [ { "dropping-particle" : "", "family" : "Ariyan", "given" : "Charlotte", "non-dropping-particle" : "", "parse-names" : false, "suffix" : "" }, { "dropping-particle" : "", "family" : "Brady", "given" : "Mary Sue", "non-dropping-particle" : "", "parse-names" : false, "suffix" : "" }, { "dropping-particle" : "", "family" : "G\u00f6nen", "given" : "Mithat", "non-dropping-particle" : "", "parse-names" : false, "suffix" : "" }, { "dropping-particle" : "", "family" : "Busam", "given" : "Klaus", "non-dropping-particle" : "", "parse-names" : false, "suffix" : "" }, { "dropping-particle" : "", "family" : "Coit", "given" : "Daniel", "non-dropping-particle" : "", "parse-names" : false, "suffix" : "" } ], "container-title" : "Annals of surgical oncology", "id" : "ITEM-2", "issue" : "1", "issued" : { "date-parts" : [ [ "2009", "1" ] ] }, "page" : "186-90", "title" : "Positive nonsentinel node status predicts mortality in patients with cutaneous melanoma.", "type" : "article-journal", "volume" : "16" }, "uris" : [ "http://www.mendeley.com/documents/?uuid=95f50211-78eb-42c1-b0bf-03f1224519aa" ] }, { "id" : "ITEM-3", "itemData" : { "DOI" : "10.1245/s10434-009-0530-5", "ISSN" : "1534-4681", "PMID" : "19517194", "abstract" : "BACKGROUND: In melanoma, a direct relationship exists between the number of nodes involved with metastatic disease and prognosis. This study was undertaken to determine whether an individual with metastatic disease confined to the sentinel lymph nodes (SLNs) would have a better prognosis than individuals with metastatic disease that has spread to the non-SLNs, regardless of the number of nodes involved.\n\nMETHODS: The study group consists of 229 melanoma patients with a positive SLN who underwent regional nodal dissection. Cox proportional hazard regression models were used to assess association of the number of SLNs and non-SLNs involved with disease with overall survival (OS) and disease-free survival (DFS).\n\nRESULTS: DFS and OS were unchanged regardless of how many SLNs were positive, as long as all disease was confined to SLNs. Among 183 patients without involvement of non-SLNs, OS remained the same despite an increasing number of SLNs involved (P = .59). This was true after controlling for ulceration, Breslow depth, age, sex, and adjuvant treatment. Once disease was present beyond the SLN, DFS and OS were negatively affected. Among patients with involvement of non-SLNs, there was no statistically significant association between the number of positive SLNs and survival. The risk of mortality increased with the number of non-SLNs involved with metastatic disease (P &lt; .001).\n\nCONCLUSIONS: The number of regional nodes involved with metastatic disease does not affect DFS and OS if disease is confined to the SLNs. Consideration should be given to specifying SLN versus non-SLN involvement in the American Joint Committee on Cancer staging manual.", "author" : [ { "dropping-particle" : "", "family" : "Jakub", "given" : "James W", "non-dropping-particle" : "", "parse-names" : false, "suffix" : "" }, { "dropping-particle" : "", "family" : "Huebner", "given" : "Marianne", "non-dropping-particle" : "", "parse-names" : false, "suffix" : "" }, { "dropping-particle" : "", "family" : "Shivers", "given" : "Steve", "non-dropping-particle" : "", "parse-names" : false, "suffix" : "" }, { "dropping-particle" : "", "family" : "Nobo", "given" : "Christopher", "non-dropping-particle" : "", "parse-names" : false, "suffix" : "" }, { "dropping-particle" : "", "family" : "Puleo", "given" : "Christopher", "non-dropping-particle" : "", "parse-names" : false, "suffix" : "" }, { "dropping-particle" : "", "family" : "Harmsen", "given" : "William S", "non-dropping-particle" : "", "parse-names" : false, "suffix" : "" }, { "dropping-particle" : "", "family" : "Reintgen", "given" : "Douglas S", "non-dropping-particle" : "", "parse-names" : false, "suffix" : "" } ], "container-title" : "Annals of surgical oncology", "id" : "ITEM-3", "issue" : "8", "issued" : { "date-parts" : [ [ "2009", "8" ] ] }, "page" : "2245-51", "title" : "The number of lymph nodes involved with metastatic disease does not affect outcome in melanoma patients as long as all disease is confined to the sentinel lymph node.", "type" : "article-journal", "volume" : "16" }, "uris" : [ "http://www.mendeley.com/documents/?uuid=fbe213b8-67d5-4eaa-b00e-02735b35827b" ] }, { "id" : "ITEM-4", "itemData" : { "DOI" : "10.1245/s10434-009-0665-4", "ISSN" : "1534-4681", "PMID" : "19711133", "abstract" : "PURPOSE: Sentinel lymph node (SLN) biopsy provides important prognostic information for patients with cutaneous melanoma. There may be additional prognostic significance to melanoma spreading from the SLN to nonsentinel lymph nodes (NSLN). We examined the implications of a positive NSLN for overall and distant disease-free survival.\n\nMETHODS: Using a prospectively maintained, Institutional Review Board-approved melanoma database we studied patients who had a cutaneous melanoma, a positive SLN, and a completion lymph node dissection (CLND). Survival was determined using a combination of hospital records and the Social Security Death Index (SSDI). Univariate and multivariate Cox regression analysis was performed to further characterize predictors of overall and distant disease-free survival. Kaplan-Meier analysis was used to generate survival curves.\n\nRESULTS: A total of 429 patients with positive SLN biopsies were identified, with at least one positive NSLN identified in 71 (17%). Median follow-up time was 36.8 months. Presence of a positive NSLN was significantly associated with poor outcome, although long-term survival was possible. Presence of ulceration, high mitotic rate, angiolymphatic invasion, total number of positive nodes, and volume of disease&gt;1% in the SLN were significant predictors of survival on univariate analysis, but lost significance on multivariate. Multivariate Cox analysis revealed several predictors of overall survival: increasing age [hazard ratio (HR) 1.04, P&lt;0.01], Breslow depth (HR 1.76, P&lt;0.01), presence of extracapsular extension in the SLN (HR 2.39, P&lt;0.01), and positive NSLN (HR 1.92, P&lt;0.01).\n\nCONCLUSION: Among node-positive melanoma patients, presence of a positive NSLN is a highly significant poor prognostic sign, even after considering the total number of positive nodes and volume of disease in the SLN. CLND after a positive SLN provides this important prognostic information.", "author" : [ { "dropping-particle" : "", "family" : "Ghaferi", "given" : "Amir A", "non-dropping-particle" : "", "parse-names" : false, "suffix" : "" }, { "dropping-particle" : "", "family" : "Wong", "given" : "Sandra L", "non-dropping-particle" : "", "parse-names" : false, "suffix" : "" }, { "dropping-particle" : "", "family" : "Johnson", "given" : "Timothy M", "non-dropping-particle" : "", "parse-names" : false, "suffix" : "" }, { "dropping-particle" : "", "family" : "Lowe", "given" : "Lori", "non-dropping-particle" : "", "parse-names" : false, "suffix" : "" }, { "dropping-particle" : "", "family" : "Chang", "given" : "Alfred E", "non-dropping-particle" : "", "parse-names" : false, "suffix" : "" }, { "dropping-particle" : "", "family" : "Cimmino", "given" : "Vincent M", "non-dropping-particle" : "", "parse-names" : false, "suffix" : "" }, { "dropping-particle" : "", "family" : "Bradford", "given" : "Carol R", "non-dropping-particle" : "", "parse-names" : false, "suffix" : "" }, { "dropping-particle" : "", "family" : "Rees", "given" : "Riley S", "non-dropping-particle" : "", "parse-names" : false, "suffix" : "" }, { "dropping-particle" : "", "family" : "Sabel", "given" : "Michael S", "non-dropping-particle" : "", "parse-names" : false, "suffix" : "" } ], "container-title" : "Annals of surgical oncology", "id" : "ITEM-4", "issue" : "11", "issued" : { "date-parts" : [ [ "2009", "11" ] ] }, "page" : "2978-84", "title" : "Prognostic significance of a positive nonsentinel lymph node in cutaneous melanoma.", "type" : "article-journal", "volume" : "16" }, "uris" : [ "http://www.mendeley.com/documents/?uuid=928824b4-dc07-42e0-87bf-4160d27f7eec" ] }, { "id" : "ITEM-5", "itemData" : { "DOI" : "10.1245/s10434-010-1049-5", "ISSN" : "1534-4681", "PMID" : "20490699", "abstract" : "BACKGROUND: Completion lymph node dissection (CLND) following positive sentinel node biopsy (SNB) for melanoma detects additional nonsentinel node (NSN) metastases in approximately 20% of cases. This study aimed to establish whether NSN status can be predicted, to determine its effect on survival, and to develop survival tree models for the sentinel node (SN) positive population.\n\nMATERIALS AND METHODS: Sydney Melanoma Unit (SMU) patients with at least 1 positive SN, meeting inclusion criteria and treated between October 1992 and June 2005, were identified from the Unit database. Survival characteristics, potential predictors of survival, and NSN status were assessed using the Kaplan-Meier method, Cox regression model, and logistic regression analyses, respectively. Classification tree analysis was performed to identify groups with distinctly different survival characteristics.\n\nRESULTS: A total of 323 SN-positive melanoma patients met the inclusion criteria. On multivariate analysis, age, gender, primary tumor thickness, mitotic rate, number of positive NSNs, or total number of positive nodes were statistically significant predictors of survival. NSN metastasis, found at CLND in 19% of patients, was only predicted to a statistically significant degree by ulceration. Multivariate analyses demonstrated that survival was more closely related to number of positive NSNs than total number of positive nodes. Classification tree analysis revealed 4 prognostically distinct survival groups.\n\nCONCLUSIONS: Patients with NSN metastases could not be reliably identified prior to CLND. Prognosis following CLND was more closely related to number of positive NSNs than total number of positive nodes. Classification tree analysis defined distinctly different survival groups more accurately than use of single-factor analysis.", "author" : [ { "dropping-particle" : "", "family" : "Wiener", "given" : "Martin", "non-dropping-particle" : "", "parse-names" : false, "suffix" : "" }, { "dropping-particle" : "", "family" : "Acland", "given" : "Katharine M", "non-dropping-particle" : "", "parse-names" : false, "suffix" : "" }, { "dropping-particle" : "", "family" : "Shaw", "given" : "Helen M", "non-dropping-particle" : "", "parse-names" : false, "suffix" : "" }, { "dropping-particle" : "", "family" : "Soong", "given" : "Seng-Jaw", "non-dropping-particle" : "", "parse-names" : false, "suffix" : "" }, { "dropping-particle" : "", "family" : "Lin", "given" : "Hui-Yi", "non-dropping-particle" : "", "parse-names" : false, "suffix" : "" }, { "dropping-particle" : "", "family" : "Chen", "given" : "Dung-Tsa", "non-dropping-particle" : "", "parse-names" : false, "suffix" : "" }, { "dropping-particle" : "", "family" : "Scolyer", "given" : "Richard A", "non-dropping-particle" : "", "parse-names" : false, "suffix" : "" }, { "dropping-particle" : "", "family" : "Winstanley", "given" : "Julie B", "non-dropping-particle" : "", "parse-names" : false, "suffix" : "" }, { "dropping-particle" : "", "family" : "Thompson", "given" : "John F", "non-dropping-particle" : "", "parse-names" : false, "suffix" : "" } ], "container-title" : "Annals of surgical oncology", "id" : "ITEM-5", "issue" : "8", "issued" : { "date-parts" : [ [ "2010", "8" ] ] }, "page" : "1995-2005", "title" : "Sentinel node positive melanoma patients: prediction and prognostic significance of nonsentinel node metastases and development of a survival tree model.", "type" : "article-journal", "volume" : "17" }, "uris" : [ "http://www.mendeley.com/documents/?uuid=f4126b0e-1dfd-4ac9-a748-0e48d0c17c53" ] }, { "id" : "ITEM-6", "itemData" : { "DOI" : "10.1245/s10434-010-1208-8", "ISSN" : "1534-4681", "PMID" : "20645010", "abstract" : "BACKGROUND: We hypothesized that metastasis beyond the sentinel lymph nodes (SLN) to the nonsentinel nodes (NSN) is an important predictor of survival.\n\nMATERIALS AND METHODS: Analysis was performed of a prospective multi-institutional study that included patients with melanoma \u2265 1.0 mm in Breslow thickness. All patients underwent SLN biopsy; completion lymphadenectomy was performed for all SLN metastases. Disease-free survival (DFS) and overall survival (OS) were computed by Kaplan-Meier analysis; univariate and multivariate analyses were performed to identify factors associated with differences in survival among groups.\n\nRESULTS: A total of 2335 patients were analyzed over a median follow-up of 68 months. We compared 3 groups: SLN negative (n = 1988), SLN-only positive (n = 296), and both SLN and NSN positive (n = 51). The 5-year DFS rates were 85.5, 64.8, and 42.6% for groups 1, 2, and 3, respectively (P &lt; 0.001). The 5-year OS rates were 85.5, 64.9, and 49.4%, respectively (P &lt; 0.001). On univariate analysis, predictors of decreased OS included: SLN metastasis, NSN metastasis, increased total number of positive LN, increased ratio of positive LN to total LN, increased age, male gender, increased Breslow thickness, presence of ulceration, Clark level \u2265 IV, and axial primary site (in all cases, P &lt; 0.01). When the total number of positive LN and NSN status were evaluated using multivariate analysis, NSN status remained statistically significant (P &lt; 0.01), while the total number of positive LN and LN ratio did not.\n\nCONCLUSIONS: NSN melanoma metastasis is an independent prognostic factor for DFS and OS, which is distinct from the number of positive lymph nodes or the lymph node ratio.", "author" : [ { "dropping-particle" : "", "family" : "Brown", "given" : "Russell E", "non-dropping-particle" : "", "parse-names" : false, "suffix" : "" }, { "dropping-particle" : "", "family" : "Ross", "given" : "Merrick I", "non-dropping-particle" : "", "parse-names" : false, "suffix" : "" }, { "dropping-particle" : "", "family" : "Edwards", "given" : "Michael J", "non-dropping-particle" : "", "parse-names" : false, "suffix" : "" }, { "dropping-particle" : "", "family" : "Noyes", "given" : "R Dirk", "non-dropping-particle" : "", "parse-names" : false, "suffix" : "" }, { "dropping-particle" : "", "family" : "Reintgen", "given" : "Douglas S", "non-dropping-particle" : "", "parse-names" : false, "suffix" : "" }, { "dropping-particle" : "", "family" : "Hagendoorn", "given" : "Lee J", "non-dropping-particle" : "", "parse-names" : false, "suffix" : "" }, { "dropping-particle" : "", "family" : "Stromberg", "given" : "Arnold J", "non-dropping-particle" : "", "parse-names" : false, "suffix" : "" }, { "dropping-particle" : "", "family" : "Martin", "given" : "Robert C G", "non-dropping-particle" : "", "parse-names" : false, "suffix" : "" }, { "dropping-particle" : "", "family" : "McMasters", "given" : "Kelly M", "non-dropping-particle" : "", "parse-names" : false, "suffix" : "" }, { "dropping-particle" : "", "family" : "Scoggins", "given" : "Charles R", "non-dropping-particle" : "", "parse-names" : false, "suffix" : "" } ], "container-title" : "Annals of surgical oncology", "id" : "ITEM-6", "issue" : "12", "issued" : { "date-parts" : [ [ "2010", "12" ] ] }, "page" : "3330-5", "title" : "The prognostic significance of nonsentinel lymph node metastasis in melanoma.", "type" : "article-journal", "volume" : "17" }, "uris" : [ "http://www.mendeley.com/documents/?uuid=9bb9c781-1dfe-43aa-99d2-d21c3065f5aa" ] }, { "id" : "ITEM-7", "itemData" : { "DOI" : "10.1016/j.amjsurg.2013.09.003", "ISSN" : "1879-1883", "PMID" : "24124662", "abstract" : "BACKGROUND: Prognostic factors and risk factors for positive sentinel lymph node (SLN) biopsy results are important to identify in superficial spreading melanoma (SSM).\n\nMETHODS: A single-center database and a prospective clinical trial database were reviewed for all patients with diagnoses of SSM. Logistic regression, Kaplan-Meier survival analysis, and univariate and multivariate Cox models were used.\n\nRESULTS: A total of 1,643 patients with SSM were identified. Independent risk factors for positive SLN biopsy results were Breslow thickness (BT) \u22652.0 mm, age &lt;60 years, and presence of ulceration. BT \u22652.0 mm, ulceration, lymphovascular invasion, and positive SLN and positive non-SLN biopsy results were independent risk factors for worse disease-free survival. Independent overall survival risk factors included BT \u22652.0 mm, age \u226560 years, ulceration, nonextremity tumor location, lymphovascular invasion, and positive SLN biopsy results.\n\nCONCLUSIONS: BT, ulceration, lymphovascular invasion, and SLN and non-SLN status are important risk factors for SSM.", "author" : [ { "dropping-particle" : "", "family" : "Egger", "given" : "Michael E", "non-dropping-particle" : "", "parse-names" : false, "suffix" : "" }, { "dropping-particle" : "", "family" : "Stepp", "given" : "Lindsay O", "non-dropping-particle" : "", "parse-names" : false, "suffix" : "" }, { "dropping-particle" : "", "family" : "Callender", "given" : "Glenda G", "non-dropping-particle" : "", "parse-names" : false, "suffix" : "" }, { "dropping-particle" : "", "family" : "Quillo", "given" : "Amy R", "non-dropping-particle" : "", "parse-names" : false, "suffix" : "" }, { "dropping-particle" : "", "family" : "Martin", "given" : "Robert C G", "non-dropping-particle" : "", "parse-names" : false, "suffix" : "" }, { "dropping-particle" : "", "family" : "Scoggins", "given" : "Charles R", "non-dropping-particle" : "", "parse-names" : false, "suffix" : "" }, { "dropping-particle" : "", "family" : "Stromberg", "given" : "Arnold J", "non-dropping-particle" : "", "parse-names" : false, "suffix" : "" }, { "dropping-particle" : "", "family" : "McMasters", "given" : "Kelly M", "non-dropping-particle" : "", "parse-names" : false, "suffix" : "" } ], "container-title" : "American journal of surgery", "id" : "ITEM-7", "issue" : "6", "issued" : { "date-parts" : [ [ "2013", "12" ] ] }, "page" : "861-7; discussion 867-8", "title" : "Outcomes and prognostic factors in superficial spreading melanoma.", "type" : "article-journal", "volume" : "206" }, "uris" : [ "http://www.mendeley.com/documents/?uuid=42b8f2f7-69db-4fb0-bcc8-20fd5d260a29" ] }, { "id" : "ITEM-8", "itemData" : { "DOI" : "10.1245/s10434-012-2701-z", "ISSN" : "1534-4681", "PMID" : "23064795", "abstract" : "BACKGROUND: Sentinel lymph node (SLN) biopsy for melanoma often detects minimal nodal tumor burden. Although all node-positive patients are considered stage III, there is controversy regarding the necessity of adjuvant therapy for all patients with tumor-positive SLN.\n\nMETHODS: Post hoc analysis was performed of a prospective multi-institutional study of patients with melanoma \u2265 1.0 mm Breslow thickness. All patients underwent SLN biopsy; completion lymphadenectomy was performed for patients with SLN metastasis. Kaplan-Meier analysis of disease-free survival (DFS) and overall survival (OS) was performed. Univariate and multivariate Cox regression analyses were performed. Classification and regression tree (CART) analysis also was performed.\n\nRESULTS: A total of 509 patients with tumor-positive SLN were evaluated. Independent risk factors for worse OS included thickness, age, gender, presence of ulceration, and tumor-positive non-SLN (nodal metastasis found on completion lymphadenectomy). As the number of tumor-positive SLN and the total number of tumor-positive nodes (SLN and non-SLN) increased, DFS and OS worsened on Kaplan-Meier analysis. On CART analysis, the 5-year OS rates ranged from 84.9% (women with thickness &lt; 2.1 mm, age &lt; 59 years, no ulceration, and tumor-negative non-SLN) to 14.3% (men with thickness \u2265 2.1 mm, age \u2265 59 years, ulceration present, and tumor-positive non-SLN). Six distinct subgroups were identified with 5-year OS in excess of 70%.\n\nCONCLUSIONS: Stage III melanoma in the era of SLN is associated with a very wide range of prognosis. CART analysis of prognostic factors allows discrimination of low-risk subgroups for which adjuvant therapy may not be warranted.", "author" : [ { "dropping-particle" : "", "family" : "Egger", "given" : "Michael E", "non-dropping-particle" : "", "parse-names" : false, "suffix" : "" }, { "dropping-particle" : "", "family" : "Callender", "given" : "Glenda G", "non-dropping-particle" : "", "parse-names" : false, "suffix" : "" }, { "dropping-particle" : "", "family" : "McMasters", "given" : "Kelly M", "non-dropping-particle" : "", "parse-names" : false, "suffix" : "" }, { "dropping-particle" : "", "family" : "Ross", "given" : "Merrick I", "non-dropping-particle" : "", "parse-names" : false, "suffix" : "" }, { "dropping-particle" : "", "family" : "Martin", "given" : "Robert C G", "non-dropping-particle" : "", "parse-names" : false, "suffix" : "" }, { "dropping-particle" : "", "family" : "Edwards", "given" : "Michael J", "non-dropping-particle" : "", "parse-names" : false, "suffix" : "" }, { "dropping-particle" : "", "family" : "Urist", "given" : "Marshall M", "non-dropping-particle" : "", "parse-names" : false, "suffix" : "" }, { "dropping-particle" : "", "family" : "Noyes", "given" : "R Dirk", "non-dropping-particle" : "", "parse-names" : false, "suffix" : "" }, { "dropping-particle" : "", "family" : "Sussman", "given" : "Jeffrey J", "non-dropping-particle" : "", "parse-names" : false, "suffix" : "" }, { "dropping-particle" : "", "family" : "Reintgen", "given" : "Douglas S", "non-dropping-particle" : "", "parse-names" : false, "suffix" : "" }, { "dropping-particle" : "", "family" : "Stromberg", "given" : "Arnold J", "non-dropping-particle" : "", "parse-names" : false, "suffix" : "" }, { "dropping-particle" : "", "family" : "Scoggins", "given" : "Charles R", "non-dropping-particle" : "", "parse-names" : false, "suffix" : "" } ], "container-title" : "Annals of surgical oncology", "id" : "ITEM-8", "issue" : "3", "issued" : { "date-parts" : [ [ "2013", "3" ] ] }, "page" : "956-63", "title" : "Diversity of stage III melanoma in the era of sentinel lymph node biopsy.", "type" : "article-journal", "volume" : "20" }, "uris" : [ "http://www.mendeley.com/documents/?uuid=59503490-f299-41ae-b17d-0e482477adcc" ] }, { "id" : "ITEM-9", "itemData" : { "DOI" : "10.1245/s10434-012-2652-4", "ISSN" : "1534-4681", "PMID" : "23054112", "abstract" : "BACKGROUND: The hypothesis tested in this study was whether patients with stage III metastatic melanoma confined to their sentinel lymph nodes (SLNs) had a more favorable prognosis than patients who had SLN and non-SLN (NSLN) metastases.\n\nMETHODS: Patients were identified who were clinically negative in their regional basins but with lymphatic mapping were found to have positive SLNs (331 patients). All patients subsequently underwent a complete lymph node dissection of the lymphatic basin involved, and the total number of metastatic SLNs and NSLNs were documented.\n\nRESULTS: As the regional metastatic disease involves NSLNs, disease-free survival (DFS) and overall survival (OS) decreases. For patients with a total of 2 nodes positive, those with disease confined to the SLNs had a significant better prognosis (DFS and OS: P &lt; .00001) than those in whom 1 SLN and 1 non-SLN was involved. This difference was apparent for those patients with N2 and N3 disease (2 or more nodes positive in their regional basin). A multivariate regression analysis that included Breslow thickness, ulceration, number of positive nodes, and NSLN positivity showed that NSLN positivity (P = .0019) was the most powerful predictor of DFS and OS.\n\nCONCLUSIONS: When metastatic melanoma overwhelms the SLN and involves NSLNs, the biologic behavior changes to portend a worse survival, regardless of the total node count positive. These data make the argument that the current N staging system should be changed to incorporate SLN vs NSLN involvement.", "author" : [ { "dropping-particle" : "", "family" : "Reintgen", "given" : "Michael", "non-dropping-particle" : "", "parse-names" : false, "suffix" : "" }, { "dropping-particle" : "", "family" : "Murray", "given" : "Lauren", "non-dropping-particle" : "", "parse-names" : false, "suffix" : "" }, { "dropping-particle" : "", "family" : "Akman", "given" : "Kurt", "non-dropping-particle" : "", "parse-names" : false, "suffix" : "" }, { "dropping-particle" : "", "family" : "Giuliano", "given" : "Rosemary", "non-dropping-particle" : "", "parse-names" : false, "suffix" : "" }, { "dropping-particle" : "", "family" : "Lozicki", "given" : "Alyson", "non-dropping-particle" : "", "parse-names" : false, "suffix" : "" }, { "dropping-particle" : "", "family" : "Shivers", "given" : "Steve", "non-dropping-particle" : "", "parse-names" : false, "suffix" : "" }, { "dropping-particle" : "", "family" : "Reintgen", "given" : "Douglas", "non-dropping-particle" : "", "parse-names" : false, "suffix" : "" } ], "container-title" : "Annals of surgical oncology", "id" : "ITEM-9", "issue" : "2", "issued" : { "date-parts" : [ [ "2013", "2" ] ] }, "page" : "668-74", "title" : "Evidence for a better nodal staging system for melanoma: the clinical relevance of metastatic disease confined to the sentinel lymph nodes.", "type" : "article-journal", "volume" : "20" }, "uris" : [ "http://www.mendeley.com/documents/?uuid=e3b246fc-a4f8-44f0-a585-5efac6b33d2e" ] }, { "id" : "ITEM-10", "itemData" : { "DOI" : "10.1001/jamasurg.2013.3044", "ISSN" : "2168-6262", "PMID" : "23903435", "abstract" : "IMPORTANCE: Survival varies widely in patients with stage III melanoma. The existence of clinical significance for positive nonsentinel lymph node (NSLN) status would warrant consideration for incorporation into the American Joint Committee on Cancer staging system and better prediction of survival.\n\nOBJECTIVE: To evaluate whether disease limited to sentinel lymph nodes (SLNs) represents different clinical significance than disease spread into NSLNs.\n\nDESIGN, SETTING, AND PARTICIPANTS: The database of the John Wayne Cancer Institute at Saint John's Health Center, Santa Monica, California, was queried for all patients with SLNs positive for cutaneous melanoma who subsequently underwent completion lymph node dissection.\n\nMAIN OUTCOMES AND MEASURES: Disease-free survival, melanoma-specific survival (MSS), and overall survival.\n\nRESULTS: A total of 4223 patients underwent SLN biopsy from 1986 to 2012. Of these patients, 329 had a tumor-positive SLN. Of the 329, 250 patients (76.0%) had no additional positive nodes and 79 (24.0%) had a tumor-positive NSLN. Factors predictive of NSLN positivity included older age (P\u2009=\u2009.04), greater Breslow thickness (P\u2009&lt;\u2009.001), and ulceration (P\u2009&lt;\u2009.02). Median overall survival was 178 months for the SLN-only positive group and 42.2 months for the NSLN positive group (5-year overall survival, 72.3% and 46.4%, respectively). Median MSS was not reached for the SLN-only positive group and was 60 months for the NSLN positive group (5-year MSS, 77.8% and 49.5%, respectively). On multivariate analysis, NSLN positivity had a strong association with recurrence (hazard ratio [HR], 1.75; 95% CI, 1.23-2.50; P\u2009=\u2009.002), shorter overall survival (HR, 2.24; 95% CI, 1.48-3.40; P\u2009&lt;\u2009.001), and shorter MSS (HR, 2.23; 95% CI, 1.46-3.07; P\u2009&lt;\u2009.001). To further control for the effects of total positive lymph nodes, comparison was done for patients with only N2 disease (2-3 total positive lymph nodes); the results of this comparison confirmed the independent effect of NSLN status (MSS; P\u2009=\u2009.04).\n\nCONCLUSIONS AND RELEVANCE: Nonsentinel lymph node positivity is one of the most significant prognostic factors in patients with stage III melanoma. Subclassification of melanoma by NSLN tumor status should be considered for the American Joint Committee on Cancer staging system.", "author" : [ { "dropping-particle" : "", "family" : "Leung", "given" : "Anna M", "non-dropping-particle" : "", "parse-names" : false, "suffix" : "" }, { "dropping-particle" : "", "family" : "Morton", "given" : "Donald L", "non-dropping-particle" : "", "parse-names" : false, "suffix" : "" }, { "dropping-particle" : "", "family" : "Ozao-Choy", "given" : "Junko", "non-dropping-particle" : "", "parse-names" : false, "suffix" : "" }, { "dropping-particle" : "", "family" : "Hari", "given" : "Danielle M", "non-dropping-particle" : "", "parse-names" : false, "suffix" : "" }, { "dropping-particle" : "", "family" : "Shin-Sim", "given" : "Myung", "non-dropping-particle" : "", "parse-names" : false, "suffix" : "" }, { "dropping-particle" : "", "family" : "Difronzo", "given" : "Andrew L", "non-dropping-particle" : "", "parse-names" : false, "suffix" : "" }, { "dropping-particle" : "", "family" : "Faries", "given" : "Mark B", "non-dropping-particle" : "", "parse-names" : false, "suffix" : "" } ], "container-title" : "JAMA surgery", "id" : "ITEM-10", "issue" : "9", "issued" : { "date-parts" : [ [ "2013", "9" ] ] }, "page" : "879-84", "title" : "Staging of regional lymph nodes in melanoma: a case for including nonsentinel lymph node positivity in the American Joint Committee on Cancer staging system.", "type" : "article-journal", "volume" : "148" }, "uris" : [ "http://www.mendeley.com/documents/?uuid=fac9559b-9a9f-4199-a346-556ae25e21d9" ] }, { "id" : "ITEM-11", "itemData" : { "DOI" : "10.1200/JCO.2013.50.7681", "ISSN" : "1527-7755", "PMID" : "24516022", "abstract" : "PURPOSE: We investigated whether the nonsentinel lymph node (NSLN) status in patients with melanoma improves the prognostic accuracy of common staging features; then we formulated a proposal for including the NSLN status in the current melanoma staging system.\n\nPATIENTS AND METHODS: We retrospectively collected the clinicopathologic data of 1,538 patients with positive SLN status who underwent completion lymph node dissection (CLND) at nine Italian centers. Multivariable Cox regression survival analysis was used to identify independent prognostic factors. Literature meta-analysis was used to summarize the available evidence on the prognostic value of the NSLN status in patients with positive SLN.\n\nRESULTS: NSLN metastasis was observed in 353 patients (23%). After a median follow-up of 45 months, NSLN status was an independent prognostic factor for melanoma-specific survival (hazard ratio [HR] = 1.34; 95% CI, 1.18 to 1.52; P &lt; .001). NSLN status efficiently stratified the prognosis of patients with two to three positive lymph nodes (n = 387; HR = 1.39; 95% CI, 1.07 to 1.81; P = .013), independently of other staging features. Searching the literature, this patient subgroup was investigated in other two studies. Pooling the results (n = 620 patients; 284 NSLN negative and 336 NSLN positive), we found that NSLN status is a highly significant prognostic factor (summary HR = 1.59; 95% CI, 1.27 to 1.98; P &lt; .001) in patients with two to three positive lymph nodes.\n\nCONCLUSION: These findings support the independent prognostic value of the NSLN status in patients with two to three positive lymph nodes, suggesting that this information should be considered for the routine staging in patients with melanoma.", "author" : [ { "dropping-particle" : "", "family" : "Pasquali", "given" : "Sandro", "non-dropping-particle" : "", "parse-names" : false, "suffix" : "" }, { "dropping-particle" : "", "family" : "Mocellin", "given" : "Simone", "non-dropping-particle" : "", "parse-names" : false, "suffix" : "" }, { "dropping-particle" : "", "family" : "Mozzillo", "given" : "Nicola", "non-dropping-particle" : "", "parse-names" : false, "suffix" : "" }, { "dropping-particle" : "", "family" : "Maurichi", "given" : "Andrea", "non-dropping-particle" : "", "parse-names" : false, "suffix" : "" }, { "dropping-particle" : "", "family" : "Quaglino", "given" : "Pietro", "non-dropping-particle" : "", "parse-names" : false, "suffix" : "" }, { "dropping-particle" : "", "family" : "Borgognoni", "given" : "Lorenzo", "non-dropping-particle" : "", "parse-names" : false, "suffix" : "" }, { "dropping-particle" : "", "family" : "Solari", "given" : "Nicola", "non-dropping-particle" : "", "parse-names" : false, "suffix" : "" }, { "dropping-particle" : "", "family" : "Piazzalunga", "given" : "Dario", "non-dropping-particle" : "", "parse-names" : false, "suffix" : "" }, { "dropping-particle" : "", "family" : "Mascheroni", "given" : "Luigi", "non-dropping-particle" : "", "parse-names" : false, "suffix" : "" }, { "dropping-particle" : "", "family" : "Giudice", "given" : "Giuseppe", "non-dropping-particle" : "", "parse-names" : false, "suffix" : "" }, { "dropping-particle" : "", "family" : "Patuzzo", "given" : "Roberto", "non-dropping-particle" : "", "parse-names" : false, "suffix" : "" }, { "dropping-particle" : "", "family" : "Carac\u00f2", "given" : "Corrado", "non-dropping-particle" : "", "parse-names" : false, "suffix" : "" }, { "dropping-particle" : "", "family" : "Ribero", "given" : "Simone", "non-dropping-particle" : "", "parse-names" : false, "suffix" : "" }, { "dropping-particle" : "", "family" : "Marone", "given" : "Ugo", "non-dropping-particle" : "", "parse-names" : false, "suffix" : "" }, { "dropping-particle" : "", "family" : "Santinami", "given" : "Mario", "non-dropping-particle" : "", "parse-names" : false, "suffix" : "" }, { "dropping-particle" : "", "family" : "Rossi", "given" : "Carlo Riccardo", "non-dropping-particle" : "", "parse-names" : false, "suffix" : "" } ], "container-title" : "Journal of clinical oncology : official journal of the American Society of Clinical Oncology", "id" : "ITEM-11", "issue" : "9", "issued" : { "date-parts" : [ [ "2014", "3", "20" ] ] }, "page" : "935-41", "title" : "Nonsentinel lymph node status in patients with cutaneous melanoma: results from a multi-institution prognostic study.", "type" : "article-journal", "volume" : "32" }, "uris" : [ "http://www.mendeley.com/documents/?uuid=410348e6-9294-4ce8-8ceb-e0a01e3e8143" ] } ], "mendeley" : { "formattedCitation" : "&lt;sup&gt;149,161,164,174\u2013181&lt;/sup&gt;", "plainTextFormattedCitation" : "149,161,164,174\u2013181", "previouslyFormattedCitation" : "&lt;sup&gt;149,161,164,174\u2013181&lt;/sup&gt;" }, "properties" : { "noteIndex" : 0 }, "schema" : "https://github.com/citation-style-language/schema/raw/master/csl-citation.json" }</w:instrText>
      </w:r>
      <w:r w:rsidRPr="003E73CD">
        <w:rPr>
          <w:sz w:val="22"/>
          <w:szCs w:val="22"/>
        </w:rPr>
        <w:fldChar w:fldCharType="separate"/>
      </w:r>
      <w:r w:rsidRPr="00217FAC">
        <w:rPr>
          <w:noProof/>
          <w:sz w:val="22"/>
          <w:szCs w:val="22"/>
          <w:vertAlign w:val="superscript"/>
        </w:rPr>
        <w:t>149,161,164,174–181</w:t>
      </w:r>
      <w:r w:rsidRPr="003E73CD">
        <w:rPr>
          <w:sz w:val="22"/>
          <w:szCs w:val="22"/>
        </w:rPr>
        <w:fldChar w:fldCharType="end"/>
      </w:r>
      <w:proofErr w:type="gramStart"/>
      <w:r w:rsidRPr="003E73CD">
        <w:rPr>
          <w:sz w:val="22"/>
          <w:szCs w:val="22"/>
        </w:rPr>
        <w:t xml:space="preserve">  All</w:t>
      </w:r>
      <w:proofErr w:type="gramEnd"/>
      <w:r w:rsidRPr="003E73CD">
        <w:rPr>
          <w:sz w:val="22"/>
          <w:szCs w:val="22"/>
        </w:rPr>
        <w:t xml:space="preserve"> were observational (retrospective cohort) studies, most commonly carried out by review of prospectively-maintained databases or as a post-hoc analysis of patients included in a trial.  Data were from patients treated at institutions in the United States (5 studies), North America (3 studies), Australia (1 study) and Italy (2 studies).  Three of the studies included patients from the same prospective trial (SUNBELT melanoma trial).</w:t>
      </w:r>
      <w:r w:rsidRPr="003E73CD">
        <w:rPr>
          <w:sz w:val="22"/>
          <w:szCs w:val="22"/>
        </w:rPr>
        <w:fldChar w:fldCharType="begin" w:fldLock="1"/>
      </w:r>
      <w:r>
        <w:rPr>
          <w:sz w:val="22"/>
          <w:szCs w:val="22"/>
        </w:rPr>
        <w:instrText>ADDIN CSL_CITATION { "citationItems" : [ { "id" : "ITEM-1", "itemData" : { "DOI" : "10.1016/j.amjsurg.2013.09.003", "ISSN" : "1879-1883", "PMID" : "24124662", "abstract" : "BACKGROUND: Prognostic factors and risk factors for positive sentinel lymph node (SLN) biopsy results are important to identify in superficial spreading melanoma (SSM).\n\nMETHODS: A single-center database and a prospective clinical trial database were reviewed for all patients with diagnoses of SSM. Logistic regression, Kaplan-Meier survival analysis, and univariate and multivariate Cox models were used.\n\nRESULTS: A total of 1,643 patients with SSM were identified. Independent risk factors for positive SLN biopsy results were Breslow thickness (BT) \u22652.0 mm, age &lt;60 years, and presence of ulceration. BT \u22652.0 mm, ulceration, lymphovascular invasion, and positive SLN and positive non-SLN biopsy results were independent risk factors for worse disease-free survival. Independent overall survival risk factors included BT \u22652.0 mm, age \u226560 years, ulceration, nonextremity tumor location, lymphovascular invasion, and positive SLN biopsy results.\n\nCONCLUSIONS: BT, ulceration, lymphovascular invasion, and SLN and non-SLN status are important risk factors for SSM.", "author" : [ { "dropping-particle" : "", "family" : "Egger", "given" : "Michael E", "non-dropping-particle" : "", "parse-names" : false, "suffix" : "" }, { "dropping-particle" : "", "family" : "Stepp", "given" : "Lindsay O", "non-dropping-particle" : "", "parse-names" : false, "suffix" : "" }, { "dropping-particle" : "", "family" : "Callender", "given" : "Glenda G", "non-dropping-particle" : "", "parse-names" : false, "suffix" : "" }, { "dropping-particle" : "", "family" : "Quillo", "given" : "Amy R", "non-dropping-particle" : "", "parse-names" : false, "suffix" : "" }, { "dropping-particle" : "", "family" : "Martin", "given" : "Robert C G", "non-dropping-particle" : "", "parse-names" : false, "suffix" : "" }, { "dropping-particle" : "", "family" : "Scoggins", "given" : "Charles R", "non-dropping-particle" : "", "parse-names" : false, "suffix" : "" }, { "dropping-particle" : "", "family" : "Stromberg", "given" : "Arnold J", "non-dropping-particle" : "", "parse-names" : false, "suffix" : "" }, { "dropping-particle" : "", "family" : "McMasters", "given" : "Kelly M", "non-dropping-particle" : "", "parse-names" : false, "suffix" : "" } ], "container-title" : "American journal of surgery", "id" : "ITEM-1", "issue" : "6", "issued" : { "date-parts" : [ [ "2013", "12" ] ] }, "page" : "861-7; discussion 867-8", "title" : "Outcomes and prognostic factors in superficial spreading melanoma.", "type" : "article-journal", "volume" : "206" }, "uris" : [ "http://www.mendeley.com/documents/?uuid=42b8f2f7-69db-4fb0-bcc8-20fd5d260a29" ] }, { "id" : "ITEM-2", "itemData" : { "DOI" : "10.1245/s10434-012-2701-z", "ISSN" : "1534-4681", "PMID" : "23064795", "abstract" : "BACKGROUND: Sentinel lymph node (SLN) biopsy for melanoma often detects minimal nodal tumor burden. Although all node-positive patients are considered stage III, there is controversy regarding the necessity of adjuvant therapy for all patients with tumor-positive SLN.\n\nMETHODS: Post hoc analysis was performed of a prospective multi-institutional study of patients with melanoma \u2265 1.0 mm Breslow thickness. All patients underwent SLN biopsy; completion lymphadenectomy was performed for patients with SLN metastasis. Kaplan-Meier analysis of disease-free survival (DFS) and overall survival (OS) was performed. Univariate and multivariate Cox regression analyses were performed. Classification and regression tree (CART) analysis also was performed.\n\nRESULTS: A total of 509 patients with tumor-positive SLN were evaluated. Independent risk factors for worse OS included thickness, age, gender, presence of ulceration, and tumor-positive non-SLN (nodal metastasis found on completion lymphadenectomy). As the number of tumor-positive SLN and the total number of tumor-positive nodes (SLN and non-SLN) increased, DFS and OS worsened on Kaplan-Meier analysis. On CART analysis, the 5-year OS rates ranged from 84.9% (women with thickness &lt; 2.1 mm, age &lt; 59 years, no ulceration, and tumor-negative non-SLN) to 14.3% (men with thickness \u2265 2.1 mm, age \u2265 59 years, ulceration present, and tumor-positive non-SLN). Six distinct subgroups were identified with 5-year OS in excess of 70%.\n\nCONCLUSIONS: Stage III melanoma in the era of SLN is associated with a very wide range of prognosis. CART analysis of prognostic factors allows discrimination of low-risk subgroups for which adjuvant therapy may not be warranted.", "author" : [ { "dropping-particle" : "", "family" : "Egger", "given" : "Michael E", "non-dropping-particle" : "", "parse-names" : false, "suffix" : "" }, { "dropping-particle" : "", "family" : "Callender", "given" : "Glenda G", "non-dropping-particle" : "", "parse-names" : false, "suffix" : "" }, { "dropping-particle" : "", "family" : "McMasters", "given" : "Kelly M", "non-dropping-particle" : "", "parse-names" : false, "suffix" : "" }, { "dropping-particle" : "", "family" : "Ross", "given" : "Merrick I", "non-dropping-particle" : "", "parse-names" : false, "suffix" : "" }, { "dropping-particle" : "", "family" : "Martin", "given" : "Robert C G", "non-dropping-particle" : "", "parse-names" : false, "suffix" : "" }, { "dropping-particle" : "", "family" : "Edwards", "given" : "Michael J", "non-dropping-particle" : "", "parse-names" : false, "suffix" : "" }, { "dropping-particle" : "", "family" : "Urist", "given" : "Marshall M", "non-dropping-particle" : "", "parse-names" : false, "suffix" : "" }, { "dropping-particle" : "", "family" : "Noyes", "given" : "R Dirk", "non-dropping-particle" : "", "parse-names" : false, "suffix" : "" }, { "dropping-particle" : "", "family" : "Sussman", "given" : "Jeffrey J", "non-dropping-particle" : "", "parse-names" : false, "suffix" : "" }, { "dropping-particle" : "", "family" : "Reintgen", "given" : "Douglas S", "non-dropping-particle" : "", "parse-names" : false, "suffix" : "" }, { "dropping-particle" : "", "family" : "Stromberg", "given" : "Arnold J", "non-dropping-particle" : "", "parse-names" : false, "suffix" : "" }, { "dropping-particle" : "", "family" : "Scoggins", "given" : "Charles R", "non-dropping-particle" : "", "parse-names" : false, "suffix" : "" } ], "container-title" : "Annals of surgical oncology", "id" : "ITEM-2", "issue" : "3", "issued" : { "date-parts" : [ [ "2013", "3" ] ] }, "page" : "956-63", "title" : "Diversity of stage III melanoma in the era of sentinel lymph node biopsy.", "type" : "article-journal", "volume" : "20" }, "uris" : [ "http://www.mendeley.com/documents/?uuid=59503490-f299-41ae-b17d-0e482477adcc" ] }, { "id" : "ITEM-3", "itemData" : { "DOI" : "10.1245/s10434-010-1208-8", "ISSN" : "1534-4681", "PMID" : "20645010", "abstract" : "BACKGROUND: We hypothesized that metastasis beyond the sentinel lymph nodes (SLN) to the nonsentinel nodes (NSN) is an important predictor of survival.\n\nMATERIALS AND METHODS: Analysis was performed of a prospective multi-institutional study that included patients with melanoma \u2265 1.0 mm in Breslow thickness. All patients underwent SLN biopsy; completion lymphadenectomy was performed for all SLN metastases. Disease-free survival (DFS) and overall survival (OS) were computed by Kaplan-Meier analysis; univariate and multivariate analyses were performed to identify factors associated with differences in survival among groups.\n\nRESULTS: A total of 2335 patients were analyzed over a median follow-up of 68 months. We compared 3 groups: SLN negative (n = 1988), SLN-only positive (n = 296), and both SLN and NSN positive (n = 51). The 5-year DFS rates were 85.5, 64.8, and 42.6% for groups 1, 2, and 3, respectively (P &lt; 0.001). The 5-year OS rates were 85.5, 64.9, and 49.4%, respectively (P &lt; 0.001). On univariate analysis, predictors of decreased OS included: SLN metastasis, NSN metastasis, increased total number of positive LN, increased ratio of positive LN to total LN, increased age, male gender, increased Breslow thickness, presence of ulceration, Clark level \u2265 IV, and axial primary site (in all cases, P &lt; 0.01). When the total number of positive LN and NSN status were evaluated using multivariate analysis, NSN status remained statistically significant (P &lt; 0.01), while the total number of positive LN and LN ratio did not.\n\nCONCLUSIONS: NSN melanoma metastasis is an independent prognostic factor for DFS and OS, which is distinct from the number of positive lymph nodes or the lymph node ratio.", "author" : [ { "dropping-particle" : "", "family" : "Brown", "given" : "Russell E", "non-dropping-particle" : "", "parse-names" : false, "suffix" : "" }, { "dropping-particle" : "", "family" : "Ross", "given" : "Merrick I", "non-dropping-particle" : "", "parse-names" : false, "suffix" : "" }, { "dropping-particle" : "", "family" : "Edwards", "given" : "Michael J", "non-dropping-particle" : "", "parse-names" : false, "suffix" : "" }, { "dropping-particle" : "", "family" : "Noyes", "given" : "R Dirk", "non-dropping-particle" : "", "parse-names" : false, "suffix" : "" }, { "dropping-particle" : "", "family" : "Reintgen", "given" : "Douglas S", "non-dropping-particle" : "", "parse-names" : false, "suffix" : "" }, { "dropping-particle" : "", "family" : "Hagendoorn", "given" : "Lee J", "non-dropping-particle" : "", "parse-names" : false, "suffix" : "" }, { "dropping-particle" : "", "family" : "Stromberg", "given" : "Arnold J", "non-dropping-particle" : "", "parse-names" : false, "suffix" : "" }, { "dropping-particle" : "", "family" : "Martin", "given" : "Robert C G", "non-dropping-particle" : "", "parse-names" : false, "suffix" : "" }, { "dropping-particle" : "", "family" : "McMasters", "given" : "Kelly M", "non-dropping-particle" : "", "parse-names" : false, "suffix" : "" }, { "dropping-particle" : "", "family" : "Scoggins", "given" : "Charles R", "non-dropping-particle" : "", "parse-names" : false, "suffix" : "" } ], "container-title" : "Annals of surgical oncology", "id" : "ITEM-3", "issue" : "12", "issued" : { "date-parts" : [ [ "2010", "12" ] ] }, "page" : "3330-5", "title" : "The prognostic significance of nonsentinel lymph node metastasis in melanoma.", "type" : "article-journal", "volume" : "17" }, "uris" : [ "http://www.mendeley.com/documents/?uuid=9bb9c781-1dfe-43aa-99d2-d21c3065f5aa" ] } ], "mendeley" : { "formattedCitation" : "&lt;sup&gt;176\u2013178&lt;/sup&gt;", "plainTextFormattedCitation" : "176\u2013178", "previouslyFormattedCitation" : "&lt;sup&gt;176\u2013178&lt;/sup&gt;" }, "properties" : { "noteIndex" : 0 }, "schema" : "https://github.com/citation-style-language/schema/raw/master/csl-citation.json" }</w:instrText>
      </w:r>
      <w:r w:rsidRPr="003E73CD">
        <w:rPr>
          <w:sz w:val="22"/>
          <w:szCs w:val="22"/>
        </w:rPr>
        <w:fldChar w:fldCharType="separate"/>
      </w:r>
      <w:r w:rsidRPr="00217FAC">
        <w:rPr>
          <w:noProof/>
          <w:sz w:val="22"/>
          <w:szCs w:val="22"/>
          <w:vertAlign w:val="superscript"/>
        </w:rPr>
        <w:t>176–178</w:t>
      </w:r>
      <w:r w:rsidRPr="003E73CD">
        <w:rPr>
          <w:sz w:val="22"/>
          <w:szCs w:val="22"/>
        </w:rPr>
        <w:fldChar w:fldCharType="end"/>
      </w:r>
      <w:r w:rsidRPr="003E73CD">
        <w:rPr>
          <w:sz w:val="22"/>
          <w:szCs w:val="22"/>
        </w:rPr>
        <w:t xml:space="preserve">   The 11 included studies provided data regarding 4543 </w:t>
      </w:r>
      <w:proofErr w:type="gramStart"/>
      <w:r w:rsidRPr="003E73CD">
        <w:rPr>
          <w:sz w:val="22"/>
          <w:szCs w:val="22"/>
        </w:rPr>
        <w:t>sentinel</w:t>
      </w:r>
      <w:proofErr w:type="gramEnd"/>
      <w:r w:rsidRPr="003E73CD">
        <w:rPr>
          <w:sz w:val="22"/>
          <w:szCs w:val="22"/>
        </w:rPr>
        <w:t xml:space="preserve"> node positive melanoma patients with median follow-up ranging from 33 to 68 months.  However, the actual number of individual patients would be lower than this due to inclusion of patients from the SUNBELT melanoma trial in several studies.  Seven studies carried out multivariate analyses investigating the prognostic significance of non-sentinel node status in the sentinel node positive population but 4 of these did not include total number of posit</w:t>
      </w:r>
      <w:r w:rsidR="00202947">
        <w:rPr>
          <w:sz w:val="22"/>
          <w:szCs w:val="22"/>
        </w:rPr>
        <w:t>ive nodes as a variable (Table 3.1</w:t>
      </w:r>
      <w:r w:rsidRPr="003E73CD">
        <w:rPr>
          <w:sz w:val="22"/>
          <w:szCs w:val="22"/>
        </w:rPr>
        <w:t>.3).</w:t>
      </w:r>
      <w:r w:rsidRPr="003E73CD">
        <w:rPr>
          <w:sz w:val="22"/>
          <w:szCs w:val="22"/>
        </w:rPr>
        <w:fldChar w:fldCharType="begin" w:fldLock="1"/>
      </w:r>
      <w:r>
        <w:rPr>
          <w:sz w:val="22"/>
          <w:szCs w:val="22"/>
        </w:rPr>
        <w:instrText>ADDIN CSL_CITATION { "citationItems" : [ { "id" : "ITEM-1", "itemData" : { "DOI" : "10.1245/s10434-009-0665-4", "ISSN" : "1534-4681", "PMID" : "19711133", "abstract" : "PURPOSE: Sentinel lymph node (SLN) biopsy provides important prognostic information for patients with cutaneous melanoma. There may be additional prognostic significance to melanoma spreading from the SLN to nonsentinel lymph nodes (NSLN). We examined the implications of a positive NSLN for overall and distant disease-free survival.\n\nMETHODS: Using a prospectively maintained, Institutional Review Board-approved melanoma database we studied patients who had a cutaneous melanoma, a positive SLN, and a completion lymph node dissection (CLND). Survival was determined using a combination of hospital records and the Social Security Death Index (SSDI). Univariate and multivariate Cox regression analysis was performed to further characterize predictors of overall and distant disease-free survival. Kaplan-Meier analysis was used to generate survival curves.\n\nRESULTS: A total of 429 patients with positive SLN biopsies were identified, with at least one positive NSLN identified in 71 (17%). Median follow-up time was 36.8 months. Presence of a positive NSLN was significantly associated with poor outcome, although long-term survival was possible. Presence of ulceration, high mitotic rate, angiolymphatic invasion, total number of positive nodes, and volume of disease&gt;1% in the SLN were significant predictors of survival on univariate analysis, but lost significance on multivariate. Multivariate Cox analysis revealed several predictors of overall survival: increasing age [hazard ratio (HR) 1.04, P&lt;0.01], Breslow depth (HR 1.76, P&lt;0.01), presence of extracapsular extension in the SLN (HR 2.39, P&lt;0.01), and positive NSLN (HR 1.92, P&lt;0.01).\n\nCONCLUSION: Among node-positive melanoma patients, presence of a positive NSLN is a highly significant poor prognostic sign, even after considering the total number of positive nodes and volume of disease in the SLN. CLND after a positive SLN provides this important prognostic information.", "author" : [ { "dropping-particle" : "", "family" : "Ghaferi", "given" : "Amir A", "non-dropping-particle" : "", "parse-names" : false, "suffix" : "" }, { "dropping-particle" : "", "family" : "Wong", "given" : "Sandra L", "non-dropping-particle" : "", "parse-names" : false, "suffix" : "" }, { "dropping-particle" : "", "family" : "Johnson", "given" : "Timothy M", "non-dropping-particle" : "", "parse-names" : false, "suffix" : "" }, { "dropping-particle" : "", "family" : "Lowe", "given" : "Lori", "non-dropping-particle" : "", "parse-names" : false, "suffix" : "" }, { "dropping-particle" : "", "family" : "Chang", "given" : "Alfred E", "non-dropping-particle" : "", "parse-names" : false, "suffix" : "" }, { "dropping-particle" : "", "family" : "Cimmino", "given" : "Vincent M", "non-dropping-particle" : "", "parse-names" : false, "suffix" : "" }, { "dropping-particle" : "", "family" : "Bradford", "given" : "Carol R", "non-dropping-particle" : "", "parse-names" : false, "suffix" : "" }, { "dropping-particle" : "", "family" : "Rees", "given" : "Riley S", "non-dropping-particle" : "", "parse-names" : false, "suffix" : "" }, { "dropping-particle" : "", "family" : "Sabel", "given" : "Michael S", "non-dropping-particle" : "", "parse-names" : false, "suffix" : "" } ], "container-title" : "Annals of surgical oncology", "id" : "ITEM-1", "issue" : "11", "issued" : { "date-parts" : [ [ "2009", "11" ] ] }, "page" : "2978-84", "title" : "Prognostic significance of a positive nonsentinel lymph node in cutaneous melanoma.", "type" : "article-journal", "volume" : "16" }, "uris" : [ "http://www.mendeley.com/documents/?uuid=928824b4-dc07-42e0-87bf-4160d27f7eec" ] }, { "id" : "ITEM-2", "itemData" : { "DOI" : "10.1245/s10434-009-0530-5", "ISSN" : "1534-4681", "PMID" : "19517194", "abstract" : "BACKGROUND: In melanoma, a direct relationship exists between the number of nodes involved with metastatic disease and prognosis. This study was undertaken to determine whether an individual with metastatic disease confined to the sentinel lymph nodes (SLNs) would have a better prognosis than individuals with metastatic disease that has spread to the non-SLNs, regardless of the number of nodes involved.\n\nMETHODS: The study group consists of 229 melanoma patients with a positive SLN who underwent regional nodal dissection. Cox proportional hazard regression models were used to assess association of the number of SLNs and non-SLNs involved with disease with overall survival (OS) and disease-free survival (DFS).\n\nRESULTS: DFS and OS were unchanged regardless of how many SLNs were positive, as long as all disease was confined to SLNs. Among 183 patients without involvement of non-SLNs, OS remained the same despite an increasing number of SLNs involved (P = .59). This was true after controlling for ulceration, Breslow depth, age, sex, and adjuvant treatment. Once disease was present beyond the SLN, DFS and OS were negatively affected. Among patients with involvement of non-SLNs, there was no statistically significant association between the number of positive SLNs and survival. The risk of mortality increased with the number of non-SLNs involved with metastatic disease (P &lt; .001).\n\nCONCLUSIONS: The number of regional nodes involved with metastatic disease does not affect DFS and OS if disease is confined to the SLNs. Consideration should be given to specifying SLN versus non-SLN involvement in the American Joint Committee on Cancer staging manual.", "author" : [ { "dropping-particle" : "", "family" : "Jakub", "given" : "James W", "non-dropping-particle" : "", "parse-names" : false, "suffix" : "" }, { "dropping-particle" : "", "family" : "Huebner", "given" : "Marianne", "non-dropping-particle" : "", "parse-names" : false, "suffix" : "" }, { "dropping-particle" : "", "family" : "Shivers", "given" : "Steve", "non-dropping-particle" : "", "parse-names" : false, "suffix" : "" }, { "dropping-particle" : "", "family" : "Nobo", "given" : "Christopher", "non-dropping-particle" : "", "parse-names" : false, "suffix" : "" }, { "dropping-particle" : "", "family" : "Puleo", "given" : "Christopher", "non-dropping-particle" : "", "parse-names" : false, "suffix" : "" }, { "dropping-particle" : "", "family" : "Harmsen", "given" : "William S", "non-dropping-particle" : "", "parse-names" : false, "suffix" : "" }, { "dropping-particle" : "", "family" : "Reintgen", "given" : "Douglas S", "non-dropping-particle" : "", "parse-names" : false, "suffix" : "" } ], "container-title" : "Annals of surgical oncology", "id" : "ITEM-2", "issue" : "8", "issued" : { "date-parts" : [ [ "2009", "8" ] ] }, "page" : "2245-51", "title" : "The number of lymph nodes involved with metastatic disease does not affect outcome in melanoma patients as long as all disease is confined to the sentinel lymph node.", "type" : "article-journal", "volume" : "16" }, "uris" : [ "http://www.mendeley.com/documents/?uuid=fbe213b8-67d5-4eaa-b00e-02735b35827b" ] }, { "id" : "ITEM-3", "itemData" : { "DOI" : "10.1245/s10434-012-2701-z", "ISSN" : "1534-4681", "PMID" : "23064795", "abstract" : "BACKGROUND: Sentinel lymph node (SLN) biopsy for melanoma often detects minimal nodal tumor burden. Although all node-positive patients are considered stage III, there is controversy regarding the necessity of adjuvant therapy for all patients with tumor-positive SLN.\n\nMETHODS: Post hoc analysis was performed of a prospective multi-institutional study of patients with melanoma \u2265 1.0 mm Breslow thickness. All patients underwent SLN biopsy; completion lymphadenectomy was performed for patients with SLN metastasis. Kaplan-Meier analysis of disease-free survival (DFS) and overall survival (OS) was performed. Univariate and multivariate Cox regression analyses were performed. Classification and regression tree (CART) analysis also was performed.\n\nRESULTS: A total of 509 patients with tumor-positive SLN were evaluated. Independent risk factors for worse OS included thickness, age, gender, presence of ulceration, and tumor-positive non-SLN (nodal metastasis found on completion lymphadenectomy). As the number of tumor-positive SLN and the total number of tumor-positive nodes (SLN and non-SLN) increased, DFS and OS worsened on Kaplan-Meier analysis. On CART analysis, the 5-year OS rates ranged from 84.9% (women with thickness &lt; 2.1 mm, age &lt; 59 years, no ulceration, and tumor-negative non-SLN) to 14.3% (men with thickness \u2265 2.1 mm, age \u2265 59 years, ulceration present, and tumor-positive non-SLN). Six distinct subgroups were identified with 5-year OS in excess of 70%.\n\nCONCLUSIONS: Stage III melanoma in the era of SLN is associated with a very wide range of prognosis. CART analysis of prognostic factors allows discrimination of low-risk subgroups for which adjuvant therapy may not be warranted.", "author" : [ { "dropping-particle" : "", "family" : "Egger", "given" : "Michael E", "non-dropping-particle" : "", "parse-names" : false, "suffix" : "" }, { "dropping-particle" : "", "family" : "Callender", "given" : "Glenda G", "non-dropping-particle" : "", "parse-names" : false, "suffix" : "" }, { "dropping-particle" : "", "family" : "McMasters", "given" : "Kelly M", "non-dropping-particle" : "", "parse-names" : false, "suffix" : "" }, { "dropping-particle" : "", "family" : "Ross", "given" : "Merrick I", "non-dropping-particle" : "", "parse-names" : false, "suffix" : "" }, { "dropping-particle" : "", "family" : "Martin", "given" : "Robert C G", "non-dropping-particle" : "", "parse-names" : false, "suffix" : "" }, { "dropping-particle" : "", "family" : "Edwards", "given" : "Michael J", "non-dropping-particle" : "", "parse-names" : false, "suffix" : "" }, { "dropping-particle" : "", "family" : "Urist", "given" : "Marshall M", "non-dropping-particle" : "", "parse-names" : false, "suffix" : "" }, { "dropping-particle" : "", "family" : "Noyes", "given" : "R Dirk", "non-dropping-particle" : "", "parse-names" : false, "suffix" : "" }, { "dropping-particle" : "", "family" : "Sussman", "given" : "Jeffrey J", "non-dropping-particle" : "", "parse-names" : false, "suffix" : "" }, { "dropping-particle" : "", "family" : "Reintgen", "given" : "Douglas S", "non-dropping-particle" : "", "parse-names" : false, "suffix" : "" }, { "dropping-particle" : "", "family" : "Stromberg", "given" : "Arnold J", "non-dropping-particle" : "", "parse-names" : false, "suffix" : "" }, { "dropping-particle" : "", "family" : "Scoggins", "given" : "Charles R", "non-dropping-particle" : "", "parse-names" : false, "suffix" : "" } ], "container-title" : "Annals of surgical oncology", "id" : "ITEM-3", "issue" : "3", "issued" : { "date-parts" : [ [ "2013", "3" ] ] }, "page" : "956-63", "title" : "Diversity of stage III melanoma in the era of sentinel lymph node biopsy.", "type" : "article-journal", "volume" : "20" }, "uris" : [ "http://www.mendeley.com/documents/?uuid=59503490-f299-41ae-b17d-0e482477adcc" ] }, { "id" : "ITEM-4", "itemData" : { "DOI" : "10.1200/JCO.2013.50.7681", "ISSN" : "1527-7755", "PMID" : "24516022", "abstract" : "PURPOSE: We investigated whether the nonsentinel lymph node (NSLN) status in patients with melanoma improves the prognostic accuracy of common staging features; then we formulated a proposal for including the NSLN status in the current melanoma staging system.\n\nPATIENTS AND METHODS: We retrospectively collected the clinicopathologic data of 1,538 patients with positive SLN status who underwent completion lymph node dissection (CLND) at nine Italian centers. Multivariable Cox regression survival analysis was used to identify independent prognostic factors. Literature meta-analysis was used to summarize the available evidence on the prognostic value of the NSLN status in patients with positive SLN.\n\nRESULTS: NSLN metastasis was observed in 353 patients (23%). After a median follow-up of 45 months, NSLN status was an independent prognostic factor for melanoma-specific survival (hazard ratio [HR] = 1.34; 95% CI, 1.18 to 1.52; P &lt; .001). NSLN status efficiently stratified the prognosis of patients with two to three positive lymph nodes (n = 387; HR = 1.39; 95% CI, 1.07 to 1.81; P = .013), independently of other staging features. Searching the literature, this patient subgroup was investigated in other two studies. Pooling the results (n = 620 patients; 284 NSLN negative and 336 NSLN positive), we found that NSLN status is a highly significant prognostic factor (summary HR = 1.59; 95% CI, 1.27 to 1.98; P &lt; .001) in patients with two to three positive lymph nodes.\n\nCONCLUSION: These findings support the independent prognostic value of the NSLN status in patients with two to three positive lymph nodes, suggesting that this information should be considered for the routine staging in patients with melanoma.", "author" : [ { "dropping-particle" : "", "family" : "Pasquali", "given" : "Sandro", "non-dropping-particle" : "", "parse-names" : false, "suffix" : "" }, { "dropping-particle" : "", "family" : "Mocellin", "given" : "Simone", "non-dropping-particle" : "", "parse-names" : false, "suffix" : "" }, { "dropping-particle" : "", "family" : "Mozzillo", "given" : "Nicola", "non-dropping-particle" : "", "parse-names" : false, "suffix" : "" }, { "dropping-particle" : "", "family" : "Maurichi", "given" : "Andrea", "non-dropping-particle" : "", "parse-names" : false, "suffix" : "" }, { "dropping-particle" : "", "family" : "Quaglino", "given" : "Pietro", "non-dropping-particle" : "", "parse-names" : false, "suffix" : "" }, { "dropping-particle" : "", "family" : "Borgognoni", "given" : "Lorenzo", "non-dropping-particle" : "", "parse-names" : false, "suffix" : "" }, { "dropping-particle" : "", "family" : "Solari", "given" : "Nicola", "non-dropping-particle" : "", "parse-names" : false, "suffix" : "" }, { "dropping-particle" : "", "family" : "Piazzalunga", "given" : "Dario", "non-dropping-particle" : "", "parse-names" : false, "suffix" : "" }, { "dropping-particle" : "", "family" : "Mascheroni", "given" : "Luigi", "non-dropping-particle" : "", "parse-names" : false, "suffix" : "" }, { "dropping-particle" : "", "family" : "Giudice", "given" : "Giuseppe", "non-dropping-particle" : "", "parse-names" : false, "suffix" : "" }, { "dropping-particle" : "", "family" : "Patuzzo", "given" : "Roberto", "non-dropping-particle" : "", "parse-names" : false, "suffix" : "" }, { "dropping-particle" : "", "family" : "Carac\u00f2", "given" : "Corrado", "non-dropping-particle" : "", "parse-names" : false, "suffix" : "" }, { "dropping-particle" : "", "family" : "Ribero", "given" : "Simone", "non-dropping-particle" : "", "parse-names" : false, "suffix" : "" }, { "dropping-particle" : "", "family" : "Marone", "given" : "Ugo", "non-dropping-particle" : "", "parse-names" : false, "suffix" : "" }, { "dropping-particle" : "", "family" : "Santinami", "given" : "Mario", "non-dropping-particle" : "", "parse-names" : false, "suffix" : "" }, { "dropping-particle" : "", "family" : "Rossi", "given" : "Carlo Riccardo", "non-dropping-particle" : "", "parse-names" : false, "suffix" : "" } ], "container-title" : "Journal of clinical oncology : official journal of the American Society of Clinical Oncology", "id" : "ITEM-4", "issue" : "9", "issued" : { "date-parts" : [ [ "2014", "3", "20" ] ] }, "page" : "935-41", "title" : "Nonsentinel lymph node status in patients with cutaneous melanoma: results from a multi-institution prognostic study.", "type" : "article-journal", "volume" : "32" }, "uris" : [ "http://www.mendeley.com/documents/?uuid=410348e6-9294-4ce8-8ceb-e0a01e3e8143" ] } ], "mendeley" : { "formattedCitation" : "&lt;sup&gt;164,175,178,181&lt;/sup&gt;", "plainTextFormattedCitation" : "164,175,178,181", "previouslyFormattedCitation" : "&lt;sup&gt;164,175,178,181&lt;/sup&gt;" }, "properties" : { "noteIndex" : 0 }, "schema" : "https://github.com/citation-style-language/schema/raw/master/csl-citation.json" }</w:instrText>
      </w:r>
      <w:r w:rsidRPr="003E73CD">
        <w:rPr>
          <w:sz w:val="22"/>
          <w:szCs w:val="22"/>
        </w:rPr>
        <w:fldChar w:fldCharType="separate"/>
      </w:r>
      <w:r w:rsidRPr="00217FAC">
        <w:rPr>
          <w:noProof/>
          <w:sz w:val="22"/>
          <w:szCs w:val="22"/>
          <w:vertAlign w:val="superscript"/>
        </w:rPr>
        <w:t>164,175,178,181</w:t>
      </w:r>
      <w:r w:rsidRPr="003E73CD">
        <w:rPr>
          <w:sz w:val="22"/>
          <w:szCs w:val="22"/>
        </w:rPr>
        <w:fldChar w:fldCharType="end"/>
      </w:r>
      <w:proofErr w:type="gramStart"/>
      <w:r w:rsidRPr="003E73CD">
        <w:rPr>
          <w:sz w:val="22"/>
          <w:szCs w:val="22"/>
        </w:rPr>
        <w:t xml:space="preserve">  The</w:t>
      </w:r>
      <w:proofErr w:type="gramEnd"/>
      <w:r w:rsidRPr="003E73CD">
        <w:rPr>
          <w:sz w:val="22"/>
          <w:szCs w:val="22"/>
        </w:rPr>
        <w:t xml:space="preserve"> 2 studies that did include total number of positive nodes and 1 study that adjusted for total number of positive nodes by including total number of sentinel nodes and non-sentinel </w:t>
      </w:r>
      <w:r w:rsidR="00202947">
        <w:rPr>
          <w:sz w:val="22"/>
          <w:szCs w:val="22"/>
        </w:rPr>
        <w:t>node status are shown in Table 3.1</w:t>
      </w:r>
      <w:r w:rsidRPr="003E73CD">
        <w:rPr>
          <w:sz w:val="22"/>
          <w:szCs w:val="22"/>
        </w:rPr>
        <w:t>.4.</w:t>
      </w:r>
      <w:r w:rsidRPr="003E73CD">
        <w:rPr>
          <w:sz w:val="22"/>
          <w:szCs w:val="22"/>
        </w:rPr>
        <w:fldChar w:fldCharType="begin" w:fldLock="1"/>
      </w:r>
      <w:r>
        <w:rPr>
          <w:sz w:val="22"/>
          <w:szCs w:val="22"/>
        </w:rPr>
        <w:instrText>ADDIN CSL_CITATION { "citationItems" : [ { "id" : "ITEM-1", "itemData" : { "DOI" : "10.1245/s10434-010-1049-5", "ISSN" : "1534-4681", "PMID" : "20490699", "abstract" : "BACKGROUND: Completion lymph node dissection (CLND) following positive sentinel node biopsy (SNB) for melanoma detects additional nonsentinel node (NSN) metastases in approximately 20% of cases. This study aimed to establish whether NSN status can be predicted, to determine its effect on survival, and to develop survival tree models for the sentinel node (SN) positive population.\n\nMATERIALS AND METHODS: Sydney Melanoma Unit (SMU) patients with at least 1 positive SN, meeting inclusion criteria and treated between October 1992 and June 2005, were identified from the Unit database. Survival characteristics, potential predictors of survival, and NSN status were assessed using the Kaplan-Meier method, Cox regression model, and logistic regression analyses, respectively. Classification tree analysis was performed to identify groups with distinctly different survival characteristics.\n\nRESULTS: A total of 323 SN-positive melanoma patients met the inclusion criteria. On multivariate analysis, age, gender, primary tumor thickness, mitotic rate, number of positive NSNs, or total number of positive nodes were statistically significant predictors of survival. NSN metastasis, found at CLND in 19% of patients, was only predicted to a statistically significant degree by ulceration. Multivariate analyses demonstrated that survival was more closely related to number of positive NSNs than total number of positive nodes. Classification tree analysis revealed 4 prognostically distinct survival groups.\n\nCONCLUSIONS: Patients with NSN metastases could not be reliably identified prior to CLND. Prognosis following CLND was more closely related to number of positive NSNs than total number of positive nodes. Classification tree analysis defined distinctly different survival groups more accurately than use of single-factor analysis.", "author" : [ { "dropping-particle" : "", "family" : "Wiener", "given" : "Martin", "non-dropping-particle" : "", "parse-names" : false, "suffix" : "" }, { "dropping-particle" : "", "family" : "Acland", "given" : "Katharine M", "non-dropping-particle" : "", "parse-names" : false, "suffix" : "" }, { "dropping-particle" : "", "family" : "Shaw", "given" : "Helen M", "non-dropping-particle" : "", "parse-names" : false, "suffix" : "" }, { "dropping-particle" : "", "family" : "Soong", "given" : "Seng-Jaw", "non-dropping-particle" : "", "parse-names" : false, "suffix" : "" }, { "dropping-particle" : "", "family" : "Lin", "given" : "Hui-Yi", "non-dropping-particle" : "", "parse-names" : false, "suffix" : "" }, { "dropping-particle" : "", "family" : "Chen", "given" : "Dung-Tsa", "non-dropping-particle" : "", "parse-names" : false, "suffix" : "" }, { "dropping-particle" : "", "family" : "Scolyer", "given" : "Richard A", "non-dropping-particle" : "", "parse-names" : false, "suffix" : "" }, { "dropping-particle" : "", "family" : "Winstanley", "given" : "Julie B", "non-dropping-particle" : "", "parse-names" : false, "suffix" : "" }, { "dropping-particle" : "", "family" : "Thompson", "given" : "John F", "non-dropping-particle" : "", "parse-names" : false, "suffix" : "" } ], "container-title" : "Annals of surgical oncology", "id" : "ITEM-1", "issue" : "8", "issued" : { "date-parts" : [ [ "2010", "8" ] ] }, "page" : "1995-2005", "title" : "Sentinel node positive melanoma patients: prediction and prognostic significance of nonsentinel node metastases and development of a survival tree model.", "type" : "article-journal", "volume" : "17" }, "uris" : [ "http://www.mendeley.com/documents/?uuid=f4126b0e-1dfd-4ac9-a748-0e48d0c17c53" ] }, { "id" : "ITEM-2", "itemData" : { "DOI" : "10.1001/jamasurg.2013.3044", "ISSN" : "2168-6262", "PMID" : "23903435", "abstract" : "IMPORTANCE: Survival varies widely in patients with stage III melanoma. The existence of clinical significance for positive nonsentinel lymph node (NSLN) status would warrant consideration for incorporation into the American Joint Committee on Cancer staging system and better prediction of survival.\n\nOBJECTIVE: To evaluate whether disease limited to sentinel lymph nodes (SLNs) represents different clinical significance than disease spread into NSLNs.\n\nDESIGN, SETTING, AND PARTICIPANTS: The database of the John Wayne Cancer Institute at Saint John's Health Center, Santa Monica, California, was queried for all patients with SLNs positive for cutaneous melanoma who subsequently underwent completion lymph node dissection.\n\nMAIN OUTCOMES AND MEASURES: Disease-free survival, melanoma-specific survival (MSS), and overall survival.\n\nRESULTS: A total of 4223 patients underwent SLN biopsy from 1986 to 2012. Of these patients, 329 had a tumor-positive SLN. Of the 329, 250 patients (76.0%) had no additional positive nodes and 79 (24.0%) had a tumor-positive NSLN. Factors predictive of NSLN positivity included older age (P\u2009=\u2009.04), greater Breslow thickness (P\u2009&lt;\u2009.001), and ulceration (P\u2009&lt;\u2009.02). Median overall survival was 178 months for the SLN-only positive group and 42.2 months for the NSLN positive group (5-year overall survival, 72.3% and 46.4%, respectively). Median MSS was not reached for the SLN-only positive group and was 60 months for the NSLN positive group (5-year MSS, 77.8% and 49.5%, respectively). On multivariate analysis, NSLN positivity had a strong association with recurrence (hazard ratio [HR], 1.75; 95% CI, 1.23-2.50; P\u2009=\u2009.002), shorter overall survival (HR, 2.24; 95% CI, 1.48-3.40; P\u2009&lt;\u2009.001), and shorter MSS (HR, 2.23; 95% CI, 1.46-3.07; P\u2009&lt;\u2009.001). To further control for the effects of total positive lymph nodes, comparison was done for patients with only N2 disease (2-3 total positive lymph nodes); the results of this comparison confirmed the independent effect of NSLN status (MSS; P\u2009=\u2009.04).\n\nCONCLUSIONS AND RELEVANCE: Nonsentinel lymph node positivity is one of the most significant prognostic factors in patients with stage III melanoma. Subclassification of melanoma by NSLN tumor status should be considered for the American Joint Committee on Cancer staging system.", "author" : [ { "dropping-particle" : "", "family" : "Leung", "given" : "Anna M", "non-dropping-particle" : "", "parse-names" : false, "suffix" : "" }, { "dropping-particle" : "", "family" : "Morton", "given" : "Donald L", "non-dropping-particle" : "", "parse-names" : false, "suffix" : "" }, { "dropping-particle" : "", "family" : "Ozao-Choy", "given" : "Junko", "non-dropping-particle" : "", "parse-names" : false, "suffix" : "" }, { "dropping-particle" : "", "family" : "Hari", "given" : "Danielle M", "non-dropping-particle" : "", "parse-names" : false, "suffix" : "" }, { "dropping-particle" : "", "family" : "Shin-Sim", "given" : "Myung", "non-dropping-particle" : "", "parse-names" : false, "suffix" : "" }, { "dropping-particle" : "", "family" : "Difronzo", "given" : "Andrew L", "non-dropping-particle" : "", "parse-names" : false, "suffix" : "" }, { "dropping-particle" : "", "family" : "Faries", "given" : "Mark B", "non-dropping-particle" : "", "parse-names" : false, "suffix" : "" } ], "container-title" : "JAMA surgery", "id" : "ITEM-2", "issue" : "9", "issued" : { "date-parts" : [ [ "2013", "9" ] ] }, "page" : "879-84", "title" : "Staging of regional lymph nodes in melanoma: a case for including nonsentinel lymph node positivity in the American Joint Committee on Cancer staging system.", "type" : "article-journal", "volume" : "148" }, "uris" : [ "http://www.mendeley.com/documents/?uuid=fac9559b-9a9f-4199-a346-556ae25e21d9" ] }, { "id" : "ITEM-3", "itemData" : { "DOI" : "10.1245/s10434-008-0187-5", "ISSN" : "1534-4681", "PMID" : "18979135", "abstract" : "While sentinel lymph node biopsy (SLN) is a highly accurate and well-tolerated procedure for patients with cutaneous melanoma, the role of the completion lymph node dissection (CLND) for patients with positive SLN biopsy remains unknown. This study aimed to look at the prognostic value of a positive nonsentinel lymph node (NSLN). A prospectively maintained database identified 222 patients with cutaneous melanoma and a positive SLN biopsy, without evidence of distant disease. All of these patients underwent CLND, and 37 patients (17%) had positive NSLN. With median follow-up of 33 months, patients with negative NSLN had median survival of 104 months, while patients with positive NSLN had median survival of 36 months (p &lt; 0.001). There were no survivors in the patients with positive NSLN beyond 6 years. When patients with an equal number of positive nodes were analyzed, the presence of a positive NSLN was still associated with worse melanoma-specific survival (66 months for NSLN- versus 34 months for NSLN+, p = 0.04). While increasing age, tumor thickness, and male sex were associated with an increased risk of death on multivariate analysis, a positive NSLN was the most important predictor of survival (hazard ratio 2.5). We conclude that positive NSLN is an independent predictor of disease-specific survival in patients with cutaneous melanoma.", "author" : [ { "dropping-particle" : "", "family" : "Ariyan", "given" : "Charlotte", "non-dropping-particle" : "", "parse-names" : false, "suffix" : "" }, { "dropping-particle" : "", "family" : "Brady", "given" : "Mary Sue", "non-dropping-particle" : "", "parse-names" : false, "suffix" : "" }, { "dropping-particle" : "", "family" : "G\u00f6nen", "given" : "Mithat", "non-dropping-particle" : "", "parse-names" : false, "suffix" : "" }, { "dropping-particle" : "", "family" : "Busam", "given" : "Klaus", "non-dropping-particle" : "", "parse-names" : false, "suffix" : "" }, { "dropping-particle" : "", "family" : "Coit", "given" : "Daniel", "non-dropping-particle" : "", "parse-names" : false, "suffix" : "" } ], "container-title" : "Annals of surgical oncology", "id" : "ITEM-3", "issue" : "1", "issued" : { "date-parts" : [ [ "2009", "1" ] ] }, "page" : "186-90", "title" : "Positive nonsentinel node status predicts mortality in patients with cutaneous melanoma.", "type" : "article-journal", "volume" : "16" }, "uris" : [ "http://www.mendeley.com/documents/?uuid=95f50211-78eb-42c1-b0bf-03f1224519aa" ] } ], "mendeley" : { "formattedCitation" : "&lt;sup&gt;161,174,180&lt;/sup&gt;", "plainTextFormattedCitation" : "161,174,180", "previouslyFormattedCitation" : "&lt;sup&gt;161,174,180&lt;/sup&gt;" }, "properties" : { "noteIndex" : 0 }, "schema" : "https://github.com/citation-style-language/schema/raw/master/csl-citation.json" }</w:instrText>
      </w:r>
      <w:r w:rsidRPr="003E73CD">
        <w:rPr>
          <w:sz w:val="22"/>
          <w:szCs w:val="22"/>
        </w:rPr>
        <w:fldChar w:fldCharType="separate"/>
      </w:r>
      <w:r w:rsidRPr="00217FAC">
        <w:rPr>
          <w:noProof/>
          <w:sz w:val="22"/>
          <w:szCs w:val="22"/>
          <w:vertAlign w:val="superscript"/>
        </w:rPr>
        <w:t>161,174,180</w:t>
      </w:r>
      <w:r w:rsidRPr="003E73CD">
        <w:rPr>
          <w:sz w:val="22"/>
          <w:szCs w:val="22"/>
        </w:rPr>
        <w:fldChar w:fldCharType="end"/>
      </w:r>
      <w:proofErr w:type="gramStart"/>
      <w:r>
        <w:rPr>
          <w:sz w:val="22"/>
          <w:szCs w:val="22"/>
        </w:rPr>
        <w:t xml:space="preserve">  Quantitative</w:t>
      </w:r>
      <w:proofErr w:type="gramEnd"/>
      <w:r>
        <w:rPr>
          <w:sz w:val="22"/>
          <w:szCs w:val="22"/>
        </w:rPr>
        <w:t xml:space="preserve"> quality assessment scores of the 11 inclu</w:t>
      </w:r>
      <w:r w:rsidR="00202947">
        <w:rPr>
          <w:sz w:val="22"/>
          <w:szCs w:val="22"/>
        </w:rPr>
        <w:t>ded studies are shown in Table 3.1</w:t>
      </w:r>
      <w:r>
        <w:rPr>
          <w:sz w:val="22"/>
          <w:szCs w:val="22"/>
        </w:rPr>
        <w:t>.5.</w:t>
      </w:r>
    </w:p>
    <w:p w14:paraId="35705316" w14:textId="77777777" w:rsidR="00EB738E" w:rsidRPr="003E73CD" w:rsidRDefault="00EB738E" w:rsidP="00EB738E">
      <w:pPr>
        <w:spacing w:line="480" w:lineRule="auto"/>
        <w:rPr>
          <w:sz w:val="22"/>
          <w:szCs w:val="22"/>
        </w:rPr>
      </w:pPr>
    </w:p>
    <w:p w14:paraId="1E61C3FC" w14:textId="77777777" w:rsidR="008820E5" w:rsidRDefault="008820E5">
      <w:pPr>
        <w:rPr>
          <w:sz w:val="22"/>
          <w:szCs w:val="22"/>
        </w:rPr>
      </w:pPr>
      <w:r>
        <w:rPr>
          <w:sz w:val="22"/>
          <w:szCs w:val="22"/>
        </w:rPr>
        <w:br w:type="page"/>
      </w:r>
    </w:p>
    <w:p w14:paraId="31304CD5" w14:textId="2A732511" w:rsidR="00EB738E" w:rsidRPr="003E73CD" w:rsidRDefault="00202947" w:rsidP="00EB738E">
      <w:pPr>
        <w:rPr>
          <w:sz w:val="22"/>
          <w:szCs w:val="22"/>
        </w:rPr>
      </w:pPr>
      <w:r>
        <w:rPr>
          <w:sz w:val="22"/>
          <w:szCs w:val="22"/>
        </w:rPr>
        <w:t>Table 3.1</w:t>
      </w:r>
      <w:r w:rsidR="00EB738E" w:rsidRPr="003E73CD">
        <w:rPr>
          <w:sz w:val="22"/>
          <w:szCs w:val="22"/>
        </w:rPr>
        <w:t>.1.  Excluded studies that did investigate non-sentinel node status as a predictor of survival (n=4).</w:t>
      </w:r>
    </w:p>
    <w:p w14:paraId="2500590D" w14:textId="77777777" w:rsidR="00EB738E" w:rsidRPr="003E73CD" w:rsidRDefault="00EB738E" w:rsidP="00EB738E">
      <w:pPr>
        <w:rPr>
          <w:sz w:val="22"/>
          <w:szCs w:val="22"/>
        </w:rPr>
      </w:pPr>
    </w:p>
    <w:tbl>
      <w:tblPr>
        <w:tblStyle w:val="TableGrid"/>
        <w:tblW w:w="0" w:type="auto"/>
        <w:tblLook w:val="04A0" w:firstRow="1" w:lastRow="0" w:firstColumn="1" w:lastColumn="0" w:noHBand="0" w:noVBand="1"/>
      </w:tblPr>
      <w:tblGrid>
        <w:gridCol w:w="1718"/>
        <w:gridCol w:w="931"/>
        <w:gridCol w:w="1196"/>
        <w:gridCol w:w="873"/>
        <w:gridCol w:w="920"/>
        <w:gridCol w:w="902"/>
        <w:gridCol w:w="916"/>
        <w:gridCol w:w="1060"/>
      </w:tblGrid>
      <w:tr w:rsidR="00EB738E" w:rsidRPr="003E73CD" w14:paraId="43D8FD33" w14:textId="77777777" w:rsidTr="00EB738E">
        <w:tc>
          <w:tcPr>
            <w:tcW w:w="1718" w:type="dxa"/>
          </w:tcPr>
          <w:p w14:paraId="1965211D" w14:textId="77777777" w:rsidR="00EB738E" w:rsidRPr="003E73CD" w:rsidRDefault="00EB738E" w:rsidP="00EB738E">
            <w:pPr>
              <w:rPr>
                <w:sz w:val="16"/>
                <w:szCs w:val="16"/>
              </w:rPr>
            </w:pPr>
            <w:r w:rsidRPr="003E73CD">
              <w:rPr>
                <w:sz w:val="16"/>
                <w:szCs w:val="16"/>
              </w:rPr>
              <w:t>1</w:t>
            </w:r>
            <w:r w:rsidRPr="003E73CD">
              <w:rPr>
                <w:sz w:val="16"/>
                <w:szCs w:val="16"/>
                <w:vertAlign w:val="superscript"/>
              </w:rPr>
              <w:t>st</w:t>
            </w:r>
            <w:r w:rsidRPr="003E73CD">
              <w:rPr>
                <w:sz w:val="16"/>
                <w:szCs w:val="16"/>
              </w:rPr>
              <w:t xml:space="preserve"> Author (year of publication)</w:t>
            </w:r>
          </w:p>
        </w:tc>
        <w:tc>
          <w:tcPr>
            <w:tcW w:w="931" w:type="dxa"/>
          </w:tcPr>
          <w:p w14:paraId="57B423C2" w14:textId="77777777" w:rsidR="00EB738E" w:rsidRPr="003E73CD" w:rsidRDefault="00EB738E" w:rsidP="00EB738E">
            <w:pPr>
              <w:rPr>
                <w:sz w:val="16"/>
                <w:szCs w:val="16"/>
              </w:rPr>
            </w:pPr>
            <w:r w:rsidRPr="003E73CD">
              <w:rPr>
                <w:sz w:val="16"/>
                <w:szCs w:val="16"/>
              </w:rPr>
              <w:t>Setting</w:t>
            </w:r>
          </w:p>
        </w:tc>
        <w:tc>
          <w:tcPr>
            <w:tcW w:w="1196" w:type="dxa"/>
          </w:tcPr>
          <w:p w14:paraId="34CCBB98" w14:textId="77777777" w:rsidR="00EB738E" w:rsidRPr="003E73CD" w:rsidRDefault="00EB738E" w:rsidP="00EB738E">
            <w:pPr>
              <w:rPr>
                <w:sz w:val="16"/>
                <w:szCs w:val="16"/>
              </w:rPr>
            </w:pPr>
            <w:r w:rsidRPr="003E73CD">
              <w:rPr>
                <w:sz w:val="16"/>
                <w:szCs w:val="16"/>
              </w:rPr>
              <w:t>Study type</w:t>
            </w:r>
          </w:p>
        </w:tc>
        <w:tc>
          <w:tcPr>
            <w:tcW w:w="873" w:type="dxa"/>
          </w:tcPr>
          <w:p w14:paraId="2D458233" w14:textId="77777777" w:rsidR="00EB738E" w:rsidRPr="003E73CD" w:rsidRDefault="00EB738E" w:rsidP="00EB738E">
            <w:pPr>
              <w:rPr>
                <w:sz w:val="16"/>
                <w:szCs w:val="16"/>
              </w:rPr>
            </w:pPr>
            <w:r w:rsidRPr="003E73CD">
              <w:rPr>
                <w:sz w:val="16"/>
                <w:szCs w:val="16"/>
              </w:rPr>
              <w:t>Period of study</w:t>
            </w:r>
          </w:p>
        </w:tc>
        <w:tc>
          <w:tcPr>
            <w:tcW w:w="920" w:type="dxa"/>
          </w:tcPr>
          <w:p w14:paraId="5EA0990B" w14:textId="77777777" w:rsidR="00EB738E" w:rsidRPr="003E73CD" w:rsidRDefault="00EB738E" w:rsidP="00EB738E">
            <w:pPr>
              <w:rPr>
                <w:sz w:val="16"/>
                <w:szCs w:val="16"/>
              </w:rPr>
            </w:pPr>
            <w:r w:rsidRPr="003E73CD">
              <w:rPr>
                <w:sz w:val="16"/>
                <w:szCs w:val="16"/>
              </w:rPr>
              <w:t>Median follow-up (months)</w:t>
            </w:r>
          </w:p>
        </w:tc>
        <w:tc>
          <w:tcPr>
            <w:tcW w:w="902" w:type="dxa"/>
          </w:tcPr>
          <w:p w14:paraId="521C35E1" w14:textId="77777777" w:rsidR="00EB738E" w:rsidRPr="003E73CD" w:rsidRDefault="00EB738E" w:rsidP="00EB738E">
            <w:pPr>
              <w:rPr>
                <w:sz w:val="16"/>
                <w:szCs w:val="16"/>
              </w:rPr>
            </w:pPr>
            <w:r w:rsidRPr="003E73CD">
              <w:rPr>
                <w:sz w:val="16"/>
                <w:szCs w:val="16"/>
              </w:rPr>
              <w:t>Number of SN positive patients</w:t>
            </w:r>
          </w:p>
        </w:tc>
        <w:tc>
          <w:tcPr>
            <w:tcW w:w="916" w:type="dxa"/>
          </w:tcPr>
          <w:p w14:paraId="1F4BCE62" w14:textId="77777777" w:rsidR="00EB738E" w:rsidRPr="003E73CD" w:rsidRDefault="00EB738E" w:rsidP="00EB738E">
            <w:pPr>
              <w:rPr>
                <w:sz w:val="16"/>
                <w:szCs w:val="16"/>
              </w:rPr>
            </w:pPr>
            <w:r w:rsidRPr="003E73CD">
              <w:rPr>
                <w:sz w:val="16"/>
                <w:szCs w:val="16"/>
              </w:rPr>
              <w:t>Outcome worse if NSN positive?</w:t>
            </w:r>
          </w:p>
        </w:tc>
        <w:tc>
          <w:tcPr>
            <w:tcW w:w="1060" w:type="dxa"/>
          </w:tcPr>
          <w:p w14:paraId="3A3950AE" w14:textId="77777777" w:rsidR="00EB738E" w:rsidRPr="003E73CD" w:rsidRDefault="00EB738E" w:rsidP="00EB738E">
            <w:pPr>
              <w:rPr>
                <w:sz w:val="16"/>
                <w:szCs w:val="16"/>
              </w:rPr>
            </w:pPr>
            <w:r w:rsidRPr="003E73CD">
              <w:rPr>
                <w:sz w:val="16"/>
                <w:szCs w:val="16"/>
              </w:rPr>
              <w:t>Reasons for exclusion</w:t>
            </w:r>
          </w:p>
        </w:tc>
      </w:tr>
      <w:tr w:rsidR="00EB738E" w:rsidRPr="003E73CD" w14:paraId="766CF520" w14:textId="77777777" w:rsidTr="00EB738E">
        <w:tc>
          <w:tcPr>
            <w:tcW w:w="1718" w:type="dxa"/>
          </w:tcPr>
          <w:p w14:paraId="76766D22" w14:textId="77777777" w:rsidR="00EB738E" w:rsidRPr="003E73CD" w:rsidRDefault="00EB738E" w:rsidP="00EB738E">
            <w:pPr>
              <w:rPr>
                <w:sz w:val="16"/>
                <w:szCs w:val="16"/>
              </w:rPr>
            </w:pPr>
            <w:r w:rsidRPr="003E73CD">
              <w:rPr>
                <w:sz w:val="16"/>
                <w:szCs w:val="16"/>
              </w:rPr>
              <w:t>Roka (2008)</w:t>
            </w:r>
            <w:r w:rsidRPr="003E73CD">
              <w:rPr>
                <w:sz w:val="16"/>
                <w:szCs w:val="16"/>
              </w:rPr>
              <w:fldChar w:fldCharType="begin" w:fldLock="1"/>
            </w:r>
            <w:r>
              <w:rPr>
                <w:sz w:val="16"/>
                <w:szCs w:val="16"/>
              </w:rPr>
              <w:instrText>ADDIN CSL_CITATION { "citationItems" : [ { "id" : "ITEM-1", "itemData" : { "abstract" : "Aims: Sentinel lymph node (SLN) -positive melanoma patients are usually recommended completion lymph node dissection (CLND) with the aim to provide regional disease control and improve survival. Nevertheless, only 20% these patients have additional metastases in non-sentinel lymph nodes (NSLN), indicating that CLND may be unnecessary in the majority of patients. In this retrospective study, we (i) sought to identify clinico-pathological features predicting NSLN status, as well as disease-free (DFS) and -specific (DSS) survival and (ii) evaluated the applicability of previously published algorithms, which were able to define a group of patients at zero-risk for NSLN-metastasis. Methods: This analysis included 504 consecutive melanoma patients stage I and II who underwent successful SLN-biopsy (SLNB) at our institute between 1998 and 2005. Metastatic SLN were re-evaluated for tumor burden and categorized according to two different micro-anatomic classifications and the S/U-score (Size of the sentinel node metastasis &gt;2 mm/Ulceration of the primary melanoma) was assessed. DFS and DSS were calculated for all analyses. Results: Out of 504 melanoma patients stage I or II, 85 (17%) were SLN-positive and 18 of 85 (21%) were found with positive NSLN in the CLND specimen. Median follow-up was 31 months. Neither primary tumor characteristics (age, gender, Clark level, Breslow thickness, ulceration of the primary melanoma, site and histological subtype of the primary melanoma), nor features of the sentinel node tumor (number and site of draining lymph node basins, number of positive sentinel nodes and size of sentinel node tumor (&lt;2 mm vs. \u22652 mm) were able to predict additional positive lymph nodes in the CLND specimen. Likewise the implementation of published algorithms was not able to identify patients at negligible risk for harboring NSLN metastases. Upon univariate analysis, disease-free survival in SLN-positive patients was correlated with Breslow thickness, sentinel node tumor size &gt;2 mm and S/U score. In respect to disease-specific survival the significant prognostic parameters were Breslow thickness, ulceration, sentinel node tumor size &gt;2 mm and the S/U score. After a median follow-up of 31 months recurrence rates (37% vs. 78%, p = 0.02) and death from disease (24% vs. 50%, p &lt; 0.01) were significantly different in patients with SLN-metastasis only as compared to patients with NSLN-metastasis. Conclusion: NSLN status cannot be predicted in this data analys\u2026", "author" : [ { "dropping-particle" : "", "family" : "Roka", "given" : "F.", "non-dropping-particle" : "", "parse-names" : false, "suffix" : "" }, { "dropping-particle" : "", "family" : "Mastan", "given" : "P.", "non-dropping-particle" : "", "parse-names" : false, "suffix" : "" }, { "dropping-particle" : "", "family" : "Binder", "given" : "M.", "non-dropping-particle" : "", "parse-names" : false, "suffix" : "" }, { "dropping-particle" : "", "family" : "Okamoto", "given" : "I.", "non-dropping-particle" : "", "parse-names" : false, "suffix" : "" }, { "dropping-particle" : "", "family" : "Mittlboeck", "given" : "M.", "non-dropping-particle" : "", "parse-names" : false, "suffix" : "" }, { "dropping-particle" : "", "family" : "Horvat", "given" : "R.", "non-dropping-particle" : "", "parse-names" : false, "suffix" : "" }, { "dropping-particle" : "", "family" : "Pehamberger", "given" : "H.", "non-dropping-particle" : "", "parse-names" : false, "suffix" : "" }, { "dropping-particle" : "", "family" : "Diem", "given" : "E.", "non-dropping-particle" : "", "parse-names" : false, "suffix" : "" } ], "container-title" : "European Journal of Surgical Oncology", "id" : "ITEM-1", "issue" : "1", "issued" : { "date-parts" : [ [ "2008" ] ] }, "page" : "82-88", "title" : "Prediction of non-sentinel node status and outcome in sentinel node-positive melanoma patients", "type" : "article-journal", "volume" : "34" }, "uris" : [ "http://www.mendeley.com/documents/?uuid=d5930a2d-7bb7-4c4a-a437-72ecc437a08e" ] } ], "mendeley" : { "formattedCitation" : "&lt;sup&gt;155&lt;/sup&gt;", "plainTextFormattedCitation" : "155", "previouslyFormattedCitation" : "&lt;sup&gt;155&lt;/sup&gt;" }, "properties" : { "noteIndex" : 0 }, "schema" : "https://github.com/citation-style-language/schema/raw/master/csl-citation.json" }</w:instrText>
            </w:r>
            <w:r w:rsidRPr="003E73CD">
              <w:rPr>
                <w:sz w:val="16"/>
                <w:szCs w:val="16"/>
              </w:rPr>
              <w:fldChar w:fldCharType="separate"/>
            </w:r>
            <w:r w:rsidRPr="00CE2A17">
              <w:rPr>
                <w:noProof/>
                <w:sz w:val="16"/>
                <w:szCs w:val="16"/>
                <w:vertAlign w:val="superscript"/>
              </w:rPr>
              <w:t>155</w:t>
            </w:r>
            <w:r w:rsidRPr="003E73CD">
              <w:rPr>
                <w:sz w:val="16"/>
                <w:szCs w:val="16"/>
              </w:rPr>
              <w:fldChar w:fldCharType="end"/>
            </w:r>
          </w:p>
        </w:tc>
        <w:tc>
          <w:tcPr>
            <w:tcW w:w="931" w:type="dxa"/>
          </w:tcPr>
          <w:p w14:paraId="3845A8DD" w14:textId="77777777" w:rsidR="00EB738E" w:rsidRPr="003E73CD" w:rsidRDefault="00EB738E" w:rsidP="00EB738E">
            <w:pPr>
              <w:rPr>
                <w:sz w:val="16"/>
                <w:szCs w:val="16"/>
              </w:rPr>
            </w:pPr>
            <w:r w:rsidRPr="003E73CD">
              <w:rPr>
                <w:sz w:val="16"/>
                <w:szCs w:val="16"/>
              </w:rPr>
              <w:t>Vienna, Austria</w:t>
            </w:r>
          </w:p>
        </w:tc>
        <w:tc>
          <w:tcPr>
            <w:tcW w:w="1196" w:type="dxa"/>
          </w:tcPr>
          <w:p w14:paraId="636BF555" w14:textId="77777777" w:rsidR="00EB738E" w:rsidRPr="003E73CD" w:rsidRDefault="00EB738E" w:rsidP="00EB738E">
            <w:pPr>
              <w:rPr>
                <w:sz w:val="16"/>
                <w:szCs w:val="16"/>
              </w:rPr>
            </w:pPr>
            <w:r w:rsidRPr="003E73CD">
              <w:rPr>
                <w:sz w:val="16"/>
                <w:szCs w:val="16"/>
              </w:rPr>
              <w:t>Retrospective, observational</w:t>
            </w:r>
          </w:p>
        </w:tc>
        <w:tc>
          <w:tcPr>
            <w:tcW w:w="873" w:type="dxa"/>
          </w:tcPr>
          <w:p w14:paraId="3FAFAFEC" w14:textId="77777777" w:rsidR="00EB738E" w:rsidRPr="003E73CD" w:rsidRDefault="00EB738E" w:rsidP="00EB738E">
            <w:pPr>
              <w:rPr>
                <w:sz w:val="16"/>
                <w:szCs w:val="16"/>
              </w:rPr>
            </w:pPr>
            <w:r w:rsidRPr="003E73CD">
              <w:rPr>
                <w:sz w:val="16"/>
                <w:szCs w:val="16"/>
              </w:rPr>
              <w:t>1998-2005</w:t>
            </w:r>
          </w:p>
        </w:tc>
        <w:tc>
          <w:tcPr>
            <w:tcW w:w="920" w:type="dxa"/>
          </w:tcPr>
          <w:p w14:paraId="51FCB5BE" w14:textId="77777777" w:rsidR="00EB738E" w:rsidRPr="003E73CD" w:rsidRDefault="00EB738E" w:rsidP="00EB738E">
            <w:pPr>
              <w:rPr>
                <w:sz w:val="16"/>
                <w:szCs w:val="16"/>
              </w:rPr>
            </w:pPr>
            <w:r w:rsidRPr="003E73CD">
              <w:rPr>
                <w:sz w:val="16"/>
                <w:szCs w:val="16"/>
              </w:rPr>
              <w:t>31</w:t>
            </w:r>
          </w:p>
        </w:tc>
        <w:tc>
          <w:tcPr>
            <w:tcW w:w="902" w:type="dxa"/>
          </w:tcPr>
          <w:p w14:paraId="66D51F06" w14:textId="77777777" w:rsidR="00EB738E" w:rsidRPr="003E73CD" w:rsidRDefault="00EB738E" w:rsidP="00EB738E">
            <w:pPr>
              <w:rPr>
                <w:sz w:val="16"/>
                <w:szCs w:val="16"/>
              </w:rPr>
            </w:pPr>
            <w:r w:rsidRPr="003E73CD">
              <w:rPr>
                <w:sz w:val="16"/>
                <w:szCs w:val="16"/>
              </w:rPr>
              <w:t>103</w:t>
            </w:r>
          </w:p>
        </w:tc>
        <w:tc>
          <w:tcPr>
            <w:tcW w:w="916" w:type="dxa"/>
          </w:tcPr>
          <w:p w14:paraId="191423B1" w14:textId="77777777" w:rsidR="00EB738E" w:rsidRPr="003E73CD" w:rsidRDefault="00EB738E" w:rsidP="00EB738E">
            <w:pPr>
              <w:rPr>
                <w:sz w:val="16"/>
                <w:szCs w:val="16"/>
              </w:rPr>
            </w:pPr>
            <w:r w:rsidRPr="003E73CD">
              <w:rPr>
                <w:sz w:val="16"/>
                <w:szCs w:val="16"/>
              </w:rPr>
              <w:t>Yes</w:t>
            </w:r>
          </w:p>
        </w:tc>
        <w:tc>
          <w:tcPr>
            <w:tcW w:w="1060" w:type="dxa"/>
          </w:tcPr>
          <w:p w14:paraId="34A9F01A" w14:textId="77777777" w:rsidR="00EB738E" w:rsidRPr="003E73CD" w:rsidRDefault="00EB738E" w:rsidP="00EB738E">
            <w:pPr>
              <w:rPr>
                <w:sz w:val="16"/>
                <w:szCs w:val="16"/>
              </w:rPr>
            </w:pPr>
            <w:r w:rsidRPr="003E73CD">
              <w:rPr>
                <w:sz w:val="16"/>
                <w:szCs w:val="16"/>
              </w:rPr>
              <w:t>Univariate analysis only</w:t>
            </w:r>
          </w:p>
        </w:tc>
      </w:tr>
      <w:tr w:rsidR="00EB738E" w:rsidRPr="003E73CD" w14:paraId="1C3DD068" w14:textId="77777777" w:rsidTr="00EB738E">
        <w:tc>
          <w:tcPr>
            <w:tcW w:w="1718" w:type="dxa"/>
          </w:tcPr>
          <w:p w14:paraId="4D04CB1A" w14:textId="77777777" w:rsidR="00EB738E" w:rsidRPr="003E73CD" w:rsidRDefault="00EB738E" w:rsidP="00EB738E">
            <w:pPr>
              <w:rPr>
                <w:sz w:val="16"/>
                <w:szCs w:val="16"/>
              </w:rPr>
            </w:pPr>
            <w:r w:rsidRPr="003E73CD">
              <w:rPr>
                <w:sz w:val="16"/>
                <w:szCs w:val="16"/>
              </w:rPr>
              <w:t>Wright (2010)</w:t>
            </w:r>
            <w:r w:rsidRPr="003E73CD">
              <w:rPr>
                <w:sz w:val="16"/>
                <w:szCs w:val="16"/>
              </w:rPr>
              <w:fldChar w:fldCharType="begin" w:fldLock="1"/>
            </w:r>
            <w:r>
              <w:rPr>
                <w:sz w:val="16"/>
                <w:szCs w:val="16"/>
              </w:rPr>
              <w:instrText>ADDIN CSL_CITATION { "citationItems" : [ { "id" : "ITEM-1", "itemData" : { "DOI" : "10.1016/j.bjps.2009.07.043", "ISSN" : "1878-0539", "PMID" : "19800304", "author" : [ { "dropping-particle" : "", "family" : "Wright", "given" : "E H", "non-dropping-particle" : "", "parse-names" : false, "suffix" : "" }, { "dropping-particle" : "", "family" : "Stanley", "given" : "P R W", "non-dropping-particle" : "", "parse-names" : false, "suffix" : "" }, { "dropping-particle" : "", "family" : "Roy", "given" : "A", "non-dropping-particle" : "", "parse-names" : false, "suffix" : "" } ], "container-title" : "Journal of plastic, reconstructive &amp; aesthetic surgery : JPRAS", "id" : "ITEM-1", "issue" : "5", "issued" : { "date-parts" : [ [ "2010", "5" ] ] }, "page" : "e500-2", "title" : "Evaluation of sentinel lymph nodes positive for melanoma for features predictive of non-sentinel nodal disease and patient prognosis: a 49 patient series.", "type" : "article-journal", "volume" : "63" }, "uris" : [ "http://www.mendeley.com/documents/?uuid=f53b7da0-fb1e-43be-9edf-1c2c5c612d52" ] } ], "mendeley" : { "formattedCitation" : "&lt;sup&gt;171&lt;/sup&gt;", "plainTextFormattedCitation" : "171", "previouslyFormattedCitation" : "&lt;sup&gt;171&lt;/sup&gt;" }, "properties" : { "noteIndex" : 0 }, "schema" : "https://github.com/citation-style-language/schema/raw/master/csl-citation.json" }</w:instrText>
            </w:r>
            <w:r w:rsidRPr="003E73CD">
              <w:rPr>
                <w:sz w:val="16"/>
                <w:szCs w:val="16"/>
              </w:rPr>
              <w:fldChar w:fldCharType="separate"/>
            </w:r>
            <w:r w:rsidRPr="00217FAC">
              <w:rPr>
                <w:noProof/>
                <w:sz w:val="16"/>
                <w:szCs w:val="16"/>
                <w:vertAlign w:val="superscript"/>
              </w:rPr>
              <w:t>171</w:t>
            </w:r>
            <w:r w:rsidRPr="003E73CD">
              <w:rPr>
                <w:sz w:val="16"/>
                <w:szCs w:val="16"/>
              </w:rPr>
              <w:fldChar w:fldCharType="end"/>
            </w:r>
          </w:p>
        </w:tc>
        <w:tc>
          <w:tcPr>
            <w:tcW w:w="931" w:type="dxa"/>
          </w:tcPr>
          <w:p w14:paraId="4BF095A9" w14:textId="77777777" w:rsidR="00EB738E" w:rsidRPr="003E73CD" w:rsidRDefault="00EB738E" w:rsidP="00EB738E">
            <w:pPr>
              <w:rPr>
                <w:sz w:val="16"/>
                <w:szCs w:val="16"/>
              </w:rPr>
            </w:pPr>
            <w:r w:rsidRPr="003E73CD">
              <w:rPr>
                <w:sz w:val="16"/>
                <w:szCs w:val="16"/>
              </w:rPr>
              <w:t>Hull, UK</w:t>
            </w:r>
          </w:p>
        </w:tc>
        <w:tc>
          <w:tcPr>
            <w:tcW w:w="1196" w:type="dxa"/>
          </w:tcPr>
          <w:p w14:paraId="67AA5FD7" w14:textId="77777777" w:rsidR="00EB738E" w:rsidRPr="003E73CD" w:rsidRDefault="00EB738E" w:rsidP="00EB738E">
            <w:pPr>
              <w:rPr>
                <w:sz w:val="16"/>
                <w:szCs w:val="16"/>
              </w:rPr>
            </w:pPr>
            <w:r w:rsidRPr="003E73CD">
              <w:rPr>
                <w:sz w:val="16"/>
                <w:szCs w:val="16"/>
              </w:rPr>
              <w:t>Retrospective, observational</w:t>
            </w:r>
          </w:p>
        </w:tc>
        <w:tc>
          <w:tcPr>
            <w:tcW w:w="873" w:type="dxa"/>
          </w:tcPr>
          <w:p w14:paraId="0E2BA715" w14:textId="77777777" w:rsidR="00EB738E" w:rsidRPr="003E73CD" w:rsidRDefault="00EB738E" w:rsidP="00EB738E">
            <w:pPr>
              <w:rPr>
                <w:sz w:val="16"/>
                <w:szCs w:val="16"/>
              </w:rPr>
            </w:pPr>
            <w:r w:rsidRPr="003E73CD">
              <w:rPr>
                <w:sz w:val="16"/>
                <w:szCs w:val="16"/>
              </w:rPr>
              <w:t>Not stated</w:t>
            </w:r>
          </w:p>
        </w:tc>
        <w:tc>
          <w:tcPr>
            <w:tcW w:w="920" w:type="dxa"/>
          </w:tcPr>
          <w:p w14:paraId="3BB57A4A" w14:textId="77777777" w:rsidR="00EB738E" w:rsidRPr="003E73CD" w:rsidRDefault="00EB738E" w:rsidP="00EB738E">
            <w:pPr>
              <w:rPr>
                <w:sz w:val="16"/>
                <w:szCs w:val="16"/>
              </w:rPr>
            </w:pPr>
            <w:r w:rsidRPr="003E73CD">
              <w:rPr>
                <w:sz w:val="16"/>
                <w:szCs w:val="16"/>
              </w:rPr>
              <w:t>Not stated (range 2-8 years)</w:t>
            </w:r>
          </w:p>
        </w:tc>
        <w:tc>
          <w:tcPr>
            <w:tcW w:w="902" w:type="dxa"/>
          </w:tcPr>
          <w:p w14:paraId="3C21426C" w14:textId="77777777" w:rsidR="00EB738E" w:rsidRPr="003E73CD" w:rsidRDefault="00EB738E" w:rsidP="00EB738E">
            <w:pPr>
              <w:rPr>
                <w:sz w:val="16"/>
                <w:szCs w:val="16"/>
              </w:rPr>
            </w:pPr>
            <w:r w:rsidRPr="003E73CD">
              <w:rPr>
                <w:sz w:val="16"/>
                <w:szCs w:val="16"/>
              </w:rPr>
              <w:t>49</w:t>
            </w:r>
          </w:p>
        </w:tc>
        <w:tc>
          <w:tcPr>
            <w:tcW w:w="916" w:type="dxa"/>
          </w:tcPr>
          <w:p w14:paraId="62FE0565" w14:textId="77777777" w:rsidR="00EB738E" w:rsidRPr="003E73CD" w:rsidRDefault="00EB738E" w:rsidP="00EB738E">
            <w:pPr>
              <w:rPr>
                <w:sz w:val="16"/>
                <w:szCs w:val="16"/>
              </w:rPr>
            </w:pPr>
            <w:r w:rsidRPr="003E73CD">
              <w:rPr>
                <w:sz w:val="16"/>
                <w:szCs w:val="16"/>
              </w:rPr>
              <w:t>Yes</w:t>
            </w:r>
          </w:p>
        </w:tc>
        <w:tc>
          <w:tcPr>
            <w:tcW w:w="1060" w:type="dxa"/>
          </w:tcPr>
          <w:p w14:paraId="4621DD91" w14:textId="77777777" w:rsidR="00EB738E" w:rsidRPr="003E73CD" w:rsidRDefault="00EB738E" w:rsidP="00EB738E">
            <w:pPr>
              <w:rPr>
                <w:sz w:val="16"/>
                <w:szCs w:val="16"/>
              </w:rPr>
            </w:pPr>
            <w:r w:rsidRPr="003E73CD">
              <w:rPr>
                <w:sz w:val="16"/>
                <w:szCs w:val="16"/>
              </w:rPr>
              <w:t>Does not state type of analysis</w:t>
            </w:r>
          </w:p>
        </w:tc>
      </w:tr>
      <w:tr w:rsidR="00EB738E" w:rsidRPr="003E73CD" w14:paraId="3C4516EF" w14:textId="77777777" w:rsidTr="00EB738E">
        <w:tc>
          <w:tcPr>
            <w:tcW w:w="1718" w:type="dxa"/>
          </w:tcPr>
          <w:p w14:paraId="0A70D943" w14:textId="77777777" w:rsidR="00EB738E" w:rsidRPr="003E73CD" w:rsidRDefault="00EB738E" w:rsidP="00EB738E">
            <w:pPr>
              <w:rPr>
                <w:sz w:val="16"/>
                <w:szCs w:val="16"/>
              </w:rPr>
            </w:pPr>
            <w:r w:rsidRPr="003E73CD">
              <w:rPr>
                <w:sz w:val="16"/>
                <w:szCs w:val="16"/>
              </w:rPr>
              <w:t>Baehner (2012)</w:t>
            </w:r>
            <w:r w:rsidRPr="003E73CD">
              <w:rPr>
                <w:sz w:val="16"/>
                <w:szCs w:val="16"/>
              </w:rPr>
              <w:fldChar w:fldCharType="begin" w:fldLock="1"/>
            </w:r>
            <w:r>
              <w:rPr>
                <w:sz w:val="16"/>
                <w:szCs w:val="16"/>
              </w:rPr>
              <w:instrText>ADDIN CSL_CITATION { "citationItems" : [ { "id" : "ITEM-1", "itemData" : { "DOI" : "10.1245/s10434-011-2095-3", "ISSN" : "1534-4681", "PMID" : "21989664", "abstract" : "BACKGROUND: The primary objectives of this work are to (1) quantitate tumor burden in sentinel lymph nodes (SLNs), and (2) assess the independent contributions of SLN tumor burden and primary melanoma thickness (PMT) with respect to progression-free survival (PFS) and overall survival (OS).\n\nMETHODS: Sixty-three patients (41 male and 22 female) with one or more positive SLNs were available for review in this study, with median follow-up of 6.8 years. PMT was measured and SLN metastases were assessed for size, as maximum metastasis size (MMS) in mm, by hematoxylin and eosin (H&amp;E) and immunohistochemistry (S100 and HMB45). PFS and OS were calculated from time of SLN resection until melanoma recurrence or death. Univariate and multivariate analyses and trend test were performed.\n\nRESULTS: Kaplan-Meier estimates of PFS and OS differed significantly by MMS (log-rank P = 0.031 for PFS and P = 0.016 for OS) and PMT (log-rank P = 0.036 for PFS and P &lt; 0.001 for OS). After adjusting for age and gender, the hazard ratio (HR) associated with MMS was 1.09 per mm increase (P = 0.05) for PFS, and 6.30 (P = 0.014) and 5.41 (P = 0.048) for OS in patients, respectively, with MMS of 0.6-5.5 mm and MMS \u22655.5 mm compared with those with MMS &lt;0.6 mm. When patients were stratified by their tumor characteristics of PMT, the risk for disease progression and worse OS was substantially higher for the group with PMT \u2265 4.5 mm (HR = 13.10 and P = 0.022 for PFS; HR = 17.26 and P &lt; 0.001 for OS) relative to the baseline group with PMT &lt;1.6 mm. All patients had completion lymph node dissection (CLND) except for four patients. Patients with positive CLND (14, 22.2%) showed significant worse PFS (P = 0.002) and OS (P = 0.0003) than the negative CLND group (45, 71.4%).\n\nCONCLUSIONS: PMT and MMS were independently prognostic of PFS and OS in melanoma patients. Patients with negative CLND had significantly better PFS and OS than those with positive CLND.", "author" : [ { "dropping-particle" : "", "family" : "Baehner", "given" : "Frederick L", "non-dropping-particle" : "", "parse-names" : false, "suffix" : "" }, { "dropping-particle" : "", "family" : "Li", "given" : "Rui", "non-dropping-particle" : "", "parse-names" : false, "suffix" : "" }, { "dropping-particle" : "", "family" : "Jenkins", "given" : "Tyler", "non-dropping-particle" : "", "parse-names" : false, "suffix" : "" }, { "dropping-particle" : "", "family" : "Hwang", "given" : "Jimmy", "non-dropping-particle" : "", "parse-names" : false, "suffix" : "" }, { "dropping-particle" : "", "family" : "Kashani-Sabet", "given" : "Mohammed", "non-dropping-particle" : "", "parse-names" : false, "suffix" : "" }, { "dropping-particle" : "", "family" : "Allen", "given" : "Robert E", "non-dropping-particle" : "", "parse-names" : false, "suffix" : "" }, { "dropping-particle" : "", "family" : "Leong", "given" : "Stanley P L", "non-dropping-particle" : "", "parse-names" : false, "suffix" : "" } ], "container-title" : "Annals of surgical oncology", "id" : "ITEM-1", "issue" : "3", "issued" : { "date-parts" : [ [ "2012", "3" ] ] }, "page" : "1034-42", "title" : "The impact of primary melanoma thickness and microscopic tumor burden in sentinel lymph nodes on melanoma patient survival.", "type" : "article-journal", "volume" : "19" }, "uris" : [ "http://www.mendeley.com/documents/?uuid=9635ea80-e1c1-49c4-8e42-63b4a337996c" ] } ], "mendeley" : { "formattedCitation" : "&lt;sup&gt;172&lt;/sup&gt;", "plainTextFormattedCitation" : "172", "previouslyFormattedCitation" : "&lt;sup&gt;172&lt;/sup&gt;" }, "properties" : { "noteIndex" : 0 }, "schema" : "https://github.com/citation-style-language/schema/raw/master/csl-citation.json" }</w:instrText>
            </w:r>
            <w:r w:rsidRPr="003E73CD">
              <w:rPr>
                <w:sz w:val="16"/>
                <w:szCs w:val="16"/>
              </w:rPr>
              <w:fldChar w:fldCharType="separate"/>
            </w:r>
            <w:r w:rsidRPr="00217FAC">
              <w:rPr>
                <w:noProof/>
                <w:sz w:val="16"/>
                <w:szCs w:val="16"/>
                <w:vertAlign w:val="superscript"/>
              </w:rPr>
              <w:t>172</w:t>
            </w:r>
            <w:r w:rsidRPr="003E73CD">
              <w:rPr>
                <w:sz w:val="16"/>
                <w:szCs w:val="16"/>
              </w:rPr>
              <w:fldChar w:fldCharType="end"/>
            </w:r>
          </w:p>
        </w:tc>
        <w:tc>
          <w:tcPr>
            <w:tcW w:w="931" w:type="dxa"/>
          </w:tcPr>
          <w:p w14:paraId="264B8AA6" w14:textId="77777777" w:rsidR="00EB738E" w:rsidRPr="003E73CD" w:rsidRDefault="00EB738E" w:rsidP="00EB738E">
            <w:pPr>
              <w:rPr>
                <w:sz w:val="16"/>
                <w:szCs w:val="16"/>
              </w:rPr>
            </w:pPr>
            <w:r w:rsidRPr="003E73CD">
              <w:rPr>
                <w:sz w:val="16"/>
                <w:szCs w:val="16"/>
              </w:rPr>
              <w:t>San Francisco, USA</w:t>
            </w:r>
          </w:p>
        </w:tc>
        <w:tc>
          <w:tcPr>
            <w:tcW w:w="1196" w:type="dxa"/>
          </w:tcPr>
          <w:p w14:paraId="3B12DBB2" w14:textId="77777777" w:rsidR="00EB738E" w:rsidRPr="003E73CD" w:rsidRDefault="00EB738E" w:rsidP="00EB738E">
            <w:pPr>
              <w:rPr>
                <w:sz w:val="16"/>
                <w:szCs w:val="16"/>
              </w:rPr>
            </w:pPr>
            <w:r w:rsidRPr="003E73CD">
              <w:rPr>
                <w:sz w:val="16"/>
                <w:szCs w:val="16"/>
              </w:rPr>
              <w:t>Review of prospective database</w:t>
            </w:r>
          </w:p>
        </w:tc>
        <w:tc>
          <w:tcPr>
            <w:tcW w:w="873" w:type="dxa"/>
          </w:tcPr>
          <w:p w14:paraId="5D8309E3" w14:textId="77777777" w:rsidR="00EB738E" w:rsidRPr="003E73CD" w:rsidRDefault="00EB738E" w:rsidP="00EB738E">
            <w:pPr>
              <w:rPr>
                <w:sz w:val="16"/>
                <w:szCs w:val="16"/>
              </w:rPr>
            </w:pPr>
            <w:r w:rsidRPr="003E73CD">
              <w:rPr>
                <w:sz w:val="16"/>
                <w:szCs w:val="16"/>
              </w:rPr>
              <w:t>1994-2003</w:t>
            </w:r>
          </w:p>
        </w:tc>
        <w:tc>
          <w:tcPr>
            <w:tcW w:w="920" w:type="dxa"/>
          </w:tcPr>
          <w:p w14:paraId="071F3B96" w14:textId="77777777" w:rsidR="00EB738E" w:rsidRPr="003E73CD" w:rsidRDefault="00EB738E" w:rsidP="00EB738E">
            <w:pPr>
              <w:rPr>
                <w:sz w:val="16"/>
                <w:szCs w:val="16"/>
              </w:rPr>
            </w:pPr>
            <w:r w:rsidRPr="003E73CD">
              <w:rPr>
                <w:sz w:val="16"/>
                <w:szCs w:val="16"/>
              </w:rPr>
              <w:t>81.6</w:t>
            </w:r>
          </w:p>
        </w:tc>
        <w:tc>
          <w:tcPr>
            <w:tcW w:w="902" w:type="dxa"/>
          </w:tcPr>
          <w:p w14:paraId="543D8F1B" w14:textId="77777777" w:rsidR="00EB738E" w:rsidRPr="003E73CD" w:rsidRDefault="00EB738E" w:rsidP="00EB738E">
            <w:pPr>
              <w:rPr>
                <w:sz w:val="16"/>
                <w:szCs w:val="16"/>
              </w:rPr>
            </w:pPr>
            <w:r w:rsidRPr="003E73CD">
              <w:rPr>
                <w:sz w:val="16"/>
                <w:szCs w:val="16"/>
              </w:rPr>
              <w:t>63</w:t>
            </w:r>
          </w:p>
        </w:tc>
        <w:tc>
          <w:tcPr>
            <w:tcW w:w="916" w:type="dxa"/>
          </w:tcPr>
          <w:p w14:paraId="58A7DFB1" w14:textId="77777777" w:rsidR="00EB738E" w:rsidRPr="003E73CD" w:rsidRDefault="00EB738E" w:rsidP="00EB738E">
            <w:pPr>
              <w:rPr>
                <w:sz w:val="16"/>
                <w:szCs w:val="16"/>
              </w:rPr>
            </w:pPr>
            <w:r w:rsidRPr="003E73CD">
              <w:rPr>
                <w:sz w:val="16"/>
                <w:szCs w:val="16"/>
              </w:rPr>
              <w:t>Yes</w:t>
            </w:r>
          </w:p>
        </w:tc>
        <w:tc>
          <w:tcPr>
            <w:tcW w:w="1060" w:type="dxa"/>
          </w:tcPr>
          <w:p w14:paraId="3B3D5DD2" w14:textId="77777777" w:rsidR="00EB738E" w:rsidRPr="003E73CD" w:rsidRDefault="00EB738E" w:rsidP="00EB738E">
            <w:pPr>
              <w:rPr>
                <w:sz w:val="16"/>
                <w:szCs w:val="16"/>
              </w:rPr>
            </w:pPr>
            <w:r w:rsidRPr="003E73CD">
              <w:rPr>
                <w:sz w:val="16"/>
                <w:szCs w:val="16"/>
              </w:rPr>
              <w:t>Did not investigate NSN status in multivariate analysis and did not account for total number of positive nodes in survival curve comparison</w:t>
            </w:r>
          </w:p>
        </w:tc>
      </w:tr>
      <w:tr w:rsidR="00EB738E" w:rsidRPr="003E73CD" w14:paraId="280E712B" w14:textId="77777777" w:rsidTr="00EB738E">
        <w:tc>
          <w:tcPr>
            <w:tcW w:w="1718" w:type="dxa"/>
          </w:tcPr>
          <w:p w14:paraId="418D99E7" w14:textId="77777777" w:rsidR="00EB738E" w:rsidRPr="003E73CD" w:rsidRDefault="00EB738E" w:rsidP="00EB738E">
            <w:pPr>
              <w:rPr>
                <w:sz w:val="16"/>
                <w:szCs w:val="16"/>
              </w:rPr>
            </w:pPr>
            <w:r w:rsidRPr="003E73CD">
              <w:rPr>
                <w:sz w:val="16"/>
                <w:szCs w:val="16"/>
              </w:rPr>
              <w:t>Patuzzo (2015)</w:t>
            </w:r>
            <w:r w:rsidRPr="003E73CD">
              <w:rPr>
                <w:sz w:val="16"/>
                <w:szCs w:val="16"/>
              </w:rPr>
              <w:fldChar w:fldCharType="begin" w:fldLock="1"/>
            </w:r>
            <w:r>
              <w:rPr>
                <w:sz w:val="16"/>
                <w:szCs w:val="16"/>
              </w:rPr>
              <w:instrText>ADDIN CSL_CITATION { "citationItems" : [ { "id" : "ITEM-1", "itemData" : { "author" : [ { "dropping-particle" : "", "family" : "Patuzzo", "given" : "Roberto", "non-dropping-particle" : "", "parse-names" : false, "suffix" : "" }, { "dropping-particle" : "", "family" : "Gallino", "given" : "Gianfranco", "non-dropping-particle" : "", "parse-names" : false, "suffix" : "" }, { "dropping-particle" : "", "family" : "Maurichi", "given" : "Andrea", "non-dropping-particle" : "", "parse-names" : false, "suffix" : "" }, { "dropping-particle" : "", "family" : "Ruggeri", "given" : "Roberta", "non-dropping-particle" : "", "parse-names" : false, "suffix" : "" }, { "dropping-particle" : "", "family" : "Mattavelli", "given" : "Ilaria", "non-dropping-particle" : "", "parse-names" : false, "suffix" : "" }, { "dropping-particle" : "", "family" : "Florio", "given" : "Annabella", "non-dropping-particle" : "Di", "parse-names" : false, "suffix" : "" }, { "dropping-particle" : "", "family" : "Bonarini", "given" : "Giulia Elisa", "non-dropping-particle" : "", "parse-names" : false, "suffix" : "" }, { "dropping-particle" : "", "family" : "Fazio", "given" : "Adele", "non-dropping-particle" : "Di", "parse-names" : false, "suffix" : "" }, { "dropping-particle" : "", "family" : "Nicolo", "given" : "Gabriella", "non-dropping-particle" : "", "parse-names" : false, "suffix" : "" }, { "dropping-particle" : "", "family" : "Santinami", "given" : "Mario", "non-dropping-particle" : "", "parse-names" : false, "suffix" : "" } ], "container-title" : "ASCO Meeting Abstracts", "id" : "ITEM-1", "issue" : "15_suppl", "issued" : { "date-parts" : [ [ "2015", "5", "20" ] ] }, "page" : "e20058", "title" : "The prognostic role of further positive non sentinel nodes in melanoma patients.", "type" : "article-journal", "volume" : "33" }, "uris" : [ "http://www.mendeley.com/documents/?uuid=49193022-1d1f-4f3f-8218-ccd8c90e1c76" ] } ], "mendeley" : { "formattedCitation" : "&lt;sup&gt;173&lt;/sup&gt;", "plainTextFormattedCitation" : "173", "previouslyFormattedCitation" : "&lt;sup&gt;173&lt;/sup&gt;" }, "properties" : { "noteIndex" : 0 }, "schema" : "https://github.com/citation-style-language/schema/raw/master/csl-citation.json" }</w:instrText>
            </w:r>
            <w:r w:rsidRPr="003E73CD">
              <w:rPr>
                <w:sz w:val="16"/>
                <w:szCs w:val="16"/>
              </w:rPr>
              <w:fldChar w:fldCharType="separate"/>
            </w:r>
            <w:r w:rsidRPr="00217FAC">
              <w:rPr>
                <w:noProof/>
                <w:sz w:val="16"/>
                <w:szCs w:val="16"/>
                <w:vertAlign w:val="superscript"/>
              </w:rPr>
              <w:t>173</w:t>
            </w:r>
            <w:r w:rsidRPr="003E73CD">
              <w:rPr>
                <w:sz w:val="16"/>
                <w:szCs w:val="16"/>
              </w:rPr>
              <w:fldChar w:fldCharType="end"/>
            </w:r>
          </w:p>
        </w:tc>
        <w:tc>
          <w:tcPr>
            <w:tcW w:w="931" w:type="dxa"/>
          </w:tcPr>
          <w:p w14:paraId="70560CE7" w14:textId="77777777" w:rsidR="00EB738E" w:rsidRPr="003E73CD" w:rsidRDefault="00EB738E" w:rsidP="00EB738E">
            <w:pPr>
              <w:rPr>
                <w:sz w:val="16"/>
                <w:szCs w:val="16"/>
              </w:rPr>
            </w:pPr>
            <w:r w:rsidRPr="003E73CD">
              <w:rPr>
                <w:sz w:val="16"/>
                <w:szCs w:val="16"/>
              </w:rPr>
              <w:t>Milan, Italy</w:t>
            </w:r>
          </w:p>
        </w:tc>
        <w:tc>
          <w:tcPr>
            <w:tcW w:w="1196" w:type="dxa"/>
          </w:tcPr>
          <w:p w14:paraId="3039FFE4" w14:textId="77777777" w:rsidR="00EB738E" w:rsidRPr="003E73CD" w:rsidRDefault="00EB738E" w:rsidP="00EB738E">
            <w:pPr>
              <w:rPr>
                <w:sz w:val="16"/>
                <w:szCs w:val="16"/>
              </w:rPr>
            </w:pPr>
            <w:r w:rsidRPr="003E73CD">
              <w:rPr>
                <w:sz w:val="16"/>
                <w:szCs w:val="16"/>
              </w:rPr>
              <w:t>Retrospective, observational</w:t>
            </w:r>
          </w:p>
        </w:tc>
        <w:tc>
          <w:tcPr>
            <w:tcW w:w="873" w:type="dxa"/>
          </w:tcPr>
          <w:p w14:paraId="3C1A9EFA" w14:textId="77777777" w:rsidR="00EB738E" w:rsidRPr="003E73CD" w:rsidRDefault="00EB738E" w:rsidP="00EB738E">
            <w:pPr>
              <w:rPr>
                <w:sz w:val="16"/>
                <w:szCs w:val="16"/>
              </w:rPr>
            </w:pPr>
            <w:r w:rsidRPr="003E73CD">
              <w:rPr>
                <w:sz w:val="16"/>
                <w:szCs w:val="16"/>
              </w:rPr>
              <w:t>2000-2014</w:t>
            </w:r>
          </w:p>
        </w:tc>
        <w:tc>
          <w:tcPr>
            <w:tcW w:w="920" w:type="dxa"/>
          </w:tcPr>
          <w:p w14:paraId="6451ABCB" w14:textId="77777777" w:rsidR="00EB738E" w:rsidRPr="003E73CD" w:rsidRDefault="00EB738E" w:rsidP="00EB738E">
            <w:pPr>
              <w:rPr>
                <w:sz w:val="16"/>
                <w:szCs w:val="16"/>
              </w:rPr>
            </w:pPr>
            <w:r w:rsidRPr="003E73CD">
              <w:rPr>
                <w:sz w:val="16"/>
                <w:szCs w:val="16"/>
              </w:rPr>
              <w:t>Not stated</w:t>
            </w:r>
          </w:p>
        </w:tc>
        <w:tc>
          <w:tcPr>
            <w:tcW w:w="902" w:type="dxa"/>
          </w:tcPr>
          <w:p w14:paraId="2C3875D2" w14:textId="77777777" w:rsidR="00EB738E" w:rsidRPr="003E73CD" w:rsidRDefault="00EB738E" w:rsidP="00EB738E">
            <w:pPr>
              <w:rPr>
                <w:sz w:val="16"/>
                <w:szCs w:val="16"/>
              </w:rPr>
            </w:pPr>
            <w:r w:rsidRPr="003E73CD">
              <w:rPr>
                <w:sz w:val="16"/>
                <w:szCs w:val="16"/>
              </w:rPr>
              <w:t>1096</w:t>
            </w:r>
          </w:p>
        </w:tc>
        <w:tc>
          <w:tcPr>
            <w:tcW w:w="916" w:type="dxa"/>
          </w:tcPr>
          <w:p w14:paraId="0D0CC26C" w14:textId="77777777" w:rsidR="00EB738E" w:rsidRPr="003E73CD" w:rsidRDefault="00EB738E" w:rsidP="00EB738E">
            <w:pPr>
              <w:rPr>
                <w:sz w:val="16"/>
                <w:szCs w:val="16"/>
              </w:rPr>
            </w:pPr>
            <w:r w:rsidRPr="003E73CD">
              <w:rPr>
                <w:sz w:val="16"/>
                <w:szCs w:val="16"/>
              </w:rPr>
              <w:t>Yes</w:t>
            </w:r>
          </w:p>
        </w:tc>
        <w:tc>
          <w:tcPr>
            <w:tcW w:w="1060" w:type="dxa"/>
          </w:tcPr>
          <w:p w14:paraId="3D8B6780" w14:textId="77777777" w:rsidR="00EB738E" w:rsidRPr="003E73CD" w:rsidRDefault="00EB738E" w:rsidP="00EB738E">
            <w:pPr>
              <w:rPr>
                <w:sz w:val="16"/>
                <w:szCs w:val="16"/>
              </w:rPr>
            </w:pPr>
            <w:r w:rsidRPr="003E73CD">
              <w:rPr>
                <w:sz w:val="16"/>
                <w:szCs w:val="16"/>
              </w:rPr>
              <w:t>No details of statistical analysis (conference abstract)</w:t>
            </w:r>
          </w:p>
        </w:tc>
      </w:tr>
    </w:tbl>
    <w:p w14:paraId="4D184607" w14:textId="77777777" w:rsidR="00EB738E" w:rsidRPr="003E73CD" w:rsidRDefault="00EB738E" w:rsidP="00EB738E">
      <w:pPr>
        <w:rPr>
          <w:sz w:val="16"/>
          <w:szCs w:val="16"/>
        </w:rPr>
      </w:pPr>
      <w:r w:rsidRPr="003E73CD">
        <w:rPr>
          <w:sz w:val="16"/>
          <w:szCs w:val="16"/>
        </w:rPr>
        <w:t>SN = sentinel node, NSN = non-sentinel node.</w:t>
      </w:r>
    </w:p>
    <w:p w14:paraId="3743585B" w14:textId="77777777" w:rsidR="00EB738E" w:rsidRPr="003E73CD" w:rsidRDefault="00EB738E" w:rsidP="00EB738E">
      <w:pPr>
        <w:rPr>
          <w:sz w:val="16"/>
          <w:szCs w:val="16"/>
        </w:rPr>
      </w:pPr>
    </w:p>
    <w:p w14:paraId="2DA15E6C" w14:textId="77777777" w:rsidR="00EB738E" w:rsidRPr="003E73CD" w:rsidRDefault="00EB738E" w:rsidP="00EB738E">
      <w:pPr>
        <w:rPr>
          <w:sz w:val="22"/>
          <w:szCs w:val="22"/>
        </w:rPr>
      </w:pPr>
    </w:p>
    <w:p w14:paraId="22B01407" w14:textId="77777777" w:rsidR="00EB738E" w:rsidRPr="003E73CD" w:rsidRDefault="00EB738E" w:rsidP="00EB738E">
      <w:pPr>
        <w:rPr>
          <w:sz w:val="22"/>
          <w:szCs w:val="22"/>
        </w:rPr>
      </w:pPr>
    </w:p>
    <w:p w14:paraId="57FD0C42" w14:textId="77777777" w:rsidR="00EB738E" w:rsidRPr="003E73CD" w:rsidRDefault="00EB738E" w:rsidP="00EB738E">
      <w:pPr>
        <w:rPr>
          <w:sz w:val="22"/>
          <w:szCs w:val="22"/>
        </w:rPr>
      </w:pPr>
      <w:r w:rsidRPr="003E73CD">
        <w:rPr>
          <w:sz w:val="22"/>
          <w:szCs w:val="22"/>
        </w:rPr>
        <w:br w:type="page"/>
      </w:r>
    </w:p>
    <w:p w14:paraId="21CC3744" w14:textId="65E5FA63" w:rsidR="00EB738E" w:rsidRPr="003E73CD" w:rsidRDefault="00202947" w:rsidP="00EB738E">
      <w:pPr>
        <w:rPr>
          <w:sz w:val="22"/>
          <w:szCs w:val="22"/>
        </w:rPr>
      </w:pPr>
      <w:r>
        <w:rPr>
          <w:sz w:val="22"/>
          <w:szCs w:val="22"/>
        </w:rPr>
        <w:t>Table 3.1</w:t>
      </w:r>
      <w:r w:rsidR="00EB738E" w:rsidRPr="003E73CD">
        <w:rPr>
          <w:sz w:val="22"/>
          <w:szCs w:val="22"/>
        </w:rPr>
        <w:t xml:space="preserve">.2.  </w:t>
      </w:r>
      <w:proofErr w:type="gramStart"/>
      <w:r w:rsidR="00EB738E" w:rsidRPr="003E73CD">
        <w:rPr>
          <w:sz w:val="22"/>
          <w:szCs w:val="22"/>
        </w:rPr>
        <w:t>Studies that met the inclusion criteria and were included in the critical review (n=11).</w:t>
      </w:r>
      <w:proofErr w:type="gramEnd"/>
    </w:p>
    <w:p w14:paraId="3270E5C6" w14:textId="77777777" w:rsidR="00EB738E" w:rsidRPr="003E73CD" w:rsidRDefault="00EB738E" w:rsidP="00EB738E">
      <w:pPr>
        <w:rPr>
          <w:sz w:val="22"/>
          <w:szCs w:val="22"/>
        </w:rPr>
      </w:pPr>
    </w:p>
    <w:tbl>
      <w:tblPr>
        <w:tblStyle w:val="TableGrid"/>
        <w:tblW w:w="5000" w:type="pct"/>
        <w:tblLook w:val="04A0" w:firstRow="1" w:lastRow="0" w:firstColumn="1" w:lastColumn="0" w:noHBand="0" w:noVBand="1"/>
      </w:tblPr>
      <w:tblGrid>
        <w:gridCol w:w="1402"/>
        <w:gridCol w:w="1054"/>
        <w:gridCol w:w="1342"/>
        <w:gridCol w:w="1119"/>
        <w:gridCol w:w="1000"/>
        <w:gridCol w:w="929"/>
        <w:gridCol w:w="892"/>
        <w:gridCol w:w="976"/>
      </w:tblGrid>
      <w:tr w:rsidR="00EB738E" w:rsidRPr="003E73CD" w14:paraId="5EC6E7F9" w14:textId="77777777" w:rsidTr="00EB738E">
        <w:tc>
          <w:tcPr>
            <w:tcW w:w="804" w:type="pct"/>
          </w:tcPr>
          <w:p w14:paraId="302BAE01" w14:textId="77777777" w:rsidR="00EB738E" w:rsidRPr="003E73CD" w:rsidRDefault="00EB738E" w:rsidP="00EB738E">
            <w:pPr>
              <w:rPr>
                <w:sz w:val="16"/>
                <w:szCs w:val="16"/>
              </w:rPr>
            </w:pPr>
            <w:r w:rsidRPr="003E73CD">
              <w:rPr>
                <w:sz w:val="16"/>
                <w:szCs w:val="16"/>
              </w:rPr>
              <w:t>1</w:t>
            </w:r>
            <w:r w:rsidRPr="003E73CD">
              <w:rPr>
                <w:sz w:val="16"/>
                <w:szCs w:val="16"/>
                <w:vertAlign w:val="superscript"/>
              </w:rPr>
              <w:t>st</w:t>
            </w:r>
            <w:r w:rsidRPr="003E73CD">
              <w:rPr>
                <w:sz w:val="16"/>
                <w:szCs w:val="16"/>
              </w:rPr>
              <w:t xml:space="preserve"> Author (year of publication)</w:t>
            </w:r>
          </w:p>
        </w:tc>
        <w:tc>
          <w:tcPr>
            <w:tcW w:w="605" w:type="pct"/>
          </w:tcPr>
          <w:p w14:paraId="16BF245F" w14:textId="77777777" w:rsidR="00EB738E" w:rsidRPr="003E73CD" w:rsidRDefault="00EB738E" w:rsidP="00EB738E">
            <w:pPr>
              <w:rPr>
                <w:sz w:val="16"/>
                <w:szCs w:val="16"/>
              </w:rPr>
            </w:pPr>
            <w:r w:rsidRPr="003E73CD">
              <w:rPr>
                <w:sz w:val="16"/>
                <w:szCs w:val="16"/>
              </w:rPr>
              <w:t>Setting</w:t>
            </w:r>
          </w:p>
        </w:tc>
        <w:tc>
          <w:tcPr>
            <w:tcW w:w="770" w:type="pct"/>
          </w:tcPr>
          <w:p w14:paraId="3DE31958" w14:textId="77777777" w:rsidR="00EB738E" w:rsidRPr="003E73CD" w:rsidRDefault="00EB738E" w:rsidP="00EB738E">
            <w:pPr>
              <w:rPr>
                <w:sz w:val="16"/>
                <w:szCs w:val="16"/>
              </w:rPr>
            </w:pPr>
            <w:r w:rsidRPr="003E73CD">
              <w:rPr>
                <w:sz w:val="16"/>
                <w:szCs w:val="16"/>
              </w:rPr>
              <w:t>Study type</w:t>
            </w:r>
          </w:p>
        </w:tc>
        <w:tc>
          <w:tcPr>
            <w:tcW w:w="642" w:type="pct"/>
          </w:tcPr>
          <w:p w14:paraId="4C500DB9" w14:textId="77777777" w:rsidR="00EB738E" w:rsidRPr="003E73CD" w:rsidRDefault="00EB738E" w:rsidP="00EB738E">
            <w:pPr>
              <w:rPr>
                <w:sz w:val="16"/>
                <w:szCs w:val="16"/>
              </w:rPr>
            </w:pPr>
            <w:r w:rsidRPr="003E73CD">
              <w:rPr>
                <w:sz w:val="16"/>
                <w:szCs w:val="16"/>
              </w:rPr>
              <w:t>Period of study</w:t>
            </w:r>
          </w:p>
        </w:tc>
        <w:tc>
          <w:tcPr>
            <w:tcW w:w="574" w:type="pct"/>
          </w:tcPr>
          <w:p w14:paraId="362B5A5C" w14:textId="77777777" w:rsidR="00EB738E" w:rsidRPr="003E73CD" w:rsidRDefault="00EB738E" w:rsidP="00EB738E">
            <w:pPr>
              <w:rPr>
                <w:sz w:val="16"/>
                <w:szCs w:val="16"/>
              </w:rPr>
            </w:pPr>
            <w:r w:rsidRPr="003E73CD">
              <w:rPr>
                <w:sz w:val="16"/>
                <w:szCs w:val="16"/>
              </w:rPr>
              <w:t>Median follow-up (months)</w:t>
            </w:r>
          </w:p>
        </w:tc>
        <w:tc>
          <w:tcPr>
            <w:tcW w:w="533" w:type="pct"/>
          </w:tcPr>
          <w:p w14:paraId="38364155" w14:textId="77777777" w:rsidR="00EB738E" w:rsidRPr="003E73CD" w:rsidRDefault="00EB738E" w:rsidP="00EB738E">
            <w:pPr>
              <w:rPr>
                <w:sz w:val="16"/>
                <w:szCs w:val="16"/>
              </w:rPr>
            </w:pPr>
            <w:r w:rsidRPr="003E73CD">
              <w:rPr>
                <w:sz w:val="16"/>
                <w:szCs w:val="16"/>
              </w:rPr>
              <w:t>Number of SN positive patients</w:t>
            </w:r>
          </w:p>
        </w:tc>
        <w:tc>
          <w:tcPr>
            <w:tcW w:w="512" w:type="pct"/>
          </w:tcPr>
          <w:p w14:paraId="14751F6A" w14:textId="77777777" w:rsidR="00EB738E" w:rsidRPr="003E73CD" w:rsidRDefault="00EB738E" w:rsidP="00EB738E">
            <w:pPr>
              <w:rPr>
                <w:sz w:val="16"/>
                <w:szCs w:val="16"/>
              </w:rPr>
            </w:pPr>
            <w:r w:rsidRPr="003E73CD">
              <w:rPr>
                <w:sz w:val="16"/>
                <w:szCs w:val="16"/>
              </w:rPr>
              <w:t>Number of NSN positive patients (%)</w:t>
            </w:r>
          </w:p>
        </w:tc>
        <w:tc>
          <w:tcPr>
            <w:tcW w:w="560" w:type="pct"/>
          </w:tcPr>
          <w:p w14:paraId="6C42EE8F" w14:textId="77777777" w:rsidR="00EB738E" w:rsidRPr="003E73CD" w:rsidRDefault="00EB738E" w:rsidP="00EB738E">
            <w:pPr>
              <w:rPr>
                <w:sz w:val="16"/>
                <w:szCs w:val="16"/>
              </w:rPr>
            </w:pPr>
            <w:r w:rsidRPr="003E73CD">
              <w:rPr>
                <w:sz w:val="16"/>
                <w:szCs w:val="16"/>
              </w:rPr>
              <w:t>Outcome worse if NSN positive?</w:t>
            </w:r>
          </w:p>
        </w:tc>
      </w:tr>
      <w:tr w:rsidR="00EB738E" w:rsidRPr="003E73CD" w14:paraId="7C236B8F" w14:textId="77777777" w:rsidTr="00EB738E">
        <w:tc>
          <w:tcPr>
            <w:tcW w:w="804" w:type="pct"/>
          </w:tcPr>
          <w:p w14:paraId="0FBE1766" w14:textId="77777777" w:rsidR="00EB738E" w:rsidRPr="003E73CD" w:rsidRDefault="00EB738E" w:rsidP="00EB738E">
            <w:pPr>
              <w:rPr>
                <w:sz w:val="16"/>
                <w:szCs w:val="16"/>
              </w:rPr>
            </w:pPr>
            <w:r w:rsidRPr="003E73CD">
              <w:rPr>
                <w:sz w:val="16"/>
                <w:szCs w:val="16"/>
              </w:rPr>
              <w:t>Cascinelli (2006)</w:t>
            </w:r>
            <w:r w:rsidRPr="003E73CD">
              <w:rPr>
                <w:sz w:val="16"/>
                <w:szCs w:val="16"/>
              </w:rPr>
              <w:fldChar w:fldCharType="begin" w:fldLock="1"/>
            </w:r>
            <w:r>
              <w:rPr>
                <w:sz w:val="16"/>
                <w:szCs w:val="16"/>
              </w:rPr>
              <w:instrText>ADDIN CSL_CITATION { "citationItems" : [ { "id" : "ITEM-1", "itemData" : { "DOI" : "10.1200/JCO.2006.06.3198", "ISSN" : "1527-7755", "PMID" : "16983115", "abstract" : "PURPOSE: To evaluate the prognostic significance of sentinel node biopsy in the management of stage IB and II melanoma patients, and to evaluate the status of nonsentinel nodes as a \"second step key factor\" to assess the prognosis of these patients.\n\nPATIENTS AND METHODS: We conducted an analysis of data collected in a prospective database.\n\nRESULTS: From February 1994 to June 2005, 1,108 consecutive patients with stage IB and II melanoma were submitted to sentinel node biopsy; 176 patients (15.9%) had occult node metastases. The frequency of positive nodes increased with increasing Breslow's thickness. The largest diameter of metastatic foci and their localization within the lymph node were associated with the risk of nonsentinel node metastases only. The 5-year survival of patients with positive sentinel nodes was 81.4% in patients with one positive node and 39.6% in patients with two positive nodes (P = .056). Multivariate analysis indicated that status of sentinel nodes is a key factor and that sex and Breslow's thickness maintain statistically significant relevance. Ulceration, which was associated with survival when considered as single factor (P &lt; .001) had no impact on survival in the multivariate analysis (P = .10). To evaluate the relevance of metastases to nonsentinel nodes, we identified four groups of patients.\n\nCONCLUSION: Evaluation of the sentinel node is a useful procedure to identify patients to be submitted for complete lymph node dissection. The procedure makes it possible to assess the best prognosis of patients.", "author" : [ { "dropping-particle" : "", "family" : "Cascinelli", "given" : "Natale", "non-dropping-particle" : "", "parse-names" : false, "suffix" : "" }, { "dropping-particle" : "", "family" : "Bombardieri", "given" : "Emilio", "non-dropping-particle" : "", "parse-names" : false, "suffix" : "" }, { "dropping-particle" : "", "family" : "Bufalino", "given" : "Rosaria", "non-dropping-particle" : "", "parse-names" : false, "suffix" : "" }, { "dropping-particle" : "", "family" : "Camerini", "given" : "Tiziana", "non-dropping-particle" : "", "parse-names" : false, "suffix" : "" }, { "dropping-particle" : "", "family" : "Carbone", "given" : "Antonino", "non-dropping-particle" : "", "parse-names" : false, "suffix" : "" }, { "dropping-particle" : "", "family" : "Clemente", "given" : "Claudio", "non-dropping-particle" : "", "parse-names" : false, "suffix" : "" }, { "dropping-particle" : "", "family" : "Lenisa", "given" : "Leonardo", "non-dropping-particle" : "", "parse-names" : false, "suffix" : "" }, { "dropping-particle" : "", "family" : "Mascheroni", "given" : "Luigi", "non-dropping-particle" : "", "parse-names" : false, "suffix" : "" }, { "dropping-particle" : "", "family" : "Maurichi", "given" : "Andrea", "non-dropping-particle" : "", "parse-names" : false, "suffix" : "" }, { "dropping-particle" : "", "family" : "Pennacchioli", "given" : "Elisabetta", "non-dropping-particle" : "", "parse-names" : false, "suffix" : "" }, { "dropping-particle" : "", "family" : "Patuzzo", "given" : "Roberto", "non-dropping-particle" : "", "parse-names" : false, "suffix" : "" }, { "dropping-particle" : "", "family" : "Santinami", "given" : "Mario", "non-dropping-particle" : "", "parse-names" : false, "suffix" : "" }, { "dropping-particle" : "", "family" : "Tragni", "given" : "Gabrina", "non-dropping-particle" : "", "parse-names" : false, "suffix" : "" } ], "container-title" : "Journal of clinical oncology : official journal of the American Society of Clinical Oncology", "id" : "ITEM-1", "issue" : "27", "issued" : { "date-parts" : [ [ "2006", "9", "20" ] ] }, "page" : "4464-71", "title" : "Sentinel and nonsentinel node status in stage IB and II melanoma patients: two-step prognostic indicators of survival.", "type" : "article-journal", "volume" : "24" }, "uris" : [ "http://www.mendeley.com/documents/?uuid=87a2810c-0f27-4812-8c91-b5fcb57b53ff" ] } ], "mendeley" : { "formattedCitation" : "&lt;sup&gt;149&lt;/sup&gt;", "plainTextFormattedCitation" : "149", "previouslyFormattedCitation" : "&lt;sup&gt;149&lt;/sup&gt;" }, "properties" : { "noteIndex" : 0 }, "schema" : "https://github.com/citation-style-language/schema/raw/master/csl-citation.json" }</w:instrText>
            </w:r>
            <w:r w:rsidRPr="003E73CD">
              <w:rPr>
                <w:sz w:val="16"/>
                <w:szCs w:val="16"/>
              </w:rPr>
              <w:fldChar w:fldCharType="separate"/>
            </w:r>
            <w:r w:rsidRPr="00CE2A17">
              <w:rPr>
                <w:noProof/>
                <w:sz w:val="16"/>
                <w:szCs w:val="16"/>
                <w:vertAlign w:val="superscript"/>
              </w:rPr>
              <w:t>149</w:t>
            </w:r>
            <w:r w:rsidRPr="003E73CD">
              <w:rPr>
                <w:sz w:val="16"/>
                <w:szCs w:val="16"/>
              </w:rPr>
              <w:fldChar w:fldCharType="end"/>
            </w:r>
          </w:p>
        </w:tc>
        <w:tc>
          <w:tcPr>
            <w:tcW w:w="605" w:type="pct"/>
          </w:tcPr>
          <w:p w14:paraId="0A9452AA" w14:textId="77777777" w:rsidR="00EB738E" w:rsidRPr="003E73CD" w:rsidRDefault="00EB738E" w:rsidP="00EB738E">
            <w:pPr>
              <w:rPr>
                <w:sz w:val="16"/>
                <w:szCs w:val="16"/>
              </w:rPr>
            </w:pPr>
            <w:r w:rsidRPr="003E73CD">
              <w:rPr>
                <w:sz w:val="16"/>
                <w:szCs w:val="16"/>
              </w:rPr>
              <w:t>Milan, Italy</w:t>
            </w:r>
          </w:p>
        </w:tc>
        <w:tc>
          <w:tcPr>
            <w:tcW w:w="770" w:type="pct"/>
          </w:tcPr>
          <w:p w14:paraId="7733F67B" w14:textId="77777777" w:rsidR="00EB738E" w:rsidRPr="003E73CD" w:rsidRDefault="00EB738E" w:rsidP="00EB738E">
            <w:pPr>
              <w:rPr>
                <w:sz w:val="16"/>
                <w:szCs w:val="16"/>
              </w:rPr>
            </w:pPr>
            <w:r w:rsidRPr="003E73CD">
              <w:rPr>
                <w:sz w:val="16"/>
                <w:szCs w:val="16"/>
              </w:rPr>
              <w:t>Review of prospective database</w:t>
            </w:r>
          </w:p>
        </w:tc>
        <w:tc>
          <w:tcPr>
            <w:tcW w:w="642" w:type="pct"/>
          </w:tcPr>
          <w:p w14:paraId="1F83CBC4" w14:textId="77777777" w:rsidR="00EB738E" w:rsidRPr="003E73CD" w:rsidRDefault="00EB738E" w:rsidP="00EB738E">
            <w:pPr>
              <w:rPr>
                <w:sz w:val="16"/>
                <w:szCs w:val="16"/>
              </w:rPr>
            </w:pPr>
            <w:r w:rsidRPr="003E73CD">
              <w:rPr>
                <w:sz w:val="16"/>
                <w:szCs w:val="16"/>
              </w:rPr>
              <w:t>1994-2005</w:t>
            </w:r>
          </w:p>
        </w:tc>
        <w:tc>
          <w:tcPr>
            <w:tcW w:w="574" w:type="pct"/>
          </w:tcPr>
          <w:p w14:paraId="1E2CD414" w14:textId="77777777" w:rsidR="00EB738E" w:rsidRPr="003E73CD" w:rsidRDefault="00EB738E" w:rsidP="00EB738E">
            <w:pPr>
              <w:rPr>
                <w:sz w:val="16"/>
                <w:szCs w:val="16"/>
              </w:rPr>
            </w:pPr>
            <w:r w:rsidRPr="003E73CD">
              <w:rPr>
                <w:sz w:val="16"/>
                <w:szCs w:val="16"/>
              </w:rPr>
              <w:t>61.1</w:t>
            </w:r>
          </w:p>
        </w:tc>
        <w:tc>
          <w:tcPr>
            <w:tcW w:w="533" w:type="pct"/>
          </w:tcPr>
          <w:p w14:paraId="38D0CDBF" w14:textId="77777777" w:rsidR="00EB738E" w:rsidRPr="003E73CD" w:rsidRDefault="00EB738E" w:rsidP="00EB738E">
            <w:pPr>
              <w:rPr>
                <w:sz w:val="16"/>
                <w:szCs w:val="16"/>
              </w:rPr>
            </w:pPr>
            <w:r w:rsidRPr="003E73CD">
              <w:rPr>
                <w:sz w:val="16"/>
                <w:szCs w:val="16"/>
              </w:rPr>
              <w:t>176</w:t>
            </w:r>
          </w:p>
        </w:tc>
        <w:tc>
          <w:tcPr>
            <w:tcW w:w="512" w:type="pct"/>
          </w:tcPr>
          <w:p w14:paraId="3D71E0FE" w14:textId="77777777" w:rsidR="00EB738E" w:rsidRPr="003E73CD" w:rsidRDefault="00EB738E" w:rsidP="00EB738E">
            <w:pPr>
              <w:rPr>
                <w:sz w:val="16"/>
                <w:szCs w:val="16"/>
              </w:rPr>
            </w:pPr>
            <w:r w:rsidRPr="003E73CD">
              <w:rPr>
                <w:sz w:val="16"/>
                <w:szCs w:val="16"/>
              </w:rPr>
              <w:t>33 (18.7)</w:t>
            </w:r>
          </w:p>
        </w:tc>
        <w:tc>
          <w:tcPr>
            <w:tcW w:w="560" w:type="pct"/>
          </w:tcPr>
          <w:p w14:paraId="54D14A7C" w14:textId="77777777" w:rsidR="00EB738E" w:rsidRPr="003E73CD" w:rsidRDefault="00EB738E" w:rsidP="00EB738E">
            <w:pPr>
              <w:rPr>
                <w:sz w:val="16"/>
                <w:szCs w:val="16"/>
              </w:rPr>
            </w:pPr>
            <w:r w:rsidRPr="003E73CD">
              <w:rPr>
                <w:sz w:val="16"/>
                <w:szCs w:val="16"/>
              </w:rPr>
              <w:t>Yes</w:t>
            </w:r>
          </w:p>
        </w:tc>
      </w:tr>
      <w:tr w:rsidR="00EB738E" w:rsidRPr="003E73CD" w14:paraId="4269BF16" w14:textId="77777777" w:rsidTr="00EB738E">
        <w:tc>
          <w:tcPr>
            <w:tcW w:w="804" w:type="pct"/>
          </w:tcPr>
          <w:p w14:paraId="75E23818" w14:textId="77777777" w:rsidR="00EB738E" w:rsidRPr="003E73CD" w:rsidRDefault="00EB738E" w:rsidP="00EB738E">
            <w:pPr>
              <w:rPr>
                <w:sz w:val="16"/>
                <w:szCs w:val="16"/>
              </w:rPr>
            </w:pPr>
            <w:r w:rsidRPr="003E73CD">
              <w:rPr>
                <w:sz w:val="16"/>
                <w:szCs w:val="16"/>
              </w:rPr>
              <w:t>Ariyan (2008)</w:t>
            </w:r>
            <w:r w:rsidRPr="003E73CD">
              <w:rPr>
                <w:sz w:val="16"/>
                <w:szCs w:val="16"/>
              </w:rPr>
              <w:fldChar w:fldCharType="begin" w:fldLock="1"/>
            </w:r>
            <w:r>
              <w:rPr>
                <w:sz w:val="16"/>
                <w:szCs w:val="16"/>
              </w:rPr>
              <w:instrText>ADDIN CSL_CITATION { "citationItems" : [ { "id" : "ITEM-1", "itemData" : { "DOI" : "10.1245/s10434-008-0187-5", "ISSN" : "1534-4681", "PMID" : "18979135", "abstract" : "While sentinel lymph node biopsy (SLN) is a highly accurate and well-tolerated procedure for patients with cutaneous melanoma, the role of the completion lymph node dissection (CLND) for patients with positive SLN biopsy remains unknown. This study aimed to look at the prognostic value of a positive nonsentinel lymph node (NSLN). A prospectively maintained database identified 222 patients with cutaneous melanoma and a positive SLN biopsy, without evidence of distant disease. All of these patients underwent CLND, and 37 patients (17%) had positive NSLN. With median follow-up of 33 months, patients with negative NSLN had median survival of 104 months, while patients with positive NSLN had median survival of 36 months (p &lt; 0.001). There were no survivors in the patients with positive NSLN beyond 6 years. When patients with an equal number of positive nodes were analyzed, the presence of a positive NSLN was still associated with worse melanoma-specific survival (66 months for NSLN- versus 34 months for NSLN+, p = 0.04). While increasing age, tumor thickness, and male sex were associated with an increased risk of death on multivariate analysis, a positive NSLN was the most important predictor of survival (hazard ratio 2.5). We conclude that positive NSLN is an independent predictor of disease-specific survival in patients with cutaneous melanoma.", "author" : [ { "dropping-particle" : "", "family" : "Ariyan", "given" : "Charlotte", "non-dropping-particle" : "", "parse-names" : false, "suffix" : "" }, { "dropping-particle" : "", "family" : "Brady", "given" : "Mary Sue", "non-dropping-particle" : "", "parse-names" : false, "suffix" : "" }, { "dropping-particle" : "", "family" : "G\u00f6nen", "given" : "Mithat", "non-dropping-particle" : "", "parse-names" : false, "suffix" : "" }, { "dropping-particle" : "", "family" : "Busam", "given" : "Klaus", "non-dropping-particle" : "", "parse-names" : false, "suffix" : "" }, { "dropping-particle" : "", "family" : "Coit", "given" : "Daniel", "non-dropping-particle" : "", "parse-names" : false, "suffix" : "" } ], "container-title" : "Annals of surgical oncology", "id" : "ITEM-1", "issue" : "1", "issued" : { "date-parts" : [ [ "2009", "1" ] ] }, "page" : "186-90", "title" : "Positive nonsentinel node status predicts mortality in patients with cutaneous melanoma.", "type" : "article-journal", "volume" : "16" }, "uris" : [ "http://www.mendeley.com/documents/?uuid=95f50211-78eb-42c1-b0bf-03f1224519aa" ] } ], "mendeley" : { "formattedCitation" : "&lt;sup&gt;174&lt;/sup&gt;", "plainTextFormattedCitation" : "174", "previouslyFormattedCitation" : "&lt;sup&gt;174&lt;/sup&gt;" }, "properties" : { "noteIndex" : 0 }, "schema" : "https://github.com/citation-style-language/schema/raw/master/csl-citation.json" }</w:instrText>
            </w:r>
            <w:r w:rsidRPr="003E73CD">
              <w:rPr>
                <w:sz w:val="16"/>
                <w:szCs w:val="16"/>
              </w:rPr>
              <w:fldChar w:fldCharType="separate"/>
            </w:r>
            <w:r w:rsidRPr="00217FAC">
              <w:rPr>
                <w:noProof/>
                <w:sz w:val="16"/>
                <w:szCs w:val="16"/>
                <w:vertAlign w:val="superscript"/>
              </w:rPr>
              <w:t>174</w:t>
            </w:r>
            <w:r w:rsidRPr="003E73CD">
              <w:rPr>
                <w:sz w:val="16"/>
                <w:szCs w:val="16"/>
              </w:rPr>
              <w:fldChar w:fldCharType="end"/>
            </w:r>
          </w:p>
        </w:tc>
        <w:tc>
          <w:tcPr>
            <w:tcW w:w="605" w:type="pct"/>
          </w:tcPr>
          <w:p w14:paraId="028EE756" w14:textId="77777777" w:rsidR="00EB738E" w:rsidRPr="003E73CD" w:rsidRDefault="00EB738E" w:rsidP="00EB738E">
            <w:pPr>
              <w:rPr>
                <w:sz w:val="16"/>
                <w:szCs w:val="16"/>
              </w:rPr>
            </w:pPr>
            <w:r w:rsidRPr="003E73CD">
              <w:rPr>
                <w:sz w:val="16"/>
                <w:szCs w:val="16"/>
              </w:rPr>
              <w:t>New York, USA</w:t>
            </w:r>
          </w:p>
        </w:tc>
        <w:tc>
          <w:tcPr>
            <w:tcW w:w="770" w:type="pct"/>
          </w:tcPr>
          <w:p w14:paraId="3F4D7009" w14:textId="77777777" w:rsidR="00EB738E" w:rsidRPr="003E73CD" w:rsidRDefault="00EB738E" w:rsidP="00EB738E">
            <w:pPr>
              <w:rPr>
                <w:sz w:val="16"/>
                <w:szCs w:val="16"/>
              </w:rPr>
            </w:pPr>
            <w:r w:rsidRPr="003E73CD">
              <w:rPr>
                <w:sz w:val="16"/>
                <w:szCs w:val="16"/>
              </w:rPr>
              <w:t>Review of prospective database</w:t>
            </w:r>
          </w:p>
        </w:tc>
        <w:tc>
          <w:tcPr>
            <w:tcW w:w="642" w:type="pct"/>
          </w:tcPr>
          <w:p w14:paraId="18CFE00B" w14:textId="77777777" w:rsidR="00EB738E" w:rsidRPr="003E73CD" w:rsidRDefault="00EB738E" w:rsidP="00EB738E">
            <w:pPr>
              <w:rPr>
                <w:sz w:val="16"/>
                <w:szCs w:val="16"/>
              </w:rPr>
            </w:pPr>
            <w:r w:rsidRPr="003E73CD">
              <w:rPr>
                <w:sz w:val="16"/>
                <w:szCs w:val="16"/>
              </w:rPr>
              <w:t>1991-2006</w:t>
            </w:r>
          </w:p>
        </w:tc>
        <w:tc>
          <w:tcPr>
            <w:tcW w:w="574" w:type="pct"/>
          </w:tcPr>
          <w:p w14:paraId="79D2B725" w14:textId="77777777" w:rsidR="00EB738E" w:rsidRPr="003E73CD" w:rsidRDefault="00EB738E" w:rsidP="00EB738E">
            <w:pPr>
              <w:rPr>
                <w:sz w:val="16"/>
                <w:szCs w:val="16"/>
              </w:rPr>
            </w:pPr>
            <w:r w:rsidRPr="003E73CD">
              <w:rPr>
                <w:sz w:val="16"/>
                <w:szCs w:val="16"/>
              </w:rPr>
              <w:t>33</w:t>
            </w:r>
          </w:p>
        </w:tc>
        <w:tc>
          <w:tcPr>
            <w:tcW w:w="533" w:type="pct"/>
          </w:tcPr>
          <w:p w14:paraId="23C90CA4" w14:textId="77777777" w:rsidR="00EB738E" w:rsidRPr="003E73CD" w:rsidRDefault="00EB738E" w:rsidP="00EB738E">
            <w:pPr>
              <w:rPr>
                <w:sz w:val="16"/>
                <w:szCs w:val="16"/>
              </w:rPr>
            </w:pPr>
            <w:r w:rsidRPr="003E73CD">
              <w:rPr>
                <w:sz w:val="16"/>
                <w:szCs w:val="16"/>
              </w:rPr>
              <w:t>222</w:t>
            </w:r>
          </w:p>
        </w:tc>
        <w:tc>
          <w:tcPr>
            <w:tcW w:w="512" w:type="pct"/>
          </w:tcPr>
          <w:p w14:paraId="72F6AF57" w14:textId="77777777" w:rsidR="00EB738E" w:rsidRPr="003E73CD" w:rsidRDefault="00EB738E" w:rsidP="00EB738E">
            <w:pPr>
              <w:rPr>
                <w:sz w:val="16"/>
                <w:szCs w:val="16"/>
              </w:rPr>
            </w:pPr>
            <w:r w:rsidRPr="003E73CD">
              <w:rPr>
                <w:sz w:val="16"/>
                <w:szCs w:val="16"/>
              </w:rPr>
              <w:t>37 (16.7)</w:t>
            </w:r>
          </w:p>
        </w:tc>
        <w:tc>
          <w:tcPr>
            <w:tcW w:w="560" w:type="pct"/>
          </w:tcPr>
          <w:p w14:paraId="7CB18C8C" w14:textId="77777777" w:rsidR="00EB738E" w:rsidRPr="003E73CD" w:rsidRDefault="00EB738E" w:rsidP="00EB738E">
            <w:pPr>
              <w:rPr>
                <w:sz w:val="16"/>
                <w:szCs w:val="16"/>
              </w:rPr>
            </w:pPr>
            <w:r w:rsidRPr="003E73CD">
              <w:rPr>
                <w:sz w:val="16"/>
                <w:szCs w:val="16"/>
              </w:rPr>
              <w:t>Yes</w:t>
            </w:r>
          </w:p>
        </w:tc>
      </w:tr>
      <w:tr w:rsidR="00EB738E" w:rsidRPr="003E73CD" w14:paraId="48F4A577" w14:textId="77777777" w:rsidTr="00EB738E">
        <w:tc>
          <w:tcPr>
            <w:tcW w:w="804" w:type="pct"/>
          </w:tcPr>
          <w:p w14:paraId="6DD47BF1" w14:textId="77777777" w:rsidR="00EB738E" w:rsidRPr="003E73CD" w:rsidRDefault="00EB738E" w:rsidP="00EB738E">
            <w:pPr>
              <w:rPr>
                <w:sz w:val="16"/>
                <w:szCs w:val="16"/>
              </w:rPr>
            </w:pPr>
            <w:r w:rsidRPr="003E73CD">
              <w:rPr>
                <w:sz w:val="16"/>
                <w:szCs w:val="16"/>
              </w:rPr>
              <w:t>Ghaferi (2009)</w:t>
            </w:r>
            <w:r w:rsidRPr="003E73CD">
              <w:rPr>
                <w:sz w:val="16"/>
                <w:szCs w:val="16"/>
              </w:rPr>
              <w:fldChar w:fldCharType="begin" w:fldLock="1"/>
            </w:r>
            <w:r>
              <w:rPr>
                <w:sz w:val="16"/>
                <w:szCs w:val="16"/>
              </w:rPr>
              <w:instrText>ADDIN CSL_CITATION { "citationItems" : [ { "id" : "ITEM-1", "itemData" : { "DOI" : "10.1245/s10434-009-0665-4", "ISSN" : "1534-4681", "PMID" : "19711133", "abstract" : "PURPOSE: Sentinel lymph node (SLN) biopsy provides important prognostic information for patients with cutaneous melanoma. There may be additional prognostic significance to melanoma spreading from the SLN to nonsentinel lymph nodes (NSLN). We examined the implications of a positive NSLN for overall and distant disease-free survival.\n\nMETHODS: Using a prospectively maintained, Institutional Review Board-approved melanoma database we studied patients who had a cutaneous melanoma, a positive SLN, and a completion lymph node dissection (CLND). Survival was determined using a combination of hospital records and the Social Security Death Index (SSDI). Univariate and multivariate Cox regression analysis was performed to further characterize predictors of overall and distant disease-free survival. Kaplan-Meier analysis was used to generate survival curves.\n\nRESULTS: A total of 429 patients with positive SLN biopsies were identified, with at least one positive NSLN identified in 71 (17%). Median follow-up time was 36.8 months. Presence of a positive NSLN was significantly associated with poor outcome, although long-term survival was possible. Presence of ulceration, high mitotic rate, angiolymphatic invasion, total number of positive nodes, and volume of disease&gt;1% in the SLN were significant predictors of survival on univariate analysis, but lost significance on multivariate. Multivariate Cox analysis revealed several predictors of overall survival: increasing age [hazard ratio (HR) 1.04, P&lt;0.01], Breslow depth (HR 1.76, P&lt;0.01), presence of extracapsular extension in the SLN (HR 2.39, P&lt;0.01), and positive NSLN (HR 1.92, P&lt;0.01).\n\nCONCLUSION: Among node-positive melanoma patients, presence of a positive NSLN is a highly significant poor prognostic sign, even after considering the total number of positive nodes and volume of disease in the SLN. CLND after a positive SLN provides this important prognostic information.", "author" : [ { "dropping-particle" : "", "family" : "Ghaferi", "given" : "Amir A", "non-dropping-particle" : "", "parse-names" : false, "suffix" : "" }, { "dropping-particle" : "", "family" : "Wong", "given" : "Sandra L", "non-dropping-particle" : "", "parse-names" : false, "suffix" : "" }, { "dropping-particle" : "", "family" : "Johnson", "given" : "Timothy M", "non-dropping-particle" : "", "parse-names" : false, "suffix" : "" }, { "dropping-particle" : "", "family" : "Lowe", "given" : "Lori", "non-dropping-particle" : "", "parse-names" : false, "suffix" : "" }, { "dropping-particle" : "", "family" : "Chang", "given" : "Alfred E", "non-dropping-particle" : "", "parse-names" : false, "suffix" : "" }, { "dropping-particle" : "", "family" : "Cimmino", "given" : "Vincent M", "non-dropping-particle" : "", "parse-names" : false, "suffix" : "" }, { "dropping-particle" : "", "family" : "Bradford", "given" : "Carol R", "non-dropping-particle" : "", "parse-names" : false, "suffix" : "" }, { "dropping-particle" : "", "family" : "Rees", "given" : "Riley S", "non-dropping-particle" : "", "parse-names" : false, "suffix" : "" }, { "dropping-particle" : "", "family" : "Sabel", "given" : "Michael S", "non-dropping-particle" : "", "parse-names" : false, "suffix" : "" } ], "container-title" : "Annals of surgical oncology", "id" : "ITEM-1", "issue" : "11", "issued" : { "date-parts" : [ [ "2009", "11" ] ] }, "page" : "2978-84", "title" : "Prognostic significance of a positive nonsentinel lymph node in cutaneous melanoma.", "type" : "article-journal", "volume" : "16" }, "uris" : [ "http://www.mendeley.com/documents/?uuid=928824b4-dc07-42e0-87bf-4160d27f7eec" ] } ], "mendeley" : { "formattedCitation" : "&lt;sup&gt;175&lt;/sup&gt;", "plainTextFormattedCitation" : "175", "previouslyFormattedCitation" : "&lt;sup&gt;175&lt;/sup&gt;" }, "properties" : { "noteIndex" : 0 }, "schema" : "https://github.com/citation-style-language/schema/raw/master/csl-citation.json" }</w:instrText>
            </w:r>
            <w:r w:rsidRPr="003E73CD">
              <w:rPr>
                <w:sz w:val="16"/>
                <w:szCs w:val="16"/>
              </w:rPr>
              <w:fldChar w:fldCharType="separate"/>
            </w:r>
            <w:r w:rsidRPr="00217FAC">
              <w:rPr>
                <w:noProof/>
                <w:sz w:val="16"/>
                <w:szCs w:val="16"/>
                <w:vertAlign w:val="superscript"/>
              </w:rPr>
              <w:t>175</w:t>
            </w:r>
            <w:r w:rsidRPr="003E73CD">
              <w:rPr>
                <w:sz w:val="16"/>
                <w:szCs w:val="16"/>
              </w:rPr>
              <w:fldChar w:fldCharType="end"/>
            </w:r>
          </w:p>
        </w:tc>
        <w:tc>
          <w:tcPr>
            <w:tcW w:w="605" w:type="pct"/>
          </w:tcPr>
          <w:p w14:paraId="0BA3BB4C" w14:textId="77777777" w:rsidR="00EB738E" w:rsidRPr="003E73CD" w:rsidRDefault="00EB738E" w:rsidP="00EB738E">
            <w:pPr>
              <w:rPr>
                <w:sz w:val="16"/>
                <w:szCs w:val="16"/>
              </w:rPr>
            </w:pPr>
            <w:r w:rsidRPr="003E73CD">
              <w:rPr>
                <w:sz w:val="16"/>
                <w:szCs w:val="16"/>
              </w:rPr>
              <w:t>Michigan, USA</w:t>
            </w:r>
          </w:p>
        </w:tc>
        <w:tc>
          <w:tcPr>
            <w:tcW w:w="770" w:type="pct"/>
          </w:tcPr>
          <w:p w14:paraId="23551812" w14:textId="77777777" w:rsidR="00EB738E" w:rsidRPr="003E73CD" w:rsidRDefault="00EB738E" w:rsidP="00EB738E">
            <w:pPr>
              <w:rPr>
                <w:sz w:val="16"/>
                <w:szCs w:val="16"/>
              </w:rPr>
            </w:pPr>
            <w:r w:rsidRPr="003E73CD">
              <w:rPr>
                <w:sz w:val="16"/>
                <w:szCs w:val="16"/>
              </w:rPr>
              <w:t>Review of prospective database</w:t>
            </w:r>
          </w:p>
        </w:tc>
        <w:tc>
          <w:tcPr>
            <w:tcW w:w="642" w:type="pct"/>
          </w:tcPr>
          <w:p w14:paraId="12892CA1" w14:textId="77777777" w:rsidR="00EB738E" w:rsidRPr="003E73CD" w:rsidRDefault="00EB738E" w:rsidP="00EB738E">
            <w:pPr>
              <w:rPr>
                <w:sz w:val="16"/>
                <w:szCs w:val="16"/>
              </w:rPr>
            </w:pPr>
            <w:r w:rsidRPr="003E73CD">
              <w:rPr>
                <w:sz w:val="16"/>
                <w:szCs w:val="16"/>
              </w:rPr>
              <w:t>1997- not stated</w:t>
            </w:r>
          </w:p>
        </w:tc>
        <w:tc>
          <w:tcPr>
            <w:tcW w:w="574" w:type="pct"/>
          </w:tcPr>
          <w:p w14:paraId="3381D7E8" w14:textId="77777777" w:rsidR="00EB738E" w:rsidRPr="003E73CD" w:rsidRDefault="00EB738E" w:rsidP="00EB738E">
            <w:pPr>
              <w:rPr>
                <w:sz w:val="16"/>
                <w:szCs w:val="16"/>
              </w:rPr>
            </w:pPr>
            <w:r w:rsidRPr="003E73CD">
              <w:rPr>
                <w:sz w:val="16"/>
                <w:szCs w:val="16"/>
              </w:rPr>
              <w:t>36.8</w:t>
            </w:r>
          </w:p>
        </w:tc>
        <w:tc>
          <w:tcPr>
            <w:tcW w:w="533" w:type="pct"/>
          </w:tcPr>
          <w:p w14:paraId="1744BAB2" w14:textId="77777777" w:rsidR="00EB738E" w:rsidRPr="003E73CD" w:rsidRDefault="00EB738E" w:rsidP="00EB738E">
            <w:pPr>
              <w:rPr>
                <w:sz w:val="16"/>
                <w:szCs w:val="16"/>
              </w:rPr>
            </w:pPr>
            <w:r w:rsidRPr="003E73CD">
              <w:rPr>
                <w:sz w:val="16"/>
                <w:szCs w:val="16"/>
              </w:rPr>
              <w:t>419</w:t>
            </w:r>
          </w:p>
        </w:tc>
        <w:tc>
          <w:tcPr>
            <w:tcW w:w="512" w:type="pct"/>
          </w:tcPr>
          <w:p w14:paraId="42BB0938" w14:textId="77777777" w:rsidR="00EB738E" w:rsidRPr="003E73CD" w:rsidRDefault="00EB738E" w:rsidP="00EB738E">
            <w:pPr>
              <w:rPr>
                <w:sz w:val="16"/>
                <w:szCs w:val="16"/>
              </w:rPr>
            </w:pPr>
            <w:r w:rsidRPr="003E73CD">
              <w:rPr>
                <w:sz w:val="16"/>
                <w:szCs w:val="16"/>
              </w:rPr>
              <w:t>71 (16.9)</w:t>
            </w:r>
          </w:p>
        </w:tc>
        <w:tc>
          <w:tcPr>
            <w:tcW w:w="560" w:type="pct"/>
          </w:tcPr>
          <w:p w14:paraId="1C5D78EC" w14:textId="77777777" w:rsidR="00EB738E" w:rsidRPr="003E73CD" w:rsidRDefault="00EB738E" w:rsidP="00EB738E">
            <w:pPr>
              <w:rPr>
                <w:sz w:val="16"/>
                <w:szCs w:val="16"/>
              </w:rPr>
            </w:pPr>
            <w:r w:rsidRPr="003E73CD">
              <w:rPr>
                <w:sz w:val="16"/>
                <w:szCs w:val="16"/>
              </w:rPr>
              <w:t>Yes</w:t>
            </w:r>
          </w:p>
        </w:tc>
      </w:tr>
      <w:tr w:rsidR="00EB738E" w:rsidRPr="003E73CD" w14:paraId="32E831B6" w14:textId="77777777" w:rsidTr="00EB738E">
        <w:tc>
          <w:tcPr>
            <w:tcW w:w="804" w:type="pct"/>
          </w:tcPr>
          <w:p w14:paraId="6C7C94C1" w14:textId="77777777" w:rsidR="00EB738E" w:rsidRPr="003E73CD" w:rsidRDefault="00EB738E" w:rsidP="00EB738E">
            <w:pPr>
              <w:rPr>
                <w:sz w:val="16"/>
                <w:szCs w:val="16"/>
              </w:rPr>
            </w:pPr>
            <w:r w:rsidRPr="003E73CD">
              <w:rPr>
                <w:sz w:val="16"/>
                <w:szCs w:val="16"/>
              </w:rPr>
              <w:t>Jakub (2009)</w:t>
            </w:r>
            <w:r w:rsidRPr="003E73CD">
              <w:rPr>
                <w:sz w:val="16"/>
                <w:szCs w:val="16"/>
              </w:rPr>
              <w:fldChar w:fldCharType="begin" w:fldLock="1"/>
            </w:r>
            <w:r>
              <w:rPr>
                <w:sz w:val="16"/>
                <w:szCs w:val="16"/>
              </w:rPr>
              <w:instrText>ADDIN CSL_CITATION { "citationItems" : [ { "id" : "ITEM-1", "itemData" : { "DOI" : "10.1245/s10434-009-0530-5", "ISSN" : "1534-4681", "PMID" : "19517194", "abstract" : "BACKGROUND: In melanoma, a direct relationship exists between the number of nodes involved with metastatic disease and prognosis. This study was undertaken to determine whether an individual with metastatic disease confined to the sentinel lymph nodes (SLNs) would have a better prognosis than individuals with metastatic disease that has spread to the non-SLNs, regardless of the number of nodes involved.\n\nMETHODS: The study group consists of 229 melanoma patients with a positive SLN who underwent regional nodal dissection. Cox proportional hazard regression models were used to assess association of the number of SLNs and non-SLNs involved with disease with overall survival (OS) and disease-free survival (DFS).\n\nRESULTS: DFS and OS were unchanged regardless of how many SLNs were positive, as long as all disease was confined to SLNs. Among 183 patients without involvement of non-SLNs, OS remained the same despite an increasing number of SLNs involved (P = .59). This was true after controlling for ulceration, Breslow depth, age, sex, and adjuvant treatment. Once disease was present beyond the SLN, DFS and OS were negatively affected. Among patients with involvement of non-SLNs, there was no statistically significant association between the number of positive SLNs and survival. The risk of mortality increased with the number of non-SLNs involved with metastatic disease (P &lt; .001).\n\nCONCLUSIONS: The number of regional nodes involved with metastatic disease does not affect DFS and OS if disease is confined to the SLNs. Consideration should be given to specifying SLN versus non-SLN involvement in the American Joint Committee on Cancer staging manual.", "author" : [ { "dropping-particle" : "", "family" : "Jakub", "given" : "James W", "non-dropping-particle" : "", "parse-names" : false, "suffix" : "" }, { "dropping-particle" : "", "family" : "Huebner", "given" : "Marianne", "non-dropping-particle" : "", "parse-names" : false, "suffix" : "" }, { "dropping-particle" : "", "family" : "Shivers", "given" : "Steve", "non-dropping-particle" : "", "parse-names" : false, "suffix" : "" }, { "dropping-particle" : "", "family" : "Nobo", "given" : "Christopher", "non-dropping-particle" : "", "parse-names" : false, "suffix" : "" }, { "dropping-particle" : "", "family" : "Puleo", "given" : "Christopher", "non-dropping-particle" : "", "parse-names" : false, "suffix" : "" }, { "dropping-particle" : "", "family" : "Harmsen", "given" : "William S", "non-dropping-particle" : "", "parse-names" : false, "suffix" : "" }, { "dropping-particle" : "", "family" : "Reintgen", "given" : "Douglas S", "non-dropping-particle" : "", "parse-names" : false, "suffix" : "" } ], "container-title" : "Annals of surgical oncology", "id" : "ITEM-1", "issue" : "8", "issued" : { "date-parts" : [ [ "2009", "8" ] ] }, "page" : "2245-51", "title" : "The number of lymph nodes involved with metastatic disease does not affect outcome in melanoma patients as long as all disease is confined to the sentinel lymph node.", "type" : "article-journal", "volume" : "16" }, "uris" : [ "http://www.mendeley.com/documents/?uuid=fbe213b8-67d5-4eaa-b00e-02735b35827b" ] } ], "mendeley" : { "formattedCitation" : "&lt;sup&gt;164&lt;/sup&gt;", "plainTextFormattedCitation" : "164", "previouslyFormattedCitation" : "&lt;sup&gt;164&lt;/sup&gt;" }, "properties" : { "noteIndex" : 0 }, "schema" : "https://github.com/citation-style-language/schema/raw/master/csl-citation.json" }</w:instrText>
            </w:r>
            <w:r w:rsidRPr="003E73CD">
              <w:rPr>
                <w:sz w:val="16"/>
                <w:szCs w:val="16"/>
              </w:rPr>
              <w:fldChar w:fldCharType="separate"/>
            </w:r>
            <w:r w:rsidRPr="00CE2A17">
              <w:rPr>
                <w:noProof/>
                <w:sz w:val="16"/>
                <w:szCs w:val="16"/>
                <w:vertAlign w:val="superscript"/>
              </w:rPr>
              <w:t>164</w:t>
            </w:r>
            <w:r w:rsidRPr="003E73CD">
              <w:rPr>
                <w:sz w:val="16"/>
                <w:szCs w:val="16"/>
              </w:rPr>
              <w:fldChar w:fldCharType="end"/>
            </w:r>
          </w:p>
        </w:tc>
        <w:tc>
          <w:tcPr>
            <w:tcW w:w="605" w:type="pct"/>
          </w:tcPr>
          <w:p w14:paraId="026397BE" w14:textId="77777777" w:rsidR="00EB738E" w:rsidRPr="003E73CD" w:rsidRDefault="00EB738E" w:rsidP="00EB738E">
            <w:pPr>
              <w:rPr>
                <w:sz w:val="16"/>
                <w:szCs w:val="16"/>
              </w:rPr>
            </w:pPr>
            <w:r w:rsidRPr="003E73CD">
              <w:rPr>
                <w:sz w:val="16"/>
                <w:szCs w:val="16"/>
              </w:rPr>
              <w:t>Florida, USA</w:t>
            </w:r>
          </w:p>
        </w:tc>
        <w:tc>
          <w:tcPr>
            <w:tcW w:w="770" w:type="pct"/>
          </w:tcPr>
          <w:p w14:paraId="41C10F97" w14:textId="77777777" w:rsidR="00EB738E" w:rsidRPr="003E73CD" w:rsidRDefault="00EB738E" w:rsidP="00EB738E">
            <w:pPr>
              <w:rPr>
                <w:sz w:val="16"/>
                <w:szCs w:val="16"/>
              </w:rPr>
            </w:pPr>
            <w:r w:rsidRPr="003E73CD">
              <w:rPr>
                <w:sz w:val="16"/>
                <w:szCs w:val="16"/>
              </w:rPr>
              <w:t>Review of prospective database</w:t>
            </w:r>
          </w:p>
        </w:tc>
        <w:tc>
          <w:tcPr>
            <w:tcW w:w="642" w:type="pct"/>
          </w:tcPr>
          <w:p w14:paraId="267FFD35" w14:textId="77777777" w:rsidR="00EB738E" w:rsidRPr="003E73CD" w:rsidRDefault="00EB738E" w:rsidP="00EB738E">
            <w:pPr>
              <w:rPr>
                <w:sz w:val="16"/>
                <w:szCs w:val="16"/>
              </w:rPr>
            </w:pPr>
            <w:r w:rsidRPr="003E73CD">
              <w:rPr>
                <w:sz w:val="16"/>
                <w:szCs w:val="16"/>
              </w:rPr>
              <w:t>1998-2006</w:t>
            </w:r>
          </w:p>
        </w:tc>
        <w:tc>
          <w:tcPr>
            <w:tcW w:w="574" w:type="pct"/>
          </w:tcPr>
          <w:p w14:paraId="1721B392" w14:textId="77777777" w:rsidR="00EB738E" w:rsidRPr="003E73CD" w:rsidRDefault="00EB738E" w:rsidP="00EB738E">
            <w:pPr>
              <w:rPr>
                <w:sz w:val="16"/>
                <w:szCs w:val="16"/>
              </w:rPr>
            </w:pPr>
            <w:r w:rsidRPr="003E73CD">
              <w:rPr>
                <w:sz w:val="16"/>
                <w:szCs w:val="16"/>
              </w:rPr>
              <w:t>Not stated (mean 38.9)</w:t>
            </w:r>
          </w:p>
        </w:tc>
        <w:tc>
          <w:tcPr>
            <w:tcW w:w="533" w:type="pct"/>
          </w:tcPr>
          <w:p w14:paraId="02F2AF4D" w14:textId="77777777" w:rsidR="00EB738E" w:rsidRPr="003E73CD" w:rsidRDefault="00EB738E" w:rsidP="00EB738E">
            <w:pPr>
              <w:rPr>
                <w:sz w:val="16"/>
                <w:szCs w:val="16"/>
              </w:rPr>
            </w:pPr>
            <w:r w:rsidRPr="003E73CD">
              <w:rPr>
                <w:sz w:val="16"/>
                <w:szCs w:val="16"/>
              </w:rPr>
              <w:t>229</w:t>
            </w:r>
          </w:p>
        </w:tc>
        <w:tc>
          <w:tcPr>
            <w:tcW w:w="512" w:type="pct"/>
          </w:tcPr>
          <w:p w14:paraId="333BC67C" w14:textId="77777777" w:rsidR="00EB738E" w:rsidRPr="003E73CD" w:rsidRDefault="00EB738E" w:rsidP="00EB738E">
            <w:pPr>
              <w:rPr>
                <w:sz w:val="16"/>
                <w:szCs w:val="16"/>
              </w:rPr>
            </w:pPr>
            <w:r w:rsidRPr="003E73CD">
              <w:rPr>
                <w:sz w:val="16"/>
                <w:szCs w:val="16"/>
              </w:rPr>
              <w:t>46 (20.1)</w:t>
            </w:r>
          </w:p>
        </w:tc>
        <w:tc>
          <w:tcPr>
            <w:tcW w:w="560" w:type="pct"/>
          </w:tcPr>
          <w:p w14:paraId="173A4EA8" w14:textId="77777777" w:rsidR="00EB738E" w:rsidRPr="003E73CD" w:rsidRDefault="00EB738E" w:rsidP="00EB738E">
            <w:pPr>
              <w:rPr>
                <w:sz w:val="16"/>
                <w:szCs w:val="16"/>
              </w:rPr>
            </w:pPr>
            <w:r w:rsidRPr="003E73CD">
              <w:rPr>
                <w:sz w:val="16"/>
                <w:szCs w:val="16"/>
              </w:rPr>
              <w:t>Yes</w:t>
            </w:r>
          </w:p>
        </w:tc>
      </w:tr>
      <w:tr w:rsidR="00EB738E" w:rsidRPr="003E73CD" w14:paraId="01318ED4" w14:textId="77777777" w:rsidTr="00EB738E">
        <w:tc>
          <w:tcPr>
            <w:tcW w:w="804" w:type="pct"/>
          </w:tcPr>
          <w:p w14:paraId="10C7F32E" w14:textId="77777777" w:rsidR="00EB738E" w:rsidRPr="003E73CD" w:rsidRDefault="00EB738E" w:rsidP="00EB738E">
            <w:pPr>
              <w:rPr>
                <w:sz w:val="16"/>
                <w:szCs w:val="16"/>
              </w:rPr>
            </w:pPr>
            <w:r w:rsidRPr="003E73CD">
              <w:rPr>
                <w:sz w:val="16"/>
                <w:szCs w:val="16"/>
              </w:rPr>
              <w:t>Wiener (2010)</w:t>
            </w:r>
            <w:r w:rsidRPr="003E73CD">
              <w:rPr>
                <w:sz w:val="16"/>
                <w:szCs w:val="16"/>
              </w:rPr>
              <w:fldChar w:fldCharType="begin" w:fldLock="1"/>
            </w:r>
            <w:r>
              <w:rPr>
                <w:sz w:val="16"/>
                <w:szCs w:val="16"/>
              </w:rPr>
              <w:instrText>ADDIN CSL_CITATION { "citationItems" : [ { "id" : "ITEM-1", "itemData" : { "DOI" : "10.1245/s10434-010-1049-5", "ISSN" : "1534-4681", "PMID" : "20490699", "abstract" : "BACKGROUND: Completion lymph node dissection (CLND) following positive sentinel node biopsy (SNB) for melanoma detects additional nonsentinel node (NSN) metastases in approximately 20% of cases. This study aimed to establish whether NSN status can be predicted, to determine its effect on survival, and to develop survival tree models for the sentinel node (SN) positive population.\n\nMATERIALS AND METHODS: Sydney Melanoma Unit (SMU) patients with at least 1 positive SN, meeting inclusion criteria and treated between October 1992 and June 2005, were identified from the Unit database. Survival characteristics, potential predictors of survival, and NSN status were assessed using the Kaplan-Meier method, Cox regression model, and logistic regression analyses, respectively. Classification tree analysis was performed to identify groups with distinctly different survival characteristics.\n\nRESULTS: A total of 323 SN-positive melanoma patients met the inclusion criteria. On multivariate analysis, age, gender, primary tumor thickness, mitotic rate, number of positive NSNs, or total number of positive nodes were statistically significant predictors of survival. NSN metastasis, found at CLND in 19% of patients, was only predicted to a statistically significant degree by ulceration. Multivariate analyses demonstrated that survival was more closely related to number of positive NSNs than total number of positive nodes. Classification tree analysis revealed 4 prognostically distinct survival groups.\n\nCONCLUSIONS: Patients with NSN metastases could not be reliably identified prior to CLND. Prognosis following CLND was more closely related to number of positive NSNs than total number of positive nodes. Classification tree analysis defined distinctly different survival groups more accurately than use of single-factor analysis.", "author" : [ { "dropping-particle" : "", "family" : "Wiener", "given" : "Martin", "non-dropping-particle" : "", "parse-names" : false, "suffix" : "" }, { "dropping-particle" : "", "family" : "Acland", "given" : "Katharine M", "non-dropping-particle" : "", "parse-names" : false, "suffix" : "" }, { "dropping-particle" : "", "family" : "Shaw", "given" : "Helen M", "non-dropping-particle" : "", "parse-names" : false, "suffix" : "" }, { "dropping-particle" : "", "family" : "Soong", "given" : "Seng-Jaw", "non-dropping-particle" : "", "parse-names" : false, "suffix" : "" }, { "dropping-particle" : "", "family" : "Lin", "given" : "Hui-Yi", "non-dropping-particle" : "", "parse-names" : false, "suffix" : "" }, { "dropping-particle" : "", "family" : "Chen", "given" : "Dung-Tsa", "non-dropping-particle" : "", "parse-names" : false, "suffix" : "" }, { "dropping-particle" : "", "family" : "Scolyer", "given" : "Richard A", "non-dropping-particle" : "", "parse-names" : false, "suffix" : "" }, { "dropping-particle" : "", "family" : "Winstanley", "given" : "Julie B", "non-dropping-particle" : "", "parse-names" : false, "suffix" : "" }, { "dropping-particle" : "", "family" : "Thompson", "given" : "John F", "non-dropping-particle" : "", "parse-names" : false, "suffix" : "" } ], "container-title" : "Annals of surgical oncology", "id" : "ITEM-1", "issue" : "8", "issued" : { "date-parts" : [ [ "2010", "8" ] ] }, "page" : "1995-2005", "title" : "Sentinel node positive melanoma patients: prediction and prognostic significance of nonsentinel node metastases and development of a survival tree model.", "type" : "article-journal", "volume" : "17" }, "uris" : [ "http://www.mendeley.com/documents/?uuid=f4126b0e-1dfd-4ac9-a748-0e48d0c17c53" ] } ], "mendeley" : { "formattedCitation" : "&lt;sup&gt;161&lt;/sup&gt;", "plainTextFormattedCitation" : "161", "previouslyFormattedCitation" : "&lt;sup&gt;161&lt;/sup&gt;" }, "properties" : { "noteIndex" : 0 }, "schema" : "https://github.com/citation-style-language/schema/raw/master/csl-citation.json" }</w:instrText>
            </w:r>
            <w:r w:rsidRPr="003E73CD">
              <w:rPr>
                <w:sz w:val="16"/>
                <w:szCs w:val="16"/>
              </w:rPr>
              <w:fldChar w:fldCharType="separate"/>
            </w:r>
            <w:r w:rsidRPr="00CE2A17">
              <w:rPr>
                <w:noProof/>
                <w:sz w:val="16"/>
                <w:szCs w:val="16"/>
                <w:vertAlign w:val="superscript"/>
              </w:rPr>
              <w:t>161</w:t>
            </w:r>
            <w:r w:rsidRPr="003E73CD">
              <w:rPr>
                <w:sz w:val="16"/>
                <w:szCs w:val="16"/>
              </w:rPr>
              <w:fldChar w:fldCharType="end"/>
            </w:r>
          </w:p>
        </w:tc>
        <w:tc>
          <w:tcPr>
            <w:tcW w:w="605" w:type="pct"/>
          </w:tcPr>
          <w:p w14:paraId="61C8D9F1" w14:textId="77777777" w:rsidR="00EB738E" w:rsidRPr="003E73CD" w:rsidRDefault="00EB738E" w:rsidP="00EB738E">
            <w:pPr>
              <w:rPr>
                <w:sz w:val="16"/>
                <w:szCs w:val="16"/>
              </w:rPr>
            </w:pPr>
            <w:r w:rsidRPr="003E73CD">
              <w:rPr>
                <w:sz w:val="16"/>
                <w:szCs w:val="16"/>
              </w:rPr>
              <w:t>Sydney, Australia</w:t>
            </w:r>
          </w:p>
        </w:tc>
        <w:tc>
          <w:tcPr>
            <w:tcW w:w="770" w:type="pct"/>
          </w:tcPr>
          <w:p w14:paraId="715DCF29" w14:textId="77777777" w:rsidR="00EB738E" w:rsidRPr="003E73CD" w:rsidRDefault="00EB738E" w:rsidP="00EB738E">
            <w:pPr>
              <w:rPr>
                <w:sz w:val="16"/>
                <w:szCs w:val="16"/>
              </w:rPr>
            </w:pPr>
            <w:r w:rsidRPr="003E73CD">
              <w:rPr>
                <w:sz w:val="16"/>
                <w:szCs w:val="16"/>
              </w:rPr>
              <w:t>Review of prospective database</w:t>
            </w:r>
          </w:p>
        </w:tc>
        <w:tc>
          <w:tcPr>
            <w:tcW w:w="642" w:type="pct"/>
          </w:tcPr>
          <w:p w14:paraId="36E14537" w14:textId="77777777" w:rsidR="00EB738E" w:rsidRPr="003E73CD" w:rsidRDefault="00EB738E" w:rsidP="00EB738E">
            <w:pPr>
              <w:rPr>
                <w:sz w:val="16"/>
                <w:szCs w:val="16"/>
              </w:rPr>
            </w:pPr>
            <w:r w:rsidRPr="003E73CD">
              <w:rPr>
                <w:sz w:val="16"/>
                <w:szCs w:val="16"/>
              </w:rPr>
              <w:t>1992-2005</w:t>
            </w:r>
          </w:p>
        </w:tc>
        <w:tc>
          <w:tcPr>
            <w:tcW w:w="574" w:type="pct"/>
          </w:tcPr>
          <w:p w14:paraId="7B29296A" w14:textId="77777777" w:rsidR="00EB738E" w:rsidRPr="003E73CD" w:rsidRDefault="00EB738E" w:rsidP="00EB738E">
            <w:pPr>
              <w:rPr>
                <w:sz w:val="16"/>
                <w:szCs w:val="16"/>
              </w:rPr>
            </w:pPr>
            <w:r w:rsidRPr="003E73CD">
              <w:rPr>
                <w:sz w:val="16"/>
                <w:szCs w:val="16"/>
              </w:rPr>
              <w:t>40</w:t>
            </w:r>
          </w:p>
        </w:tc>
        <w:tc>
          <w:tcPr>
            <w:tcW w:w="533" w:type="pct"/>
          </w:tcPr>
          <w:p w14:paraId="7526D0EC" w14:textId="77777777" w:rsidR="00EB738E" w:rsidRPr="003E73CD" w:rsidRDefault="00EB738E" w:rsidP="00EB738E">
            <w:pPr>
              <w:rPr>
                <w:sz w:val="16"/>
                <w:szCs w:val="16"/>
              </w:rPr>
            </w:pPr>
            <w:r w:rsidRPr="003E73CD">
              <w:rPr>
                <w:sz w:val="16"/>
                <w:szCs w:val="16"/>
              </w:rPr>
              <w:t>323</w:t>
            </w:r>
          </w:p>
        </w:tc>
        <w:tc>
          <w:tcPr>
            <w:tcW w:w="512" w:type="pct"/>
          </w:tcPr>
          <w:p w14:paraId="6D29F308" w14:textId="77777777" w:rsidR="00EB738E" w:rsidRPr="003E73CD" w:rsidRDefault="00EB738E" w:rsidP="00EB738E">
            <w:pPr>
              <w:rPr>
                <w:sz w:val="16"/>
                <w:szCs w:val="16"/>
              </w:rPr>
            </w:pPr>
            <w:r w:rsidRPr="003E73CD">
              <w:rPr>
                <w:sz w:val="16"/>
                <w:szCs w:val="16"/>
              </w:rPr>
              <w:t>60 (18.6)</w:t>
            </w:r>
          </w:p>
        </w:tc>
        <w:tc>
          <w:tcPr>
            <w:tcW w:w="560" w:type="pct"/>
          </w:tcPr>
          <w:p w14:paraId="7D5D5923" w14:textId="77777777" w:rsidR="00EB738E" w:rsidRPr="003E73CD" w:rsidRDefault="00EB738E" w:rsidP="00EB738E">
            <w:pPr>
              <w:rPr>
                <w:sz w:val="16"/>
                <w:szCs w:val="16"/>
              </w:rPr>
            </w:pPr>
            <w:r w:rsidRPr="003E73CD">
              <w:rPr>
                <w:sz w:val="16"/>
                <w:szCs w:val="16"/>
              </w:rPr>
              <w:t>Yes</w:t>
            </w:r>
          </w:p>
        </w:tc>
      </w:tr>
      <w:tr w:rsidR="00EB738E" w:rsidRPr="003E73CD" w14:paraId="72E18385" w14:textId="77777777" w:rsidTr="00EB738E">
        <w:tc>
          <w:tcPr>
            <w:tcW w:w="804" w:type="pct"/>
          </w:tcPr>
          <w:p w14:paraId="6540F8E9" w14:textId="77777777" w:rsidR="00EB738E" w:rsidRPr="003E73CD" w:rsidRDefault="00EB738E" w:rsidP="00EB738E">
            <w:pPr>
              <w:rPr>
                <w:sz w:val="16"/>
                <w:szCs w:val="16"/>
              </w:rPr>
            </w:pPr>
            <w:r w:rsidRPr="003E73CD">
              <w:rPr>
                <w:sz w:val="16"/>
                <w:szCs w:val="16"/>
              </w:rPr>
              <w:t>Brown (2010)</w:t>
            </w:r>
            <w:r w:rsidRPr="003E73CD">
              <w:rPr>
                <w:sz w:val="16"/>
                <w:szCs w:val="16"/>
              </w:rPr>
              <w:fldChar w:fldCharType="begin" w:fldLock="1"/>
            </w:r>
            <w:r>
              <w:rPr>
                <w:sz w:val="16"/>
                <w:szCs w:val="16"/>
              </w:rPr>
              <w:instrText>ADDIN CSL_CITATION { "citationItems" : [ { "id" : "ITEM-1", "itemData" : { "DOI" : "10.1245/s10434-010-1208-8", "ISSN" : "1534-4681", "PMID" : "20645010", "abstract" : "BACKGROUND: We hypothesized that metastasis beyond the sentinel lymph nodes (SLN) to the nonsentinel nodes (NSN) is an important predictor of survival.\n\nMATERIALS AND METHODS: Analysis was performed of a prospective multi-institutional study that included patients with melanoma \u2265 1.0 mm in Breslow thickness. All patients underwent SLN biopsy; completion lymphadenectomy was performed for all SLN metastases. Disease-free survival (DFS) and overall survival (OS) were computed by Kaplan-Meier analysis; univariate and multivariate analyses were performed to identify factors associated with differences in survival among groups.\n\nRESULTS: A total of 2335 patients were analyzed over a median follow-up of 68 months. We compared 3 groups: SLN negative (n = 1988), SLN-only positive (n = 296), and both SLN and NSN positive (n = 51). The 5-year DFS rates were 85.5, 64.8, and 42.6% for groups 1, 2, and 3, respectively (P &lt; 0.001). The 5-year OS rates were 85.5, 64.9, and 49.4%, respectively (P &lt; 0.001). On univariate analysis, predictors of decreased OS included: SLN metastasis, NSN metastasis, increased total number of positive LN, increased ratio of positive LN to total LN, increased age, male gender, increased Breslow thickness, presence of ulceration, Clark level \u2265 IV, and axial primary site (in all cases, P &lt; 0.01). When the total number of positive LN and NSN status were evaluated using multivariate analysis, NSN status remained statistically significant (P &lt; 0.01), while the total number of positive LN and LN ratio did not.\n\nCONCLUSIONS: NSN melanoma metastasis is an independent prognostic factor for DFS and OS, which is distinct from the number of positive lymph nodes or the lymph node ratio.", "author" : [ { "dropping-particle" : "", "family" : "Brown", "given" : "Russell E", "non-dropping-particle" : "", "parse-names" : false, "suffix" : "" }, { "dropping-particle" : "", "family" : "Ross", "given" : "Merrick I", "non-dropping-particle" : "", "parse-names" : false, "suffix" : "" }, { "dropping-particle" : "", "family" : "Edwards", "given" : "Michael J", "non-dropping-particle" : "", "parse-names" : false, "suffix" : "" }, { "dropping-particle" : "", "family" : "Noyes", "given" : "R Dirk", "non-dropping-particle" : "", "parse-names" : false, "suffix" : "" }, { "dropping-particle" : "", "family" : "Reintgen", "given" : "Douglas S", "non-dropping-particle" : "", "parse-names" : false, "suffix" : "" }, { "dropping-particle" : "", "family" : "Hagendoorn", "given" : "Lee J", "non-dropping-particle" : "", "parse-names" : false, "suffix" : "" }, { "dropping-particle" : "", "family" : "Stromberg", "given" : "Arnold J", "non-dropping-particle" : "", "parse-names" : false, "suffix" : "" }, { "dropping-particle" : "", "family" : "Martin", "given" : "Robert C G", "non-dropping-particle" : "", "parse-names" : false, "suffix" : "" }, { "dropping-particle" : "", "family" : "McMasters", "given" : "Kelly M", "non-dropping-particle" : "", "parse-names" : false, "suffix" : "" }, { "dropping-particle" : "", "family" : "Scoggins", "given" : "Charles R", "non-dropping-particle" : "", "parse-names" : false, "suffix" : "" } ], "container-title" : "Annals of surgical oncology", "id" : "ITEM-1", "issue" : "12", "issued" : { "date-parts" : [ [ "2010", "12" ] ] }, "page" : "3330-5", "title" : "The prognostic significance of nonsentinel lymph node metastasis in melanoma.", "type" : "article-journal", "volume" : "17" }, "uris" : [ "http://www.mendeley.com/documents/?uuid=9bb9c781-1dfe-43aa-99d2-d21c3065f5aa" ] } ], "mendeley" : { "formattedCitation" : "&lt;sup&gt;176&lt;/sup&gt;", "plainTextFormattedCitation" : "176", "previouslyFormattedCitation" : "&lt;sup&gt;176&lt;/sup&gt;" }, "properties" : { "noteIndex" : 0 }, "schema" : "https://github.com/citation-style-language/schema/raw/master/csl-citation.json" }</w:instrText>
            </w:r>
            <w:r w:rsidRPr="003E73CD">
              <w:rPr>
                <w:sz w:val="16"/>
                <w:szCs w:val="16"/>
              </w:rPr>
              <w:fldChar w:fldCharType="separate"/>
            </w:r>
            <w:r w:rsidRPr="00217FAC">
              <w:rPr>
                <w:noProof/>
                <w:sz w:val="16"/>
                <w:szCs w:val="16"/>
                <w:vertAlign w:val="superscript"/>
              </w:rPr>
              <w:t>176</w:t>
            </w:r>
            <w:r w:rsidRPr="003E73CD">
              <w:rPr>
                <w:sz w:val="16"/>
                <w:szCs w:val="16"/>
              </w:rPr>
              <w:fldChar w:fldCharType="end"/>
            </w:r>
          </w:p>
        </w:tc>
        <w:tc>
          <w:tcPr>
            <w:tcW w:w="605" w:type="pct"/>
          </w:tcPr>
          <w:p w14:paraId="0899EEB2" w14:textId="77777777" w:rsidR="00EB738E" w:rsidRPr="003E73CD" w:rsidRDefault="00EB738E" w:rsidP="00EB738E">
            <w:pPr>
              <w:rPr>
                <w:sz w:val="16"/>
                <w:szCs w:val="16"/>
              </w:rPr>
            </w:pPr>
            <w:r w:rsidRPr="003E73CD">
              <w:rPr>
                <w:sz w:val="16"/>
                <w:szCs w:val="16"/>
              </w:rPr>
              <w:t>SUNBELT trial (USA and Canada)</w:t>
            </w:r>
          </w:p>
        </w:tc>
        <w:tc>
          <w:tcPr>
            <w:tcW w:w="770" w:type="pct"/>
          </w:tcPr>
          <w:p w14:paraId="1466DEC2" w14:textId="77777777" w:rsidR="00EB738E" w:rsidRPr="003E73CD" w:rsidRDefault="00EB738E" w:rsidP="00EB738E">
            <w:pPr>
              <w:rPr>
                <w:sz w:val="16"/>
                <w:szCs w:val="16"/>
              </w:rPr>
            </w:pPr>
            <w:r w:rsidRPr="003E73CD">
              <w:rPr>
                <w:sz w:val="16"/>
                <w:szCs w:val="16"/>
              </w:rPr>
              <w:t>Post-hoc analysis of trial database</w:t>
            </w:r>
          </w:p>
        </w:tc>
        <w:tc>
          <w:tcPr>
            <w:tcW w:w="642" w:type="pct"/>
          </w:tcPr>
          <w:p w14:paraId="497C85E1" w14:textId="77777777" w:rsidR="00EB738E" w:rsidRPr="003E73CD" w:rsidRDefault="00EB738E" w:rsidP="00EB738E">
            <w:pPr>
              <w:rPr>
                <w:sz w:val="16"/>
                <w:szCs w:val="16"/>
              </w:rPr>
            </w:pPr>
            <w:r w:rsidRPr="003E73CD">
              <w:rPr>
                <w:sz w:val="16"/>
                <w:szCs w:val="16"/>
              </w:rPr>
              <w:t>1997-2003 with analysis of follow-up data until 2009</w:t>
            </w:r>
          </w:p>
        </w:tc>
        <w:tc>
          <w:tcPr>
            <w:tcW w:w="574" w:type="pct"/>
          </w:tcPr>
          <w:p w14:paraId="4928D491" w14:textId="77777777" w:rsidR="00EB738E" w:rsidRPr="003E73CD" w:rsidRDefault="00EB738E" w:rsidP="00EB738E">
            <w:pPr>
              <w:rPr>
                <w:sz w:val="16"/>
                <w:szCs w:val="16"/>
              </w:rPr>
            </w:pPr>
            <w:r w:rsidRPr="003E73CD">
              <w:rPr>
                <w:sz w:val="16"/>
                <w:szCs w:val="16"/>
              </w:rPr>
              <w:t>68</w:t>
            </w:r>
          </w:p>
        </w:tc>
        <w:tc>
          <w:tcPr>
            <w:tcW w:w="533" w:type="pct"/>
          </w:tcPr>
          <w:p w14:paraId="3E6F919F" w14:textId="77777777" w:rsidR="00EB738E" w:rsidRPr="003E73CD" w:rsidRDefault="00EB738E" w:rsidP="00EB738E">
            <w:pPr>
              <w:rPr>
                <w:sz w:val="16"/>
                <w:szCs w:val="16"/>
              </w:rPr>
            </w:pPr>
            <w:r w:rsidRPr="003E73CD">
              <w:rPr>
                <w:sz w:val="16"/>
                <w:szCs w:val="16"/>
              </w:rPr>
              <w:t>347</w:t>
            </w:r>
          </w:p>
        </w:tc>
        <w:tc>
          <w:tcPr>
            <w:tcW w:w="512" w:type="pct"/>
          </w:tcPr>
          <w:p w14:paraId="59325D86" w14:textId="77777777" w:rsidR="00EB738E" w:rsidRPr="003E73CD" w:rsidRDefault="00EB738E" w:rsidP="00EB738E">
            <w:pPr>
              <w:rPr>
                <w:sz w:val="16"/>
                <w:szCs w:val="16"/>
              </w:rPr>
            </w:pPr>
            <w:r w:rsidRPr="003E73CD">
              <w:rPr>
                <w:sz w:val="16"/>
                <w:szCs w:val="16"/>
              </w:rPr>
              <w:t>51 (14.7)</w:t>
            </w:r>
          </w:p>
        </w:tc>
        <w:tc>
          <w:tcPr>
            <w:tcW w:w="560" w:type="pct"/>
          </w:tcPr>
          <w:p w14:paraId="7C3AB292" w14:textId="77777777" w:rsidR="00EB738E" w:rsidRPr="003E73CD" w:rsidRDefault="00EB738E" w:rsidP="00EB738E">
            <w:pPr>
              <w:rPr>
                <w:sz w:val="16"/>
                <w:szCs w:val="16"/>
              </w:rPr>
            </w:pPr>
            <w:r w:rsidRPr="003E73CD">
              <w:rPr>
                <w:sz w:val="16"/>
                <w:szCs w:val="16"/>
              </w:rPr>
              <w:t>Yes</w:t>
            </w:r>
          </w:p>
        </w:tc>
      </w:tr>
      <w:tr w:rsidR="00EB738E" w:rsidRPr="003E73CD" w14:paraId="46B689E8" w14:textId="77777777" w:rsidTr="00EB738E">
        <w:tc>
          <w:tcPr>
            <w:tcW w:w="804" w:type="pct"/>
          </w:tcPr>
          <w:p w14:paraId="507F8884" w14:textId="77777777" w:rsidR="00EB738E" w:rsidRPr="003E73CD" w:rsidRDefault="00EB738E" w:rsidP="00EB738E">
            <w:pPr>
              <w:rPr>
                <w:sz w:val="16"/>
                <w:szCs w:val="16"/>
              </w:rPr>
            </w:pPr>
            <w:r w:rsidRPr="003E73CD">
              <w:rPr>
                <w:sz w:val="16"/>
                <w:szCs w:val="16"/>
              </w:rPr>
              <w:t>Egger</w:t>
            </w:r>
            <w:r w:rsidRPr="003E73CD">
              <w:rPr>
                <w:sz w:val="16"/>
                <w:szCs w:val="16"/>
                <w:vertAlign w:val="superscript"/>
              </w:rPr>
              <w:t>a</w:t>
            </w:r>
            <w:r w:rsidRPr="003E73CD">
              <w:rPr>
                <w:sz w:val="16"/>
                <w:szCs w:val="16"/>
              </w:rPr>
              <w:t xml:space="preserve"> (2013) (Ann Surg Oncol)</w:t>
            </w:r>
            <w:r w:rsidRPr="003E73CD">
              <w:rPr>
                <w:sz w:val="16"/>
                <w:szCs w:val="16"/>
              </w:rPr>
              <w:fldChar w:fldCharType="begin" w:fldLock="1"/>
            </w:r>
            <w:r>
              <w:rPr>
                <w:sz w:val="16"/>
                <w:szCs w:val="16"/>
              </w:rPr>
              <w:instrText>ADDIN CSL_CITATION { "citationItems" : [ { "id" : "ITEM-1", "itemData" : { "DOI" : "10.1245/s10434-012-2701-z", "ISSN" : "1534-4681", "PMID" : "23064795", "abstract" : "BACKGROUND: Sentinel lymph node (SLN) biopsy for melanoma often detects minimal nodal tumor burden. Although all node-positive patients are considered stage III, there is controversy regarding the necessity of adjuvant therapy for all patients with tumor-positive SLN.\n\nMETHODS: Post hoc analysis was performed of a prospective multi-institutional study of patients with melanoma \u2265 1.0 mm Breslow thickness. All patients underwent SLN biopsy; completion lymphadenectomy was performed for patients with SLN metastasis. Kaplan-Meier analysis of disease-free survival (DFS) and overall survival (OS) was performed. Univariate and multivariate Cox regression analyses were performed. Classification and regression tree (CART) analysis also was performed.\n\nRESULTS: A total of 509 patients with tumor-positive SLN were evaluated. Independent risk factors for worse OS included thickness, age, gender, presence of ulceration, and tumor-positive non-SLN (nodal metastasis found on completion lymphadenectomy). As the number of tumor-positive SLN and the total number of tumor-positive nodes (SLN and non-SLN) increased, DFS and OS worsened on Kaplan-Meier analysis. On CART analysis, the 5-year OS rates ranged from 84.9% (women with thickness &lt; 2.1 mm, age &lt; 59 years, no ulceration, and tumor-negative non-SLN) to 14.3% (men with thickness \u2265 2.1 mm, age \u2265 59 years, ulceration present, and tumor-positive non-SLN). Six distinct subgroups were identified with 5-year OS in excess of 70%.\n\nCONCLUSIONS: Stage III melanoma in the era of SLN is associated with a very wide range of prognosis. CART analysis of prognostic factors allows discrimination of low-risk subgroups for which adjuvant therapy may not be warranted.", "author" : [ { "dropping-particle" : "", "family" : "Egger", "given" : "Michael E", "non-dropping-particle" : "", "parse-names" : false, "suffix" : "" }, { "dropping-particle" : "", "family" : "Callender", "given" : "Glenda G", "non-dropping-particle" : "", "parse-names" : false, "suffix" : "" }, { "dropping-particle" : "", "family" : "McMasters", "given" : "Kelly M", "non-dropping-particle" : "", "parse-names" : false, "suffix" : "" }, { "dropping-particle" : "", "family" : "Ross", "given" : "Merrick I", "non-dropping-particle" : "", "parse-names" : false, "suffix" : "" }, { "dropping-particle" : "", "family" : "Martin", "given" : "Robert C G", "non-dropping-particle" : "", "parse-names" : false, "suffix" : "" }, { "dropping-particle" : "", "family" : "Edwards", "given" : "Michael J", "non-dropping-particle" : "", "parse-names" : false, "suffix" : "" }, { "dropping-particle" : "", "family" : "Urist", "given" : "Marshall M", "non-dropping-particle" : "", "parse-names" : false, "suffix" : "" }, { "dropping-particle" : "", "family" : "Noyes", "given" : "R Dirk", "non-dropping-particle" : "", "parse-names" : false, "suffix" : "" }, { "dropping-particle" : "", "family" : "Sussman", "given" : "Jeffrey J", "non-dropping-particle" : "", "parse-names" : false, "suffix" : "" }, { "dropping-particle" : "", "family" : "Reintgen", "given" : "Douglas S", "non-dropping-particle" : "", "parse-names" : false, "suffix" : "" }, { "dropping-particle" : "", "family" : "Stromberg", "given" : "Arnold J", "non-dropping-particle" : "", "parse-names" : false, "suffix" : "" }, { "dropping-particle" : "", "family" : "Scoggins", "given" : "Charles R", "non-dropping-particle" : "", "parse-names" : false, "suffix" : "" } ], "container-title" : "Annals of surgical oncology", "id" : "ITEM-1", "issue" : "3", "issued" : { "date-parts" : [ [ "2013", "3" ] ] }, "page" : "956-63", "title" : "Diversity of stage III melanoma in the era of sentinel lymph node biopsy.", "type" : "article-journal", "volume" : "20" }, "uris" : [ "http://www.mendeley.com/documents/?uuid=59503490-f299-41ae-b17d-0e482477adcc" ] } ], "mendeley" : { "formattedCitation" : "&lt;sup&gt;178&lt;/sup&gt;", "plainTextFormattedCitation" : "178", "previouslyFormattedCitation" : "&lt;sup&gt;178&lt;/sup&gt;" }, "properties" : { "noteIndex" : 0 }, "schema" : "https://github.com/citation-style-language/schema/raw/master/csl-citation.json" }</w:instrText>
            </w:r>
            <w:r w:rsidRPr="003E73CD">
              <w:rPr>
                <w:sz w:val="16"/>
                <w:szCs w:val="16"/>
              </w:rPr>
              <w:fldChar w:fldCharType="separate"/>
            </w:r>
            <w:r w:rsidRPr="00217FAC">
              <w:rPr>
                <w:noProof/>
                <w:sz w:val="16"/>
                <w:szCs w:val="16"/>
                <w:vertAlign w:val="superscript"/>
              </w:rPr>
              <w:t>178</w:t>
            </w:r>
            <w:r w:rsidRPr="003E73CD">
              <w:rPr>
                <w:sz w:val="16"/>
                <w:szCs w:val="16"/>
              </w:rPr>
              <w:fldChar w:fldCharType="end"/>
            </w:r>
          </w:p>
        </w:tc>
        <w:tc>
          <w:tcPr>
            <w:tcW w:w="605" w:type="pct"/>
          </w:tcPr>
          <w:p w14:paraId="47A50BE4" w14:textId="77777777" w:rsidR="00EB738E" w:rsidRPr="003E73CD" w:rsidRDefault="00EB738E" w:rsidP="00EB738E">
            <w:pPr>
              <w:rPr>
                <w:sz w:val="16"/>
                <w:szCs w:val="16"/>
              </w:rPr>
            </w:pPr>
            <w:r w:rsidRPr="003E73CD">
              <w:rPr>
                <w:sz w:val="16"/>
                <w:szCs w:val="16"/>
              </w:rPr>
              <w:t>SUNBELT trial (USA and Canada)</w:t>
            </w:r>
          </w:p>
        </w:tc>
        <w:tc>
          <w:tcPr>
            <w:tcW w:w="770" w:type="pct"/>
          </w:tcPr>
          <w:p w14:paraId="21C5FECD" w14:textId="77777777" w:rsidR="00EB738E" w:rsidRPr="003E73CD" w:rsidRDefault="00EB738E" w:rsidP="00EB738E">
            <w:pPr>
              <w:rPr>
                <w:sz w:val="16"/>
                <w:szCs w:val="16"/>
              </w:rPr>
            </w:pPr>
            <w:r w:rsidRPr="003E73CD">
              <w:rPr>
                <w:sz w:val="16"/>
                <w:szCs w:val="16"/>
              </w:rPr>
              <w:t>Post-hoc analysis of trial database</w:t>
            </w:r>
          </w:p>
        </w:tc>
        <w:tc>
          <w:tcPr>
            <w:tcW w:w="642" w:type="pct"/>
          </w:tcPr>
          <w:p w14:paraId="43CCB133" w14:textId="77777777" w:rsidR="00EB738E" w:rsidRPr="003E73CD" w:rsidRDefault="00EB738E" w:rsidP="00EB738E">
            <w:pPr>
              <w:rPr>
                <w:sz w:val="16"/>
                <w:szCs w:val="16"/>
              </w:rPr>
            </w:pPr>
            <w:r w:rsidRPr="003E73CD">
              <w:rPr>
                <w:sz w:val="16"/>
                <w:szCs w:val="16"/>
              </w:rPr>
              <w:t>Not stated (1997-2003 = trial enrollment period)</w:t>
            </w:r>
          </w:p>
        </w:tc>
        <w:tc>
          <w:tcPr>
            <w:tcW w:w="574" w:type="pct"/>
          </w:tcPr>
          <w:p w14:paraId="1EB6CA3F" w14:textId="77777777" w:rsidR="00EB738E" w:rsidRPr="003E73CD" w:rsidRDefault="00EB738E" w:rsidP="00EB738E">
            <w:pPr>
              <w:rPr>
                <w:sz w:val="16"/>
                <w:szCs w:val="16"/>
              </w:rPr>
            </w:pPr>
            <w:r w:rsidRPr="003E73CD">
              <w:rPr>
                <w:sz w:val="16"/>
                <w:szCs w:val="16"/>
              </w:rPr>
              <w:t>58</w:t>
            </w:r>
          </w:p>
        </w:tc>
        <w:tc>
          <w:tcPr>
            <w:tcW w:w="533" w:type="pct"/>
          </w:tcPr>
          <w:p w14:paraId="657988C2" w14:textId="77777777" w:rsidR="00EB738E" w:rsidRPr="003E73CD" w:rsidRDefault="00EB738E" w:rsidP="00EB738E">
            <w:pPr>
              <w:rPr>
                <w:sz w:val="16"/>
                <w:szCs w:val="16"/>
              </w:rPr>
            </w:pPr>
            <w:r w:rsidRPr="003E73CD">
              <w:rPr>
                <w:sz w:val="16"/>
                <w:szCs w:val="16"/>
              </w:rPr>
              <w:t>509</w:t>
            </w:r>
          </w:p>
        </w:tc>
        <w:tc>
          <w:tcPr>
            <w:tcW w:w="512" w:type="pct"/>
          </w:tcPr>
          <w:p w14:paraId="02806B53" w14:textId="77777777" w:rsidR="00EB738E" w:rsidRPr="003E73CD" w:rsidRDefault="00EB738E" w:rsidP="00EB738E">
            <w:pPr>
              <w:rPr>
                <w:sz w:val="16"/>
                <w:szCs w:val="16"/>
              </w:rPr>
            </w:pPr>
            <w:r w:rsidRPr="003E73CD">
              <w:rPr>
                <w:sz w:val="16"/>
                <w:szCs w:val="16"/>
              </w:rPr>
              <w:t>51 (10.0)</w:t>
            </w:r>
          </w:p>
        </w:tc>
        <w:tc>
          <w:tcPr>
            <w:tcW w:w="560" w:type="pct"/>
          </w:tcPr>
          <w:p w14:paraId="13A1F166" w14:textId="77777777" w:rsidR="00EB738E" w:rsidRPr="003E73CD" w:rsidRDefault="00EB738E" w:rsidP="00EB738E">
            <w:pPr>
              <w:rPr>
                <w:sz w:val="16"/>
                <w:szCs w:val="16"/>
              </w:rPr>
            </w:pPr>
            <w:r w:rsidRPr="003E73CD">
              <w:rPr>
                <w:sz w:val="16"/>
                <w:szCs w:val="16"/>
              </w:rPr>
              <w:t>Yes</w:t>
            </w:r>
          </w:p>
        </w:tc>
      </w:tr>
      <w:tr w:rsidR="00EB738E" w:rsidRPr="003E73CD" w14:paraId="5872CE64" w14:textId="77777777" w:rsidTr="00EB738E">
        <w:tc>
          <w:tcPr>
            <w:tcW w:w="804" w:type="pct"/>
          </w:tcPr>
          <w:p w14:paraId="63D56E6F" w14:textId="77777777" w:rsidR="00EB738E" w:rsidRPr="003E73CD" w:rsidRDefault="00EB738E" w:rsidP="00EB738E">
            <w:pPr>
              <w:rPr>
                <w:sz w:val="16"/>
                <w:szCs w:val="16"/>
              </w:rPr>
            </w:pPr>
            <w:r w:rsidRPr="003E73CD">
              <w:rPr>
                <w:sz w:val="16"/>
                <w:szCs w:val="16"/>
              </w:rPr>
              <w:t>Reintgen (2013)</w:t>
            </w:r>
            <w:r w:rsidRPr="003E73CD">
              <w:rPr>
                <w:sz w:val="16"/>
                <w:szCs w:val="16"/>
              </w:rPr>
              <w:fldChar w:fldCharType="begin" w:fldLock="1"/>
            </w:r>
            <w:r>
              <w:rPr>
                <w:sz w:val="16"/>
                <w:szCs w:val="16"/>
              </w:rPr>
              <w:instrText>ADDIN CSL_CITATION { "citationItems" : [ { "id" : "ITEM-1", "itemData" : { "DOI" : "10.1245/s10434-012-2652-4", "ISSN" : "1534-4681", "PMID" : "23054112", "abstract" : "BACKGROUND: The hypothesis tested in this study was whether patients with stage III metastatic melanoma confined to their sentinel lymph nodes (SLNs) had a more favorable prognosis than patients who had SLN and non-SLN (NSLN) metastases.\n\nMETHODS: Patients were identified who were clinically negative in their regional basins but with lymphatic mapping were found to have positive SLNs (331 patients). All patients subsequently underwent a complete lymph node dissection of the lymphatic basin involved, and the total number of metastatic SLNs and NSLNs were documented.\n\nRESULTS: As the regional metastatic disease involves NSLNs, disease-free survival (DFS) and overall survival (OS) decreases. For patients with a total of 2 nodes positive, those with disease confined to the SLNs had a significant better prognosis (DFS and OS: P &lt; .00001) than those in whom 1 SLN and 1 non-SLN was involved. This difference was apparent for those patients with N2 and N3 disease (2 or more nodes positive in their regional basin). A multivariate regression analysis that included Breslow thickness, ulceration, number of positive nodes, and NSLN positivity showed that NSLN positivity (P = .0019) was the most powerful predictor of DFS and OS.\n\nCONCLUSIONS: When metastatic melanoma overwhelms the SLN and involves NSLNs, the biologic behavior changes to portend a worse survival, regardless of the total node count positive. These data make the argument that the current N staging system should be changed to incorporate SLN vs NSLN involvement.", "author" : [ { "dropping-particle" : "", "family" : "Reintgen", "given" : "Michael", "non-dropping-particle" : "", "parse-names" : false, "suffix" : "" }, { "dropping-particle" : "", "family" : "Murray", "given" : "Lauren", "non-dropping-particle" : "", "parse-names" : false, "suffix" : "" }, { "dropping-particle" : "", "family" : "Akman", "given" : "Kurt", "non-dropping-particle" : "", "parse-names" : false, "suffix" : "" }, { "dropping-particle" : "", "family" : "Giuliano", "given" : "Rosemary", "non-dropping-particle" : "", "parse-names" : false, "suffix" : "" }, { "dropping-particle" : "", "family" : "Lozicki", "given" : "Alyson", "non-dropping-particle" : "", "parse-names" : false, "suffix" : "" }, { "dropping-particle" : "", "family" : "Shivers", "given" : "Steve", "non-dropping-particle" : "", "parse-names" : false, "suffix" : "" }, { "dropping-particle" : "", "family" : "Reintgen", "given" : "Douglas", "non-dropping-particle" : "", "parse-names" : false, "suffix" : "" } ], "container-title" : "Annals of surgical oncology", "id" : "ITEM-1", "issue" : "2", "issued" : { "date-parts" : [ [ "2013", "2" ] ] }, "page" : "668-74", "title" : "Evidence for a better nodal staging system for melanoma: the clinical relevance of metastatic disease confined to the sentinel lymph nodes.", "type" : "article-journal", "volume" : "20" }, "uris" : [ "http://www.mendeley.com/documents/?uuid=e3b246fc-a4f8-44f0-a585-5efac6b33d2e" ] } ], "mendeley" : { "formattedCitation" : "&lt;sup&gt;179&lt;/sup&gt;", "plainTextFormattedCitation" : "179", "previouslyFormattedCitation" : "&lt;sup&gt;179&lt;/sup&gt;" }, "properties" : { "noteIndex" : 0 }, "schema" : "https://github.com/citation-style-language/schema/raw/master/csl-citation.json" }</w:instrText>
            </w:r>
            <w:r w:rsidRPr="003E73CD">
              <w:rPr>
                <w:sz w:val="16"/>
                <w:szCs w:val="16"/>
              </w:rPr>
              <w:fldChar w:fldCharType="separate"/>
            </w:r>
            <w:r w:rsidRPr="00217FAC">
              <w:rPr>
                <w:noProof/>
                <w:sz w:val="16"/>
                <w:szCs w:val="16"/>
                <w:vertAlign w:val="superscript"/>
              </w:rPr>
              <w:t>179</w:t>
            </w:r>
            <w:r w:rsidRPr="003E73CD">
              <w:rPr>
                <w:sz w:val="16"/>
                <w:szCs w:val="16"/>
              </w:rPr>
              <w:fldChar w:fldCharType="end"/>
            </w:r>
          </w:p>
        </w:tc>
        <w:tc>
          <w:tcPr>
            <w:tcW w:w="605" w:type="pct"/>
          </w:tcPr>
          <w:p w14:paraId="0DFA7A69" w14:textId="77777777" w:rsidR="00EB738E" w:rsidRPr="003E73CD" w:rsidRDefault="00EB738E" w:rsidP="00EB738E">
            <w:pPr>
              <w:rPr>
                <w:sz w:val="16"/>
                <w:szCs w:val="16"/>
              </w:rPr>
            </w:pPr>
            <w:r w:rsidRPr="003E73CD">
              <w:rPr>
                <w:sz w:val="16"/>
                <w:szCs w:val="16"/>
              </w:rPr>
              <w:t>Florida, USA</w:t>
            </w:r>
          </w:p>
        </w:tc>
        <w:tc>
          <w:tcPr>
            <w:tcW w:w="770" w:type="pct"/>
          </w:tcPr>
          <w:p w14:paraId="5D36B8B4" w14:textId="77777777" w:rsidR="00EB738E" w:rsidRPr="003E73CD" w:rsidRDefault="00EB738E" w:rsidP="00EB738E">
            <w:pPr>
              <w:rPr>
                <w:sz w:val="16"/>
                <w:szCs w:val="16"/>
              </w:rPr>
            </w:pPr>
            <w:r w:rsidRPr="003E73CD">
              <w:rPr>
                <w:sz w:val="16"/>
                <w:szCs w:val="16"/>
              </w:rPr>
              <w:t>Review of prospective database</w:t>
            </w:r>
          </w:p>
        </w:tc>
        <w:tc>
          <w:tcPr>
            <w:tcW w:w="642" w:type="pct"/>
          </w:tcPr>
          <w:p w14:paraId="1758B1D3" w14:textId="77777777" w:rsidR="00EB738E" w:rsidRPr="003E73CD" w:rsidRDefault="00EB738E" w:rsidP="00EB738E">
            <w:pPr>
              <w:rPr>
                <w:sz w:val="16"/>
                <w:szCs w:val="16"/>
              </w:rPr>
            </w:pPr>
            <w:r w:rsidRPr="003E73CD">
              <w:rPr>
                <w:sz w:val="16"/>
                <w:szCs w:val="16"/>
              </w:rPr>
              <w:t>1990-2011</w:t>
            </w:r>
          </w:p>
        </w:tc>
        <w:tc>
          <w:tcPr>
            <w:tcW w:w="574" w:type="pct"/>
          </w:tcPr>
          <w:p w14:paraId="40AABCBA" w14:textId="77777777" w:rsidR="00EB738E" w:rsidRPr="003E73CD" w:rsidRDefault="00EB738E" w:rsidP="00EB738E">
            <w:pPr>
              <w:rPr>
                <w:sz w:val="16"/>
                <w:szCs w:val="16"/>
              </w:rPr>
            </w:pPr>
            <w:r w:rsidRPr="003E73CD">
              <w:rPr>
                <w:sz w:val="16"/>
                <w:szCs w:val="16"/>
              </w:rPr>
              <w:t>Not stated (mean 42)</w:t>
            </w:r>
          </w:p>
        </w:tc>
        <w:tc>
          <w:tcPr>
            <w:tcW w:w="533" w:type="pct"/>
          </w:tcPr>
          <w:p w14:paraId="7116F393" w14:textId="77777777" w:rsidR="00EB738E" w:rsidRPr="003E73CD" w:rsidRDefault="00EB738E" w:rsidP="00EB738E">
            <w:pPr>
              <w:rPr>
                <w:sz w:val="16"/>
                <w:szCs w:val="16"/>
              </w:rPr>
            </w:pPr>
            <w:r w:rsidRPr="003E73CD">
              <w:rPr>
                <w:sz w:val="16"/>
                <w:szCs w:val="16"/>
              </w:rPr>
              <w:t>331</w:t>
            </w:r>
          </w:p>
        </w:tc>
        <w:tc>
          <w:tcPr>
            <w:tcW w:w="512" w:type="pct"/>
          </w:tcPr>
          <w:p w14:paraId="188B3D99" w14:textId="77777777" w:rsidR="00EB738E" w:rsidRPr="003E73CD" w:rsidRDefault="00EB738E" w:rsidP="00EB738E">
            <w:pPr>
              <w:rPr>
                <w:sz w:val="16"/>
                <w:szCs w:val="16"/>
              </w:rPr>
            </w:pPr>
            <w:r w:rsidRPr="003E73CD">
              <w:rPr>
                <w:sz w:val="16"/>
                <w:szCs w:val="16"/>
              </w:rPr>
              <w:t>61 (18.4)</w:t>
            </w:r>
          </w:p>
        </w:tc>
        <w:tc>
          <w:tcPr>
            <w:tcW w:w="560" w:type="pct"/>
          </w:tcPr>
          <w:p w14:paraId="30C6DF57" w14:textId="77777777" w:rsidR="00EB738E" w:rsidRPr="003E73CD" w:rsidRDefault="00EB738E" w:rsidP="00EB738E">
            <w:pPr>
              <w:rPr>
                <w:sz w:val="16"/>
                <w:szCs w:val="16"/>
              </w:rPr>
            </w:pPr>
            <w:r w:rsidRPr="003E73CD">
              <w:rPr>
                <w:sz w:val="16"/>
                <w:szCs w:val="16"/>
              </w:rPr>
              <w:t>Yes</w:t>
            </w:r>
          </w:p>
        </w:tc>
      </w:tr>
      <w:tr w:rsidR="00EB738E" w:rsidRPr="003E73CD" w14:paraId="7F70FA19" w14:textId="77777777" w:rsidTr="00EB738E">
        <w:tc>
          <w:tcPr>
            <w:tcW w:w="804" w:type="pct"/>
          </w:tcPr>
          <w:p w14:paraId="4764BE99" w14:textId="77777777" w:rsidR="00EB738E" w:rsidRPr="003E73CD" w:rsidRDefault="00EB738E" w:rsidP="00EB738E">
            <w:pPr>
              <w:rPr>
                <w:sz w:val="16"/>
                <w:szCs w:val="16"/>
              </w:rPr>
            </w:pPr>
            <w:r w:rsidRPr="003E73CD">
              <w:rPr>
                <w:sz w:val="16"/>
                <w:szCs w:val="16"/>
              </w:rPr>
              <w:t>Leung (2013)</w:t>
            </w:r>
            <w:r w:rsidRPr="003E73CD">
              <w:rPr>
                <w:sz w:val="16"/>
                <w:szCs w:val="16"/>
              </w:rPr>
              <w:fldChar w:fldCharType="begin" w:fldLock="1"/>
            </w:r>
            <w:r>
              <w:rPr>
                <w:sz w:val="16"/>
                <w:szCs w:val="16"/>
              </w:rPr>
              <w:instrText>ADDIN CSL_CITATION { "citationItems" : [ { "id" : "ITEM-1", "itemData" : { "DOI" : "10.1001/jamasurg.2013.3044", "ISSN" : "2168-6262", "PMID" : "23903435", "abstract" : "IMPORTANCE: Survival varies widely in patients with stage III melanoma. The existence of clinical significance for positive nonsentinel lymph node (NSLN) status would warrant consideration for incorporation into the American Joint Committee on Cancer staging system and better prediction of survival.\n\nOBJECTIVE: To evaluate whether disease limited to sentinel lymph nodes (SLNs) represents different clinical significance than disease spread into NSLNs.\n\nDESIGN, SETTING, AND PARTICIPANTS: The database of the John Wayne Cancer Institute at Saint John's Health Center, Santa Monica, California, was queried for all patients with SLNs positive for cutaneous melanoma who subsequently underwent completion lymph node dissection.\n\nMAIN OUTCOMES AND MEASURES: Disease-free survival, melanoma-specific survival (MSS), and overall survival.\n\nRESULTS: A total of 4223 patients underwent SLN biopsy from 1986 to 2012. Of these patients, 329 had a tumor-positive SLN. Of the 329, 250 patients (76.0%) had no additional positive nodes and 79 (24.0%) had a tumor-positive NSLN. Factors predictive of NSLN positivity included older age (P\u2009=\u2009.04), greater Breslow thickness (P\u2009&lt;\u2009.001), and ulceration (P\u2009&lt;\u2009.02). Median overall survival was 178 months for the SLN-only positive group and 42.2 months for the NSLN positive group (5-year overall survival, 72.3% and 46.4%, respectively). Median MSS was not reached for the SLN-only positive group and was 60 months for the NSLN positive group (5-year MSS, 77.8% and 49.5%, respectively). On multivariate analysis, NSLN positivity had a strong association with recurrence (hazard ratio [HR], 1.75; 95% CI, 1.23-2.50; P\u2009=\u2009.002), shorter overall survival (HR, 2.24; 95% CI, 1.48-3.40; P\u2009&lt;\u2009.001), and shorter MSS (HR, 2.23; 95% CI, 1.46-3.07; P\u2009&lt;\u2009.001). To further control for the effects of total positive lymph nodes, comparison was done for patients with only N2 disease (2-3 total positive lymph nodes); the results of this comparison confirmed the independent effect of NSLN status (MSS; P\u2009=\u2009.04).\n\nCONCLUSIONS AND RELEVANCE: Nonsentinel lymph node positivity is one of the most significant prognostic factors in patients with stage III melanoma. Subclassification of melanoma by NSLN tumor status should be considered for the American Joint Committee on Cancer staging system.", "author" : [ { "dropping-particle" : "", "family" : "Leung", "given" : "Anna M", "non-dropping-particle" : "", "parse-names" : false, "suffix" : "" }, { "dropping-particle" : "", "family" : "Morton", "given" : "Donald L", "non-dropping-particle" : "", "parse-names" : false, "suffix" : "" }, { "dropping-particle" : "", "family" : "Ozao-Choy", "given" : "Junko", "non-dropping-particle" : "", "parse-names" : false, "suffix" : "" }, { "dropping-particle" : "", "family" : "Hari", "given" : "Danielle M", "non-dropping-particle" : "", "parse-names" : false, "suffix" : "" }, { "dropping-particle" : "", "family" : "Shin-Sim", "given" : "Myung", "non-dropping-particle" : "", "parse-names" : false, "suffix" : "" }, { "dropping-particle" : "", "family" : "Difronzo", "given" : "Andrew L", "non-dropping-particle" : "", "parse-names" : false, "suffix" : "" }, { "dropping-particle" : "", "family" : "Faries", "given" : "Mark B", "non-dropping-particle" : "", "parse-names" : false, "suffix" : "" } ], "container-title" : "JAMA surgery", "id" : "ITEM-1", "issue" : "9", "issued" : { "date-parts" : [ [ "2013", "9" ] ] }, "page" : "879-84", "title" : "Staging of regional lymph nodes in melanoma: a case for including nonsentinel lymph node positivity in the American Joint Committee on Cancer staging system.", "type" : "article-journal", "volume" : "148" }, "uris" : [ "http://www.mendeley.com/documents/?uuid=fac9559b-9a9f-4199-a346-556ae25e21d9" ] } ], "mendeley" : { "formattedCitation" : "&lt;sup&gt;180&lt;/sup&gt;", "plainTextFormattedCitation" : "180", "previouslyFormattedCitation" : "&lt;sup&gt;180&lt;/sup&gt;" }, "properties" : { "noteIndex" : 0 }, "schema" : "https://github.com/citation-style-language/schema/raw/master/csl-citation.json" }</w:instrText>
            </w:r>
            <w:r w:rsidRPr="003E73CD">
              <w:rPr>
                <w:sz w:val="16"/>
                <w:szCs w:val="16"/>
              </w:rPr>
              <w:fldChar w:fldCharType="separate"/>
            </w:r>
            <w:r w:rsidRPr="00217FAC">
              <w:rPr>
                <w:noProof/>
                <w:sz w:val="16"/>
                <w:szCs w:val="16"/>
                <w:vertAlign w:val="superscript"/>
              </w:rPr>
              <w:t>180</w:t>
            </w:r>
            <w:r w:rsidRPr="003E73CD">
              <w:rPr>
                <w:sz w:val="16"/>
                <w:szCs w:val="16"/>
              </w:rPr>
              <w:fldChar w:fldCharType="end"/>
            </w:r>
          </w:p>
        </w:tc>
        <w:tc>
          <w:tcPr>
            <w:tcW w:w="605" w:type="pct"/>
          </w:tcPr>
          <w:p w14:paraId="7EF0DF7A" w14:textId="77777777" w:rsidR="00EB738E" w:rsidRPr="003E73CD" w:rsidRDefault="00EB738E" w:rsidP="00EB738E">
            <w:pPr>
              <w:rPr>
                <w:sz w:val="16"/>
                <w:szCs w:val="16"/>
              </w:rPr>
            </w:pPr>
            <w:r w:rsidRPr="003E73CD">
              <w:rPr>
                <w:sz w:val="16"/>
                <w:szCs w:val="16"/>
              </w:rPr>
              <w:t>California, USA</w:t>
            </w:r>
          </w:p>
        </w:tc>
        <w:tc>
          <w:tcPr>
            <w:tcW w:w="770" w:type="pct"/>
          </w:tcPr>
          <w:p w14:paraId="79BA3ABC" w14:textId="77777777" w:rsidR="00EB738E" w:rsidRPr="003E73CD" w:rsidRDefault="00EB738E" w:rsidP="00EB738E">
            <w:pPr>
              <w:rPr>
                <w:sz w:val="16"/>
                <w:szCs w:val="16"/>
              </w:rPr>
            </w:pPr>
            <w:r w:rsidRPr="003E73CD">
              <w:rPr>
                <w:sz w:val="16"/>
                <w:szCs w:val="16"/>
              </w:rPr>
              <w:t>Review of prospective database</w:t>
            </w:r>
          </w:p>
        </w:tc>
        <w:tc>
          <w:tcPr>
            <w:tcW w:w="642" w:type="pct"/>
          </w:tcPr>
          <w:p w14:paraId="786C4264" w14:textId="77777777" w:rsidR="00EB738E" w:rsidRPr="003E73CD" w:rsidRDefault="00EB738E" w:rsidP="00EB738E">
            <w:pPr>
              <w:rPr>
                <w:sz w:val="16"/>
                <w:szCs w:val="16"/>
              </w:rPr>
            </w:pPr>
            <w:r w:rsidRPr="003E73CD">
              <w:rPr>
                <w:sz w:val="16"/>
                <w:szCs w:val="16"/>
              </w:rPr>
              <w:t>1986-2012</w:t>
            </w:r>
          </w:p>
        </w:tc>
        <w:tc>
          <w:tcPr>
            <w:tcW w:w="574" w:type="pct"/>
          </w:tcPr>
          <w:p w14:paraId="6C3BFF85" w14:textId="77777777" w:rsidR="00EB738E" w:rsidRPr="003E73CD" w:rsidRDefault="00EB738E" w:rsidP="00EB738E">
            <w:pPr>
              <w:rPr>
                <w:sz w:val="16"/>
                <w:szCs w:val="16"/>
              </w:rPr>
            </w:pPr>
            <w:r w:rsidRPr="003E73CD">
              <w:rPr>
                <w:sz w:val="16"/>
                <w:szCs w:val="16"/>
              </w:rPr>
              <w:t>Not stated</w:t>
            </w:r>
          </w:p>
        </w:tc>
        <w:tc>
          <w:tcPr>
            <w:tcW w:w="533" w:type="pct"/>
          </w:tcPr>
          <w:p w14:paraId="54C681A2" w14:textId="77777777" w:rsidR="00EB738E" w:rsidRPr="003E73CD" w:rsidRDefault="00EB738E" w:rsidP="00EB738E">
            <w:pPr>
              <w:rPr>
                <w:sz w:val="16"/>
                <w:szCs w:val="16"/>
              </w:rPr>
            </w:pPr>
            <w:r w:rsidRPr="003E73CD">
              <w:rPr>
                <w:sz w:val="16"/>
                <w:szCs w:val="16"/>
              </w:rPr>
              <w:t>329</w:t>
            </w:r>
          </w:p>
        </w:tc>
        <w:tc>
          <w:tcPr>
            <w:tcW w:w="512" w:type="pct"/>
          </w:tcPr>
          <w:p w14:paraId="5E68087B" w14:textId="77777777" w:rsidR="00EB738E" w:rsidRPr="003E73CD" w:rsidRDefault="00EB738E" w:rsidP="00EB738E">
            <w:pPr>
              <w:rPr>
                <w:sz w:val="16"/>
                <w:szCs w:val="16"/>
              </w:rPr>
            </w:pPr>
            <w:r w:rsidRPr="003E73CD">
              <w:rPr>
                <w:sz w:val="16"/>
                <w:szCs w:val="16"/>
              </w:rPr>
              <w:t>79 (24%)</w:t>
            </w:r>
          </w:p>
        </w:tc>
        <w:tc>
          <w:tcPr>
            <w:tcW w:w="560" w:type="pct"/>
          </w:tcPr>
          <w:p w14:paraId="581A2E59" w14:textId="77777777" w:rsidR="00EB738E" w:rsidRPr="003E73CD" w:rsidRDefault="00EB738E" w:rsidP="00EB738E">
            <w:pPr>
              <w:rPr>
                <w:sz w:val="16"/>
                <w:szCs w:val="16"/>
              </w:rPr>
            </w:pPr>
            <w:r w:rsidRPr="003E73CD">
              <w:rPr>
                <w:sz w:val="16"/>
                <w:szCs w:val="16"/>
              </w:rPr>
              <w:t>Yes</w:t>
            </w:r>
          </w:p>
        </w:tc>
      </w:tr>
      <w:tr w:rsidR="00EB738E" w:rsidRPr="003E73CD" w14:paraId="1B9474D7" w14:textId="77777777" w:rsidTr="00EB738E">
        <w:tc>
          <w:tcPr>
            <w:tcW w:w="804" w:type="pct"/>
          </w:tcPr>
          <w:p w14:paraId="2C379542" w14:textId="77777777" w:rsidR="00EB738E" w:rsidRPr="003E73CD" w:rsidRDefault="00EB738E" w:rsidP="00EB738E">
            <w:pPr>
              <w:rPr>
                <w:sz w:val="16"/>
                <w:szCs w:val="16"/>
              </w:rPr>
            </w:pPr>
            <w:r w:rsidRPr="003E73CD">
              <w:rPr>
                <w:sz w:val="16"/>
                <w:szCs w:val="16"/>
              </w:rPr>
              <w:t>Egger</w:t>
            </w:r>
            <w:r w:rsidRPr="003E73CD">
              <w:rPr>
                <w:sz w:val="16"/>
                <w:szCs w:val="16"/>
                <w:vertAlign w:val="superscript"/>
              </w:rPr>
              <w:t>b</w:t>
            </w:r>
            <w:r w:rsidRPr="003E73CD">
              <w:rPr>
                <w:sz w:val="16"/>
                <w:szCs w:val="16"/>
              </w:rPr>
              <w:t xml:space="preserve"> (2013) (Am J Surg)</w:t>
            </w:r>
            <w:r w:rsidRPr="003E73CD">
              <w:rPr>
                <w:sz w:val="16"/>
                <w:szCs w:val="16"/>
              </w:rPr>
              <w:fldChar w:fldCharType="begin" w:fldLock="1"/>
            </w:r>
            <w:r>
              <w:rPr>
                <w:sz w:val="16"/>
                <w:szCs w:val="16"/>
              </w:rPr>
              <w:instrText>ADDIN CSL_CITATION { "citationItems" : [ { "id" : "ITEM-1", "itemData" : { "DOI" : "10.1016/j.amjsurg.2013.09.003", "ISSN" : "1879-1883", "PMID" : "24124662", "abstract" : "BACKGROUND: Prognostic factors and risk factors for positive sentinel lymph node (SLN) biopsy results are important to identify in superficial spreading melanoma (SSM).\n\nMETHODS: A single-center database and a prospective clinical trial database were reviewed for all patients with diagnoses of SSM. Logistic regression, Kaplan-Meier survival analysis, and univariate and multivariate Cox models were used.\n\nRESULTS: A total of 1,643 patients with SSM were identified. Independent risk factors for positive SLN biopsy results were Breslow thickness (BT) \u22652.0 mm, age &lt;60 years, and presence of ulceration. BT \u22652.0 mm, ulceration, lymphovascular invasion, and positive SLN and positive non-SLN biopsy results were independent risk factors for worse disease-free survival. Independent overall survival risk factors included BT \u22652.0 mm, age \u226560 years, ulceration, nonextremity tumor location, lymphovascular invasion, and positive SLN biopsy results.\n\nCONCLUSIONS: BT, ulceration, lymphovascular invasion, and SLN and non-SLN status are important risk factors for SSM.", "author" : [ { "dropping-particle" : "", "family" : "Egger", "given" : "Michael E", "non-dropping-particle" : "", "parse-names" : false, "suffix" : "" }, { "dropping-particle" : "", "family" : "Stepp", "given" : "Lindsay O", "non-dropping-particle" : "", "parse-names" : false, "suffix" : "" }, { "dropping-particle" : "", "family" : "Callender", "given" : "Glenda G", "non-dropping-particle" : "", "parse-names" : false, "suffix" : "" }, { "dropping-particle" : "", "family" : "Quillo", "given" : "Amy R", "non-dropping-particle" : "", "parse-names" : false, "suffix" : "" }, { "dropping-particle" : "", "family" : "Martin", "given" : "Robert C G", "non-dropping-particle" : "", "parse-names" : false, "suffix" : "" }, { "dropping-particle" : "", "family" : "Scoggins", "given" : "Charles R", "non-dropping-particle" : "", "parse-names" : false, "suffix" : "" }, { "dropping-particle" : "", "family" : "Stromberg", "given" : "Arnold J", "non-dropping-particle" : "", "parse-names" : false, "suffix" : "" }, { "dropping-particle" : "", "family" : "McMasters", "given" : "Kelly M", "non-dropping-particle" : "", "parse-names" : false, "suffix" : "" } ], "container-title" : "American journal of surgery", "id" : "ITEM-1", "issue" : "6", "issued" : { "date-parts" : [ [ "2013", "12" ] ] }, "page" : "861-7; discussion 867-8", "title" : "Outcomes and prognostic factors in superficial spreading melanoma.", "type" : "article-journal", "volume" : "206" }, "uris" : [ "http://www.mendeley.com/documents/?uuid=42b8f2f7-69db-4fb0-bcc8-20fd5d260a29" ] } ], "mendeley" : { "formattedCitation" : "&lt;sup&gt;177&lt;/sup&gt;", "plainTextFormattedCitation" : "177", "previouslyFormattedCitation" : "&lt;sup&gt;177&lt;/sup&gt;" }, "properties" : { "noteIndex" : 0 }, "schema" : "https://github.com/citation-style-language/schema/raw/master/csl-citation.json" }</w:instrText>
            </w:r>
            <w:r w:rsidRPr="003E73CD">
              <w:rPr>
                <w:sz w:val="16"/>
                <w:szCs w:val="16"/>
              </w:rPr>
              <w:fldChar w:fldCharType="separate"/>
            </w:r>
            <w:r w:rsidRPr="00217FAC">
              <w:rPr>
                <w:noProof/>
                <w:sz w:val="16"/>
                <w:szCs w:val="16"/>
                <w:vertAlign w:val="superscript"/>
              </w:rPr>
              <w:t>177</w:t>
            </w:r>
            <w:r w:rsidRPr="003E73CD">
              <w:rPr>
                <w:sz w:val="16"/>
                <w:szCs w:val="16"/>
              </w:rPr>
              <w:fldChar w:fldCharType="end"/>
            </w:r>
          </w:p>
        </w:tc>
        <w:tc>
          <w:tcPr>
            <w:tcW w:w="605" w:type="pct"/>
          </w:tcPr>
          <w:p w14:paraId="6B65C856" w14:textId="77777777" w:rsidR="00EB738E" w:rsidRPr="003E73CD" w:rsidRDefault="00EB738E" w:rsidP="00EB738E">
            <w:pPr>
              <w:rPr>
                <w:sz w:val="16"/>
                <w:szCs w:val="16"/>
              </w:rPr>
            </w:pPr>
            <w:r w:rsidRPr="003E73CD">
              <w:rPr>
                <w:sz w:val="16"/>
                <w:szCs w:val="16"/>
              </w:rPr>
              <w:t>SUNBELT trial (USA and Canada) + Louisville, USA</w:t>
            </w:r>
          </w:p>
        </w:tc>
        <w:tc>
          <w:tcPr>
            <w:tcW w:w="770" w:type="pct"/>
          </w:tcPr>
          <w:p w14:paraId="3AC37065" w14:textId="77777777" w:rsidR="00EB738E" w:rsidRPr="003E73CD" w:rsidRDefault="00EB738E" w:rsidP="00EB738E">
            <w:pPr>
              <w:rPr>
                <w:sz w:val="16"/>
                <w:szCs w:val="16"/>
              </w:rPr>
            </w:pPr>
            <w:r w:rsidRPr="003E73CD">
              <w:rPr>
                <w:sz w:val="16"/>
                <w:szCs w:val="16"/>
              </w:rPr>
              <w:t>Post-hoc analysis of trial database and review of local prospective database</w:t>
            </w:r>
          </w:p>
        </w:tc>
        <w:tc>
          <w:tcPr>
            <w:tcW w:w="642" w:type="pct"/>
          </w:tcPr>
          <w:p w14:paraId="76BBB4EB" w14:textId="77777777" w:rsidR="00EB738E" w:rsidRPr="003E73CD" w:rsidRDefault="00EB738E" w:rsidP="00EB738E">
            <w:pPr>
              <w:rPr>
                <w:sz w:val="16"/>
                <w:szCs w:val="16"/>
              </w:rPr>
            </w:pPr>
            <w:r w:rsidRPr="003E73CD">
              <w:rPr>
                <w:sz w:val="16"/>
                <w:szCs w:val="16"/>
              </w:rPr>
              <w:t>Not stated</w:t>
            </w:r>
          </w:p>
        </w:tc>
        <w:tc>
          <w:tcPr>
            <w:tcW w:w="574" w:type="pct"/>
          </w:tcPr>
          <w:p w14:paraId="1A18A099" w14:textId="77777777" w:rsidR="00EB738E" w:rsidRPr="003E73CD" w:rsidRDefault="00EB738E" w:rsidP="00EB738E">
            <w:pPr>
              <w:rPr>
                <w:sz w:val="16"/>
                <w:szCs w:val="16"/>
              </w:rPr>
            </w:pPr>
            <w:r w:rsidRPr="003E73CD">
              <w:rPr>
                <w:sz w:val="16"/>
                <w:szCs w:val="16"/>
              </w:rPr>
              <w:t>62</w:t>
            </w:r>
          </w:p>
        </w:tc>
        <w:tc>
          <w:tcPr>
            <w:tcW w:w="533" w:type="pct"/>
          </w:tcPr>
          <w:p w14:paraId="3DD5BF8F" w14:textId="77777777" w:rsidR="00EB738E" w:rsidRPr="003E73CD" w:rsidRDefault="00EB738E" w:rsidP="00EB738E">
            <w:pPr>
              <w:rPr>
                <w:sz w:val="16"/>
                <w:szCs w:val="16"/>
              </w:rPr>
            </w:pPr>
            <w:r w:rsidRPr="003E73CD">
              <w:rPr>
                <w:sz w:val="16"/>
                <w:szCs w:val="16"/>
              </w:rPr>
              <w:t>220</w:t>
            </w:r>
          </w:p>
        </w:tc>
        <w:tc>
          <w:tcPr>
            <w:tcW w:w="512" w:type="pct"/>
          </w:tcPr>
          <w:p w14:paraId="4C22B0B5" w14:textId="77777777" w:rsidR="00EB738E" w:rsidRPr="003E73CD" w:rsidRDefault="00EB738E" w:rsidP="00EB738E">
            <w:pPr>
              <w:rPr>
                <w:sz w:val="16"/>
                <w:szCs w:val="16"/>
              </w:rPr>
            </w:pPr>
            <w:r w:rsidRPr="003E73CD">
              <w:rPr>
                <w:sz w:val="16"/>
                <w:szCs w:val="16"/>
              </w:rPr>
              <w:t>Not stated</w:t>
            </w:r>
          </w:p>
        </w:tc>
        <w:tc>
          <w:tcPr>
            <w:tcW w:w="560" w:type="pct"/>
          </w:tcPr>
          <w:p w14:paraId="69E1EED6" w14:textId="77777777" w:rsidR="00EB738E" w:rsidRPr="003E73CD" w:rsidRDefault="00EB738E" w:rsidP="00EB738E">
            <w:pPr>
              <w:rPr>
                <w:sz w:val="16"/>
                <w:szCs w:val="16"/>
              </w:rPr>
            </w:pPr>
            <w:r w:rsidRPr="003E73CD">
              <w:rPr>
                <w:sz w:val="16"/>
                <w:szCs w:val="16"/>
              </w:rPr>
              <w:t>Yes</w:t>
            </w:r>
          </w:p>
        </w:tc>
      </w:tr>
      <w:tr w:rsidR="00EB738E" w:rsidRPr="003E73CD" w14:paraId="15B7FB98" w14:textId="77777777" w:rsidTr="00EB738E">
        <w:tc>
          <w:tcPr>
            <w:tcW w:w="804" w:type="pct"/>
          </w:tcPr>
          <w:p w14:paraId="29532191" w14:textId="77777777" w:rsidR="00EB738E" w:rsidRPr="003E73CD" w:rsidRDefault="00EB738E" w:rsidP="00EB738E">
            <w:pPr>
              <w:rPr>
                <w:sz w:val="16"/>
                <w:szCs w:val="16"/>
              </w:rPr>
            </w:pPr>
            <w:r w:rsidRPr="003E73CD">
              <w:rPr>
                <w:sz w:val="16"/>
                <w:szCs w:val="16"/>
              </w:rPr>
              <w:t>Pasquali (2014)</w:t>
            </w:r>
            <w:r w:rsidRPr="003E73CD">
              <w:rPr>
                <w:sz w:val="16"/>
                <w:szCs w:val="16"/>
              </w:rPr>
              <w:fldChar w:fldCharType="begin" w:fldLock="1"/>
            </w:r>
            <w:r>
              <w:rPr>
                <w:sz w:val="16"/>
                <w:szCs w:val="16"/>
              </w:rPr>
              <w:instrText>ADDIN CSL_CITATION { "citationItems" : [ { "id" : "ITEM-1", "itemData" : { "DOI" : "10.1200/JCO.2013.50.7681", "ISSN" : "1527-7755", "PMID" : "24516022", "abstract" : "PURPOSE: We investigated whether the nonsentinel lymph node (NSLN) status in patients with melanoma improves the prognostic accuracy of common staging features; then we formulated a proposal for including the NSLN status in the current melanoma staging system.\n\nPATIENTS AND METHODS: We retrospectively collected the clinicopathologic data of 1,538 patients with positive SLN status who underwent completion lymph node dissection (CLND) at nine Italian centers. Multivariable Cox regression survival analysis was used to identify independent prognostic factors. Literature meta-analysis was used to summarize the available evidence on the prognostic value of the NSLN status in patients with positive SLN.\n\nRESULTS: NSLN metastasis was observed in 353 patients (23%). After a median follow-up of 45 months, NSLN status was an independent prognostic factor for melanoma-specific survival (hazard ratio [HR] = 1.34; 95% CI, 1.18 to 1.52; P &lt; .001). NSLN status efficiently stratified the prognosis of patients with two to three positive lymph nodes (n = 387; HR = 1.39; 95% CI, 1.07 to 1.81; P = .013), independently of other staging features. Searching the literature, this patient subgroup was investigated in other two studies. Pooling the results (n = 620 patients; 284 NSLN negative and 336 NSLN positive), we found that NSLN status is a highly significant prognostic factor (summary HR = 1.59; 95% CI, 1.27 to 1.98; P &lt; .001) in patients with two to three positive lymph nodes.\n\nCONCLUSION: These findings support the independent prognostic value of the NSLN status in patients with two to three positive lymph nodes, suggesting that this information should be considered for the routine staging in patients with melanoma.", "author" : [ { "dropping-particle" : "", "family" : "Pasquali", "given" : "Sandro", "non-dropping-particle" : "", "parse-names" : false, "suffix" : "" }, { "dropping-particle" : "", "family" : "Mocellin", "given" : "Simone", "non-dropping-particle" : "", "parse-names" : false, "suffix" : "" }, { "dropping-particle" : "", "family" : "Mozzillo", "given" : "Nicola", "non-dropping-particle" : "", "parse-names" : false, "suffix" : "" }, { "dropping-particle" : "", "family" : "Maurichi", "given" : "Andrea", "non-dropping-particle" : "", "parse-names" : false, "suffix" : "" }, { "dropping-particle" : "", "family" : "Quaglino", "given" : "Pietro", "non-dropping-particle" : "", "parse-names" : false, "suffix" : "" }, { "dropping-particle" : "", "family" : "Borgognoni", "given" : "Lorenzo", "non-dropping-particle" : "", "parse-names" : false, "suffix" : "" }, { "dropping-particle" : "", "family" : "Solari", "given" : "Nicola", "non-dropping-particle" : "", "parse-names" : false, "suffix" : "" }, { "dropping-particle" : "", "family" : "Piazzalunga", "given" : "Dario", "non-dropping-particle" : "", "parse-names" : false, "suffix" : "" }, { "dropping-particle" : "", "family" : "Mascheroni", "given" : "Luigi", "non-dropping-particle" : "", "parse-names" : false, "suffix" : "" }, { "dropping-particle" : "", "family" : "Giudice", "given" : "Giuseppe", "non-dropping-particle" : "", "parse-names" : false, "suffix" : "" }, { "dropping-particle" : "", "family" : "Patuzzo", "given" : "Roberto", "non-dropping-particle" : "", "parse-names" : false, "suffix" : "" }, { "dropping-particle" : "", "family" : "Carac\u00f2", "given" : "Corrado", "non-dropping-particle" : "", "parse-names" : false, "suffix" : "" }, { "dropping-particle" : "", "family" : "Ribero", "given" : "Simone", "non-dropping-particle" : "", "parse-names" : false, "suffix" : "" }, { "dropping-particle" : "", "family" : "Marone", "given" : "Ugo", "non-dropping-particle" : "", "parse-names" : false, "suffix" : "" }, { "dropping-particle" : "", "family" : "Santinami", "given" : "Mario", "non-dropping-particle" : "", "parse-names" : false, "suffix" : "" }, { "dropping-particle" : "", "family" : "Rossi", "given" : "Carlo Riccardo", "non-dropping-particle" : "", "parse-names" : false, "suffix" : "" } ], "container-title" : "Journal of clinical oncology : official journal of the American Society of Clinical Oncology", "id" : "ITEM-1", "issue" : "9", "issued" : { "date-parts" : [ [ "2014", "3", "20" ] ] }, "page" : "935-41", "title" : "Nonsentinel lymph node status in patients with cutaneous melanoma: results from a multi-institution prognostic study.", "type" : "article-journal", "volume" : "32" }, "uris" : [ "http://www.mendeley.com/documents/?uuid=410348e6-9294-4ce8-8ceb-e0a01e3e8143" ] } ], "mendeley" : { "formattedCitation" : "&lt;sup&gt;181&lt;/sup&gt;", "plainTextFormattedCitation" : "181", "previouslyFormattedCitation" : "&lt;sup&gt;181&lt;/sup&gt;" }, "properties" : { "noteIndex" : 0 }, "schema" : "https://github.com/citation-style-language/schema/raw/master/csl-citation.json" }</w:instrText>
            </w:r>
            <w:r w:rsidRPr="003E73CD">
              <w:rPr>
                <w:sz w:val="16"/>
                <w:szCs w:val="16"/>
              </w:rPr>
              <w:fldChar w:fldCharType="separate"/>
            </w:r>
            <w:r w:rsidRPr="00217FAC">
              <w:rPr>
                <w:noProof/>
                <w:sz w:val="16"/>
                <w:szCs w:val="16"/>
                <w:vertAlign w:val="superscript"/>
              </w:rPr>
              <w:t>181</w:t>
            </w:r>
            <w:r w:rsidRPr="003E73CD">
              <w:rPr>
                <w:sz w:val="16"/>
                <w:szCs w:val="16"/>
              </w:rPr>
              <w:fldChar w:fldCharType="end"/>
            </w:r>
          </w:p>
        </w:tc>
        <w:tc>
          <w:tcPr>
            <w:tcW w:w="605" w:type="pct"/>
          </w:tcPr>
          <w:p w14:paraId="753B79C2" w14:textId="77777777" w:rsidR="00EB738E" w:rsidRPr="003E73CD" w:rsidRDefault="00EB738E" w:rsidP="00EB738E">
            <w:pPr>
              <w:rPr>
                <w:sz w:val="16"/>
                <w:szCs w:val="16"/>
              </w:rPr>
            </w:pPr>
            <w:r w:rsidRPr="003E73CD">
              <w:rPr>
                <w:sz w:val="16"/>
                <w:szCs w:val="16"/>
              </w:rPr>
              <w:t>9 centres in Italy</w:t>
            </w:r>
          </w:p>
        </w:tc>
        <w:tc>
          <w:tcPr>
            <w:tcW w:w="770" w:type="pct"/>
          </w:tcPr>
          <w:p w14:paraId="05BB0FA0" w14:textId="77777777" w:rsidR="00EB738E" w:rsidRPr="003E73CD" w:rsidRDefault="00EB738E" w:rsidP="00EB738E">
            <w:pPr>
              <w:rPr>
                <w:sz w:val="16"/>
                <w:szCs w:val="16"/>
              </w:rPr>
            </w:pPr>
            <w:r w:rsidRPr="003E73CD">
              <w:rPr>
                <w:sz w:val="16"/>
                <w:szCs w:val="16"/>
              </w:rPr>
              <w:t>Retrospective data collection</w:t>
            </w:r>
          </w:p>
        </w:tc>
        <w:tc>
          <w:tcPr>
            <w:tcW w:w="642" w:type="pct"/>
          </w:tcPr>
          <w:p w14:paraId="7453223F" w14:textId="77777777" w:rsidR="00EB738E" w:rsidRPr="003E73CD" w:rsidRDefault="00EB738E" w:rsidP="00EB738E">
            <w:pPr>
              <w:rPr>
                <w:sz w:val="16"/>
                <w:szCs w:val="16"/>
              </w:rPr>
            </w:pPr>
            <w:r w:rsidRPr="003E73CD">
              <w:rPr>
                <w:sz w:val="16"/>
                <w:szCs w:val="16"/>
              </w:rPr>
              <w:t>1993-2011</w:t>
            </w:r>
          </w:p>
        </w:tc>
        <w:tc>
          <w:tcPr>
            <w:tcW w:w="574" w:type="pct"/>
          </w:tcPr>
          <w:p w14:paraId="3455C2C6" w14:textId="77777777" w:rsidR="00EB738E" w:rsidRPr="003E73CD" w:rsidRDefault="00EB738E" w:rsidP="00EB738E">
            <w:pPr>
              <w:rPr>
                <w:sz w:val="16"/>
                <w:szCs w:val="16"/>
              </w:rPr>
            </w:pPr>
            <w:r w:rsidRPr="003E73CD">
              <w:rPr>
                <w:sz w:val="16"/>
                <w:szCs w:val="16"/>
              </w:rPr>
              <w:t>45</w:t>
            </w:r>
          </w:p>
        </w:tc>
        <w:tc>
          <w:tcPr>
            <w:tcW w:w="533" w:type="pct"/>
          </w:tcPr>
          <w:p w14:paraId="591DF162" w14:textId="77777777" w:rsidR="00EB738E" w:rsidRPr="003E73CD" w:rsidRDefault="00EB738E" w:rsidP="00EB738E">
            <w:pPr>
              <w:rPr>
                <w:sz w:val="16"/>
                <w:szCs w:val="16"/>
              </w:rPr>
            </w:pPr>
            <w:r w:rsidRPr="003E73CD">
              <w:rPr>
                <w:sz w:val="16"/>
                <w:szCs w:val="16"/>
              </w:rPr>
              <w:t>1538</w:t>
            </w:r>
          </w:p>
        </w:tc>
        <w:tc>
          <w:tcPr>
            <w:tcW w:w="512" w:type="pct"/>
          </w:tcPr>
          <w:p w14:paraId="6CC21311" w14:textId="77777777" w:rsidR="00EB738E" w:rsidRPr="003E73CD" w:rsidRDefault="00EB738E" w:rsidP="00EB738E">
            <w:pPr>
              <w:rPr>
                <w:sz w:val="16"/>
                <w:szCs w:val="16"/>
              </w:rPr>
            </w:pPr>
            <w:r w:rsidRPr="003E73CD">
              <w:rPr>
                <w:sz w:val="16"/>
                <w:szCs w:val="16"/>
              </w:rPr>
              <w:t>353 (23%)</w:t>
            </w:r>
          </w:p>
        </w:tc>
        <w:tc>
          <w:tcPr>
            <w:tcW w:w="560" w:type="pct"/>
          </w:tcPr>
          <w:p w14:paraId="6C62648A" w14:textId="77777777" w:rsidR="00EB738E" w:rsidRPr="003E73CD" w:rsidRDefault="00EB738E" w:rsidP="00EB738E">
            <w:pPr>
              <w:rPr>
                <w:sz w:val="16"/>
                <w:szCs w:val="16"/>
              </w:rPr>
            </w:pPr>
            <w:r w:rsidRPr="003E73CD">
              <w:rPr>
                <w:sz w:val="16"/>
                <w:szCs w:val="16"/>
              </w:rPr>
              <w:t>Yes</w:t>
            </w:r>
          </w:p>
        </w:tc>
      </w:tr>
    </w:tbl>
    <w:p w14:paraId="4E3BBAA1" w14:textId="77777777" w:rsidR="00EB738E" w:rsidRPr="003E73CD" w:rsidRDefault="00EB738E" w:rsidP="00EB738E">
      <w:pPr>
        <w:rPr>
          <w:sz w:val="18"/>
          <w:szCs w:val="18"/>
        </w:rPr>
      </w:pPr>
      <w:r w:rsidRPr="003E73CD">
        <w:rPr>
          <w:sz w:val="18"/>
          <w:szCs w:val="18"/>
        </w:rPr>
        <w:t>SN = sentinel node, NSN = non-sentinel node.</w:t>
      </w:r>
    </w:p>
    <w:p w14:paraId="6473861B" w14:textId="77777777" w:rsidR="00EB738E" w:rsidRPr="003E73CD" w:rsidRDefault="00EB738E" w:rsidP="00EB738E">
      <w:pPr>
        <w:rPr>
          <w:sz w:val="22"/>
          <w:szCs w:val="22"/>
        </w:rPr>
      </w:pPr>
    </w:p>
    <w:p w14:paraId="3EECAEEC" w14:textId="77777777" w:rsidR="00EB738E" w:rsidRPr="003E73CD" w:rsidRDefault="00EB738E" w:rsidP="00EB738E">
      <w:pPr>
        <w:rPr>
          <w:sz w:val="22"/>
          <w:szCs w:val="22"/>
        </w:rPr>
      </w:pPr>
    </w:p>
    <w:p w14:paraId="18FF69E8" w14:textId="77777777" w:rsidR="00EB738E" w:rsidRPr="003E73CD" w:rsidRDefault="00EB738E" w:rsidP="00EB738E">
      <w:pPr>
        <w:rPr>
          <w:sz w:val="22"/>
          <w:szCs w:val="22"/>
        </w:rPr>
      </w:pPr>
      <w:r w:rsidRPr="003E73CD">
        <w:rPr>
          <w:b/>
          <w:sz w:val="22"/>
          <w:szCs w:val="22"/>
        </w:rPr>
        <w:t>DISCUSSION</w:t>
      </w:r>
    </w:p>
    <w:p w14:paraId="198E986A" w14:textId="77777777" w:rsidR="00EB738E" w:rsidRPr="003E73CD" w:rsidRDefault="00EB738E" w:rsidP="00EB738E">
      <w:pPr>
        <w:rPr>
          <w:sz w:val="22"/>
          <w:szCs w:val="22"/>
        </w:rPr>
      </w:pPr>
    </w:p>
    <w:p w14:paraId="0E79D7A7" w14:textId="10606BD1" w:rsidR="00EB738E" w:rsidRPr="003E73CD" w:rsidRDefault="00EB738E" w:rsidP="00EB738E">
      <w:pPr>
        <w:spacing w:line="480" w:lineRule="auto"/>
        <w:rPr>
          <w:sz w:val="22"/>
          <w:szCs w:val="22"/>
        </w:rPr>
      </w:pPr>
      <w:r w:rsidRPr="003E73CD">
        <w:rPr>
          <w:sz w:val="22"/>
          <w:szCs w:val="22"/>
        </w:rPr>
        <w:tab/>
        <w:t>Cascinelli et al. evaluated prognosis for 1108 melanoma patients who underwent sentinel node biopsy.</w:t>
      </w:r>
      <w:r w:rsidRPr="003E73CD">
        <w:rPr>
          <w:sz w:val="22"/>
          <w:szCs w:val="22"/>
        </w:rPr>
        <w:fldChar w:fldCharType="begin" w:fldLock="1"/>
      </w:r>
      <w:r>
        <w:rPr>
          <w:sz w:val="22"/>
          <w:szCs w:val="22"/>
        </w:rPr>
        <w:instrText>ADDIN CSL_CITATION { "citationItems" : [ { "id" : "ITEM-1", "itemData" : { "DOI" : "10.1200/JCO.2006.06.3198", "ISSN" : "1527-7755", "PMID" : "16983115", "abstract" : "PURPOSE: To evaluate the prognostic significance of sentinel node biopsy in the management of stage IB and II melanoma patients, and to evaluate the status of nonsentinel nodes as a \"second step key factor\" to assess the prognosis of these patients.\n\nPATIENTS AND METHODS: We conducted an analysis of data collected in a prospective database.\n\nRESULTS: From February 1994 to June 2005, 1,108 consecutive patients with stage IB and II melanoma were submitted to sentinel node biopsy; 176 patients (15.9%) had occult node metastases. The frequency of positive nodes increased with increasing Breslow's thickness. The largest diameter of metastatic foci and their localization within the lymph node were associated with the risk of nonsentinel node metastases only. The 5-year survival of patients with positive sentinel nodes was 81.4% in patients with one positive node and 39.6% in patients with two positive nodes (P = .056). Multivariate analysis indicated that status of sentinel nodes is a key factor and that sex and Breslow's thickness maintain statistically significant relevance. Ulceration, which was associated with survival when considered as single factor (P &lt; .001) had no impact on survival in the multivariate analysis (P = .10). To evaluate the relevance of metastases to nonsentinel nodes, we identified four groups of patients.\n\nCONCLUSION: Evaluation of the sentinel node is a useful procedure to identify patients to be submitted for complete lymph node dissection. The procedure makes it possible to assess the best prognosis of patients.", "author" : [ { "dropping-particle" : "", "family" : "Cascinelli", "given" : "Natale", "non-dropping-particle" : "", "parse-names" : false, "suffix" : "" }, { "dropping-particle" : "", "family" : "Bombardieri", "given" : "Emilio", "non-dropping-particle" : "", "parse-names" : false, "suffix" : "" }, { "dropping-particle" : "", "family" : "Bufalino", "given" : "Rosaria", "non-dropping-particle" : "", "parse-names" : false, "suffix" : "" }, { "dropping-particle" : "", "family" : "Camerini", "given" : "Tiziana", "non-dropping-particle" : "", "parse-names" : false, "suffix" : "" }, { "dropping-particle" : "", "family" : "Carbone", "given" : "Antonino", "non-dropping-particle" : "", "parse-names" : false, "suffix" : "" }, { "dropping-particle" : "", "family" : "Clemente", "given" : "Claudio", "non-dropping-particle" : "", "parse-names" : false, "suffix" : "" }, { "dropping-particle" : "", "family" : "Lenisa", "given" : "Leonardo", "non-dropping-particle" : "", "parse-names" : false, "suffix" : "" }, { "dropping-particle" : "", "family" : "Mascheroni", "given" : "Luigi", "non-dropping-particle" : "", "parse-names" : false, "suffix" : "" }, { "dropping-particle" : "", "family" : "Maurichi", "given" : "Andrea", "non-dropping-particle" : "", "parse-names" : false, "suffix" : "" }, { "dropping-particle" : "", "family" : "Pennacchioli", "given" : "Elisabetta", "non-dropping-particle" : "", "parse-names" : false, "suffix" : "" }, { "dropping-particle" : "", "family" : "Patuzzo", "given" : "Roberto", "non-dropping-particle" : "", "parse-names" : false, "suffix" : "" }, { "dropping-particle" : "", "family" : "Santinami", "given" : "Mario", "non-dropping-particle" : "", "parse-names" : false, "suffix" : "" }, { "dropping-particle" : "", "family" : "Tragni", "given" : "Gabrina", "non-dropping-particle" : "", "parse-names" : false, "suffix" : "" } ], "container-title" : "Journal of clinical oncology : official journal of the American Society of Clinical Oncology", "id" : "ITEM-1", "issue" : "27", "issued" : { "date-parts" : [ [ "2006", "9", "20" ] ] }, "page" : "4464-71", "title" : "Sentinel and nonsentinel node status in stage IB and II melanoma patients: two-step prognostic indicators of survival.", "type" : "article-journal", "volume" : "24" }, "uris" : [ "http://www.mendeley.com/documents/?uuid=87a2810c-0f27-4812-8c91-b5fcb57b53ff" ] } ], "mendeley" : { "formattedCitation" : "&lt;sup&gt;149&lt;/sup&gt;", "plainTextFormattedCitation" : "149", "previouslyFormattedCitation" : "&lt;sup&gt;149&lt;/sup&gt;" }, "properties" : { "noteIndex" : 0 }, "schema" : "https://github.com/citation-style-language/schema/raw/master/csl-citation.json" }</w:instrText>
      </w:r>
      <w:r w:rsidRPr="003E73CD">
        <w:rPr>
          <w:sz w:val="22"/>
          <w:szCs w:val="22"/>
        </w:rPr>
        <w:fldChar w:fldCharType="separate"/>
      </w:r>
      <w:r w:rsidRPr="00CE2A17">
        <w:rPr>
          <w:noProof/>
          <w:sz w:val="22"/>
          <w:szCs w:val="22"/>
          <w:vertAlign w:val="superscript"/>
        </w:rPr>
        <w:t>149</w:t>
      </w:r>
      <w:r w:rsidRPr="003E73CD">
        <w:rPr>
          <w:sz w:val="22"/>
          <w:szCs w:val="22"/>
        </w:rPr>
        <w:fldChar w:fldCharType="end"/>
      </w:r>
      <w:proofErr w:type="gramStart"/>
      <w:r w:rsidRPr="003E73CD">
        <w:rPr>
          <w:sz w:val="22"/>
          <w:szCs w:val="22"/>
        </w:rPr>
        <w:t xml:space="preserve">  Sentinel</w:t>
      </w:r>
      <w:proofErr w:type="gramEnd"/>
      <w:r w:rsidRPr="003E73CD">
        <w:rPr>
          <w:sz w:val="22"/>
          <w:szCs w:val="22"/>
        </w:rPr>
        <w:t xml:space="preserve"> node biopsy was positive for 176 (15.9%) patients of whom 33 (18.7%) were non-sentinel node positive.  Non-sentinel node negative patients had an 82% 5-year survival rate whereas non-sentinel node negative patients had a 47.1% 5-year survival rate.  A multivariate analysis was performed, but this was for the entire population (n=1108) rather than just the sentinel node positive population, and can therefore not be assumed to apply in the same way to the sentinel node positive population.  The multivariate model included age, sex, Breslow thickness and groupings by sentinel and non-sentinel node status, including a category for false negative sentinel node biopsy.  However, total number of positive nodes was not included and so it is not possible to determine whether reduced survival for non-sentinel node positive patients was due to their higher total number of positive nodes or the fact that they were non-sentinel nodes.  This study is therefore excluded from the final table of studies that included multivariate analyses investigating the prognostic impact of non-sentinel node status and accounted for differences in total n</w:t>
      </w:r>
      <w:r w:rsidR="00202947">
        <w:rPr>
          <w:sz w:val="22"/>
          <w:szCs w:val="22"/>
        </w:rPr>
        <w:t>umber of positive nodes (Table 3.1</w:t>
      </w:r>
      <w:r w:rsidRPr="003E73CD">
        <w:rPr>
          <w:sz w:val="22"/>
          <w:szCs w:val="22"/>
        </w:rPr>
        <w:t>.4).</w:t>
      </w:r>
    </w:p>
    <w:p w14:paraId="7352DD88" w14:textId="77777777" w:rsidR="00EB738E" w:rsidRPr="003E73CD" w:rsidRDefault="00EB738E" w:rsidP="00EB738E">
      <w:pPr>
        <w:spacing w:line="480" w:lineRule="auto"/>
        <w:ind w:firstLine="720"/>
        <w:rPr>
          <w:sz w:val="22"/>
          <w:szCs w:val="22"/>
        </w:rPr>
      </w:pPr>
      <w:r w:rsidRPr="003E73CD">
        <w:rPr>
          <w:sz w:val="22"/>
          <w:szCs w:val="22"/>
        </w:rPr>
        <w:t>Ariyan et al. provided data from 222 sentinel node positive patients, 37 (16.7%) of whom were non-sentinel node positive.</w:t>
      </w:r>
      <w:r w:rsidRPr="003E73CD">
        <w:rPr>
          <w:sz w:val="22"/>
          <w:szCs w:val="22"/>
        </w:rPr>
        <w:fldChar w:fldCharType="begin" w:fldLock="1"/>
      </w:r>
      <w:r>
        <w:rPr>
          <w:sz w:val="22"/>
          <w:szCs w:val="22"/>
        </w:rPr>
        <w:instrText>ADDIN CSL_CITATION { "citationItems" : [ { "id" : "ITEM-1", "itemData" : { "DOI" : "10.1245/s10434-008-0187-5", "ISSN" : "1534-4681", "PMID" : "18979135", "abstract" : "While sentinel lymph node biopsy (SLN) is a highly accurate and well-tolerated procedure for patients with cutaneous melanoma, the role of the completion lymph node dissection (CLND) for patients with positive SLN biopsy remains unknown. This study aimed to look at the prognostic value of a positive nonsentinel lymph node (NSLN). A prospectively maintained database identified 222 patients with cutaneous melanoma and a positive SLN biopsy, without evidence of distant disease. All of these patients underwent CLND, and 37 patients (17%) had positive NSLN. With median follow-up of 33 months, patients with negative NSLN had median survival of 104 months, while patients with positive NSLN had median survival of 36 months (p &lt; 0.001). There were no survivors in the patients with positive NSLN beyond 6 years. When patients with an equal number of positive nodes were analyzed, the presence of a positive NSLN was still associated with worse melanoma-specific survival (66 months for NSLN- versus 34 months for NSLN+, p = 0.04). While increasing age, tumor thickness, and male sex were associated with an increased risk of death on multivariate analysis, a positive NSLN was the most important predictor of survival (hazard ratio 2.5). We conclude that positive NSLN is an independent predictor of disease-specific survival in patients with cutaneous melanoma.", "author" : [ { "dropping-particle" : "", "family" : "Ariyan", "given" : "Charlotte", "non-dropping-particle" : "", "parse-names" : false, "suffix" : "" }, { "dropping-particle" : "", "family" : "Brady", "given" : "Mary Sue", "non-dropping-particle" : "", "parse-names" : false, "suffix" : "" }, { "dropping-particle" : "", "family" : "G\u00f6nen", "given" : "Mithat", "non-dropping-particle" : "", "parse-names" : false, "suffix" : "" }, { "dropping-particle" : "", "family" : "Busam", "given" : "Klaus", "non-dropping-particle" : "", "parse-names" : false, "suffix" : "" }, { "dropping-particle" : "", "family" : "Coit", "given" : "Daniel", "non-dropping-particle" : "", "parse-names" : false, "suffix" : "" } ], "container-title" : "Annals of surgical oncology", "id" : "ITEM-1", "issue" : "1", "issued" : { "date-parts" : [ [ "2009", "1" ] ] }, "page" : "186-90", "title" : "Positive nonsentinel node status predicts mortality in patients with cutaneous melanoma.", "type" : "article-journal", "volume" : "16" }, "uris" : [ "http://www.mendeley.com/documents/?uuid=95f50211-78eb-42c1-b0bf-03f1224519aa" ] } ], "mendeley" : { "formattedCitation" : "&lt;sup&gt;174&lt;/sup&gt;", "plainTextFormattedCitation" : "174", "previouslyFormattedCitation" : "&lt;sup&gt;174&lt;/sup&gt;" }, "properties" : { "noteIndex" : 0 }, "schema" : "https://github.com/citation-style-language/schema/raw/master/csl-citation.json" }</w:instrText>
      </w:r>
      <w:r w:rsidRPr="003E73CD">
        <w:rPr>
          <w:sz w:val="22"/>
          <w:szCs w:val="22"/>
        </w:rPr>
        <w:fldChar w:fldCharType="separate"/>
      </w:r>
      <w:r w:rsidRPr="00217FAC">
        <w:rPr>
          <w:noProof/>
          <w:sz w:val="22"/>
          <w:szCs w:val="22"/>
          <w:vertAlign w:val="superscript"/>
        </w:rPr>
        <w:t>174</w:t>
      </w:r>
      <w:r w:rsidRPr="003E73CD">
        <w:rPr>
          <w:sz w:val="22"/>
          <w:szCs w:val="22"/>
        </w:rPr>
        <w:fldChar w:fldCharType="end"/>
      </w:r>
      <w:proofErr w:type="gramStart"/>
      <w:r w:rsidRPr="003E73CD">
        <w:rPr>
          <w:sz w:val="22"/>
          <w:szCs w:val="22"/>
        </w:rPr>
        <w:t xml:space="preserve">  Survival</w:t>
      </w:r>
      <w:proofErr w:type="gramEnd"/>
      <w:r w:rsidRPr="003E73CD">
        <w:rPr>
          <w:sz w:val="22"/>
          <w:szCs w:val="22"/>
        </w:rPr>
        <w:t xml:space="preserve"> by non-sentinel node status was compared for patients with a total of 2 positive nodes (58 patients), thus excluding an effect due to increasing number of positive nodes in non-sentinel node positive patients.  Median survival for the 41 non-sentinel node negative patients was 66 months compared to 34 months for the 17 non-sentinel node positive patients (p=0.04).  Univariate analysis included increasing age, Breslow thickness, presence of ulceration number of positive nodes and positive non-sentinel node status and found that all factors were associated with reduced disease-specific survival.  The authors refer to a table within their manuscript that they state contains the results of these univariate analyses.  However, the table does not contain the result of the univariate analysis for ulceration and this appears to have been omitted from the multivariate analysis despite the authors stating that it was significant on univariate analysis.  A multivariate analysis of factors predictive of disease-specific survival (excluding ulceration) was performed with 4 variables (age, Breslow thickness, number of positive nodes and positive non-sentinel node) included.  Age, Breslow thickness and number of positive nodes were analysed as continuous variables.  Number of positive nodes, which had been a significant predictor on univariate </w:t>
      </w:r>
      <w:proofErr w:type="gramStart"/>
      <w:r w:rsidRPr="003E73CD">
        <w:rPr>
          <w:sz w:val="22"/>
          <w:szCs w:val="22"/>
        </w:rPr>
        <w:t>analysis</w:t>
      </w:r>
      <w:proofErr w:type="gramEnd"/>
      <w:r w:rsidRPr="003E73CD">
        <w:rPr>
          <w:sz w:val="22"/>
          <w:szCs w:val="22"/>
        </w:rPr>
        <w:t xml:space="preserve"> was no longer significant (Hazard Ratio (HR)(95% CI): 1.1 (0.97-1.30), p=0.100).  The factors that remained significant were age (</w:t>
      </w:r>
      <w:proofErr w:type="gramStart"/>
      <w:r w:rsidRPr="003E73CD">
        <w:rPr>
          <w:sz w:val="22"/>
          <w:szCs w:val="22"/>
        </w:rPr>
        <w:t>HR(</w:t>
      </w:r>
      <w:proofErr w:type="gramEnd"/>
      <w:r w:rsidRPr="003E73CD">
        <w:rPr>
          <w:sz w:val="22"/>
          <w:szCs w:val="22"/>
        </w:rPr>
        <w:t xml:space="preserve">95% CI): 1.0 (1.01.-1.04), p=0.003), Breslow thickness (HR(95% CI): 1.1 (1.06-1.16), p&lt;0.001) and positive non-sentinel lymph node(s) (HR(95% CI): 2.5 (1.51-4.26), p&lt;0.001). </w:t>
      </w:r>
    </w:p>
    <w:p w14:paraId="4D09AFA1" w14:textId="77777777" w:rsidR="00EB738E" w:rsidRPr="003E73CD" w:rsidRDefault="00EB738E" w:rsidP="00EB738E">
      <w:pPr>
        <w:spacing w:line="480" w:lineRule="auto"/>
        <w:rPr>
          <w:sz w:val="22"/>
          <w:szCs w:val="22"/>
        </w:rPr>
      </w:pPr>
    </w:p>
    <w:p w14:paraId="07A38BD5" w14:textId="77777777" w:rsidR="00EB738E" w:rsidRPr="003E73CD" w:rsidRDefault="00EB738E" w:rsidP="00EB738E">
      <w:pPr>
        <w:spacing w:line="480" w:lineRule="auto"/>
        <w:rPr>
          <w:sz w:val="22"/>
          <w:szCs w:val="22"/>
        </w:rPr>
      </w:pPr>
      <w:r w:rsidRPr="003E73CD">
        <w:rPr>
          <w:sz w:val="22"/>
          <w:szCs w:val="22"/>
        </w:rPr>
        <w:tab/>
        <w:t>Ghaferi et al. reported their analysis of 419 sentinel node positive patients, 71 (16.9%) of whom were non-sentinel node positive.</w:t>
      </w:r>
      <w:r w:rsidRPr="003E73CD">
        <w:rPr>
          <w:sz w:val="22"/>
          <w:szCs w:val="22"/>
        </w:rPr>
        <w:fldChar w:fldCharType="begin" w:fldLock="1"/>
      </w:r>
      <w:r>
        <w:rPr>
          <w:sz w:val="22"/>
          <w:szCs w:val="22"/>
        </w:rPr>
        <w:instrText>ADDIN CSL_CITATION { "citationItems" : [ { "id" : "ITEM-1", "itemData" : { "DOI" : "10.1245/s10434-009-0665-4", "ISSN" : "1534-4681", "PMID" : "19711133", "abstract" : "PURPOSE: Sentinel lymph node (SLN) biopsy provides important prognostic information for patients with cutaneous melanoma. There may be additional prognostic significance to melanoma spreading from the SLN to nonsentinel lymph nodes (NSLN). We examined the implications of a positive NSLN for overall and distant disease-free survival.\n\nMETHODS: Using a prospectively maintained, Institutional Review Board-approved melanoma database we studied patients who had a cutaneous melanoma, a positive SLN, and a completion lymph node dissection (CLND). Survival was determined using a combination of hospital records and the Social Security Death Index (SSDI). Univariate and multivariate Cox regression analysis was performed to further characterize predictors of overall and distant disease-free survival. Kaplan-Meier analysis was used to generate survival curves.\n\nRESULTS: A total of 429 patients with positive SLN biopsies were identified, with at least one positive NSLN identified in 71 (17%). Median follow-up time was 36.8 months. Presence of a positive NSLN was significantly associated with poor outcome, although long-term survival was possible. Presence of ulceration, high mitotic rate, angiolymphatic invasion, total number of positive nodes, and volume of disease&gt;1% in the SLN were significant predictors of survival on univariate analysis, but lost significance on multivariate. Multivariate Cox analysis revealed several predictors of overall survival: increasing age [hazard ratio (HR) 1.04, P&lt;0.01], Breslow depth (HR 1.76, P&lt;0.01), presence of extracapsular extension in the SLN (HR 2.39, P&lt;0.01), and positive NSLN (HR 1.92, P&lt;0.01).\n\nCONCLUSION: Among node-positive melanoma patients, presence of a positive NSLN is a highly significant poor prognostic sign, even after considering the total number of positive nodes and volume of disease in the SLN. CLND after a positive SLN provides this important prognostic information.", "author" : [ { "dropping-particle" : "", "family" : "Ghaferi", "given" : "Amir A", "non-dropping-particle" : "", "parse-names" : false, "suffix" : "" }, { "dropping-particle" : "", "family" : "Wong", "given" : "Sandra L", "non-dropping-particle" : "", "parse-names" : false, "suffix" : "" }, { "dropping-particle" : "", "family" : "Johnson", "given" : "Timothy M", "non-dropping-particle" : "", "parse-names" : false, "suffix" : "" }, { "dropping-particle" : "", "family" : "Lowe", "given" : "Lori", "non-dropping-particle" : "", "parse-names" : false, "suffix" : "" }, { "dropping-particle" : "", "family" : "Chang", "given" : "Alfred E", "non-dropping-particle" : "", "parse-names" : false, "suffix" : "" }, { "dropping-particle" : "", "family" : "Cimmino", "given" : "Vincent M", "non-dropping-particle" : "", "parse-names" : false, "suffix" : "" }, { "dropping-particle" : "", "family" : "Bradford", "given" : "Carol R", "non-dropping-particle" : "", "parse-names" : false, "suffix" : "" }, { "dropping-particle" : "", "family" : "Rees", "given" : "Riley S", "non-dropping-particle" : "", "parse-names" : false, "suffix" : "" }, { "dropping-particle" : "", "family" : "Sabel", "given" : "Michael S", "non-dropping-particle" : "", "parse-names" : false, "suffix" : "" } ], "container-title" : "Annals of surgical oncology", "id" : "ITEM-1", "issue" : "11", "issued" : { "date-parts" : [ [ "2009", "11" ] ] }, "page" : "2978-84", "title" : "Prognostic significance of a positive nonsentinel lymph node in cutaneous melanoma.", "type" : "article-journal", "volume" : "16" }, "uris" : [ "http://www.mendeley.com/documents/?uuid=928824b4-dc07-42e0-87bf-4160d27f7eec" ] } ], "mendeley" : { "formattedCitation" : "&lt;sup&gt;175&lt;/sup&gt;", "plainTextFormattedCitation" : "175", "previouslyFormattedCitation" : "&lt;sup&gt;175&lt;/sup&gt;" }, "properties" : { "noteIndex" : 0 }, "schema" : "https://github.com/citation-style-language/schema/raw/master/csl-citation.json" }</w:instrText>
      </w:r>
      <w:r w:rsidRPr="003E73CD">
        <w:rPr>
          <w:sz w:val="22"/>
          <w:szCs w:val="22"/>
        </w:rPr>
        <w:fldChar w:fldCharType="separate"/>
      </w:r>
      <w:r w:rsidRPr="00217FAC">
        <w:rPr>
          <w:noProof/>
          <w:sz w:val="22"/>
          <w:szCs w:val="22"/>
          <w:vertAlign w:val="superscript"/>
        </w:rPr>
        <w:t>175</w:t>
      </w:r>
      <w:r w:rsidRPr="003E73CD">
        <w:rPr>
          <w:sz w:val="22"/>
          <w:szCs w:val="22"/>
        </w:rPr>
        <w:fldChar w:fldCharType="end"/>
      </w:r>
      <w:proofErr w:type="gramStart"/>
      <w:r w:rsidRPr="003E73CD">
        <w:rPr>
          <w:sz w:val="22"/>
          <w:szCs w:val="22"/>
        </w:rPr>
        <w:t xml:space="preserve">  In</w:t>
      </w:r>
      <w:proofErr w:type="gramEnd"/>
      <w:r w:rsidRPr="003E73CD">
        <w:rPr>
          <w:sz w:val="22"/>
          <w:szCs w:val="22"/>
        </w:rPr>
        <w:t xml:space="preserve"> order to account for an effect due to total number of positive nodes they compared survival for patients with a total of 2-3 positive nodes (n=131) and found that median overall survival was 90.5 months for non-sentinel node negative patients (n=90) compared to 59.4 months for non-sentinel node positive patients (n=41) (p&lt;0.001).  Data showing the distribution of patients with 2 positive nodes and 3 positive nodes within the non-sentinel node negative and non-sentinel node positive groups were not presented and so it is not possible to determine whether the distribution was even and thus unlikely to be an influencing factor.  </w:t>
      </w:r>
    </w:p>
    <w:p w14:paraId="0CC14204" w14:textId="00A5FB2E" w:rsidR="00EB738E" w:rsidRPr="003E73CD" w:rsidRDefault="00EB738E" w:rsidP="00A80283">
      <w:pPr>
        <w:spacing w:line="480" w:lineRule="auto"/>
        <w:ind w:firstLine="720"/>
        <w:rPr>
          <w:sz w:val="22"/>
          <w:szCs w:val="22"/>
        </w:rPr>
      </w:pPr>
      <w:r w:rsidRPr="003E73CD">
        <w:rPr>
          <w:sz w:val="22"/>
          <w:szCs w:val="22"/>
        </w:rPr>
        <w:t>On univariate analysis of the entire study population, age (variable type not stated), Breslow depth &gt;2mm, mitotic rate (as continuous variable), ulceration, angiolymphatic invasion, satellitosis, volume of disease within the sentinel node of &gt;1% surface area, extracapsular extension in the sentinel node, total number of positive nodes&gt;3 and positive non-sentinel node were all significant predictors of overall survival.  On multivariate analysis volume of disease within the sentinel node of &gt;1% surface area and total number of positive nodes &gt;3 were no longer significant.  Age (</w:t>
      </w:r>
      <w:proofErr w:type="gramStart"/>
      <w:r w:rsidRPr="003E73CD">
        <w:rPr>
          <w:sz w:val="22"/>
          <w:szCs w:val="22"/>
        </w:rPr>
        <w:t>HR(</w:t>
      </w:r>
      <w:proofErr w:type="gramEnd"/>
      <w:r w:rsidRPr="003E73CD">
        <w:rPr>
          <w:sz w:val="22"/>
          <w:szCs w:val="22"/>
        </w:rPr>
        <w:t xml:space="preserve">95%CI): 1.03 (1.02-1.04), Breslow thickness &gt;2mm (HR(95%CI): 1.76 (1.14-2.73), extracapsular extension in the sentinel node (HR(95%CI): 2.39 (1.45-3.95) and positive non-sentinel node (HR(95%CI): 1.92 (1.27-2.89) all remained significant with extracapsular extension being the most powerful determinant of survival.  P values were not provided.  The authors did not provide hazard ratios for mitotic rate, ulceration, angiolymphatic invasion and satellitosis from the multivariate analysis.  The inclusion of total number of positive nodes &gt;3 (a categorical variable) could be problematic as most patients with &gt;3 positive nodes have at least 1 positive non-sentinel node and so this is really just another way of distinguishing patients by non-sentinel node status.  If total number of positive nodes </w:t>
      </w:r>
      <w:proofErr w:type="gramStart"/>
      <w:r w:rsidRPr="003E73CD">
        <w:rPr>
          <w:sz w:val="22"/>
          <w:szCs w:val="22"/>
        </w:rPr>
        <w:t>was</w:t>
      </w:r>
      <w:proofErr w:type="gramEnd"/>
      <w:r w:rsidRPr="003E73CD">
        <w:rPr>
          <w:sz w:val="22"/>
          <w:szCs w:val="22"/>
        </w:rPr>
        <w:t xml:space="preserve"> included as a continuous variable it would have allowed differentiation between survival effects due to non-sentinel node status or total number of positive nodes in patients with a total of 2 or 3 positive nodes.</w:t>
      </w:r>
    </w:p>
    <w:p w14:paraId="5AA6A8E5" w14:textId="7AA1C53D" w:rsidR="00EB738E" w:rsidRPr="003E73CD" w:rsidRDefault="00EB738E" w:rsidP="00A80283">
      <w:pPr>
        <w:spacing w:line="480" w:lineRule="auto"/>
        <w:ind w:firstLine="720"/>
        <w:rPr>
          <w:sz w:val="22"/>
          <w:szCs w:val="22"/>
        </w:rPr>
      </w:pPr>
      <w:r w:rsidRPr="003E73CD">
        <w:rPr>
          <w:sz w:val="22"/>
          <w:szCs w:val="22"/>
        </w:rPr>
        <w:t>Jakub et al. presented data relating to 229 sentinel node positive patients, 46 (20.1%) of whom were non-sentinel node positive.</w:t>
      </w:r>
      <w:r w:rsidRPr="003E73CD">
        <w:rPr>
          <w:sz w:val="22"/>
          <w:szCs w:val="22"/>
        </w:rPr>
        <w:fldChar w:fldCharType="begin" w:fldLock="1"/>
      </w:r>
      <w:r>
        <w:rPr>
          <w:sz w:val="22"/>
          <w:szCs w:val="22"/>
        </w:rPr>
        <w:instrText>ADDIN CSL_CITATION { "citationItems" : [ { "id" : "ITEM-1", "itemData" : { "DOI" : "10.1245/s10434-009-0530-5", "ISSN" : "1534-4681", "PMID" : "19517194", "abstract" : "BACKGROUND: In melanoma, a direct relationship exists between the number of nodes involved with metastatic disease and prognosis. This study was undertaken to determine whether an individual with metastatic disease confined to the sentinel lymph nodes (SLNs) would have a better prognosis than individuals with metastatic disease that has spread to the non-SLNs, regardless of the number of nodes involved.\n\nMETHODS: The study group consists of 229 melanoma patients with a positive SLN who underwent regional nodal dissection. Cox proportional hazard regression models were used to assess association of the number of SLNs and non-SLNs involved with disease with overall survival (OS) and disease-free survival (DFS).\n\nRESULTS: DFS and OS were unchanged regardless of how many SLNs were positive, as long as all disease was confined to SLNs. Among 183 patients without involvement of non-SLNs, OS remained the same despite an increasing number of SLNs involved (P = .59). This was true after controlling for ulceration, Breslow depth, age, sex, and adjuvant treatment. Once disease was present beyond the SLN, DFS and OS were negatively affected. Among patients with involvement of non-SLNs, there was no statistically significant association between the number of positive SLNs and survival. The risk of mortality increased with the number of non-SLNs involved with metastatic disease (P &lt; .001).\n\nCONCLUSIONS: The number of regional nodes involved with metastatic disease does not affect DFS and OS if disease is confined to the SLNs. Consideration should be given to specifying SLN versus non-SLN involvement in the American Joint Committee on Cancer staging manual.", "author" : [ { "dropping-particle" : "", "family" : "Jakub", "given" : "James W", "non-dropping-particle" : "", "parse-names" : false, "suffix" : "" }, { "dropping-particle" : "", "family" : "Huebner", "given" : "Marianne", "non-dropping-particle" : "", "parse-names" : false, "suffix" : "" }, { "dropping-particle" : "", "family" : "Shivers", "given" : "Steve", "non-dropping-particle" : "", "parse-names" : false, "suffix" : "" }, { "dropping-particle" : "", "family" : "Nobo", "given" : "Christopher", "non-dropping-particle" : "", "parse-names" : false, "suffix" : "" }, { "dropping-particle" : "", "family" : "Puleo", "given" : "Christopher", "non-dropping-particle" : "", "parse-names" : false, "suffix" : "" }, { "dropping-particle" : "", "family" : "Harmsen", "given" : "William S", "non-dropping-particle" : "", "parse-names" : false, "suffix" : "" }, { "dropping-particle" : "", "family" : "Reintgen", "given" : "Douglas S", "non-dropping-particle" : "", "parse-names" : false, "suffix" : "" } ], "container-title" : "Annals of surgical oncology", "id" : "ITEM-1", "issue" : "8", "issued" : { "date-parts" : [ [ "2009", "8" ] ] }, "page" : "2245-51", "title" : "The number of lymph nodes involved with metastatic disease does not affect outcome in melanoma patients as long as all disease is confined to the sentinel lymph node.", "type" : "article-journal", "volume" : "16" }, "uris" : [ "http://www.mendeley.com/documents/?uuid=fbe213b8-67d5-4eaa-b00e-02735b35827b" ] } ], "mendeley" : { "formattedCitation" : "&lt;sup&gt;164&lt;/sup&gt;", "plainTextFormattedCitation" : "164", "previouslyFormattedCitation" : "&lt;sup&gt;164&lt;/sup&gt;" }, "properties" : { "noteIndex" : 0 }, "schema" : "https://github.com/citation-style-language/schema/raw/master/csl-citation.json" }</w:instrText>
      </w:r>
      <w:r w:rsidRPr="003E73CD">
        <w:rPr>
          <w:sz w:val="22"/>
          <w:szCs w:val="22"/>
        </w:rPr>
        <w:fldChar w:fldCharType="separate"/>
      </w:r>
      <w:r w:rsidRPr="00CE2A17">
        <w:rPr>
          <w:noProof/>
          <w:sz w:val="22"/>
          <w:szCs w:val="22"/>
          <w:vertAlign w:val="superscript"/>
        </w:rPr>
        <w:t>164</w:t>
      </w:r>
      <w:r w:rsidRPr="003E73CD">
        <w:rPr>
          <w:sz w:val="22"/>
          <w:szCs w:val="22"/>
        </w:rPr>
        <w:fldChar w:fldCharType="end"/>
      </w:r>
      <w:proofErr w:type="gramStart"/>
      <w:r w:rsidRPr="003E73CD">
        <w:rPr>
          <w:sz w:val="22"/>
          <w:szCs w:val="22"/>
        </w:rPr>
        <w:t xml:space="preserve">  Kaplan</w:t>
      </w:r>
      <w:proofErr w:type="gramEnd"/>
      <w:r w:rsidRPr="003E73CD">
        <w:rPr>
          <w:sz w:val="22"/>
          <w:szCs w:val="22"/>
        </w:rPr>
        <w:t>-Meier survival curves were plotted for patients grouped by number of positive sentinel nodes (1 positive sentinel node, 2 positive sentinel nodes and 3 or more positive sentinel nodes).  There was no significant difference (p = 0.59) in overall survival.  However, when survival curves were plotted grouping patients by number of positive non-sentinel nodes (0 positive non-sentinel nodes, 1 positive non-sentinel node and 2 or more positive non-sentinel nodes) there was a significant difference (p&lt;0.001).  The finding was confirmed on univariate analysis which showed reduced overall survival (p&lt;0.001) with increasing number of positive non-sentinel nodes (</w:t>
      </w:r>
      <w:proofErr w:type="gramStart"/>
      <w:r w:rsidRPr="003E73CD">
        <w:rPr>
          <w:sz w:val="22"/>
          <w:szCs w:val="22"/>
        </w:rPr>
        <w:t>HR(</w:t>
      </w:r>
      <w:proofErr w:type="gramEnd"/>
      <w:r w:rsidRPr="003E73CD">
        <w:rPr>
          <w:sz w:val="22"/>
          <w:szCs w:val="22"/>
        </w:rPr>
        <w:t>95% CI): 1.8 (1.1-2.9) for 1 positive non-sentinel node versus non-sentinel node negative and HR(95% CI): 3.4 (2.0-5.6) for 2 or more positive non-sentinel nodes versus non-sentinel node negative).  The multivariate analysis in this study included age (variable type not stated), sex, Breslow thickness (variable type not stated) and number of positive non-sentinel nodes, with the latter variable retaining its prognostic significance.  However, total number of positive nodes was not included within the multivariate model.</w:t>
      </w:r>
    </w:p>
    <w:p w14:paraId="0CA7F23C" w14:textId="2B18A878" w:rsidR="00EB738E" w:rsidRPr="003E73CD" w:rsidRDefault="00EB738E" w:rsidP="00A80283">
      <w:pPr>
        <w:spacing w:line="480" w:lineRule="auto"/>
        <w:ind w:firstLine="720"/>
        <w:rPr>
          <w:sz w:val="22"/>
          <w:szCs w:val="22"/>
        </w:rPr>
      </w:pPr>
      <w:r w:rsidRPr="003E73CD">
        <w:rPr>
          <w:sz w:val="22"/>
          <w:szCs w:val="22"/>
        </w:rPr>
        <w:t>The publication by Wie</w:t>
      </w:r>
      <w:r w:rsidR="00202947">
        <w:rPr>
          <w:sz w:val="22"/>
          <w:szCs w:val="22"/>
        </w:rPr>
        <w:t>ner et al. comprises Section 3.2</w:t>
      </w:r>
      <w:r w:rsidRPr="003E73CD">
        <w:rPr>
          <w:sz w:val="22"/>
          <w:szCs w:val="22"/>
        </w:rPr>
        <w:t xml:space="preserve"> of this thesis.</w:t>
      </w:r>
      <w:r w:rsidRPr="003E73CD">
        <w:rPr>
          <w:sz w:val="22"/>
          <w:szCs w:val="22"/>
        </w:rPr>
        <w:fldChar w:fldCharType="begin" w:fldLock="1"/>
      </w:r>
      <w:r>
        <w:rPr>
          <w:sz w:val="22"/>
          <w:szCs w:val="22"/>
        </w:rPr>
        <w:instrText>ADDIN CSL_CITATION { "citationItems" : [ { "id" : "ITEM-1", "itemData" : { "DOI" : "10.1245/s10434-010-1049-5", "ISSN" : "1534-4681", "PMID" : "20490699", "abstract" : "BACKGROUND: Completion lymph node dissection (CLND) following positive sentinel node biopsy (SNB) for melanoma detects additional nonsentinel node (NSN) metastases in approximately 20% of cases. This study aimed to establish whether NSN status can be predicted, to determine its effect on survival, and to develop survival tree models for the sentinel node (SN) positive population.\n\nMATERIALS AND METHODS: Sydney Melanoma Unit (SMU) patients with at least 1 positive SN, meeting inclusion criteria and treated between October 1992 and June 2005, were identified from the Unit database. Survival characteristics, potential predictors of survival, and NSN status were assessed using the Kaplan-Meier method, Cox regression model, and logistic regression analyses, respectively. Classification tree analysis was performed to identify groups with distinctly different survival characteristics.\n\nRESULTS: A total of 323 SN-positive melanoma patients met the inclusion criteria. On multivariate analysis, age, gender, primary tumor thickness, mitotic rate, number of positive NSNs, or total number of positive nodes were statistically significant predictors of survival. NSN metastasis, found at CLND in 19% of patients, was only predicted to a statistically significant degree by ulceration. Multivariate analyses demonstrated that survival was more closely related to number of positive NSNs than total number of positive nodes. Classification tree analysis revealed 4 prognostically distinct survival groups.\n\nCONCLUSIONS: Patients with NSN metastases could not be reliably identified prior to CLND. Prognosis following CLND was more closely related to number of positive NSNs than total number of positive nodes. Classification tree analysis defined distinctly different survival groups more accurately than use of single-factor analysis.", "author" : [ { "dropping-particle" : "", "family" : "Wiener", "given" : "Martin", "non-dropping-particle" : "", "parse-names" : false, "suffix" : "" }, { "dropping-particle" : "", "family" : "Acland", "given" : "Katharine M", "non-dropping-particle" : "", "parse-names" : false, "suffix" : "" }, { "dropping-particle" : "", "family" : "Shaw", "given" : "Helen M", "non-dropping-particle" : "", "parse-names" : false, "suffix" : "" }, { "dropping-particle" : "", "family" : "Soong", "given" : "Seng-Jaw", "non-dropping-particle" : "", "parse-names" : false, "suffix" : "" }, { "dropping-particle" : "", "family" : "Lin", "given" : "Hui-Yi", "non-dropping-particle" : "", "parse-names" : false, "suffix" : "" }, { "dropping-particle" : "", "family" : "Chen", "given" : "Dung-Tsa", "non-dropping-particle" : "", "parse-names" : false, "suffix" : "" }, { "dropping-particle" : "", "family" : "Scolyer", "given" : "Richard A", "non-dropping-particle" : "", "parse-names" : false, "suffix" : "" }, { "dropping-particle" : "", "family" : "Winstanley", "given" : "Julie B", "non-dropping-particle" : "", "parse-names" : false, "suffix" : "" }, { "dropping-particle" : "", "family" : "Thompson", "given" : "John F", "non-dropping-particle" : "", "parse-names" : false, "suffix" : "" } ], "container-title" : "Annals of surgical oncology", "id" : "ITEM-1", "issue" : "8", "issued" : { "date-parts" : [ [ "2010", "8" ] ] }, "page" : "1995-2005", "title" : "Sentinel node positive melanoma patients: prediction and prognostic significance of nonsentinel node metastases and development of a survival tree model.", "type" : "article-journal", "volume" : "17" }, "uris" : [ "http://www.mendeley.com/documents/?uuid=f4126b0e-1dfd-4ac9-a748-0e48d0c17c53" ] } ], "mendeley" : { "formattedCitation" : "&lt;sup&gt;161&lt;/sup&gt;", "plainTextFormattedCitation" : "161", "previouslyFormattedCitation" : "&lt;sup&gt;161&lt;/sup&gt;" }, "properties" : { "noteIndex" : 0 }, "schema" : "https://github.com/citation-style-language/schema/raw/master/csl-citation.json" }</w:instrText>
      </w:r>
      <w:r w:rsidRPr="003E73CD">
        <w:rPr>
          <w:sz w:val="22"/>
          <w:szCs w:val="22"/>
        </w:rPr>
        <w:fldChar w:fldCharType="separate"/>
      </w:r>
      <w:r w:rsidRPr="00CE2A17">
        <w:rPr>
          <w:noProof/>
          <w:sz w:val="22"/>
          <w:szCs w:val="22"/>
          <w:vertAlign w:val="superscript"/>
        </w:rPr>
        <w:t>161</w:t>
      </w:r>
      <w:r w:rsidRPr="003E73CD">
        <w:rPr>
          <w:sz w:val="22"/>
          <w:szCs w:val="22"/>
        </w:rPr>
        <w:fldChar w:fldCharType="end"/>
      </w:r>
      <w:r w:rsidRPr="003E73CD">
        <w:rPr>
          <w:sz w:val="22"/>
          <w:szCs w:val="22"/>
        </w:rPr>
        <w:t xml:space="preserve">  </w:t>
      </w:r>
    </w:p>
    <w:p w14:paraId="220498BA" w14:textId="77777777" w:rsidR="00EB738E" w:rsidRPr="003E73CD" w:rsidRDefault="00EB738E" w:rsidP="00EB738E">
      <w:pPr>
        <w:spacing w:line="480" w:lineRule="auto"/>
        <w:ind w:firstLine="720"/>
        <w:rPr>
          <w:sz w:val="22"/>
          <w:szCs w:val="22"/>
        </w:rPr>
      </w:pPr>
      <w:r w:rsidRPr="003E73CD">
        <w:rPr>
          <w:sz w:val="22"/>
          <w:szCs w:val="22"/>
        </w:rPr>
        <w:t>The papers by Brown et al. and Egger</w:t>
      </w:r>
      <w:r w:rsidRPr="003E73CD">
        <w:rPr>
          <w:sz w:val="22"/>
          <w:szCs w:val="22"/>
          <w:vertAlign w:val="superscript"/>
        </w:rPr>
        <w:t>a</w:t>
      </w:r>
      <w:r w:rsidRPr="003E73CD">
        <w:rPr>
          <w:sz w:val="22"/>
          <w:szCs w:val="22"/>
        </w:rPr>
        <w:t xml:space="preserve"> et al. both relate to patients enrolled in the SUNBELT melanoma trial and so will be discussed together.</w:t>
      </w:r>
      <w:r w:rsidRPr="003E73CD">
        <w:rPr>
          <w:sz w:val="22"/>
          <w:szCs w:val="22"/>
        </w:rPr>
        <w:fldChar w:fldCharType="begin" w:fldLock="1"/>
      </w:r>
      <w:r>
        <w:rPr>
          <w:sz w:val="22"/>
          <w:szCs w:val="22"/>
        </w:rPr>
        <w:instrText>ADDIN CSL_CITATION { "citationItems" : [ { "id" : "ITEM-1", "itemData" : { "DOI" : "10.1245/s10434-010-1208-8", "ISSN" : "1534-4681", "PMID" : "20645010", "abstract" : "BACKGROUND: We hypothesized that metastasis beyond the sentinel lymph nodes (SLN) to the nonsentinel nodes (NSN) is an important predictor of survival.\n\nMATERIALS AND METHODS: Analysis was performed of a prospective multi-institutional study that included patients with melanoma \u2265 1.0 mm in Breslow thickness. All patients underwent SLN biopsy; completion lymphadenectomy was performed for all SLN metastases. Disease-free survival (DFS) and overall survival (OS) were computed by Kaplan-Meier analysis; univariate and multivariate analyses were performed to identify factors associated with differences in survival among groups.\n\nRESULTS: A total of 2335 patients were analyzed over a median follow-up of 68 months. We compared 3 groups: SLN negative (n = 1988), SLN-only positive (n = 296), and both SLN and NSN positive (n = 51). The 5-year DFS rates were 85.5, 64.8, and 42.6% for groups 1, 2, and 3, respectively (P &lt; 0.001). The 5-year OS rates were 85.5, 64.9, and 49.4%, respectively (P &lt; 0.001). On univariate analysis, predictors of decreased OS included: SLN metastasis, NSN metastasis, increased total number of positive LN, increased ratio of positive LN to total LN, increased age, male gender, increased Breslow thickness, presence of ulceration, Clark level \u2265 IV, and axial primary site (in all cases, P &lt; 0.01). When the total number of positive LN and NSN status were evaluated using multivariate analysis, NSN status remained statistically significant (P &lt; 0.01), while the total number of positive LN and LN ratio did not.\n\nCONCLUSIONS: NSN melanoma metastasis is an independent prognostic factor for DFS and OS, which is distinct from the number of positive lymph nodes or the lymph node ratio.", "author" : [ { "dropping-particle" : "", "family" : "Brown", "given" : "Russell E", "non-dropping-particle" : "", "parse-names" : false, "suffix" : "" }, { "dropping-particle" : "", "family" : "Ross", "given" : "Merrick I", "non-dropping-particle" : "", "parse-names" : false, "suffix" : "" }, { "dropping-particle" : "", "family" : "Edwards", "given" : "Michael J", "non-dropping-particle" : "", "parse-names" : false, "suffix" : "" }, { "dropping-particle" : "", "family" : "Noyes", "given" : "R Dirk", "non-dropping-particle" : "", "parse-names" : false, "suffix" : "" }, { "dropping-particle" : "", "family" : "Reintgen", "given" : "Douglas S", "non-dropping-particle" : "", "parse-names" : false, "suffix" : "" }, { "dropping-particle" : "", "family" : "Hagendoorn", "given" : "Lee J", "non-dropping-particle" : "", "parse-names" : false, "suffix" : "" }, { "dropping-particle" : "", "family" : "Stromberg", "given" : "Arnold J", "non-dropping-particle" : "", "parse-names" : false, "suffix" : "" }, { "dropping-particle" : "", "family" : "Martin", "given" : "Robert C G", "non-dropping-particle" : "", "parse-names" : false, "suffix" : "" }, { "dropping-particle" : "", "family" : "McMasters", "given" : "Kelly M", "non-dropping-particle" : "", "parse-names" : false, "suffix" : "" }, { "dropping-particle" : "", "family" : "Scoggins", "given" : "Charles R", "non-dropping-particle" : "", "parse-names" : false, "suffix" : "" } ], "container-title" : "Annals of surgical oncology", "id" : "ITEM-1", "issue" : "12", "issued" : { "date-parts" : [ [ "2010", "12" ] ] }, "page" : "3330-5", "title" : "The prognostic significance of nonsentinel lymph node metastasis in melanoma.", "type" : "article-journal", "volume" : "17" }, "uris" : [ "http://www.mendeley.com/documents/?uuid=9bb9c781-1dfe-43aa-99d2-d21c3065f5aa" ] }, { "id" : "ITEM-2", "itemData" : { "DOI" : "10.1245/s10434-012-2701-z", "ISSN" : "1534-4681", "PMID" : "23064795", "abstract" : "BACKGROUND: Sentinel lymph node (SLN) biopsy for melanoma often detects minimal nodal tumor burden. Although all node-positive patients are considered stage III, there is controversy regarding the necessity of adjuvant therapy for all patients with tumor-positive SLN.\n\nMETHODS: Post hoc analysis was performed of a prospective multi-institutional study of patients with melanoma \u2265 1.0 mm Breslow thickness. All patients underwent SLN biopsy; completion lymphadenectomy was performed for patients with SLN metastasis. Kaplan-Meier analysis of disease-free survival (DFS) and overall survival (OS) was performed. Univariate and multivariate Cox regression analyses were performed. Classification and regression tree (CART) analysis also was performed.\n\nRESULTS: A total of 509 patients with tumor-positive SLN were evaluated. Independent risk factors for worse OS included thickness, age, gender, presence of ulceration, and tumor-positive non-SLN (nodal metastasis found on completion lymphadenectomy). As the number of tumor-positive SLN and the total number of tumor-positive nodes (SLN and non-SLN) increased, DFS and OS worsened on Kaplan-Meier analysis. On CART analysis, the 5-year OS rates ranged from 84.9% (women with thickness &lt; 2.1 mm, age &lt; 59 years, no ulceration, and tumor-negative non-SLN) to 14.3% (men with thickness \u2265 2.1 mm, age \u2265 59 years, ulceration present, and tumor-positive non-SLN). Six distinct subgroups were identified with 5-year OS in excess of 70%.\n\nCONCLUSIONS: Stage III melanoma in the era of SLN is associated with a very wide range of prognosis. CART analysis of prognostic factors allows discrimination of low-risk subgroups for which adjuvant therapy may not be warranted.", "author" : [ { "dropping-particle" : "", "family" : "Egger", "given" : "Michael E", "non-dropping-particle" : "", "parse-names" : false, "suffix" : "" }, { "dropping-particle" : "", "family" : "Callender", "given" : "Glenda G", "non-dropping-particle" : "", "parse-names" : false, "suffix" : "" }, { "dropping-particle" : "", "family" : "McMasters", "given" : "Kelly M", "non-dropping-particle" : "", "parse-names" : false, "suffix" : "" }, { "dropping-particle" : "", "family" : "Ross", "given" : "Merrick I", "non-dropping-particle" : "", "parse-names" : false, "suffix" : "" }, { "dropping-particle" : "", "family" : "Martin", "given" : "Robert C G", "non-dropping-particle" : "", "parse-names" : false, "suffix" : "" }, { "dropping-particle" : "", "family" : "Edwards", "given" : "Michael J", "non-dropping-particle" : "", "parse-names" : false, "suffix" : "" }, { "dropping-particle" : "", "family" : "Urist", "given" : "Marshall M", "non-dropping-particle" : "", "parse-names" : false, "suffix" : "" }, { "dropping-particle" : "", "family" : "Noyes", "given" : "R Dirk", "non-dropping-particle" : "", "parse-names" : false, "suffix" : "" }, { "dropping-particle" : "", "family" : "Sussman", "given" : "Jeffrey J", "non-dropping-particle" : "", "parse-names" : false, "suffix" : "" }, { "dropping-particle" : "", "family" : "Reintgen", "given" : "Douglas S", "non-dropping-particle" : "", "parse-names" : false, "suffix" : "" }, { "dropping-particle" : "", "family" : "Stromberg", "given" : "Arnold J", "non-dropping-particle" : "", "parse-names" : false, "suffix" : "" }, { "dropping-particle" : "", "family" : "Scoggins", "given" : "Charles R", "non-dropping-particle" : "", "parse-names" : false, "suffix" : "" } ], "container-title" : "Annals of surgical oncology", "id" : "ITEM-2", "issue" : "3", "issued" : { "date-parts" : [ [ "2013", "3" ] ] }, "page" : "956-63", "title" : "Diversity of stage III melanoma in the era of sentinel lymph node biopsy.", "type" : "article-journal", "volume" : "20" }, "uris" : [ "http://www.mendeley.com/documents/?uuid=59503490-f299-41ae-b17d-0e482477adcc" ] } ], "mendeley" : { "formattedCitation" : "&lt;sup&gt;176,178&lt;/sup&gt;", "plainTextFormattedCitation" : "176,178", "previouslyFormattedCitation" : "&lt;sup&gt;176,178&lt;/sup&gt;" }, "properties" : { "noteIndex" : 0 }, "schema" : "https://github.com/citation-style-language/schema/raw/master/csl-citation.json" }</w:instrText>
      </w:r>
      <w:r w:rsidRPr="003E73CD">
        <w:rPr>
          <w:sz w:val="22"/>
          <w:szCs w:val="22"/>
        </w:rPr>
        <w:fldChar w:fldCharType="separate"/>
      </w:r>
      <w:r w:rsidRPr="00217FAC">
        <w:rPr>
          <w:noProof/>
          <w:sz w:val="22"/>
          <w:szCs w:val="22"/>
          <w:vertAlign w:val="superscript"/>
        </w:rPr>
        <w:t>176,178</w:t>
      </w:r>
      <w:r w:rsidRPr="003E73CD">
        <w:rPr>
          <w:sz w:val="22"/>
          <w:szCs w:val="22"/>
        </w:rPr>
        <w:fldChar w:fldCharType="end"/>
      </w:r>
      <w:proofErr w:type="gramStart"/>
      <w:r w:rsidRPr="003E73CD">
        <w:rPr>
          <w:sz w:val="22"/>
          <w:szCs w:val="22"/>
        </w:rPr>
        <w:t xml:space="preserve">  Brown</w:t>
      </w:r>
      <w:proofErr w:type="gramEnd"/>
      <w:r w:rsidRPr="003E73CD">
        <w:rPr>
          <w:sz w:val="22"/>
          <w:szCs w:val="22"/>
        </w:rPr>
        <w:t xml:space="preserve"> et al. (published in 2010) analysed a total of 2335 patients with median follow-up of 68 months and found 347 sentinel node positive patients, of whom 51(14.7%) were non-sentinel node positive.</w:t>
      </w:r>
      <w:r w:rsidRPr="003E73CD">
        <w:rPr>
          <w:sz w:val="22"/>
          <w:szCs w:val="22"/>
        </w:rPr>
        <w:fldChar w:fldCharType="begin" w:fldLock="1"/>
      </w:r>
      <w:r>
        <w:rPr>
          <w:sz w:val="22"/>
          <w:szCs w:val="22"/>
        </w:rPr>
        <w:instrText>ADDIN CSL_CITATION { "citationItems" : [ { "id" : "ITEM-1", "itemData" : { "DOI" : "10.1245/s10434-010-1208-8", "ISSN" : "1534-4681", "PMID" : "20645010", "abstract" : "BACKGROUND: We hypothesized that metastasis beyond the sentinel lymph nodes (SLN) to the nonsentinel nodes (NSN) is an important predictor of survival.\n\nMATERIALS AND METHODS: Analysis was performed of a prospective multi-institutional study that included patients with melanoma \u2265 1.0 mm in Breslow thickness. All patients underwent SLN biopsy; completion lymphadenectomy was performed for all SLN metastases. Disease-free survival (DFS) and overall survival (OS) were computed by Kaplan-Meier analysis; univariate and multivariate analyses were performed to identify factors associated with differences in survival among groups.\n\nRESULTS: A total of 2335 patients were analyzed over a median follow-up of 68 months. We compared 3 groups: SLN negative (n = 1988), SLN-only positive (n = 296), and both SLN and NSN positive (n = 51). The 5-year DFS rates were 85.5, 64.8, and 42.6% for groups 1, 2, and 3, respectively (P &lt; 0.001). The 5-year OS rates were 85.5, 64.9, and 49.4%, respectively (P &lt; 0.001). On univariate analysis, predictors of decreased OS included: SLN metastasis, NSN metastasis, increased total number of positive LN, increased ratio of positive LN to total LN, increased age, male gender, increased Breslow thickness, presence of ulceration, Clark level \u2265 IV, and axial primary site (in all cases, P &lt; 0.01). When the total number of positive LN and NSN status were evaluated using multivariate analysis, NSN status remained statistically significant (P &lt; 0.01), while the total number of positive LN and LN ratio did not.\n\nCONCLUSIONS: NSN melanoma metastasis is an independent prognostic factor for DFS and OS, which is distinct from the number of positive lymph nodes or the lymph node ratio.", "author" : [ { "dropping-particle" : "", "family" : "Brown", "given" : "Russell E", "non-dropping-particle" : "", "parse-names" : false, "suffix" : "" }, { "dropping-particle" : "", "family" : "Ross", "given" : "Merrick I", "non-dropping-particle" : "", "parse-names" : false, "suffix" : "" }, { "dropping-particle" : "", "family" : "Edwards", "given" : "Michael J", "non-dropping-particle" : "", "parse-names" : false, "suffix" : "" }, { "dropping-particle" : "", "family" : "Noyes", "given" : "R Dirk", "non-dropping-particle" : "", "parse-names" : false, "suffix" : "" }, { "dropping-particle" : "", "family" : "Reintgen", "given" : "Douglas S", "non-dropping-particle" : "", "parse-names" : false, "suffix" : "" }, { "dropping-particle" : "", "family" : "Hagendoorn", "given" : "Lee J", "non-dropping-particle" : "", "parse-names" : false, "suffix" : "" }, { "dropping-particle" : "", "family" : "Stromberg", "given" : "Arnold J", "non-dropping-particle" : "", "parse-names" : false, "suffix" : "" }, { "dropping-particle" : "", "family" : "Martin", "given" : "Robert C G", "non-dropping-particle" : "", "parse-names" : false, "suffix" : "" }, { "dropping-particle" : "", "family" : "McMasters", "given" : "Kelly M", "non-dropping-particle" : "", "parse-names" : false, "suffix" : "" }, { "dropping-particle" : "", "family" : "Scoggins", "given" : "Charles R", "non-dropping-particle" : "", "parse-names" : false, "suffix" : "" } ], "container-title" : "Annals of surgical oncology", "id" : "ITEM-1", "issue" : "12", "issued" : { "date-parts" : [ [ "2010", "12" ] ] }, "page" : "3330-5", "title" : "The prognostic significance of nonsentinel lymph node metastasis in melanoma.", "type" : "article-journal", "volume" : "17" }, "uris" : [ "http://www.mendeley.com/documents/?uuid=9bb9c781-1dfe-43aa-99d2-d21c3065f5aa" ] } ], "mendeley" : { "formattedCitation" : "&lt;sup&gt;176&lt;/sup&gt;", "plainTextFormattedCitation" : "176", "previouslyFormattedCitation" : "&lt;sup&gt;176&lt;/sup&gt;" }, "properties" : { "noteIndex" : 0 }, "schema" : "https://github.com/citation-style-language/schema/raw/master/csl-citation.json" }</w:instrText>
      </w:r>
      <w:r w:rsidRPr="003E73CD">
        <w:rPr>
          <w:sz w:val="22"/>
          <w:szCs w:val="22"/>
        </w:rPr>
        <w:fldChar w:fldCharType="separate"/>
      </w:r>
      <w:r w:rsidRPr="00217FAC">
        <w:rPr>
          <w:noProof/>
          <w:sz w:val="22"/>
          <w:szCs w:val="22"/>
          <w:vertAlign w:val="superscript"/>
        </w:rPr>
        <w:t>176</w:t>
      </w:r>
      <w:r w:rsidRPr="003E73CD">
        <w:rPr>
          <w:sz w:val="22"/>
          <w:szCs w:val="22"/>
        </w:rPr>
        <w:fldChar w:fldCharType="end"/>
      </w:r>
      <w:proofErr w:type="gramStart"/>
      <w:r w:rsidRPr="003E73CD">
        <w:rPr>
          <w:sz w:val="22"/>
          <w:szCs w:val="22"/>
        </w:rPr>
        <w:t xml:space="preserve">  Egger</w:t>
      </w:r>
      <w:proofErr w:type="gramEnd"/>
      <w:r w:rsidRPr="003E73CD">
        <w:rPr>
          <w:sz w:val="22"/>
          <w:szCs w:val="22"/>
        </w:rPr>
        <w:t xml:space="preserve"> et al. (published in 2013) analysed data regarding 509 sentinel node positive patients, of whom 51 (10%) were non-sentinel node positive.</w:t>
      </w:r>
      <w:r w:rsidRPr="003E73CD">
        <w:rPr>
          <w:sz w:val="22"/>
          <w:szCs w:val="22"/>
        </w:rPr>
        <w:fldChar w:fldCharType="begin" w:fldLock="1"/>
      </w:r>
      <w:r>
        <w:rPr>
          <w:sz w:val="22"/>
          <w:szCs w:val="22"/>
        </w:rPr>
        <w:instrText>ADDIN CSL_CITATION { "citationItems" : [ { "id" : "ITEM-1", "itemData" : { "DOI" : "10.1245/s10434-012-2701-z", "ISSN" : "1534-4681", "PMID" : "23064795", "abstract" : "BACKGROUND: Sentinel lymph node (SLN) biopsy for melanoma often detects minimal nodal tumor burden. Although all node-positive patients are considered stage III, there is controversy regarding the necessity of adjuvant therapy for all patients with tumor-positive SLN.\n\nMETHODS: Post hoc analysis was performed of a prospective multi-institutional study of patients with melanoma \u2265 1.0 mm Breslow thickness. All patients underwent SLN biopsy; completion lymphadenectomy was performed for patients with SLN metastasis. Kaplan-Meier analysis of disease-free survival (DFS) and overall survival (OS) was performed. Univariate and multivariate Cox regression analyses were performed. Classification and regression tree (CART) analysis also was performed.\n\nRESULTS: A total of 509 patients with tumor-positive SLN were evaluated. Independent risk factors for worse OS included thickness, age, gender, presence of ulceration, and tumor-positive non-SLN (nodal metastasis found on completion lymphadenectomy). As the number of tumor-positive SLN and the total number of tumor-positive nodes (SLN and non-SLN) increased, DFS and OS worsened on Kaplan-Meier analysis. On CART analysis, the 5-year OS rates ranged from 84.9% (women with thickness &lt; 2.1 mm, age &lt; 59 years, no ulceration, and tumor-negative non-SLN) to 14.3% (men with thickness \u2265 2.1 mm, age \u2265 59 years, ulceration present, and tumor-positive non-SLN). Six distinct subgroups were identified with 5-year OS in excess of 70%.\n\nCONCLUSIONS: Stage III melanoma in the era of SLN is associated with a very wide range of prognosis. CART analysis of prognostic factors allows discrimination of low-risk subgroups for which adjuvant therapy may not be warranted.", "author" : [ { "dropping-particle" : "", "family" : "Egger", "given" : "Michael E", "non-dropping-particle" : "", "parse-names" : false, "suffix" : "" }, { "dropping-particle" : "", "family" : "Callender", "given" : "Glenda G", "non-dropping-particle" : "", "parse-names" : false, "suffix" : "" }, { "dropping-particle" : "", "family" : "McMasters", "given" : "Kelly M", "non-dropping-particle" : "", "parse-names" : false, "suffix" : "" }, { "dropping-particle" : "", "family" : "Ross", "given" : "Merrick I", "non-dropping-particle" : "", "parse-names" : false, "suffix" : "" }, { "dropping-particle" : "", "family" : "Martin", "given" : "Robert C G", "non-dropping-particle" : "", "parse-names" : false, "suffix" : "" }, { "dropping-particle" : "", "family" : "Edwards", "given" : "Michael J", "non-dropping-particle" : "", "parse-names" : false, "suffix" : "" }, { "dropping-particle" : "", "family" : "Urist", "given" : "Marshall M", "non-dropping-particle" : "", "parse-names" : false, "suffix" : "" }, { "dropping-particle" : "", "family" : "Noyes", "given" : "R Dirk", "non-dropping-particle" : "", "parse-names" : false, "suffix" : "" }, { "dropping-particle" : "", "family" : "Sussman", "given" : "Jeffrey J", "non-dropping-particle" : "", "parse-names" : false, "suffix" : "" }, { "dropping-particle" : "", "family" : "Reintgen", "given" : "Douglas S", "non-dropping-particle" : "", "parse-names" : false, "suffix" : "" }, { "dropping-particle" : "", "family" : "Stromberg", "given" : "Arnold J", "non-dropping-particle" : "", "parse-names" : false, "suffix" : "" }, { "dropping-particle" : "", "family" : "Scoggins", "given" : "Charles R", "non-dropping-particle" : "", "parse-names" : false, "suffix" : "" } ], "container-title" : "Annals of surgical oncology", "id" : "ITEM-1", "issue" : "3", "issued" : { "date-parts" : [ [ "2013", "3" ] ] }, "page" : "956-63", "title" : "Diversity of stage III melanoma in the era of sentinel lymph node biopsy.", "type" : "article-journal", "volume" : "20" }, "uris" : [ "http://www.mendeley.com/documents/?uuid=59503490-f299-41ae-b17d-0e482477adcc" ] } ], "mendeley" : { "formattedCitation" : "&lt;sup&gt;178&lt;/sup&gt;", "plainTextFormattedCitation" : "178", "previouslyFormattedCitation" : "&lt;sup&gt;178&lt;/sup&gt;" }, "properties" : { "noteIndex" : 0 }, "schema" : "https://github.com/citation-style-language/schema/raw/master/csl-citation.json" }</w:instrText>
      </w:r>
      <w:r w:rsidRPr="003E73CD">
        <w:rPr>
          <w:sz w:val="22"/>
          <w:szCs w:val="22"/>
        </w:rPr>
        <w:fldChar w:fldCharType="separate"/>
      </w:r>
      <w:r w:rsidRPr="00217FAC">
        <w:rPr>
          <w:noProof/>
          <w:sz w:val="22"/>
          <w:szCs w:val="22"/>
          <w:vertAlign w:val="superscript"/>
        </w:rPr>
        <w:t>178</w:t>
      </w:r>
      <w:r w:rsidRPr="003E73CD">
        <w:rPr>
          <w:sz w:val="22"/>
          <w:szCs w:val="22"/>
        </w:rPr>
        <w:fldChar w:fldCharType="end"/>
      </w:r>
      <w:proofErr w:type="gramStart"/>
      <w:r w:rsidRPr="003E73CD">
        <w:rPr>
          <w:sz w:val="22"/>
          <w:szCs w:val="22"/>
        </w:rPr>
        <w:t xml:space="preserve">  The</w:t>
      </w:r>
      <w:proofErr w:type="gramEnd"/>
      <w:r w:rsidRPr="003E73CD">
        <w:rPr>
          <w:sz w:val="22"/>
          <w:szCs w:val="22"/>
        </w:rPr>
        <w:t xml:space="preserve"> median follow-up in this report was 58 months.  Although the number of non-sentinel node positive patients is the same in each report, there is clearly a large discrepancy in the number of sentinel node positive patients (347 versus 509) between the two reports of the same clinical trial population.  The reason for this is unclear but is obviously of concern.</w:t>
      </w:r>
    </w:p>
    <w:p w14:paraId="2563E280" w14:textId="64327AB0" w:rsidR="00EB738E" w:rsidRPr="003E73CD" w:rsidRDefault="00EB738E" w:rsidP="00EB738E">
      <w:pPr>
        <w:spacing w:line="480" w:lineRule="auto"/>
        <w:ind w:firstLine="720"/>
        <w:rPr>
          <w:sz w:val="22"/>
          <w:szCs w:val="22"/>
        </w:rPr>
      </w:pPr>
      <w:r w:rsidRPr="003E73CD">
        <w:rPr>
          <w:sz w:val="22"/>
          <w:szCs w:val="22"/>
        </w:rPr>
        <w:t>Brown et al. conducted univariate and multivariate analyses for overall survival that included sentinel node negative patients (n=1988) as well as sentinel node positive patients (n=347).  Sentinel node negative patients are all also non-sentinel node negative and so their inclusion in an analysis to determine the prognostic significance of non-sentinel node metastasis in melanoma is unnecessary.  The results of such analyses may not be directly applicable to the sentinel node positive population.  This, and the fact that they relate to the same group of patients presented by Egger</w:t>
      </w:r>
      <w:r w:rsidRPr="003E73CD">
        <w:rPr>
          <w:sz w:val="22"/>
          <w:szCs w:val="22"/>
          <w:vertAlign w:val="superscript"/>
        </w:rPr>
        <w:t>a</w:t>
      </w:r>
      <w:r w:rsidRPr="003E73CD">
        <w:rPr>
          <w:sz w:val="22"/>
          <w:szCs w:val="22"/>
        </w:rPr>
        <w:t xml:space="preserve"> et al. are the reasons why they</w:t>
      </w:r>
      <w:r w:rsidR="00202947">
        <w:rPr>
          <w:sz w:val="22"/>
          <w:szCs w:val="22"/>
        </w:rPr>
        <w:t xml:space="preserve"> have been excluded from Table 3.1</w:t>
      </w:r>
      <w:r w:rsidRPr="003E73CD">
        <w:rPr>
          <w:sz w:val="22"/>
          <w:szCs w:val="22"/>
        </w:rPr>
        <w:t>.4.</w:t>
      </w:r>
    </w:p>
    <w:p w14:paraId="03F5148E" w14:textId="77777777" w:rsidR="00EB738E" w:rsidRPr="003E73CD" w:rsidRDefault="00EB738E" w:rsidP="00EB738E">
      <w:pPr>
        <w:spacing w:line="480" w:lineRule="auto"/>
        <w:rPr>
          <w:rFonts w:eastAsia="ＭＳ ゴシック"/>
          <w:color w:val="000000"/>
          <w:sz w:val="22"/>
          <w:szCs w:val="22"/>
        </w:rPr>
      </w:pPr>
      <w:r w:rsidRPr="003E73CD">
        <w:rPr>
          <w:sz w:val="22"/>
          <w:szCs w:val="22"/>
        </w:rPr>
        <w:tab/>
        <w:t>The analysis reported by Egger</w:t>
      </w:r>
      <w:r w:rsidRPr="003E73CD">
        <w:rPr>
          <w:sz w:val="22"/>
          <w:szCs w:val="22"/>
          <w:vertAlign w:val="superscript"/>
        </w:rPr>
        <w:t>a</w:t>
      </w:r>
      <w:r w:rsidRPr="003E73CD">
        <w:rPr>
          <w:sz w:val="22"/>
          <w:szCs w:val="22"/>
        </w:rPr>
        <w:t xml:space="preserve"> et al. did include only sentinel node positive patients.  Data on primary melanoma mitotic rate were not available for patients enrolled in the SUNBELT melanoma trial and so this variable was not included within the analyses.  Univariate analysis included Breslow thickness </w:t>
      </w:r>
      <w:r w:rsidRPr="003E73CD">
        <w:rPr>
          <w:rFonts w:eastAsia="ＭＳ ゴシック"/>
          <w:color w:val="000000"/>
          <w:sz w:val="22"/>
          <w:szCs w:val="22"/>
        </w:rPr>
        <w:t xml:space="preserve">≥ 2.1mm, age ≥ 59 years, sex, Clark level ≥ IV, regression, ulceration, primary tumour location, histological subtype, lymphovascular invasion and non-sentinel node status.  Regression, primary tumour location, histological subtype and lymphovascular invasion were not significant predictors of overall survival and so were excluded from the multivariate analysis.  The multivariate analysis demonstrated reduced overall survival with </w:t>
      </w:r>
      <w:r w:rsidRPr="003E73CD">
        <w:rPr>
          <w:sz w:val="22"/>
          <w:szCs w:val="22"/>
        </w:rPr>
        <w:t xml:space="preserve">Breslow thickness </w:t>
      </w:r>
      <w:r w:rsidRPr="003E73CD">
        <w:rPr>
          <w:rFonts w:eastAsia="ＭＳ ゴシック"/>
          <w:color w:val="000000"/>
          <w:sz w:val="22"/>
          <w:szCs w:val="22"/>
        </w:rPr>
        <w:t>≥ 2.1mm (</w:t>
      </w:r>
      <w:proofErr w:type="gramStart"/>
      <w:r w:rsidRPr="003E73CD">
        <w:rPr>
          <w:rFonts w:eastAsia="ＭＳ ゴシック"/>
          <w:color w:val="000000"/>
          <w:sz w:val="22"/>
          <w:szCs w:val="22"/>
        </w:rPr>
        <w:t>HR(</w:t>
      </w:r>
      <w:proofErr w:type="gramEnd"/>
      <w:r w:rsidRPr="003E73CD">
        <w:rPr>
          <w:rFonts w:eastAsia="ＭＳ ゴシック"/>
          <w:color w:val="000000"/>
          <w:sz w:val="22"/>
          <w:szCs w:val="22"/>
        </w:rPr>
        <w:t>95%CI): 1.73 (1.24-2.45), p=0.0011), age ≥ 59 years (HR(95%CI): 1.78 (1.32-2.37), p=0.0002), male sex (HR(95%CI): 1.53 (1.13-2.1), p=0.0054), presence of ulceration (HR(95%CI): 1.78 (1.33-2.39), p=0.0001), and positive non-sentinel node status (HR(95%CI): 1.51 (1.01-2.2), p=0.0467, but not with Clark level ≥ IV.  A notable exclusion from the multivariate analysis was total number of positive nodes.  Interestingly, the authors reported a worse prognosis as the number of positive sentinel nodes increased.  This finding is in concordance with Leung et al. but in contrast to other studies in which increasing number of positive sentinel nodes did not adversely affect prognosis.</w:t>
      </w:r>
      <w:r w:rsidRPr="003E73CD">
        <w:rPr>
          <w:rFonts w:eastAsia="ＭＳ ゴシック"/>
          <w:color w:val="000000"/>
          <w:sz w:val="22"/>
          <w:szCs w:val="22"/>
        </w:rPr>
        <w:fldChar w:fldCharType="begin" w:fldLock="1"/>
      </w:r>
      <w:r>
        <w:rPr>
          <w:rFonts w:eastAsia="ＭＳ ゴシック"/>
          <w:color w:val="000000"/>
          <w:sz w:val="22"/>
          <w:szCs w:val="22"/>
        </w:rPr>
        <w:instrText>ADDIN CSL_CITATION { "citationItems" : [ { "id" : "ITEM-1", "itemData" : { "DOI" : "10.1245/s10434-009-0530-5", "ISSN" : "1534-4681", "PMID" : "19517194", "abstract" : "BACKGROUND: In melanoma, a direct relationship exists between the number of nodes involved with metastatic disease and prognosis. This study was undertaken to determine whether an individual with metastatic disease confined to the sentinel lymph nodes (SLNs) would have a better prognosis than individuals with metastatic disease that has spread to the non-SLNs, regardless of the number of nodes involved.\n\nMETHODS: The study group consists of 229 melanoma patients with a positive SLN who underwent regional nodal dissection. Cox proportional hazard regression models were used to assess association of the number of SLNs and non-SLNs involved with disease with overall survival (OS) and disease-free survival (DFS).\n\nRESULTS: DFS and OS were unchanged regardless of how many SLNs were positive, as long as all disease was confined to SLNs. Among 183 patients without involvement of non-SLNs, OS remained the same despite an increasing number of SLNs involved (P = .59). This was true after controlling for ulceration, Breslow depth, age, sex, and adjuvant treatment. Once disease was present beyond the SLN, DFS and OS were negatively affected. Among patients with involvement of non-SLNs, there was no statistically significant association between the number of positive SLNs and survival. The risk of mortality increased with the number of non-SLNs involved with metastatic disease (P &lt; .001).\n\nCONCLUSIONS: The number of regional nodes involved with metastatic disease does not affect DFS and OS if disease is confined to the SLNs. Consideration should be given to specifying SLN versus non-SLN involvement in the American Joint Committee on Cancer staging manual.", "author" : [ { "dropping-particle" : "", "family" : "Jakub", "given" : "James W", "non-dropping-particle" : "", "parse-names" : false, "suffix" : "" }, { "dropping-particle" : "", "family" : "Huebner", "given" : "Marianne", "non-dropping-particle" : "", "parse-names" : false, "suffix" : "" }, { "dropping-particle" : "", "family" : "Shivers", "given" : "Steve", "non-dropping-particle" : "", "parse-names" : false, "suffix" : "" }, { "dropping-particle" : "", "family" : "Nobo", "given" : "Christopher", "non-dropping-particle" : "", "parse-names" : false, "suffix" : "" }, { "dropping-particle" : "", "family" : "Puleo", "given" : "Christopher", "non-dropping-particle" : "", "parse-names" : false, "suffix" : "" }, { "dropping-particle" : "", "family" : "Harmsen", "given" : "William S", "non-dropping-particle" : "", "parse-names" : false, "suffix" : "" }, { "dropping-particle" : "", "family" : "Reintgen", "given" : "Douglas S", "non-dropping-particle" : "", "parse-names" : false, "suffix" : "" } ], "container-title" : "Annals of surgical oncology", "id" : "ITEM-1", "issue" : "8", "issued" : { "date-parts" : [ [ "2009", "8" ] ] }, "page" : "2245-51", "title" : "The number of lymph nodes involved with metastatic disease does not affect outcome in melanoma patients as long as all disease is confined to the sentinel lymph node.", "type" : "article-journal", "volume" : "16" }, "uris" : [ "http://www.mendeley.com/documents/?uuid=fbe213b8-67d5-4eaa-b00e-02735b35827b" ] }, { "id" : "ITEM-2", "itemData" : { "DOI" : "10.1245/s10434-010-1049-5", "ISSN" : "1534-4681", "PMID" : "20490699", "abstract" : "BACKGROUND: Completion lymph node dissection (CLND) following positive sentinel node biopsy (SNB) for melanoma detects additional nonsentinel node (NSN) metastases in approximately 20% of cases. This study aimed to establish whether NSN status can be predicted, to determine its effect on survival, and to develop survival tree models for the sentinel node (SN) positive population.\n\nMATERIALS AND METHODS: Sydney Melanoma Unit (SMU) patients with at least 1 positive SN, meeting inclusion criteria and treated between October 1992 and June 2005, were identified from the Unit database. Survival characteristics, potential predictors of survival, and NSN status were assessed using the Kaplan-Meier method, Cox regression model, and logistic regression analyses, respectively. Classification tree analysis was performed to identify groups with distinctly different survival characteristics.\n\nRESULTS: A total of 323 SN-positive melanoma patients met the inclusion criteria. On multivariate analysis, age, gender, primary tumor thickness, mitotic rate, number of positive NSNs, or total number of positive nodes were statistically significant predictors of survival. NSN metastasis, found at CLND in 19% of patients, was only predicted to a statistically significant degree by ulceration. Multivariate analyses demonstrated that survival was more closely related to number of positive NSNs than total number of positive nodes. Classification tree analysis revealed 4 prognostically distinct survival groups.\n\nCONCLUSIONS: Patients with NSN metastases could not be reliably identified prior to CLND. Prognosis following CLND was more closely related to number of positive NSNs than total number of positive nodes. Classification tree analysis defined distinctly different survival groups more accurately than use of single-factor analysis.", "author" : [ { "dropping-particle" : "", "family" : "Wiener", "given" : "Martin", "non-dropping-particle" : "", "parse-names" : false, "suffix" : "" }, { "dropping-particle" : "", "family" : "Acland", "given" : "Katharine M", "non-dropping-particle" : "", "parse-names" : false, "suffix" : "" }, { "dropping-particle" : "", "family" : "Shaw", "given" : "Helen M", "non-dropping-particle" : "", "parse-names" : false, "suffix" : "" }, { "dropping-particle" : "", "family" : "Soong", "given" : "Seng-Jaw", "non-dropping-particle" : "", "parse-names" : false, "suffix" : "" }, { "dropping-particle" : "", "family" : "Lin", "given" : "Hui-Yi", "non-dropping-particle" : "", "parse-names" : false, "suffix" : "" }, { "dropping-particle" : "", "family" : "Chen", "given" : "Dung-Tsa", "non-dropping-particle" : "", "parse-names" : false, "suffix" : "" }, { "dropping-particle" : "", "family" : "Scolyer", "given" : "Richard A", "non-dropping-particle" : "", "parse-names" : false, "suffix" : "" }, { "dropping-particle" : "", "family" : "Winstanley", "given" : "Julie B", "non-dropping-particle" : "", "parse-names" : false, "suffix" : "" }, { "dropping-particle" : "", "family" : "Thompson", "given" : "John F", "non-dropping-particle" : "", "parse-names" : false, "suffix" : "" } ], "container-title" : "Annals of surgical oncology", "id" : "ITEM-2", "issue" : "8", "issued" : { "date-parts" : [ [ "2010", "8" ] ] }, "page" : "1995-2005", "title" : "Sentinel node positive melanoma patients: prediction and prognostic significance of nonsentinel node metastases and development of a survival tree model.", "type" : "article-journal", "volume" : "17" }, "uris" : [ "http://www.mendeley.com/documents/?uuid=f4126b0e-1dfd-4ac9-a748-0e48d0c17c53" ] }, { "id" : "ITEM-3", "itemData" : { "DOI" : "10.1001/jamasurg.2013.3044", "ISSN" : "2168-6262", "PMID" : "23903435", "abstract" : "IMPORTANCE: Survival varies widely in patients with stage III melanoma. The existence of clinical significance for positive nonsentinel lymph node (NSLN) status would warrant consideration for incorporation into the American Joint Committee on Cancer staging system and better prediction of survival.\n\nOBJECTIVE: To evaluate whether disease limited to sentinel lymph nodes (SLNs) represents different clinical significance than disease spread into NSLNs.\n\nDESIGN, SETTING, AND PARTICIPANTS: The database of the John Wayne Cancer Institute at Saint John's Health Center, Santa Monica, California, was queried for all patients with SLNs positive for cutaneous melanoma who subsequently underwent completion lymph node dissection.\n\nMAIN OUTCOMES AND MEASURES: Disease-free survival, melanoma-specific survival (MSS), and overall survival.\n\nRESULTS: A total of 4223 patients underwent SLN biopsy from 1986 to 2012. Of these patients, 329 had a tumor-positive SLN. Of the 329, 250 patients (76.0%) had no additional positive nodes and 79 (24.0%) had a tumor-positive NSLN. Factors predictive of NSLN positivity included older age (P\u2009=\u2009.04), greater Breslow thickness (P\u2009&lt;\u2009.001), and ulceration (P\u2009&lt;\u2009.02). Median overall survival was 178 months for the SLN-only positive group and 42.2 months for the NSLN positive group (5-year overall survival, 72.3% and 46.4%, respectively). Median MSS was not reached for the SLN-only positive group and was 60 months for the NSLN positive group (5-year MSS, 77.8% and 49.5%, respectively). On multivariate analysis, NSLN positivity had a strong association with recurrence (hazard ratio [HR], 1.75; 95% CI, 1.23-2.50; P\u2009=\u2009.002), shorter overall survival (HR, 2.24; 95% CI, 1.48-3.40; P\u2009&lt;\u2009.001), and shorter MSS (HR, 2.23; 95% CI, 1.46-3.07; P\u2009&lt;\u2009.001). To further control for the effects of total positive lymph nodes, comparison was done for patients with only N2 disease (2-3 total positive lymph nodes); the results of this comparison confirmed the independent effect of NSLN status (MSS; P\u2009=\u2009.04).\n\nCONCLUSIONS AND RELEVANCE: Nonsentinel lymph node positivity is one of the most significant prognostic factors in patients with stage III melanoma. Subclassification of melanoma by NSLN tumor status should be considered for the American Joint Committee on Cancer staging system.", "author" : [ { "dropping-particle" : "", "family" : "Leung", "given" : "Anna M", "non-dropping-particle" : "", "parse-names" : false, "suffix" : "" }, { "dropping-particle" : "", "family" : "Morton", "given" : "Donald L", "non-dropping-particle" : "", "parse-names" : false, "suffix" : "" }, { "dropping-particle" : "", "family" : "Ozao-Choy", "given" : "Junko", "non-dropping-particle" : "", "parse-names" : false, "suffix" : "" }, { "dropping-particle" : "", "family" : "Hari", "given" : "Danielle M", "non-dropping-particle" : "", "parse-names" : false, "suffix" : "" }, { "dropping-particle" : "", "family" : "Shin-Sim", "given" : "Myung", "non-dropping-particle" : "", "parse-names" : false, "suffix" : "" }, { "dropping-particle" : "", "family" : "Difronzo", "given" : "Andrew L", "non-dropping-particle" : "", "parse-names" : false, "suffix" : "" }, { "dropping-particle" : "", "family" : "Faries", "given" : "Mark B", "non-dropping-particle" : "", "parse-names" : false, "suffix" : "" } ], "container-title" : "JAMA surgery", "id" : "ITEM-3", "issue" : "9", "issued" : { "date-parts" : [ [ "2013", "9" ] ] }, "page" : "879-84", "title" : "Staging of regional lymph nodes in melanoma: a case for including nonsentinel lymph node positivity in the American Joint Committee on Cancer staging system.", "type" : "article-journal", "volume" : "148" }, "uris" : [ "http://www.mendeley.com/documents/?uuid=fac9559b-9a9f-4199-a346-556ae25e21d9" ] } ], "mendeley" : { "formattedCitation" : "&lt;sup&gt;161,164,180&lt;/sup&gt;", "plainTextFormattedCitation" : "161,164,180", "previouslyFormattedCitation" : "&lt;sup&gt;161,164,180&lt;/sup&gt;" }, "properties" : { "noteIndex" : 0 }, "schema" : "https://github.com/citation-style-language/schema/raw/master/csl-citation.json" }</w:instrText>
      </w:r>
      <w:r w:rsidRPr="003E73CD">
        <w:rPr>
          <w:rFonts w:eastAsia="ＭＳ ゴシック"/>
          <w:color w:val="000000"/>
          <w:sz w:val="22"/>
          <w:szCs w:val="22"/>
        </w:rPr>
        <w:fldChar w:fldCharType="separate"/>
      </w:r>
      <w:r w:rsidRPr="00217FAC">
        <w:rPr>
          <w:rFonts w:eastAsia="ＭＳ ゴシック"/>
          <w:noProof/>
          <w:color w:val="000000"/>
          <w:sz w:val="22"/>
          <w:szCs w:val="22"/>
          <w:vertAlign w:val="superscript"/>
        </w:rPr>
        <w:t>161,164,180</w:t>
      </w:r>
      <w:r w:rsidRPr="003E73CD">
        <w:rPr>
          <w:rFonts w:eastAsia="ＭＳ ゴシック"/>
          <w:color w:val="000000"/>
          <w:sz w:val="22"/>
          <w:szCs w:val="22"/>
        </w:rPr>
        <w:fldChar w:fldCharType="end"/>
      </w:r>
    </w:p>
    <w:p w14:paraId="6C224D12" w14:textId="0F0941B2" w:rsidR="00EB738E" w:rsidRPr="003E73CD" w:rsidRDefault="00EB738E" w:rsidP="00EB738E">
      <w:pPr>
        <w:spacing w:line="480" w:lineRule="auto"/>
        <w:rPr>
          <w:rFonts w:eastAsia="ＭＳ ゴシック"/>
          <w:color w:val="000000"/>
          <w:sz w:val="22"/>
          <w:szCs w:val="22"/>
        </w:rPr>
      </w:pPr>
      <w:r w:rsidRPr="003E73CD">
        <w:rPr>
          <w:rFonts w:eastAsia="ＭＳ ゴシック"/>
          <w:color w:val="000000"/>
          <w:sz w:val="22"/>
          <w:szCs w:val="22"/>
        </w:rPr>
        <w:tab/>
        <w:t>Reintgen et al. provided data relating to 331 sentinel node positive patients of whom 61 (18.4%) had positive non-sentinel nodes.</w:t>
      </w:r>
      <w:r w:rsidRPr="003E73CD">
        <w:rPr>
          <w:rFonts w:eastAsia="ＭＳ ゴシック"/>
          <w:color w:val="000000"/>
          <w:sz w:val="22"/>
          <w:szCs w:val="22"/>
        </w:rPr>
        <w:fldChar w:fldCharType="begin" w:fldLock="1"/>
      </w:r>
      <w:r>
        <w:rPr>
          <w:rFonts w:eastAsia="ＭＳ ゴシック"/>
          <w:color w:val="000000"/>
          <w:sz w:val="22"/>
          <w:szCs w:val="22"/>
        </w:rPr>
        <w:instrText>ADDIN CSL_CITATION { "citationItems" : [ { "id" : "ITEM-1", "itemData" : { "DOI" : "10.1245/s10434-012-2652-4", "ISSN" : "1534-4681", "PMID" : "23054112", "abstract" : "BACKGROUND: The hypothesis tested in this study was whether patients with stage III metastatic melanoma confined to their sentinel lymph nodes (SLNs) had a more favorable prognosis than patients who had SLN and non-SLN (NSLN) metastases.\n\nMETHODS: Patients were identified who were clinically negative in their regional basins but with lymphatic mapping were found to have positive SLNs (331 patients). All patients subsequently underwent a complete lymph node dissection of the lymphatic basin involved, and the total number of metastatic SLNs and NSLNs were documented.\n\nRESULTS: As the regional metastatic disease involves NSLNs, disease-free survival (DFS) and overall survival (OS) decreases. For patients with a total of 2 nodes positive, those with disease confined to the SLNs had a significant better prognosis (DFS and OS: P &lt; .00001) than those in whom 1 SLN and 1 non-SLN was involved. This difference was apparent for those patients with N2 and N3 disease (2 or more nodes positive in their regional basin). A multivariate regression analysis that included Breslow thickness, ulceration, number of positive nodes, and NSLN positivity showed that NSLN positivity (P = .0019) was the most powerful predictor of DFS and OS.\n\nCONCLUSIONS: When metastatic melanoma overwhelms the SLN and involves NSLNs, the biologic behavior changes to portend a worse survival, regardless of the total node count positive. These data make the argument that the current N staging system should be changed to incorporate SLN vs NSLN involvement.", "author" : [ { "dropping-particle" : "", "family" : "Reintgen", "given" : "Michael", "non-dropping-particle" : "", "parse-names" : false, "suffix" : "" }, { "dropping-particle" : "", "family" : "Murray", "given" : "Lauren", "non-dropping-particle" : "", "parse-names" : false, "suffix" : "" }, { "dropping-particle" : "", "family" : "Akman", "given" : "Kurt", "non-dropping-particle" : "", "parse-names" : false, "suffix" : "" }, { "dropping-particle" : "", "family" : "Giuliano", "given" : "Rosemary", "non-dropping-particle" : "", "parse-names" : false, "suffix" : "" }, { "dropping-particle" : "", "family" : "Lozicki", "given" : "Alyson", "non-dropping-particle" : "", "parse-names" : false, "suffix" : "" }, { "dropping-particle" : "", "family" : "Shivers", "given" : "Steve", "non-dropping-particle" : "", "parse-names" : false, "suffix" : "" }, { "dropping-particle" : "", "family" : "Reintgen", "given" : "Douglas", "non-dropping-particle" : "", "parse-names" : false, "suffix" : "" } ], "container-title" : "Annals of surgical oncology", "id" : "ITEM-1", "issue" : "2", "issued" : { "date-parts" : [ [ "2013", "2" ] ] }, "page" : "668-74", "title" : "Evidence for a better nodal staging system for melanoma: the clinical relevance of metastatic disease confined to the sentinel lymph nodes.", "type" : "article-journal", "volume" : "20" }, "uris" : [ "http://www.mendeley.com/documents/?uuid=e3b246fc-a4f8-44f0-a585-5efac6b33d2e" ] } ], "mendeley" : { "formattedCitation" : "&lt;sup&gt;179&lt;/sup&gt;", "plainTextFormattedCitation" : "179", "previouslyFormattedCitation" : "&lt;sup&gt;179&lt;/sup&gt;" }, "properties" : { "noteIndex" : 0 }, "schema" : "https://github.com/citation-style-language/schema/raw/master/csl-citation.json" }</w:instrText>
      </w:r>
      <w:r w:rsidRPr="003E73CD">
        <w:rPr>
          <w:rFonts w:eastAsia="ＭＳ ゴシック"/>
          <w:color w:val="000000"/>
          <w:sz w:val="22"/>
          <w:szCs w:val="22"/>
        </w:rPr>
        <w:fldChar w:fldCharType="separate"/>
      </w:r>
      <w:r w:rsidRPr="00217FAC">
        <w:rPr>
          <w:rFonts w:eastAsia="ＭＳ ゴシック"/>
          <w:noProof/>
          <w:color w:val="000000"/>
          <w:sz w:val="22"/>
          <w:szCs w:val="22"/>
          <w:vertAlign w:val="superscript"/>
        </w:rPr>
        <w:t>179</w:t>
      </w:r>
      <w:r w:rsidRPr="003E73CD">
        <w:rPr>
          <w:rFonts w:eastAsia="ＭＳ ゴシック"/>
          <w:color w:val="000000"/>
          <w:sz w:val="22"/>
          <w:szCs w:val="22"/>
        </w:rPr>
        <w:fldChar w:fldCharType="end"/>
      </w:r>
      <w:proofErr w:type="gramStart"/>
      <w:r w:rsidRPr="003E73CD">
        <w:rPr>
          <w:rFonts w:eastAsia="ＭＳ ゴシック"/>
          <w:color w:val="000000"/>
          <w:sz w:val="22"/>
          <w:szCs w:val="22"/>
        </w:rPr>
        <w:t xml:space="preserve">  The</w:t>
      </w:r>
      <w:proofErr w:type="gramEnd"/>
      <w:r w:rsidRPr="003E73CD">
        <w:rPr>
          <w:rFonts w:eastAsia="ＭＳ ゴシック"/>
          <w:color w:val="000000"/>
          <w:sz w:val="22"/>
          <w:szCs w:val="22"/>
        </w:rPr>
        <w:t xml:space="preserve"> mean follow-up was 42 months.  The analyses related to disease-free survival rather than overall or disease-specific survival and the authors stated that “</w:t>
      </w:r>
      <w:r w:rsidRPr="003E73CD">
        <w:rPr>
          <w:rFonts w:eastAsia="ＭＳ ゴシック"/>
          <w:i/>
          <w:color w:val="000000"/>
          <w:sz w:val="22"/>
          <w:szCs w:val="22"/>
        </w:rPr>
        <w:t xml:space="preserve">Multivariate regression analysis limited to patients with disease beyond the SLNs </w:t>
      </w:r>
      <w:r w:rsidRPr="003E73CD">
        <w:rPr>
          <w:rFonts w:eastAsia="ＭＳ ゴシック"/>
          <w:color w:val="000000"/>
          <w:sz w:val="22"/>
          <w:szCs w:val="22"/>
        </w:rPr>
        <w:t>(sentinel lymph nodes)</w:t>
      </w:r>
      <w:r w:rsidRPr="003E73CD">
        <w:rPr>
          <w:rFonts w:eastAsia="ＭＳ ゴシック"/>
          <w:i/>
          <w:color w:val="000000"/>
          <w:sz w:val="22"/>
          <w:szCs w:val="22"/>
        </w:rPr>
        <w:t xml:space="preserve"> (N2 and N3 disease) confirmed that the decreased disease-free survival shown in the non-sentinel node positive group was not merely due to the increased incidence of ulceration or thicker tumors, or to the increased number of positive nodes</w:t>
      </w:r>
      <w:r w:rsidRPr="003E73CD">
        <w:rPr>
          <w:rFonts w:eastAsia="ＭＳ ゴシック"/>
          <w:color w:val="000000"/>
          <w:sz w:val="22"/>
          <w:szCs w:val="22"/>
        </w:rPr>
        <w:t xml:space="preserve">”.  This statement cannot be correct because patients with N2 and N3 disease do not necessarily have disease beyond the sentinel nodes.  For example, a patient who has 2 or 3 positive sentinel nodes and no positive non-sentinel nodes has N2 disease and a patient with 4 or more positive sentinel nodes and no positive non-sentinel nodes has N3 disease, but neither have disease beyond the sentinel lymph nodes.  It is possible that all the patients with &gt;1 positive sentinel node and no positive non-sentinel nodes were excluded from this analysis but this has not been specified.  However, the multivariate analysis itself clearly accounted for patients with a mixture of positive sentinel and non-sentinel nodes as it included number of positive nodes (HR: 1.0761, p=0.0200), and positive non-sentinel node(s) (HR: 2.6970, p=0.0019), as separate variables, in addition to Breslow thickness (HR: 1.0032, p=0.9601), and ulceration (HR: 0.9846, p=0.9408).  As the multivariate analysis related to disease free survival rather than overall, or disease specific survival, it </w:t>
      </w:r>
      <w:r w:rsidR="00202947">
        <w:rPr>
          <w:rFonts w:eastAsia="ＭＳ ゴシック"/>
          <w:color w:val="000000"/>
          <w:sz w:val="22"/>
          <w:szCs w:val="22"/>
        </w:rPr>
        <w:t>has not been included in Table 3.1</w:t>
      </w:r>
      <w:r w:rsidRPr="003E73CD">
        <w:rPr>
          <w:rFonts w:eastAsia="ＭＳ ゴシック"/>
          <w:color w:val="000000"/>
          <w:sz w:val="22"/>
          <w:szCs w:val="22"/>
        </w:rPr>
        <w:t>.4.</w:t>
      </w:r>
    </w:p>
    <w:p w14:paraId="7AF3A24C" w14:textId="77777777" w:rsidR="00EB738E" w:rsidRPr="003E73CD" w:rsidRDefault="00EB738E" w:rsidP="00EB738E">
      <w:pPr>
        <w:spacing w:line="480" w:lineRule="auto"/>
        <w:rPr>
          <w:rFonts w:eastAsia="ＭＳ ゴシック"/>
          <w:color w:val="000000"/>
          <w:sz w:val="22"/>
          <w:szCs w:val="22"/>
        </w:rPr>
      </w:pPr>
      <w:r w:rsidRPr="003E73CD">
        <w:rPr>
          <w:rFonts w:eastAsia="ＭＳ ゴシック"/>
          <w:color w:val="000000"/>
          <w:sz w:val="22"/>
          <w:szCs w:val="22"/>
        </w:rPr>
        <w:tab/>
        <w:t>The paper by Leung et al. determined survival for 329 sentinel node positive patients, of whom 79 (24%) were non-sentinel node positive.</w:t>
      </w:r>
      <w:r w:rsidRPr="003E73CD">
        <w:rPr>
          <w:rFonts w:eastAsia="ＭＳ ゴシック"/>
          <w:color w:val="000000"/>
          <w:sz w:val="22"/>
          <w:szCs w:val="22"/>
        </w:rPr>
        <w:fldChar w:fldCharType="begin" w:fldLock="1"/>
      </w:r>
      <w:r>
        <w:rPr>
          <w:rFonts w:eastAsia="ＭＳ ゴシック"/>
          <w:color w:val="000000"/>
          <w:sz w:val="22"/>
          <w:szCs w:val="22"/>
        </w:rPr>
        <w:instrText>ADDIN CSL_CITATION { "citationItems" : [ { "id" : "ITEM-1", "itemData" : { "DOI" : "10.1001/jamasurg.2013.3044", "ISSN" : "2168-6262", "PMID" : "23903435", "abstract" : "IMPORTANCE: Survival varies widely in patients with stage III melanoma. The existence of clinical significance for positive nonsentinel lymph node (NSLN) status would warrant consideration for incorporation into the American Joint Committee on Cancer staging system and better prediction of survival.\n\nOBJECTIVE: To evaluate whether disease limited to sentinel lymph nodes (SLNs) represents different clinical significance than disease spread into NSLNs.\n\nDESIGN, SETTING, AND PARTICIPANTS: The database of the John Wayne Cancer Institute at Saint John's Health Center, Santa Monica, California, was queried for all patients with SLNs positive for cutaneous melanoma who subsequently underwent completion lymph node dissection.\n\nMAIN OUTCOMES AND MEASURES: Disease-free survival, melanoma-specific survival (MSS), and overall survival.\n\nRESULTS: A total of 4223 patients underwent SLN biopsy from 1986 to 2012. Of these patients, 329 had a tumor-positive SLN. Of the 329, 250 patients (76.0%) had no additional positive nodes and 79 (24.0%) had a tumor-positive NSLN. Factors predictive of NSLN positivity included older age (P\u2009=\u2009.04), greater Breslow thickness (P\u2009&lt;\u2009.001), and ulceration (P\u2009&lt;\u2009.02). Median overall survival was 178 months for the SLN-only positive group and 42.2 months for the NSLN positive group (5-year overall survival, 72.3% and 46.4%, respectively). Median MSS was not reached for the SLN-only positive group and was 60 months for the NSLN positive group (5-year MSS, 77.8% and 49.5%, respectively). On multivariate analysis, NSLN positivity had a strong association with recurrence (hazard ratio [HR], 1.75; 95% CI, 1.23-2.50; P\u2009=\u2009.002), shorter overall survival (HR, 2.24; 95% CI, 1.48-3.40; P\u2009&lt;\u2009.001), and shorter MSS (HR, 2.23; 95% CI, 1.46-3.07; P\u2009&lt;\u2009.001). To further control for the effects of total positive lymph nodes, comparison was done for patients with only N2 disease (2-3 total positive lymph nodes); the results of this comparison confirmed the independent effect of NSLN status (MSS; P\u2009=\u2009.04).\n\nCONCLUSIONS AND RELEVANCE: Nonsentinel lymph node positivity is one of the most significant prognostic factors in patients with stage III melanoma. Subclassification of melanoma by NSLN tumor status should be considered for the American Joint Committee on Cancer staging system.", "author" : [ { "dropping-particle" : "", "family" : "Leung", "given" : "Anna M", "non-dropping-particle" : "", "parse-names" : false, "suffix" : "" }, { "dropping-particle" : "", "family" : "Morton", "given" : "Donald L", "non-dropping-particle" : "", "parse-names" : false, "suffix" : "" }, { "dropping-particle" : "", "family" : "Ozao-Choy", "given" : "Junko", "non-dropping-particle" : "", "parse-names" : false, "suffix" : "" }, { "dropping-particle" : "", "family" : "Hari", "given" : "Danielle M", "non-dropping-particle" : "", "parse-names" : false, "suffix" : "" }, { "dropping-particle" : "", "family" : "Shin-Sim", "given" : "Myung", "non-dropping-particle" : "", "parse-names" : false, "suffix" : "" }, { "dropping-particle" : "", "family" : "Difronzo", "given" : "Andrew L", "non-dropping-particle" : "", "parse-names" : false, "suffix" : "" }, { "dropping-particle" : "", "family" : "Faries", "given" : "Mark B", "non-dropping-particle" : "", "parse-names" : false, "suffix" : "" } ], "container-title" : "JAMA surgery", "id" : "ITEM-1", "issue" : "9", "issued" : { "date-parts" : [ [ "2013", "9" ] ] }, "page" : "879-84", "title" : "Staging of regional lymph nodes in melanoma: a case for including nonsentinel lymph node positivity in the American Joint Committee on Cancer staging system.", "type" : "article-journal", "volume" : "148" }, "uris" : [ "http://www.mendeley.com/documents/?uuid=fac9559b-9a9f-4199-a346-556ae25e21d9" ] } ], "mendeley" : { "formattedCitation" : "&lt;sup&gt;180&lt;/sup&gt;", "plainTextFormattedCitation" : "180", "previouslyFormattedCitation" : "&lt;sup&gt;180&lt;/sup&gt;" }, "properties" : { "noteIndex" : 0 }, "schema" : "https://github.com/citation-style-language/schema/raw/master/csl-citation.json" }</w:instrText>
      </w:r>
      <w:r w:rsidRPr="003E73CD">
        <w:rPr>
          <w:rFonts w:eastAsia="ＭＳ ゴシック"/>
          <w:color w:val="000000"/>
          <w:sz w:val="22"/>
          <w:szCs w:val="22"/>
        </w:rPr>
        <w:fldChar w:fldCharType="separate"/>
      </w:r>
      <w:r w:rsidRPr="00217FAC">
        <w:rPr>
          <w:rFonts w:eastAsia="ＭＳ ゴシック"/>
          <w:noProof/>
          <w:color w:val="000000"/>
          <w:sz w:val="22"/>
          <w:szCs w:val="22"/>
          <w:vertAlign w:val="superscript"/>
        </w:rPr>
        <w:t>180</w:t>
      </w:r>
      <w:r w:rsidRPr="003E73CD">
        <w:rPr>
          <w:rFonts w:eastAsia="ＭＳ ゴシック"/>
          <w:color w:val="000000"/>
          <w:sz w:val="22"/>
          <w:szCs w:val="22"/>
        </w:rPr>
        <w:fldChar w:fldCharType="end"/>
      </w:r>
      <w:proofErr w:type="gramStart"/>
      <w:r w:rsidRPr="003E73CD">
        <w:rPr>
          <w:rFonts w:eastAsia="ＭＳ ゴシック"/>
          <w:color w:val="000000"/>
          <w:sz w:val="22"/>
          <w:szCs w:val="22"/>
        </w:rPr>
        <w:t xml:space="preserve">  The</w:t>
      </w:r>
      <w:proofErr w:type="gramEnd"/>
      <w:r w:rsidRPr="003E73CD">
        <w:rPr>
          <w:rFonts w:eastAsia="ＭＳ ゴシック"/>
          <w:color w:val="000000"/>
          <w:sz w:val="22"/>
          <w:szCs w:val="22"/>
        </w:rPr>
        <w:t xml:space="preserve"> median overall survival for non-sentinel node negative patients was 178 months and for non-sentinel node positive patients it was 42.2 months.  A multivariate analysis for overall survival was performed and found that older age (</w:t>
      </w:r>
      <w:proofErr w:type="gramStart"/>
      <w:r w:rsidRPr="003E73CD">
        <w:rPr>
          <w:rFonts w:eastAsia="ＭＳ ゴシック"/>
          <w:color w:val="000000"/>
          <w:sz w:val="22"/>
          <w:szCs w:val="22"/>
        </w:rPr>
        <w:t>HR(</w:t>
      </w:r>
      <w:proofErr w:type="gramEnd"/>
      <w:r w:rsidRPr="003E73CD">
        <w:rPr>
          <w:rFonts w:eastAsia="ＭＳ ゴシック"/>
          <w:color w:val="000000"/>
          <w:sz w:val="22"/>
          <w:szCs w:val="22"/>
        </w:rPr>
        <w:t>95%CI): 1.03 (1.02-1.04), p&lt;0.001), male sex (HR(95%CI): 1.53 (1.03-2.26), p=0.03), greater Breslow thickness (HR(95%CI): 1.03 (1.00-1.06), p=0.04), increasing number of positive sentinel nodes (HR(95%CI): 1.63 (1.30-2.06), p&lt;0.001), and non-sentinel node positivity (HR(95%CI): 1.82 (1.24-2.69), p&lt;0.001),  were predictors of reduced overall survival.  Kaplan-Meier curves were also compared for patients with a total of 2 or 3 positive nodes and showed reduced disease-specific survival in those who were non-sentinel node positive (p=0.04).</w:t>
      </w:r>
    </w:p>
    <w:p w14:paraId="6FA63A10" w14:textId="2CD86C3D" w:rsidR="00EB738E" w:rsidRPr="003E73CD" w:rsidRDefault="00EB738E" w:rsidP="00EB738E">
      <w:pPr>
        <w:spacing w:line="480" w:lineRule="auto"/>
        <w:rPr>
          <w:rFonts w:eastAsia="ＭＳ ゴシック"/>
          <w:color w:val="000000"/>
          <w:sz w:val="22"/>
          <w:szCs w:val="22"/>
        </w:rPr>
      </w:pPr>
      <w:r w:rsidRPr="003E73CD">
        <w:rPr>
          <w:rFonts w:eastAsia="ＭＳ ゴシック"/>
          <w:color w:val="000000"/>
          <w:sz w:val="22"/>
          <w:szCs w:val="22"/>
        </w:rPr>
        <w:tab/>
        <w:t>The second paper by Egger</w:t>
      </w:r>
      <w:r w:rsidRPr="003E73CD">
        <w:rPr>
          <w:rFonts w:eastAsia="ＭＳ ゴシック"/>
          <w:color w:val="000000"/>
          <w:sz w:val="22"/>
          <w:szCs w:val="22"/>
          <w:vertAlign w:val="superscript"/>
        </w:rPr>
        <w:t>b</w:t>
      </w:r>
      <w:r w:rsidRPr="003E73CD">
        <w:rPr>
          <w:rFonts w:eastAsia="ＭＳ ゴシック"/>
          <w:color w:val="000000"/>
          <w:sz w:val="22"/>
          <w:szCs w:val="22"/>
        </w:rPr>
        <w:t xml:space="preserve"> et al. specifically investigated superficial spreading melanoma only.</w:t>
      </w:r>
      <w:r w:rsidRPr="003E73CD">
        <w:rPr>
          <w:rFonts w:eastAsia="ＭＳ ゴシック"/>
          <w:color w:val="000000"/>
          <w:sz w:val="22"/>
          <w:szCs w:val="22"/>
        </w:rPr>
        <w:fldChar w:fldCharType="begin" w:fldLock="1"/>
      </w:r>
      <w:r>
        <w:rPr>
          <w:rFonts w:eastAsia="ＭＳ ゴシック"/>
          <w:color w:val="000000"/>
          <w:sz w:val="22"/>
          <w:szCs w:val="22"/>
        </w:rPr>
        <w:instrText>ADDIN CSL_CITATION { "citationItems" : [ { "id" : "ITEM-1", "itemData" : { "DOI" : "10.1016/j.amjsurg.2013.09.003", "ISSN" : "1879-1883", "PMID" : "24124662", "abstract" : "BACKGROUND: Prognostic factors and risk factors for positive sentinel lymph node (SLN) biopsy results are important to identify in superficial spreading melanoma (SSM).\n\nMETHODS: A single-center database and a prospective clinical trial database were reviewed for all patients with diagnoses of SSM. Logistic regression, Kaplan-Meier survival analysis, and univariate and multivariate Cox models were used.\n\nRESULTS: A total of 1,643 patients with SSM were identified. Independent risk factors for positive SLN biopsy results were Breslow thickness (BT) \u22652.0 mm, age &lt;60 years, and presence of ulceration. BT \u22652.0 mm, ulceration, lymphovascular invasion, and positive SLN and positive non-SLN biopsy results were independent risk factors for worse disease-free survival. Independent overall survival risk factors included BT \u22652.0 mm, age \u226560 years, ulceration, nonextremity tumor location, lymphovascular invasion, and positive SLN biopsy results.\n\nCONCLUSIONS: BT, ulceration, lymphovascular invasion, and SLN and non-SLN status are important risk factors for SSM.", "author" : [ { "dropping-particle" : "", "family" : "Egger", "given" : "Michael E", "non-dropping-particle" : "", "parse-names" : false, "suffix" : "" }, { "dropping-particle" : "", "family" : "Stepp", "given" : "Lindsay O", "non-dropping-particle" : "", "parse-names" : false, "suffix" : "" }, { "dropping-particle" : "", "family" : "Callender", "given" : "Glenda G", "non-dropping-particle" : "", "parse-names" : false, "suffix" : "" }, { "dropping-particle" : "", "family" : "Quillo", "given" : "Amy R", "non-dropping-particle" : "", "parse-names" : false, "suffix" : "" }, { "dropping-particle" : "", "family" : "Martin", "given" : "Robert C G", "non-dropping-particle" : "", "parse-names" : false, "suffix" : "" }, { "dropping-particle" : "", "family" : "Scoggins", "given" : "Charles R", "non-dropping-particle" : "", "parse-names" : false, "suffix" : "" }, { "dropping-particle" : "", "family" : "Stromberg", "given" : "Arnold J", "non-dropping-particle" : "", "parse-names" : false, "suffix" : "" }, { "dropping-particle" : "", "family" : "McMasters", "given" : "Kelly M", "non-dropping-particle" : "", "parse-names" : false, "suffix" : "" } ], "container-title" : "American journal of surgery", "id" : "ITEM-1", "issue" : "6", "issued" : { "date-parts" : [ [ "2013", "12" ] ] }, "page" : "861-7; discussion 867-8", "title" : "Outcomes and prognostic factors in superficial spreading melanoma.", "type" : "article-journal", "volume" : "206" }, "uris" : [ "http://www.mendeley.com/documents/?uuid=42b8f2f7-69db-4fb0-bcc8-20fd5d260a29" ] } ], "mendeley" : { "formattedCitation" : "&lt;sup&gt;177&lt;/sup&gt;", "plainTextFormattedCitation" : "177", "previouslyFormattedCitation" : "&lt;sup&gt;177&lt;/sup&gt;" }, "properties" : { "noteIndex" : 0 }, "schema" : "https://github.com/citation-style-language/schema/raw/master/csl-citation.json" }</w:instrText>
      </w:r>
      <w:r w:rsidRPr="003E73CD">
        <w:rPr>
          <w:rFonts w:eastAsia="ＭＳ ゴシック"/>
          <w:color w:val="000000"/>
          <w:sz w:val="22"/>
          <w:szCs w:val="22"/>
        </w:rPr>
        <w:fldChar w:fldCharType="separate"/>
      </w:r>
      <w:r w:rsidRPr="00217FAC">
        <w:rPr>
          <w:rFonts w:eastAsia="ＭＳ ゴシック"/>
          <w:noProof/>
          <w:color w:val="000000"/>
          <w:sz w:val="22"/>
          <w:szCs w:val="22"/>
          <w:vertAlign w:val="superscript"/>
        </w:rPr>
        <w:t>177</w:t>
      </w:r>
      <w:r w:rsidRPr="003E73CD">
        <w:rPr>
          <w:rFonts w:eastAsia="ＭＳ ゴシック"/>
          <w:color w:val="000000"/>
          <w:sz w:val="22"/>
          <w:szCs w:val="22"/>
        </w:rPr>
        <w:fldChar w:fldCharType="end"/>
      </w:r>
      <w:proofErr w:type="gramStart"/>
      <w:r w:rsidRPr="003E73CD">
        <w:rPr>
          <w:rFonts w:eastAsia="ＭＳ ゴシック"/>
          <w:color w:val="000000"/>
          <w:sz w:val="22"/>
          <w:szCs w:val="22"/>
        </w:rPr>
        <w:t xml:space="preserve">  Data</w:t>
      </w:r>
      <w:proofErr w:type="gramEnd"/>
      <w:r w:rsidRPr="003E73CD">
        <w:rPr>
          <w:rFonts w:eastAsia="ＭＳ ゴシック"/>
          <w:color w:val="000000"/>
          <w:sz w:val="22"/>
          <w:szCs w:val="22"/>
        </w:rPr>
        <w:t xml:space="preserve"> were extracted from the SUNBELT melanoma trial</w:t>
      </w:r>
      <w:r>
        <w:rPr>
          <w:rFonts w:eastAsia="ＭＳ ゴシック"/>
          <w:color w:val="000000"/>
          <w:sz w:val="22"/>
          <w:szCs w:val="22"/>
        </w:rPr>
        <w:t xml:space="preserve"> and from a local prospectively-</w:t>
      </w:r>
      <w:r w:rsidRPr="003E73CD">
        <w:rPr>
          <w:rFonts w:eastAsia="ＭＳ ゴシック"/>
          <w:color w:val="000000"/>
          <w:sz w:val="22"/>
          <w:szCs w:val="22"/>
        </w:rPr>
        <w:t>maintained database.  Median follow-up was 62 months and 1643 patients were identified with superficial spreading melanoma.  Two hundred and twenty patients were sentinel node positive, but it is not stated how many were non-sentinel node positive.  A multivariate analysis was performed for overall survival, but similar to Cascinelli et al. and Brown et al., this included sentinel node negative patients as well.</w:t>
      </w:r>
      <w:r w:rsidRPr="003E73CD">
        <w:rPr>
          <w:rFonts w:eastAsia="ＭＳ ゴシック"/>
          <w:color w:val="000000"/>
          <w:sz w:val="22"/>
          <w:szCs w:val="22"/>
        </w:rPr>
        <w:fldChar w:fldCharType="begin" w:fldLock="1"/>
      </w:r>
      <w:r>
        <w:rPr>
          <w:rFonts w:eastAsia="ＭＳ ゴシック"/>
          <w:color w:val="000000"/>
          <w:sz w:val="22"/>
          <w:szCs w:val="22"/>
        </w:rPr>
        <w:instrText>ADDIN CSL_CITATION { "citationItems" : [ { "id" : "ITEM-1", "itemData" : { "DOI" : "10.1200/JCO.2006.06.3198", "ISSN" : "1527-7755", "PMID" : "16983115", "abstract" : "PURPOSE: To evaluate the prognostic significance of sentinel node biopsy in the management of stage IB and II melanoma patients, and to evaluate the status of nonsentinel nodes as a \"second step key factor\" to assess the prognosis of these patients.\n\nPATIENTS AND METHODS: We conducted an analysis of data collected in a prospective database.\n\nRESULTS: From February 1994 to June 2005, 1,108 consecutive patients with stage IB and II melanoma were submitted to sentinel node biopsy; 176 patients (15.9%) had occult node metastases. The frequency of positive nodes increased with increasing Breslow's thickness. The largest diameter of metastatic foci and their localization within the lymph node were associated with the risk of nonsentinel node metastases only. The 5-year survival of patients with positive sentinel nodes was 81.4% in patients with one positive node and 39.6% in patients with two positive nodes (P = .056). Multivariate analysis indicated that status of sentinel nodes is a key factor and that sex and Breslow's thickness maintain statistically significant relevance. Ulceration, which was associated with survival when considered as single factor (P &lt; .001) had no impact on survival in the multivariate analysis (P = .10). To evaluate the relevance of metastases to nonsentinel nodes, we identified four groups of patients.\n\nCONCLUSION: Evaluation of the sentinel node is a useful procedure to identify patients to be submitted for complete lymph node dissection. The procedure makes it possible to assess the best prognosis of patients.", "author" : [ { "dropping-particle" : "", "family" : "Cascinelli", "given" : "Natale", "non-dropping-particle" : "", "parse-names" : false, "suffix" : "" }, { "dropping-particle" : "", "family" : "Bombardieri", "given" : "Emilio", "non-dropping-particle" : "", "parse-names" : false, "suffix" : "" }, { "dropping-particle" : "", "family" : "Bufalino", "given" : "Rosaria", "non-dropping-particle" : "", "parse-names" : false, "suffix" : "" }, { "dropping-particle" : "", "family" : "Camerini", "given" : "Tiziana", "non-dropping-particle" : "", "parse-names" : false, "suffix" : "" }, { "dropping-particle" : "", "family" : "Carbone", "given" : "Antonino", "non-dropping-particle" : "", "parse-names" : false, "suffix" : "" }, { "dropping-particle" : "", "family" : "Clemente", "given" : "Claudio", "non-dropping-particle" : "", "parse-names" : false, "suffix" : "" }, { "dropping-particle" : "", "family" : "Lenisa", "given" : "Leonardo", "non-dropping-particle" : "", "parse-names" : false, "suffix" : "" }, { "dropping-particle" : "", "family" : "Mascheroni", "given" : "Luigi", "non-dropping-particle" : "", "parse-names" : false, "suffix" : "" }, { "dropping-particle" : "", "family" : "Maurichi", "given" : "Andrea", "non-dropping-particle" : "", "parse-names" : false, "suffix" : "" }, { "dropping-particle" : "", "family" : "Pennacchioli", "given" : "Elisabetta", "non-dropping-particle" : "", "parse-names" : false, "suffix" : "" }, { "dropping-particle" : "", "family" : "Patuzzo", "given" : "Roberto", "non-dropping-particle" : "", "parse-names" : false, "suffix" : "" }, { "dropping-particle" : "", "family" : "Santinami", "given" : "Mario", "non-dropping-particle" : "", "parse-names" : false, "suffix" : "" }, { "dropping-particle" : "", "family" : "Tragni", "given" : "Gabrina", "non-dropping-particle" : "", "parse-names" : false, "suffix" : "" } ], "container-title" : "Journal of clinical oncology : official journal of the American Society of Clinical Oncology", "id" : "ITEM-1", "issue" : "27", "issued" : { "date-parts" : [ [ "2006", "9", "20" ] ] }, "page" : "4464-71", "title" : "Sentinel and nonsentinel node status in stage IB and II melanoma patients: two-step prognostic indicators of survival.", "type" : "article-journal", "volume" : "24" }, "uris" : [ "http://www.mendeley.com/documents/?uuid=87a2810c-0f27-4812-8c91-b5fcb57b53ff" ] }, { "id" : "ITEM-2", "itemData" : { "DOI" : "10.1245/s10434-010-1208-8", "ISSN" : "1534-4681", "PMID" : "20645010", "abstract" : "BACKGROUND: We hypothesized that metastasis beyond the sentinel lymph nodes (SLN) to the nonsentinel nodes (NSN) is an important predictor of survival.\n\nMATERIALS AND METHODS: Analysis was performed of a prospective multi-institutional study that included patients with melanoma \u2265 1.0 mm in Breslow thickness. All patients underwent SLN biopsy; completion lymphadenectomy was performed for all SLN metastases. Disease-free survival (DFS) and overall survival (OS) were computed by Kaplan-Meier analysis; univariate and multivariate analyses were performed to identify factors associated with differences in survival among groups.\n\nRESULTS: A total of 2335 patients were analyzed over a median follow-up of 68 months. We compared 3 groups: SLN negative (n = 1988), SLN-only positive (n = 296), and both SLN and NSN positive (n = 51). The 5-year DFS rates were 85.5, 64.8, and 42.6% for groups 1, 2, and 3, respectively (P &lt; 0.001). The 5-year OS rates were 85.5, 64.9, and 49.4%, respectively (P &lt; 0.001). On univariate analysis, predictors of decreased OS included: SLN metastasis, NSN metastasis, increased total number of positive LN, increased ratio of positive LN to total LN, increased age, male gender, increased Breslow thickness, presence of ulceration, Clark level \u2265 IV, and axial primary site (in all cases, P &lt; 0.01). When the total number of positive LN and NSN status were evaluated using multivariate analysis, NSN status remained statistically significant (P &lt; 0.01), while the total number of positive LN and LN ratio did not.\n\nCONCLUSIONS: NSN melanoma metastasis is an independent prognostic factor for DFS and OS, which is distinct from the number of positive lymph nodes or the lymph node ratio.", "author" : [ { "dropping-particle" : "", "family" : "Brown", "given" : "Russell E", "non-dropping-particle" : "", "parse-names" : false, "suffix" : "" }, { "dropping-particle" : "", "family" : "Ross", "given" : "Merrick I", "non-dropping-particle" : "", "parse-names" : false, "suffix" : "" }, { "dropping-particle" : "", "family" : "Edwards", "given" : "Michael J", "non-dropping-particle" : "", "parse-names" : false, "suffix" : "" }, { "dropping-particle" : "", "family" : "Noyes", "given" : "R Dirk", "non-dropping-particle" : "", "parse-names" : false, "suffix" : "" }, { "dropping-particle" : "", "family" : "Reintgen", "given" : "Douglas S", "non-dropping-particle" : "", "parse-names" : false, "suffix" : "" }, { "dropping-particle" : "", "family" : "Hagendoorn", "given" : "Lee J", "non-dropping-particle" : "", "parse-names" : false, "suffix" : "" }, { "dropping-particle" : "", "family" : "Stromberg", "given" : "Arnold J", "non-dropping-particle" : "", "parse-names" : false, "suffix" : "" }, { "dropping-particle" : "", "family" : "Martin", "given" : "Robert C G", "non-dropping-particle" : "", "parse-names" : false, "suffix" : "" }, { "dropping-particle" : "", "family" : "McMasters", "given" : "Kelly M", "non-dropping-particle" : "", "parse-names" : false, "suffix" : "" }, { "dropping-particle" : "", "family" : "Scoggins", "given" : "Charles R", "non-dropping-particle" : "", "parse-names" : false, "suffix" : "" } ], "container-title" : "Annals of surgical oncology", "id" : "ITEM-2", "issue" : "12", "issued" : { "date-parts" : [ [ "2010", "12" ] ] }, "page" : "3330-5", "title" : "The prognostic significance of nonsentinel lymph node metastasis in melanoma.", "type" : "article-journal", "volume" : "17" }, "uris" : [ "http://www.mendeley.com/documents/?uuid=9bb9c781-1dfe-43aa-99d2-d21c3065f5aa" ] } ], "mendeley" : { "formattedCitation" : "&lt;sup&gt;149,176&lt;/sup&gt;", "plainTextFormattedCitation" : "149,176", "previouslyFormattedCitation" : "&lt;sup&gt;149,176&lt;/sup&gt;" }, "properties" : { "noteIndex" : 0 }, "schema" : "https://github.com/citation-style-language/schema/raw/master/csl-citation.json" }</w:instrText>
      </w:r>
      <w:r w:rsidRPr="003E73CD">
        <w:rPr>
          <w:rFonts w:eastAsia="ＭＳ ゴシック"/>
          <w:color w:val="000000"/>
          <w:sz w:val="22"/>
          <w:szCs w:val="22"/>
        </w:rPr>
        <w:fldChar w:fldCharType="separate"/>
      </w:r>
      <w:r w:rsidRPr="00217FAC">
        <w:rPr>
          <w:rFonts w:eastAsia="ＭＳ ゴシック"/>
          <w:noProof/>
          <w:color w:val="000000"/>
          <w:sz w:val="22"/>
          <w:szCs w:val="22"/>
          <w:vertAlign w:val="superscript"/>
        </w:rPr>
        <w:t>149,176</w:t>
      </w:r>
      <w:r w:rsidRPr="003E73CD">
        <w:rPr>
          <w:rFonts w:eastAsia="ＭＳ ゴシック"/>
          <w:color w:val="000000"/>
          <w:sz w:val="22"/>
          <w:szCs w:val="22"/>
        </w:rPr>
        <w:fldChar w:fldCharType="end"/>
      </w:r>
      <w:proofErr w:type="gramStart"/>
      <w:r w:rsidRPr="003E73CD">
        <w:rPr>
          <w:rFonts w:eastAsia="ＭＳ ゴシック"/>
          <w:color w:val="000000"/>
          <w:sz w:val="22"/>
          <w:szCs w:val="22"/>
        </w:rPr>
        <w:t xml:space="preserve">  Also</w:t>
      </w:r>
      <w:proofErr w:type="gramEnd"/>
      <w:r w:rsidRPr="003E73CD">
        <w:rPr>
          <w:rFonts w:eastAsia="ＭＳ ゴシック"/>
          <w:color w:val="000000"/>
          <w:sz w:val="22"/>
          <w:szCs w:val="22"/>
        </w:rPr>
        <w:t>, total number of positive nodes was not included within the multivariate model and so the findings cannot be assumed to hold true for the sentinel node positive population.  This multivariate analysis is t</w:t>
      </w:r>
      <w:r w:rsidR="00202947">
        <w:rPr>
          <w:rFonts w:eastAsia="ＭＳ ゴシック"/>
          <w:color w:val="000000"/>
          <w:sz w:val="22"/>
          <w:szCs w:val="22"/>
        </w:rPr>
        <w:t>herefore not included in Table 3.1</w:t>
      </w:r>
      <w:r w:rsidRPr="003E73CD">
        <w:rPr>
          <w:rFonts w:eastAsia="ＭＳ ゴシック"/>
          <w:color w:val="000000"/>
          <w:sz w:val="22"/>
          <w:szCs w:val="22"/>
        </w:rPr>
        <w:t>.4.</w:t>
      </w:r>
    </w:p>
    <w:p w14:paraId="570E6CC6" w14:textId="591C4AE4" w:rsidR="00EB738E" w:rsidRPr="003E73CD" w:rsidRDefault="00EB738E" w:rsidP="00EB738E">
      <w:pPr>
        <w:spacing w:line="480" w:lineRule="auto"/>
        <w:rPr>
          <w:rFonts w:eastAsia="ＭＳ ゴシック"/>
          <w:color w:val="000000"/>
          <w:sz w:val="22"/>
          <w:szCs w:val="22"/>
        </w:rPr>
      </w:pPr>
      <w:r w:rsidRPr="003E73CD">
        <w:rPr>
          <w:rFonts w:eastAsia="ＭＳ ゴシック"/>
          <w:color w:val="000000"/>
          <w:sz w:val="22"/>
          <w:szCs w:val="22"/>
        </w:rPr>
        <w:tab/>
        <w:t>The most recent paper, by Pasquali et al. provided data regarding 1538 sentinel node positive patients, of whom 353 (23%) were non-sentinel node positive.</w:t>
      </w:r>
      <w:r w:rsidRPr="003E73CD">
        <w:rPr>
          <w:rFonts w:eastAsia="ＭＳ ゴシック"/>
          <w:color w:val="000000"/>
          <w:sz w:val="22"/>
          <w:szCs w:val="22"/>
        </w:rPr>
        <w:fldChar w:fldCharType="begin" w:fldLock="1"/>
      </w:r>
      <w:r>
        <w:rPr>
          <w:rFonts w:eastAsia="ＭＳ ゴシック"/>
          <w:color w:val="000000"/>
          <w:sz w:val="22"/>
          <w:szCs w:val="22"/>
        </w:rPr>
        <w:instrText>ADDIN CSL_CITATION { "citationItems" : [ { "id" : "ITEM-1", "itemData" : { "DOI" : "10.1200/JCO.2013.50.7681", "ISSN" : "1527-7755", "PMID" : "24516022", "abstract" : "PURPOSE: We investigated whether the nonsentinel lymph node (NSLN) status in patients with melanoma improves the prognostic accuracy of common staging features; then we formulated a proposal for including the NSLN status in the current melanoma staging system.\n\nPATIENTS AND METHODS: We retrospectively collected the clinicopathologic data of 1,538 patients with positive SLN status who underwent completion lymph node dissection (CLND) at nine Italian centers. Multivariable Cox regression survival analysis was used to identify independent prognostic factors. Literature meta-analysis was used to summarize the available evidence on the prognostic value of the NSLN status in patients with positive SLN.\n\nRESULTS: NSLN metastasis was observed in 353 patients (23%). After a median follow-up of 45 months, NSLN status was an independent prognostic factor for melanoma-specific survival (hazard ratio [HR] = 1.34; 95% CI, 1.18 to 1.52; P &lt; .001). NSLN status efficiently stratified the prognosis of patients with two to three positive lymph nodes (n = 387; HR = 1.39; 95% CI, 1.07 to 1.81; P = .013), independently of other staging features. Searching the literature, this patient subgroup was investigated in other two studies. Pooling the results (n = 620 patients; 284 NSLN negative and 336 NSLN positive), we found that NSLN status is a highly significant prognostic factor (summary HR = 1.59; 95% CI, 1.27 to 1.98; P &lt; .001) in patients with two to three positive lymph nodes.\n\nCONCLUSION: These findings support the independent prognostic value of the NSLN status in patients with two to three positive lymph nodes, suggesting that this information should be considered for the routine staging in patients with melanoma.", "author" : [ { "dropping-particle" : "", "family" : "Pasquali", "given" : "Sandro", "non-dropping-particle" : "", "parse-names" : false, "suffix" : "" }, { "dropping-particle" : "", "family" : "Mocellin", "given" : "Simone", "non-dropping-particle" : "", "parse-names" : false, "suffix" : "" }, { "dropping-particle" : "", "family" : "Mozzillo", "given" : "Nicola", "non-dropping-particle" : "", "parse-names" : false, "suffix" : "" }, { "dropping-particle" : "", "family" : "Maurichi", "given" : "Andrea", "non-dropping-particle" : "", "parse-names" : false, "suffix" : "" }, { "dropping-particle" : "", "family" : "Quaglino", "given" : "Pietro", "non-dropping-particle" : "", "parse-names" : false, "suffix" : "" }, { "dropping-particle" : "", "family" : "Borgognoni", "given" : "Lorenzo", "non-dropping-particle" : "", "parse-names" : false, "suffix" : "" }, { "dropping-particle" : "", "family" : "Solari", "given" : "Nicola", "non-dropping-particle" : "", "parse-names" : false, "suffix" : "" }, { "dropping-particle" : "", "family" : "Piazzalunga", "given" : "Dario", "non-dropping-particle" : "", "parse-names" : false, "suffix" : "" }, { "dropping-particle" : "", "family" : "Mascheroni", "given" : "Luigi", "non-dropping-particle" : "", "parse-names" : false, "suffix" : "" }, { "dropping-particle" : "", "family" : "Giudice", "given" : "Giuseppe", "non-dropping-particle" : "", "parse-names" : false, "suffix" : "" }, { "dropping-particle" : "", "family" : "Patuzzo", "given" : "Roberto", "non-dropping-particle" : "", "parse-names" : false, "suffix" : "" }, { "dropping-particle" : "", "family" : "Carac\u00f2", "given" : "Corrado", "non-dropping-particle" : "", "parse-names" : false, "suffix" : "" }, { "dropping-particle" : "", "family" : "Ribero", "given" : "Simone", "non-dropping-particle" : "", "parse-names" : false, "suffix" : "" }, { "dropping-particle" : "", "family" : "Marone", "given" : "Ugo", "non-dropping-particle" : "", "parse-names" : false, "suffix" : "" }, { "dropping-particle" : "", "family" : "Santinami", "given" : "Mario", "non-dropping-particle" : "", "parse-names" : false, "suffix" : "" }, { "dropping-particle" : "", "family" : "Rossi", "given" : "Carlo Riccardo", "non-dropping-particle" : "", "parse-names" : false, "suffix" : "" } ], "container-title" : "Journal of clinical oncology : official journal of the American Society of Clinical Oncology", "id" : "ITEM-1", "issue" : "9", "issued" : { "date-parts" : [ [ "2014", "3", "20" ] ] }, "page" : "935-41", "title" : "Nonsentinel lymph node status in patients with cutaneous melanoma: results from a multi-institution prognostic study.", "type" : "article-journal", "volume" : "32" }, "uris" : [ "http://www.mendeley.com/documents/?uuid=410348e6-9294-4ce8-8ceb-e0a01e3e8143" ] } ], "mendeley" : { "formattedCitation" : "&lt;sup&gt;181&lt;/sup&gt;", "plainTextFormattedCitation" : "181", "previouslyFormattedCitation" : "&lt;sup&gt;181&lt;/sup&gt;" }, "properties" : { "noteIndex" : 0 }, "schema" : "https://github.com/citation-style-language/schema/raw/master/csl-citation.json" }</w:instrText>
      </w:r>
      <w:r w:rsidRPr="003E73CD">
        <w:rPr>
          <w:rFonts w:eastAsia="ＭＳ ゴシック"/>
          <w:color w:val="000000"/>
          <w:sz w:val="22"/>
          <w:szCs w:val="22"/>
        </w:rPr>
        <w:fldChar w:fldCharType="separate"/>
      </w:r>
      <w:r w:rsidRPr="00217FAC">
        <w:rPr>
          <w:rFonts w:eastAsia="ＭＳ ゴシック"/>
          <w:noProof/>
          <w:color w:val="000000"/>
          <w:sz w:val="22"/>
          <w:szCs w:val="22"/>
          <w:vertAlign w:val="superscript"/>
        </w:rPr>
        <w:t>181</w:t>
      </w:r>
      <w:r w:rsidRPr="003E73CD">
        <w:rPr>
          <w:rFonts w:eastAsia="ＭＳ ゴシック"/>
          <w:color w:val="000000"/>
          <w:sz w:val="22"/>
          <w:szCs w:val="22"/>
        </w:rPr>
        <w:fldChar w:fldCharType="end"/>
      </w:r>
      <w:proofErr w:type="gramStart"/>
      <w:r w:rsidRPr="003E73CD">
        <w:rPr>
          <w:rFonts w:eastAsia="ＭＳ ゴシック"/>
          <w:color w:val="000000"/>
          <w:sz w:val="22"/>
          <w:szCs w:val="22"/>
        </w:rPr>
        <w:t xml:space="preserve">  The</w:t>
      </w:r>
      <w:proofErr w:type="gramEnd"/>
      <w:r w:rsidRPr="003E73CD">
        <w:rPr>
          <w:rFonts w:eastAsia="ＭＳ ゴシック"/>
          <w:color w:val="000000"/>
          <w:sz w:val="22"/>
          <w:szCs w:val="22"/>
        </w:rPr>
        <w:t xml:space="preserve"> median follow-up was 45 months.  On univariate analysis size of the enrolling centre (≤ 150 patients versus &gt;150 patients) and year of diagnosis (1993-2001 versus 2001-2010) were not significant predictors of disease-specific survival.  Age (variable type not stated), sex, Breslow thickness, ulceration, Clark level (II-III versus IV-V), number of lymph nodes excised, non-sentinel node status (negative or positive) and AJCC N Stage (N1, N2 or N3) were all significant predictors.  The multivariate analysis reported hazard ratios for age (</w:t>
      </w:r>
      <w:proofErr w:type="gramStart"/>
      <w:r w:rsidRPr="003E73CD">
        <w:rPr>
          <w:rFonts w:eastAsia="ＭＳ ゴシック"/>
          <w:color w:val="000000"/>
          <w:sz w:val="22"/>
          <w:szCs w:val="22"/>
        </w:rPr>
        <w:t>HR(</w:t>
      </w:r>
      <w:proofErr w:type="gramEnd"/>
      <w:r w:rsidRPr="003E73CD">
        <w:rPr>
          <w:rFonts w:eastAsia="ＭＳ ゴシック"/>
          <w:color w:val="000000"/>
          <w:sz w:val="22"/>
          <w:szCs w:val="22"/>
        </w:rPr>
        <w:t>95%CI): 1.02 (1.01-1.03), p&lt;0.01), male sex (HR(95%CI): 1.55 (1.22-1.99), p&lt;0.01), Breslow thickness (HR(95%CI): 1.04 (1.03-1.06), p&lt;0.001), ulceration (HR(95%CI): 1.84 (1.45-2.35), p&lt;0.001) and non-sentinel node status (HR(95%CI): 1.34 (1.18-1.52), p&lt;0.001) and can be compar</w:t>
      </w:r>
      <w:r w:rsidR="00202947">
        <w:rPr>
          <w:rFonts w:eastAsia="ＭＳ ゴシック"/>
          <w:color w:val="000000"/>
          <w:sz w:val="22"/>
          <w:szCs w:val="22"/>
        </w:rPr>
        <w:t>ed in Table 3.1</w:t>
      </w:r>
      <w:r w:rsidRPr="003E73CD">
        <w:rPr>
          <w:rFonts w:eastAsia="ＭＳ ゴシック"/>
          <w:color w:val="000000"/>
          <w:sz w:val="22"/>
          <w:szCs w:val="22"/>
        </w:rPr>
        <w:t>.3.  As a separate analysis to investigate the significance of non-sentinel node status independent of the total number of positive nodes, disease-specific survival was analysed for patients with a total of 2 positive nodes.  There were 124 patients with 2 positive sentinel nodes and 170 patients with 1 positive sentinel node and 1 positive non-sentinel node.  Patients with a positive non-sentinel node had reduced survival (log rank test p = 0.048).  The authors also conducted a systematic review and meta-analysis of studies that investigated the prognostic value of non-sentinel node status in patients with 2-3 positive nodes.  They included the studies by Ghaferi et al. and Wiener et al. and combined the data with their own data to provide a summary hazard ratio (summary HR: 1.59, p&lt;0.001) based on 620 patients (284 non-sentinel node negative patients and 336 non-sentinel node positive patients).</w:t>
      </w:r>
      <w:r w:rsidRPr="003E73CD">
        <w:rPr>
          <w:rFonts w:eastAsia="ＭＳ ゴシック"/>
          <w:color w:val="000000"/>
          <w:sz w:val="22"/>
          <w:szCs w:val="22"/>
        </w:rPr>
        <w:fldChar w:fldCharType="begin" w:fldLock="1"/>
      </w:r>
      <w:r>
        <w:rPr>
          <w:rFonts w:eastAsia="ＭＳ ゴシック"/>
          <w:color w:val="000000"/>
          <w:sz w:val="22"/>
          <w:szCs w:val="22"/>
        </w:rPr>
        <w:instrText>ADDIN CSL_CITATION { "citationItems" : [ { "id" : "ITEM-1", "itemData" : { "DOI" : "10.1245/s10434-010-1049-5", "ISSN" : "1534-4681", "PMID" : "20490699", "abstract" : "BACKGROUND: Completion lymph node dissection (CLND) following positive sentinel node biopsy (SNB) for melanoma detects additional nonsentinel node (NSN) metastases in approximately 20% of cases. This study aimed to establish whether NSN status can be predicted, to determine its effect on survival, and to develop survival tree models for the sentinel node (SN) positive population.\n\nMATERIALS AND METHODS: Sydney Melanoma Unit (SMU) patients with at least 1 positive SN, meeting inclusion criteria and treated between October 1992 and June 2005, were identified from the Unit database. Survival characteristics, potential predictors of survival, and NSN status were assessed using the Kaplan-Meier method, Cox regression model, and logistic regression analyses, respectively. Classification tree analysis was performed to identify groups with distinctly different survival characteristics.\n\nRESULTS: A total of 323 SN-positive melanoma patients met the inclusion criteria. On multivariate analysis, age, gender, primary tumor thickness, mitotic rate, number of positive NSNs, or total number of positive nodes were statistically significant predictors of survival. NSN metastasis, found at CLND in 19% of patients, was only predicted to a statistically significant degree by ulceration. Multivariate analyses demonstrated that survival was more closely related to number of positive NSNs than total number of positive nodes. Classification tree analysis revealed 4 prognostically distinct survival groups.\n\nCONCLUSIONS: Patients with NSN metastases could not be reliably identified prior to CLND. Prognosis following CLND was more closely related to number of positive NSNs than total number of positive nodes. Classification tree analysis defined distinctly different survival groups more accurately than use of single-factor analysis.", "author" : [ { "dropping-particle" : "", "family" : "Wiener", "given" : "Martin", "non-dropping-particle" : "", "parse-names" : false, "suffix" : "" }, { "dropping-particle" : "", "family" : "Acland", "given" : "Katharine M", "non-dropping-particle" : "", "parse-names" : false, "suffix" : "" }, { "dropping-particle" : "", "family" : "Shaw", "given" : "Helen M", "non-dropping-particle" : "", "parse-names" : false, "suffix" : "" }, { "dropping-particle" : "", "family" : "Soong", "given" : "Seng-Jaw", "non-dropping-particle" : "", "parse-names" : false, "suffix" : "" }, { "dropping-particle" : "", "family" : "Lin", "given" : "Hui-Yi", "non-dropping-particle" : "", "parse-names" : false, "suffix" : "" }, { "dropping-particle" : "", "family" : "Chen", "given" : "Dung-Tsa", "non-dropping-particle" : "", "parse-names" : false, "suffix" : "" }, { "dropping-particle" : "", "family" : "Scolyer", "given" : "Richard A", "non-dropping-particle" : "", "parse-names" : false, "suffix" : "" }, { "dropping-particle" : "", "family" : "Winstanley", "given" : "Julie B", "non-dropping-particle" : "", "parse-names" : false, "suffix" : "" }, { "dropping-particle" : "", "family" : "Thompson", "given" : "John F", "non-dropping-particle" : "", "parse-names" : false, "suffix" : "" } ], "container-title" : "Annals of surgical oncology", "id" : "ITEM-1", "issue" : "8", "issued" : { "date-parts" : [ [ "2010", "8" ] ] }, "page" : "1995-2005", "title" : "Sentinel node positive melanoma patients: prediction and prognostic significance of nonsentinel node metastases and development of a survival tree model.", "type" : "article-journal", "volume" : "17" }, "uris" : [ "http://www.mendeley.com/documents/?uuid=f4126b0e-1dfd-4ac9-a748-0e48d0c17c53" ] }, { "id" : "ITEM-2", "itemData" : { "DOI" : "10.1245/s10434-009-0665-4", "ISSN" : "1534-4681", "PMID" : "19711133", "abstract" : "PURPOSE: Sentinel lymph node (SLN) biopsy provides important prognostic information for patients with cutaneous melanoma. There may be additional prognostic significance to melanoma spreading from the SLN to nonsentinel lymph nodes (NSLN). We examined the implications of a positive NSLN for overall and distant disease-free survival.\n\nMETHODS: Using a prospectively maintained, Institutional Review Board-approved melanoma database we studied patients who had a cutaneous melanoma, a positive SLN, and a completion lymph node dissection (CLND). Survival was determined using a combination of hospital records and the Social Security Death Index (SSDI). Univariate and multivariate Cox regression analysis was performed to further characterize predictors of overall and distant disease-free survival. Kaplan-Meier analysis was used to generate survival curves.\n\nRESULTS: A total of 429 patients with positive SLN biopsies were identified, with at least one positive NSLN identified in 71 (17%). Median follow-up time was 36.8 months. Presence of a positive NSLN was significantly associated with poor outcome, although long-term survival was possible. Presence of ulceration, high mitotic rate, angiolymphatic invasion, total number of positive nodes, and volume of disease&gt;1% in the SLN were significant predictors of survival on univariate analysis, but lost significance on multivariate. Multivariate Cox analysis revealed several predictors of overall survival: increasing age [hazard ratio (HR) 1.04, P&lt;0.01], Breslow depth (HR 1.76, P&lt;0.01), presence of extracapsular extension in the SLN (HR 2.39, P&lt;0.01), and positive NSLN (HR 1.92, P&lt;0.01).\n\nCONCLUSION: Among node-positive melanoma patients, presence of a positive NSLN is a highly significant poor prognostic sign, even after considering the total number of positive nodes and volume of disease in the SLN. CLND after a positive SLN provides this important prognostic information.", "author" : [ { "dropping-particle" : "", "family" : "Ghaferi", "given" : "Amir A", "non-dropping-particle" : "", "parse-names" : false, "suffix" : "" }, { "dropping-particle" : "", "family" : "Wong", "given" : "Sandra L", "non-dropping-particle" : "", "parse-names" : false, "suffix" : "" }, { "dropping-particle" : "", "family" : "Johnson", "given" : "Timothy M", "non-dropping-particle" : "", "parse-names" : false, "suffix" : "" }, { "dropping-particle" : "", "family" : "Lowe", "given" : "Lori", "non-dropping-particle" : "", "parse-names" : false, "suffix" : "" }, { "dropping-particle" : "", "family" : "Chang", "given" : "Alfred E", "non-dropping-particle" : "", "parse-names" : false, "suffix" : "" }, { "dropping-particle" : "", "family" : "Cimmino", "given" : "Vincent M", "non-dropping-particle" : "", "parse-names" : false, "suffix" : "" }, { "dropping-particle" : "", "family" : "Bradford", "given" : "Carol R", "non-dropping-particle" : "", "parse-names" : false, "suffix" : "" }, { "dropping-particle" : "", "family" : "Rees", "given" : "Riley S", "non-dropping-particle" : "", "parse-names" : false, "suffix" : "" }, { "dropping-particle" : "", "family" : "Sabel", "given" : "Michael S", "non-dropping-particle" : "", "parse-names" : false, "suffix" : "" } ], "container-title" : "Annals of surgical oncology", "id" : "ITEM-2", "issue" : "11", "issued" : { "date-parts" : [ [ "2009", "11" ] ] }, "page" : "2978-84", "title" : "Prognostic significance of a positive nonsentinel lymph node in cutaneous melanoma.", "type" : "article-journal", "volume" : "16" }, "uris" : [ "http://www.mendeley.com/documents/?uuid=928824b4-dc07-42e0-87bf-4160d27f7eec" ] } ], "mendeley" : { "formattedCitation" : "&lt;sup&gt;161,175&lt;/sup&gt;", "plainTextFormattedCitation" : "161,175", "previouslyFormattedCitation" : "&lt;sup&gt;161,175&lt;/sup&gt;" }, "properties" : { "noteIndex" : 0 }, "schema" : "https://github.com/citation-style-language/schema/raw/master/csl-citation.json" }</w:instrText>
      </w:r>
      <w:r w:rsidRPr="003E73CD">
        <w:rPr>
          <w:rFonts w:eastAsia="ＭＳ ゴシック"/>
          <w:color w:val="000000"/>
          <w:sz w:val="22"/>
          <w:szCs w:val="22"/>
        </w:rPr>
        <w:fldChar w:fldCharType="separate"/>
      </w:r>
      <w:r w:rsidRPr="00217FAC">
        <w:rPr>
          <w:rFonts w:eastAsia="ＭＳ ゴシック"/>
          <w:noProof/>
          <w:color w:val="000000"/>
          <w:sz w:val="22"/>
          <w:szCs w:val="22"/>
          <w:vertAlign w:val="superscript"/>
        </w:rPr>
        <w:t>161,175</w:t>
      </w:r>
      <w:r w:rsidRPr="003E73CD">
        <w:rPr>
          <w:rFonts w:eastAsia="ＭＳ ゴシック"/>
          <w:color w:val="000000"/>
          <w:sz w:val="22"/>
          <w:szCs w:val="22"/>
        </w:rPr>
        <w:fldChar w:fldCharType="end"/>
      </w:r>
      <w:proofErr w:type="gramStart"/>
      <w:r w:rsidRPr="003E73CD">
        <w:rPr>
          <w:rFonts w:eastAsia="ＭＳ ゴシック"/>
          <w:color w:val="000000"/>
          <w:sz w:val="22"/>
          <w:szCs w:val="22"/>
        </w:rPr>
        <w:t xml:space="preserve">  In</w:t>
      </w:r>
      <w:proofErr w:type="gramEnd"/>
      <w:r w:rsidRPr="003E73CD">
        <w:rPr>
          <w:rFonts w:eastAsia="ＭＳ ゴシック"/>
          <w:color w:val="000000"/>
          <w:sz w:val="22"/>
          <w:szCs w:val="22"/>
        </w:rPr>
        <w:t xml:space="preserve"> the paper by Pasquali et al. there seems to be a typographical error in Table 3 such that the numbers of positive and negative non-sentinel node patients from their own data do not add up to the total of 387. </w:t>
      </w:r>
    </w:p>
    <w:p w14:paraId="5F6FD699" w14:textId="04B6AACA" w:rsidR="00EB738E" w:rsidRPr="003E73CD" w:rsidRDefault="00EB738E" w:rsidP="00EB738E">
      <w:pPr>
        <w:spacing w:line="480" w:lineRule="auto"/>
        <w:ind w:firstLine="720"/>
        <w:rPr>
          <w:sz w:val="22"/>
          <w:szCs w:val="22"/>
        </w:rPr>
      </w:pPr>
      <w:r w:rsidRPr="003E73CD">
        <w:rPr>
          <w:rFonts w:eastAsia="ＭＳ ゴシック"/>
          <w:color w:val="000000"/>
          <w:sz w:val="22"/>
          <w:szCs w:val="22"/>
        </w:rPr>
        <w:t xml:space="preserve">As well as examining </w:t>
      </w:r>
      <w:r w:rsidRPr="003E73CD">
        <w:rPr>
          <w:rFonts w:eastAsia="ＭＳ ゴシック"/>
          <w:b/>
          <w:i/>
          <w:color w:val="000000"/>
          <w:sz w:val="22"/>
          <w:szCs w:val="22"/>
        </w:rPr>
        <w:t>non-sentinel</w:t>
      </w:r>
      <w:r w:rsidRPr="003E73CD">
        <w:rPr>
          <w:rFonts w:eastAsia="ＭＳ ゴシック"/>
          <w:color w:val="000000"/>
          <w:sz w:val="22"/>
          <w:szCs w:val="22"/>
        </w:rPr>
        <w:t xml:space="preserve"> node status, several of the studies have assessed the potential prognostic effect of an increase in the number of positive </w:t>
      </w:r>
      <w:r w:rsidRPr="003E73CD">
        <w:rPr>
          <w:rFonts w:eastAsia="ＭＳ ゴシック"/>
          <w:b/>
          <w:i/>
          <w:color w:val="000000"/>
          <w:sz w:val="22"/>
          <w:szCs w:val="22"/>
        </w:rPr>
        <w:t>sentinel</w:t>
      </w:r>
      <w:r w:rsidRPr="003E73CD">
        <w:rPr>
          <w:rFonts w:eastAsia="ＭＳ ゴシック"/>
          <w:color w:val="000000"/>
          <w:sz w:val="22"/>
          <w:szCs w:val="22"/>
        </w:rPr>
        <w:t xml:space="preserve"> nodes.  Jakub et al. found no significant difference in survival on Kaplan-Meier analysis by number of positive sentinel nodes but did not confirm the independence of this finding by including it as a variable in a multivariate model along with total number of positive nodes or number of positive non-sentinel nodes.</w:t>
      </w:r>
      <w:r w:rsidRPr="003E73CD">
        <w:rPr>
          <w:rFonts w:eastAsia="ＭＳ ゴシック"/>
          <w:color w:val="000000"/>
          <w:sz w:val="22"/>
          <w:szCs w:val="22"/>
        </w:rPr>
        <w:fldChar w:fldCharType="begin" w:fldLock="1"/>
      </w:r>
      <w:r>
        <w:rPr>
          <w:rFonts w:eastAsia="ＭＳ ゴシック"/>
          <w:color w:val="000000"/>
          <w:sz w:val="22"/>
          <w:szCs w:val="22"/>
        </w:rPr>
        <w:instrText>ADDIN CSL_CITATION { "citationItems" : [ { "id" : "ITEM-1", "itemData" : { "DOI" : "10.1245/s10434-009-0530-5", "ISSN" : "1534-4681", "PMID" : "19517194", "abstract" : "BACKGROUND: In melanoma, a direct relationship exists between the number of nodes involved with metastatic disease and prognosis. This study was undertaken to determine whether an individual with metastatic disease confined to the sentinel lymph nodes (SLNs) would have a better prognosis than individuals with metastatic disease that has spread to the non-SLNs, regardless of the number of nodes involved.\n\nMETHODS: The study group consists of 229 melanoma patients with a positive SLN who underwent regional nodal dissection. Cox proportional hazard regression models were used to assess association of the number of SLNs and non-SLNs involved with disease with overall survival (OS) and disease-free survival (DFS).\n\nRESULTS: DFS and OS were unchanged regardless of how many SLNs were positive, as long as all disease was confined to SLNs. Among 183 patients without involvement of non-SLNs, OS remained the same despite an increasing number of SLNs involved (P = .59). This was true after controlling for ulceration, Breslow depth, age, sex, and adjuvant treatment. Once disease was present beyond the SLN, DFS and OS were negatively affected. Among patients with involvement of non-SLNs, there was no statistically significant association between the number of positive SLNs and survival. The risk of mortality increased with the number of non-SLNs involved with metastatic disease (P &lt; .001).\n\nCONCLUSIONS: The number of regional nodes involved with metastatic disease does not affect DFS and OS if disease is confined to the SLNs. Consideration should be given to specifying SLN versus non-SLN involvement in the American Joint Committee on Cancer staging manual.", "author" : [ { "dropping-particle" : "", "family" : "Jakub", "given" : "James W", "non-dropping-particle" : "", "parse-names" : false, "suffix" : "" }, { "dropping-particle" : "", "family" : "Huebner", "given" : "Marianne", "non-dropping-particle" : "", "parse-names" : false, "suffix" : "" }, { "dropping-particle" : "", "family" : "Shivers", "given" : "Steve", "non-dropping-particle" : "", "parse-names" : false, "suffix" : "" }, { "dropping-particle" : "", "family" : "Nobo", "given" : "Christopher", "non-dropping-particle" : "", "parse-names" : false, "suffix" : "" }, { "dropping-particle" : "", "family" : "Puleo", "given" : "Christopher", "non-dropping-particle" : "", "parse-names" : false, "suffix" : "" }, { "dropping-particle" : "", "family" : "Harmsen", "given" : "William S", "non-dropping-particle" : "", "parse-names" : false, "suffix" : "" }, { "dropping-particle" : "", "family" : "Reintgen", "given" : "Douglas S", "non-dropping-particle" : "", "parse-names" : false, "suffix" : "" } ], "container-title" : "Annals of surgical oncology", "id" : "ITEM-1", "issue" : "8", "issued" : { "date-parts" : [ [ "2009", "8" ] ] }, "page" : "2245-51", "title" : "The number of lymph nodes involved with metastatic disease does not affect outcome in melanoma patients as long as all disease is confined to the sentinel lymph node.", "type" : "article-journal", "volume" : "16" }, "uris" : [ "http://www.mendeley.com/documents/?uuid=fbe213b8-67d5-4eaa-b00e-02735b35827b" ] } ], "mendeley" : { "formattedCitation" : "&lt;sup&gt;164&lt;/sup&gt;", "plainTextFormattedCitation" : "164", "previouslyFormattedCitation" : "&lt;sup&gt;164&lt;/sup&gt;" }, "properties" : { "noteIndex" : 0 }, "schema" : "https://github.com/citation-style-language/schema/raw/master/csl-citation.json" }</w:instrText>
      </w:r>
      <w:r w:rsidRPr="003E73CD">
        <w:rPr>
          <w:rFonts w:eastAsia="ＭＳ ゴシック"/>
          <w:color w:val="000000"/>
          <w:sz w:val="22"/>
          <w:szCs w:val="22"/>
        </w:rPr>
        <w:fldChar w:fldCharType="separate"/>
      </w:r>
      <w:r w:rsidRPr="00CE2A17">
        <w:rPr>
          <w:rFonts w:eastAsia="ＭＳ ゴシック"/>
          <w:noProof/>
          <w:color w:val="000000"/>
          <w:sz w:val="22"/>
          <w:szCs w:val="22"/>
          <w:vertAlign w:val="superscript"/>
        </w:rPr>
        <w:t>164</w:t>
      </w:r>
      <w:r w:rsidRPr="003E73CD">
        <w:rPr>
          <w:rFonts w:eastAsia="ＭＳ ゴシック"/>
          <w:color w:val="000000"/>
          <w:sz w:val="22"/>
          <w:szCs w:val="22"/>
        </w:rPr>
        <w:fldChar w:fldCharType="end"/>
      </w:r>
      <w:r w:rsidRPr="003E73CD">
        <w:rPr>
          <w:rFonts w:eastAsia="ＭＳ ゴシック"/>
          <w:color w:val="000000"/>
          <w:sz w:val="22"/>
          <w:szCs w:val="22"/>
        </w:rPr>
        <w:t xml:space="preserve">   Egger</w:t>
      </w:r>
      <w:r w:rsidRPr="003E73CD">
        <w:rPr>
          <w:rFonts w:eastAsia="ＭＳ ゴシック"/>
          <w:color w:val="000000"/>
          <w:sz w:val="22"/>
          <w:szCs w:val="22"/>
          <w:vertAlign w:val="superscript"/>
        </w:rPr>
        <w:t>a</w:t>
      </w:r>
      <w:r w:rsidRPr="003E73CD">
        <w:rPr>
          <w:rFonts w:eastAsia="ＭＳ ゴシック"/>
          <w:color w:val="000000"/>
          <w:sz w:val="22"/>
          <w:szCs w:val="22"/>
        </w:rPr>
        <w:t xml:space="preserve"> et al. and Leung et al. found, in contrast, that prognosis was worse as number of positive sentinel nodes increased.</w:t>
      </w:r>
      <w:r w:rsidRPr="003E73CD">
        <w:rPr>
          <w:rFonts w:eastAsia="ＭＳ ゴシック"/>
          <w:color w:val="000000"/>
          <w:sz w:val="22"/>
          <w:szCs w:val="22"/>
        </w:rPr>
        <w:fldChar w:fldCharType="begin" w:fldLock="1"/>
      </w:r>
      <w:r>
        <w:rPr>
          <w:rFonts w:eastAsia="ＭＳ ゴシック"/>
          <w:color w:val="000000"/>
          <w:sz w:val="22"/>
          <w:szCs w:val="22"/>
        </w:rPr>
        <w:instrText>ADDIN CSL_CITATION { "citationItems" : [ { "id" : "ITEM-1", "itemData" : { "DOI" : "10.1245/s10434-012-2701-z", "ISSN" : "1534-4681", "PMID" : "23064795", "abstract" : "BACKGROUND: Sentinel lymph node (SLN) biopsy for melanoma often detects minimal nodal tumor burden. Although all node-positive patients are considered stage III, there is controversy regarding the necessity of adjuvant therapy for all patients with tumor-positive SLN.\n\nMETHODS: Post hoc analysis was performed of a prospective multi-institutional study of patients with melanoma \u2265 1.0 mm Breslow thickness. All patients underwent SLN biopsy; completion lymphadenectomy was performed for patients with SLN metastasis. Kaplan-Meier analysis of disease-free survival (DFS) and overall survival (OS) was performed. Univariate and multivariate Cox regression analyses were performed. Classification and regression tree (CART) analysis also was performed.\n\nRESULTS: A total of 509 patients with tumor-positive SLN were evaluated. Independent risk factors for worse OS included thickness, age, gender, presence of ulceration, and tumor-positive non-SLN (nodal metastasis found on completion lymphadenectomy). As the number of tumor-positive SLN and the total number of tumor-positive nodes (SLN and non-SLN) increased, DFS and OS worsened on Kaplan-Meier analysis. On CART analysis, the 5-year OS rates ranged from 84.9% (women with thickness &lt; 2.1 mm, age &lt; 59 years, no ulceration, and tumor-negative non-SLN) to 14.3% (men with thickness \u2265 2.1 mm, age \u2265 59 years, ulceration present, and tumor-positive non-SLN). Six distinct subgroups were identified with 5-year OS in excess of 70%.\n\nCONCLUSIONS: Stage III melanoma in the era of SLN is associated with a very wide range of prognosis. CART analysis of prognostic factors allows discrimination of low-risk subgroups for which adjuvant therapy may not be warranted.", "author" : [ { "dropping-particle" : "", "family" : "Egger", "given" : "Michael E", "non-dropping-particle" : "", "parse-names" : false, "suffix" : "" }, { "dropping-particle" : "", "family" : "Callender", "given" : "Glenda G", "non-dropping-particle" : "", "parse-names" : false, "suffix" : "" }, { "dropping-particle" : "", "family" : "McMasters", "given" : "Kelly M", "non-dropping-particle" : "", "parse-names" : false, "suffix" : "" }, { "dropping-particle" : "", "family" : "Ross", "given" : "Merrick I", "non-dropping-particle" : "", "parse-names" : false, "suffix" : "" }, { "dropping-particle" : "", "family" : "Martin", "given" : "Robert C G", "non-dropping-particle" : "", "parse-names" : false, "suffix" : "" }, { "dropping-particle" : "", "family" : "Edwards", "given" : "Michael J", "non-dropping-particle" : "", "parse-names" : false, "suffix" : "" }, { "dropping-particle" : "", "family" : "Urist", "given" : "Marshall M", "non-dropping-particle" : "", "parse-names" : false, "suffix" : "" }, { "dropping-particle" : "", "family" : "Noyes", "given" : "R Dirk", "non-dropping-particle" : "", "parse-names" : false, "suffix" : "" }, { "dropping-particle" : "", "family" : "Sussman", "given" : "Jeffrey J", "non-dropping-particle" : "", "parse-names" : false, "suffix" : "" }, { "dropping-particle" : "", "family" : "Reintgen", "given" : "Douglas S", "non-dropping-particle" : "", "parse-names" : false, "suffix" : "" }, { "dropping-particle" : "", "family" : "Stromberg", "given" : "Arnold J", "non-dropping-particle" : "", "parse-names" : false, "suffix" : "" }, { "dropping-particle" : "", "family" : "Scoggins", "given" : "Charles R", "non-dropping-particle" : "", "parse-names" : false, "suffix" : "" } ], "container-title" : "Annals of surgical oncology", "id" : "ITEM-1", "issue" : "3", "issued" : { "date-parts" : [ [ "2013", "3" ] ] }, "page" : "956-63", "title" : "Diversity of stage III melanoma in the era of sentinel lymph node biopsy.", "type" : "article-journal", "volume" : "20" }, "uris" : [ "http://www.mendeley.com/documents/?uuid=59503490-f299-41ae-b17d-0e482477adcc" ] }, { "id" : "ITEM-2", "itemData" : { "DOI" : "10.1001/jamasurg.2013.3044", "ISSN" : "2168-6262", "PMID" : "23903435", "abstract" : "IMPORTANCE: Survival varies widely in patients with stage III melanoma. The existence of clinical significance for positive nonsentinel lymph node (NSLN) status would warrant consideration for incorporation into the American Joint Committee on Cancer staging system and better prediction of survival.\n\nOBJECTIVE: To evaluate whether disease limited to sentinel lymph nodes (SLNs) represents different clinical significance than disease spread into NSLNs.\n\nDESIGN, SETTING, AND PARTICIPANTS: The database of the John Wayne Cancer Institute at Saint John's Health Center, Santa Monica, California, was queried for all patients with SLNs positive for cutaneous melanoma who subsequently underwent completion lymph node dissection.\n\nMAIN OUTCOMES AND MEASURES: Disease-free survival, melanoma-specific survival (MSS), and overall survival.\n\nRESULTS: A total of 4223 patients underwent SLN biopsy from 1986 to 2012. Of these patients, 329 had a tumor-positive SLN. Of the 329, 250 patients (76.0%) had no additional positive nodes and 79 (24.0%) had a tumor-positive NSLN. Factors predictive of NSLN positivity included older age (P\u2009=\u2009.04), greater Breslow thickness (P\u2009&lt;\u2009.001), and ulceration (P\u2009&lt;\u2009.02). Median overall survival was 178 months for the SLN-only positive group and 42.2 months for the NSLN positive group (5-year overall survival, 72.3% and 46.4%, respectively). Median MSS was not reached for the SLN-only positive group and was 60 months for the NSLN positive group (5-year MSS, 77.8% and 49.5%, respectively). On multivariate analysis, NSLN positivity had a strong association with recurrence (hazard ratio [HR], 1.75; 95% CI, 1.23-2.50; P\u2009=\u2009.002), shorter overall survival (HR, 2.24; 95% CI, 1.48-3.40; P\u2009&lt;\u2009.001), and shorter MSS (HR, 2.23; 95% CI, 1.46-3.07; P\u2009&lt;\u2009.001). To further control for the effects of total positive lymph nodes, comparison was done for patients with only N2 disease (2-3 total positive lymph nodes); the results of this comparison confirmed the independent effect of NSLN status (MSS; P\u2009=\u2009.04).\n\nCONCLUSIONS AND RELEVANCE: Nonsentinel lymph node positivity is one of the most significant prognostic factors in patients with stage III melanoma. Subclassification of melanoma by NSLN tumor status should be considered for the American Joint Committee on Cancer staging system.", "author" : [ { "dropping-particle" : "", "family" : "Leung", "given" : "Anna M", "non-dropping-particle" : "", "parse-names" : false, "suffix" : "" }, { "dropping-particle" : "", "family" : "Morton", "given" : "Donald L", "non-dropping-particle" : "", "parse-names" : false, "suffix" : "" }, { "dropping-particle" : "", "family" : "Ozao-Choy", "given" : "Junko", "non-dropping-particle" : "", "parse-names" : false, "suffix" : "" }, { "dropping-particle" : "", "family" : "Hari", "given" : "Danielle M", "non-dropping-particle" : "", "parse-names" : false, "suffix" : "" }, { "dropping-particle" : "", "family" : "Shin-Sim", "given" : "Myung", "non-dropping-particle" : "", "parse-names" : false, "suffix" : "" }, { "dropping-particle" : "", "family" : "Difronzo", "given" : "Andrew L", "non-dropping-particle" : "", "parse-names" : false, "suffix" : "" }, { "dropping-particle" : "", "family" : "Faries", "given" : "Mark B", "non-dropping-particle" : "", "parse-names" : false, "suffix" : "" } ], "container-title" : "JAMA surgery", "id" : "ITEM-2", "issue" : "9", "issued" : { "date-parts" : [ [ "2013", "9" ] ] }, "page" : "879-84", "title" : "Staging of regional lymph nodes in melanoma: a case for including nonsentinel lymph node positivity in the American Joint Committee on Cancer staging system.", "type" : "article-journal", "volume" : "148" }, "uris" : [ "http://www.mendeley.com/documents/?uuid=fac9559b-9a9f-4199-a346-556ae25e21d9" ] } ], "mendeley" : { "formattedCitation" : "&lt;sup&gt;178,180&lt;/sup&gt;", "plainTextFormattedCitation" : "178,180", "previouslyFormattedCitation" : "&lt;sup&gt;178,180&lt;/sup&gt;" }, "properties" : { "noteIndex" : 0 }, "schema" : "https://github.com/citation-style-language/schema/raw/master/csl-citation.json" }</w:instrText>
      </w:r>
      <w:r w:rsidRPr="003E73CD">
        <w:rPr>
          <w:rFonts w:eastAsia="ＭＳ ゴシック"/>
          <w:color w:val="000000"/>
          <w:sz w:val="22"/>
          <w:szCs w:val="22"/>
        </w:rPr>
        <w:fldChar w:fldCharType="separate"/>
      </w:r>
      <w:r w:rsidRPr="00217FAC">
        <w:rPr>
          <w:rFonts w:eastAsia="ＭＳ ゴシック"/>
          <w:noProof/>
          <w:color w:val="000000"/>
          <w:sz w:val="22"/>
          <w:szCs w:val="22"/>
          <w:vertAlign w:val="superscript"/>
        </w:rPr>
        <w:t>178,180</w:t>
      </w:r>
      <w:r w:rsidRPr="003E73CD">
        <w:rPr>
          <w:rFonts w:eastAsia="ＭＳ ゴシック"/>
          <w:color w:val="000000"/>
          <w:sz w:val="22"/>
          <w:szCs w:val="22"/>
        </w:rPr>
        <w:fldChar w:fldCharType="end"/>
      </w:r>
      <w:proofErr w:type="gramStart"/>
      <w:r w:rsidRPr="003E73CD">
        <w:rPr>
          <w:rFonts w:eastAsia="ＭＳ ゴシック"/>
          <w:color w:val="000000"/>
          <w:sz w:val="22"/>
          <w:szCs w:val="22"/>
        </w:rPr>
        <w:t xml:space="preserve">  In</w:t>
      </w:r>
      <w:proofErr w:type="gramEnd"/>
      <w:r w:rsidRPr="003E73CD">
        <w:rPr>
          <w:rFonts w:eastAsia="ＭＳ ゴシック"/>
          <w:color w:val="000000"/>
          <w:sz w:val="22"/>
          <w:szCs w:val="22"/>
        </w:rPr>
        <w:t xml:space="preserve"> the paper by Egger</w:t>
      </w:r>
      <w:r w:rsidRPr="003E73CD">
        <w:rPr>
          <w:rFonts w:eastAsia="ＭＳ ゴシック"/>
          <w:color w:val="000000"/>
          <w:sz w:val="22"/>
          <w:szCs w:val="22"/>
          <w:vertAlign w:val="superscript"/>
        </w:rPr>
        <w:t>a</w:t>
      </w:r>
      <w:r w:rsidRPr="003E73CD">
        <w:rPr>
          <w:rFonts w:eastAsia="ＭＳ ゴシック"/>
          <w:color w:val="000000"/>
          <w:sz w:val="22"/>
          <w:szCs w:val="22"/>
        </w:rPr>
        <w:t xml:space="preserve"> et al. this finding was from Kaplan-Meier analysis only and in the paper by Leung et al. this was included as a variable within the multivariate analysis, as described above.  The analyses performed b</w:t>
      </w:r>
      <w:r w:rsidR="00202947">
        <w:rPr>
          <w:rFonts w:eastAsia="ＭＳ ゴシック"/>
          <w:color w:val="000000"/>
          <w:sz w:val="22"/>
          <w:szCs w:val="22"/>
        </w:rPr>
        <w:t>y Wiener et al. (see section 3.2</w:t>
      </w:r>
      <w:r w:rsidRPr="003E73CD">
        <w:rPr>
          <w:rFonts w:eastAsia="ＭＳ ゴシック"/>
          <w:color w:val="000000"/>
          <w:sz w:val="22"/>
          <w:szCs w:val="22"/>
        </w:rPr>
        <w:t>) found no significant difference in survival by number of positive sentinel nodes on Kaplan-Meier analysis or when included within two multivariate models (with number of positive non-sentinel nodes in Model 2 and with total number of positive nodes in Model 3).</w:t>
      </w:r>
      <w:r w:rsidRPr="003E73CD">
        <w:rPr>
          <w:rFonts w:eastAsia="ＭＳ ゴシック"/>
          <w:color w:val="000000"/>
          <w:sz w:val="22"/>
          <w:szCs w:val="22"/>
        </w:rPr>
        <w:fldChar w:fldCharType="begin" w:fldLock="1"/>
      </w:r>
      <w:r>
        <w:rPr>
          <w:rFonts w:eastAsia="ＭＳ ゴシック"/>
          <w:color w:val="000000"/>
          <w:sz w:val="22"/>
          <w:szCs w:val="22"/>
        </w:rPr>
        <w:instrText>ADDIN CSL_CITATION { "citationItems" : [ { "id" : "ITEM-1", "itemData" : { "DOI" : "10.1245/s10434-010-1049-5", "ISSN" : "1534-4681", "PMID" : "20490699", "abstract" : "BACKGROUND: Completion lymph node dissection (CLND) following positive sentinel node biopsy (SNB) for melanoma detects additional nonsentinel node (NSN) metastases in approximately 20% of cases. This study aimed to establish whether NSN status can be predicted, to determine its effect on survival, and to develop survival tree models for the sentinel node (SN) positive population.\n\nMATERIALS AND METHODS: Sydney Melanoma Unit (SMU) patients with at least 1 positive SN, meeting inclusion criteria and treated between October 1992 and June 2005, were identified from the Unit database. Survival characteristics, potential predictors of survival, and NSN status were assessed using the Kaplan-Meier method, Cox regression model, and logistic regression analyses, respectively. Classification tree analysis was performed to identify groups with distinctly different survival characteristics.\n\nRESULTS: A total of 323 SN-positive melanoma patients met the inclusion criteria. On multivariate analysis, age, gender, primary tumor thickness, mitotic rate, number of positive NSNs, or total number of positive nodes were statistically significant predictors of survival. NSN metastasis, found at CLND in 19% of patients, was only predicted to a statistically significant degree by ulceration. Multivariate analyses demonstrated that survival was more closely related to number of positive NSNs than total number of positive nodes. Classification tree analysis revealed 4 prognostically distinct survival groups.\n\nCONCLUSIONS: Patients with NSN metastases could not be reliably identified prior to CLND. Prognosis following CLND was more closely related to number of positive NSNs than total number of positive nodes. Classification tree analysis defined distinctly different survival groups more accurately than use of single-factor analysis.", "author" : [ { "dropping-particle" : "", "family" : "Wiener", "given" : "Martin", "non-dropping-particle" : "", "parse-names" : false, "suffix" : "" }, { "dropping-particle" : "", "family" : "Acland", "given" : "Katharine M", "non-dropping-particle" : "", "parse-names" : false, "suffix" : "" }, { "dropping-particle" : "", "family" : "Shaw", "given" : "Helen M", "non-dropping-particle" : "", "parse-names" : false, "suffix" : "" }, { "dropping-particle" : "", "family" : "Soong", "given" : "Seng-Jaw", "non-dropping-particle" : "", "parse-names" : false, "suffix" : "" }, { "dropping-particle" : "", "family" : "Lin", "given" : "Hui-Yi", "non-dropping-particle" : "", "parse-names" : false, "suffix" : "" }, { "dropping-particle" : "", "family" : "Chen", "given" : "Dung-Tsa", "non-dropping-particle" : "", "parse-names" : false, "suffix" : "" }, { "dropping-particle" : "", "family" : "Scolyer", "given" : "Richard A", "non-dropping-particle" : "", "parse-names" : false, "suffix" : "" }, { "dropping-particle" : "", "family" : "Winstanley", "given" : "Julie B", "non-dropping-particle" : "", "parse-names" : false, "suffix" : "" }, { "dropping-particle" : "", "family" : "Thompson", "given" : "John F", "non-dropping-particle" : "", "parse-names" : false, "suffix" : "" } ], "container-title" : "Annals of surgical oncology", "id" : "ITEM-1", "issue" : "8", "issued" : { "date-parts" : [ [ "2010", "8" ] ] }, "page" : "1995-2005", "title" : "Sentinel node positive melanoma patients: prediction and prognostic significance of nonsentinel node metastases and development of a survival tree model.", "type" : "article-journal", "volume" : "17" }, "uris" : [ "http://www.mendeley.com/documents/?uuid=f4126b0e-1dfd-4ac9-a748-0e48d0c17c53" ] } ], "mendeley" : { "formattedCitation" : "&lt;sup&gt;161&lt;/sup&gt;", "plainTextFormattedCitation" : "161", "previouslyFormattedCitation" : "&lt;sup&gt;161&lt;/sup&gt;" }, "properties" : { "noteIndex" : 0 }, "schema" : "https://github.com/citation-style-language/schema/raw/master/csl-citation.json" }</w:instrText>
      </w:r>
      <w:r w:rsidRPr="003E73CD">
        <w:rPr>
          <w:rFonts w:eastAsia="ＭＳ ゴシック"/>
          <w:color w:val="000000"/>
          <w:sz w:val="22"/>
          <w:szCs w:val="22"/>
        </w:rPr>
        <w:fldChar w:fldCharType="separate"/>
      </w:r>
      <w:r w:rsidRPr="00CE2A17">
        <w:rPr>
          <w:rFonts w:eastAsia="ＭＳ ゴシック"/>
          <w:noProof/>
          <w:color w:val="000000"/>
          <w:sz w:val="22"/>
          <w:szCs w:val="22"/>
          <w:vertAlign w:val="superscript"/>
        </w:rPr>
        <w:t>161</w:t>
      </w:r>
      <w:r w:rsidRPr="003E73CD">
        <w:rPr>
          <w:rFonts w:eastAsia="ＭＳ ゴシック"/>
          <w:color w:val="000000"/>
          <w:sz w:val="22"/>
          <w:szCs w:val="22"/>
        </w:rPr>
        <w:fldChar w:fldCharType="end"/>
      </w:r>
      <w:r w:rsidRPr="003E73CD">
        <w:rPr>
          <w:rFonts w:eastAsia="ＭＳ ゴシック"/>
          <w:color w:val="000000"/>
          <w:sz w:val="22"/>
          <w:szCs w:val="22"/>
        </w:rPr>
        <w:t xml:space="preserve">  </w:t>
      </w:r>
    </w:p>
    <w:p w14:paraId="72141F27" w14:textId="3E7CBE23" w:rsidR="00EB738E" w:rsidRPr="003E73CD" w:rsidRDefault="00202947" w:rsidP="00EB738E">
      <w:pPr>
        <w:rPr>
          <w:sz w:val="22"/>
          <w:szCs w:val="22"/>
        </w:rPr>
      </w:pPr>
      <w:r>
        <w:rPr>
          <w:sz w:val="22"/>
          <w:szCs w:val="22"/>
        </w:rPr>
        <w:t>Table 3.1</w:t>
      </w:r>
      <w:r w:rsidR="00EB738E" w:rsidRPr="003E73CD">
        <w:rPr>
          <w:sz w:val="22"/>
          <w:szCs w:val="22"/>
        </w:rPr>
        <w:t xml:space="preserve">.3.  Studies that performed multivariate Cox regression analyses for factors predictive of overall, or disease-specific, survival on sentinel node positive melanoma patients that did </w:t>
      </w:r>
      <w:r w:rsidR="00EB738E" w:rsidRPr="00B64DB7">
        <w:rPr>
          <w:b/>
          <w:sz w:val="22"/>
          <w:szCs w:val="22"/>
        </w:rPr>
        <w:t>not</w:t>
      </w:r>
      <w:r w:rsidR="00EB738E" w:rsidRPr="003E73CD">
        <w:rPr>
          <w:sz w:val="22"/>
          <w:szCs w:val="22"/>
        </w:rPr>
        <w:t xml:space="preserve"> account for an effect due to total number of positive nodes (n=4).</w:t>
      </w:r>
    </w:p>
    <w:p w14:paraId="08FC04D2" w14:textId="77777777" w:rsidR="00EB738E" w:rsidRPr="003E73CD" w:rsidRDefault="00EB738E" w:rsidP="00EB738E">
      <w:pPr>
        <w:rPr>
          <w:sz w:val="22"/>
          <w:szCs w:val="22"/>
        </w:rPr>
      </w:pPr>
    </w:p>
    <w:tbl>
      <w:tblPr>
        <w:tblStyle w:val="TableGrid"/>
        <w:tblW w:w="5000" w:type="pct"/>
        <w:tblLook w:val="04A0" w:firstRow="1" w:lastRow="0" w:firstColumn="1" w:lastColumn="0" w:noHBand="0" w:noVBand="1"/>
      </w:tblPr>
      <w:tblGrid>
        <w:gridCol w:w="2456"/>
        <w:gridCol w:w="1508"/>
        <w:gridCol w:w="1494"/>
        <w:gridCol w:w="1621"/>
        <w:gridCol w:w="1635"/>
      </w:tblGrid>
      <w:tr w:rsidR="00EB738E" w:rsidRPr="003E73CD" w14:paraId="779B8334" w14:textId="77777777" w:rsidTr="00EB738E">
        <w:tc>
          <w:tcPr>
            <w:tcW w:w="1410" w:type="pct"/>
            <w:vMerge w:val="restart"/>
          </w:tcPr>
          <w:p w14:paraId="4751A443" w14:textId="77777777" w:rsidR="00EB738E" w:rsidRPr="003E73CD" w:rsidRDefault="00EB738E" w:rsidP="00EB738E">
            <w:pPr>
              <w:rPr>
                <w:sz w:val="18"/>
                <w:szCs w:val="18"/>
              </w:rPr>
            </w:pPr>
            <w:r w:rsidRPr="003E73CD">
              <w:rPr>
                <w:sz w:val="18"/>
                <w:szCs w:val="18"/>
              </w:rPr>
              <w:t>Variable</w:t>
            </w:r>
          </w:p>
        </w:tc>
        <w:tc>
          <w:tcPr>
            <w:tcW w:w="3590" w:type="pct"/>
            <w:gridSpan w:val="4"/>
          </w:tcPr>
          <w:p w14:paraId="22176C1E" w14:textId="77777777" w:rsidR="00EB738E" w:rsidRPr="003E73CD" w:rsidRDefault="00EB738E" w:rsidP="00EB738E">
            <w:pPr>
              <w:jc w:val="center"/>
              <w:rPr>
                <w:sz w:val="18"/>
                <w:szCs w:val="18"/>
              </w:rPr>
            </w:pPr>
            <w:r w:rsidRPr="003E73CD">
              <w:rPr>
                <w:sz w:val="18"/>
                <w:szCs w:val="18"/>
              </w:rPr>
              <w:t>Study first author (year of publication)</w:t>
            </w:r>
          </w:p>
        </w:tc>
      </w:tr>
      <w:tr w:rsidR="00EB738E" w:rsidRPr="003E73CD" w14:paraId="00A44E7F" w14:textId="77777777" w:rsidTr="00EB738E">
        <w:tc>
          <w:tcPr>
            <w:tcW w:w="1410" w:type="pct"/>
            <w:vMerge/>
          </w:tcPr>
          <w:p w14:paraId="24054699" w14:textId="77777777" w:rsidR="00EB738E" w:rsidRPr="003E73CD" w:rsidRDefault="00EB738E" w:rsidP="00EB738E">
            <w:pPr>
              <w:rPr>
                <w:sz w:val="18"/>
                <w:szCs w:val="18"/>
              </w:rPr>
            </w:pPr>
          </w:p>
        </w:tc>
        <w:tc>
          <w:tcPr>
            <w:tcW w:w="865" w:type="pct"/>
          </w:tcPr>
          <w:p w14:paraId="797213DA" w14:textId="77777777" w:rsidR="00EB738E" w:rsidRPr="003E73CD" w:rsidRDefault="00EB738E" w:rsidP="00EB738E">
            <w:pPr>
              <w:rPr>
                <w:sz w:val="18"/>
                <w:szCs w:val="18"/>
                <w:vertAlign w:val="superscript"/>
              </w:rPr>
            </w:pPr>
            <w:r w:rsidRPr="003E73CD">
              <w:rPr>
                <w:sz w:val="18"/>
                <w:szCs w:val="18"/>
              </w:rPr>
              <w:t>Ghaferi (2009)</w:t>
            </w:r>
            <w:r w:rsidRPr="003E73CD">
              <w:rPr>
                <w:sz w:val="18"/>
                <w:szCs w:val="18"/>
                <w:vertAlign w:val="superscript"/>
              </w:rPr>
              <w:t>$</w:t>
            </w:r>
          </w:p>
        </w:tc>
        <w:tc>
          <w:tcPr>
            <w:tcW w:w="857" w:type="pct"/>
          </w:tcPr>
          <w:p w14:paraId="28707BD9" w14:textId="77777777" w:rsidR="00EB738E" w:rsidRPr="003E73CD" w:rsidRDefault="00EB738E" w:rsidP="00EB738E">
            <w:pPr>
              <w:rPr>
                <w:sz w:val="18"/>
                <w:szCs w:val="18"/>
              </w:rPr>
            </w:pPr>
            <w:r w:rsidRPr="003E73CD">
              <w:rPr>
                <w:sz w:val="18"/>
                <w:szCs w:val="18"/>
              </w:rPr>
              <w:t>Jakub (2009)</w:t>
            </w:r>
          </w:p>
        </w:tc>
        <w:tc>
          <w:tcPr>
            <w:tcW w:w="930" w:type="pct"/>
          </w:tcPr>
          <w:p w14:paraId="7E4BEBCD" w14:textId="77777777" w:rsidR="00EB738E" w:rsidRPr="003E73CD" w:rsidRDefault="00EB738E" w:rsidP="00EB738E">
            <w:pPr>
              <w:rPr>
                <w:sz w:val="18"/>
                <w:szCs w:val="18"/>
              </w:rPr>
            </w:pPr>
            <w:r w:rsidRPr="003E73CD">
              <w:rPr>
                <w:sz w:val="18"/>
                <w:szCs w:val="18"/>
              </w:rPr>
              <w:t>Egger</w:t>
            </w:r>
            <w:r w:rsidRPr="003E73CD">
              <w:rPr>
                <w:sz w:val="18"/>
                <w:szCs w:val="18"/>
                <w:vertAlign w:val="superscript"/>
              </w:rPr>
              <w:t>a</w:t>
            </w:r>
            <w:r w:rsidRPr="003E73CD">
              <w:rPr>
                <w:sz w:val="18"/>
                <w:szCs w:val="18"/>
              </w:rPr>
              <w:t xml:space="preserve"> (2013)</w:t>
            </w:r>
          </w:p>
        </w:tc>
        <w:tc>
          <w:tcPr>
            <w:tcW w:w="938" w:type="pct"/>
          </w:tcPr>
          <w:p w14:paraId="41A20B9D" w14:textId="77777777" w:rsidR="00EB738E" w:rsidRPr="003E73CD" w:rsidRDefault="00EB738E" w:rsidP="00EB738E">
            <w:pPr>
              <w:rPr>
                <w:sz w:val="18"/>
                <w:szCs w:val="18"/>
              </w:rPr>
            </w:pPr>
            <w:r w:rsidRPr="003E73CD">
              <w:rPr>
                <w:sz w:val="18"/>
                <w:szCs w:val="18"/>
              </w:rPr>
              <w:t>Pasquali (2014)</w:t>
            </w:r>
          </w:p>
        </w:tc>
      </w:tr>
      <w:tr w:rsidR="00EB738E" w:rsidRPr="003E73CD" w14:paraId="4CC17766" w14:textId="77777777" w:rsidTr="00EB738E">
        <w:tc>
          <w:tcPr>
            <w:tcW w:w="1410" w:type="pct"/>
            <w:vMerge/>
          </w:tcPr>
          <w:p w14:paraId="3A64040D" w14:textId="77777777" w:rsidR="00EB738E" w:rsidRPr="003E73CD" w:rsidRDefault="00EB738E" w:rsidP="00EB738E">
            <w:pPr>
              <w:rPr>
                <w:sz w:val="18"/>
                <w:szCs w:val="18"/>
              </w:rPr>
            </w:pPr>
          </w:p>
        </w:tc>
        <w:tc>
          <w:tcPr>
            <w:tcW w:w="3590" w:type="pct"/>
            <w:gridSpan w:val="4"/>
          </w:tcPr>
          <w:p w14:paraId="29FC3D1E" w14:textId="77777777" w:rsidR="00EB738E" w:rsidRPr="003E73CD" w:rsidRDefault="00EB738E" w:rsidP="00EB738E">
            <w:pPr>
              <w:jc w:val="center"/>
              <w:rPr>
                <w:sz w:val="16"/>
                <w:szCs w:val="16"/>
              </w:rPr>
            </w:pPr>
            <w:r w:rsidRPr="003E73CD">
              <w:rPr>
                <w:sz w:val="18"/>
                <w:szCs w:val="18"/>
              </w:rPr>
              <w:t>Hazard ratio (95% CI), p value</w:t>
            </w:r>
          </w:p>
        </w:tc>
      </w:tr>
      <w:tr w:rsidR="00EB738E" w:rsidRPr="003E73CD" w14:paraId="0FDCEA80" w14:textId="77777777" w:rsidTr="00EB738E">
        <w:tc>
          <w:tcPr>
            <w:tcW w:w="1410" w:type="pct"/>
          </w:tcPr>
          <w:p w14:paraId="350E532E" w14:textId="77777777" w:rsidR="00EB738E" w:rsidRPr="003E73CD" w:rsidRDefault="00EB738E" w:rsidP="00EB738E">
            <w:pPr>
              <w:rPr>
                <w:sz w:val="18"/>
                <w:szCs w:val="18"/>
              </w:rPr>
            </w:pPr>
            <w:r w:rsidRPr="003E73CD">
              <w:rPr>
                <w:sz w:val="18"/>
                <w:szCs w:val="18"/>
              </w:rPr>
              <w:t>Age (as continuous variable unless stated)</w:t>
            </w:r>
          </w:p>
        </w:tc>
        <w:tc>
          <w:tcPr>
            <w:tcW w:w="865" w:type="pct"/>
          </w:tcPr>
          <w:p w14:paraId="0199DE5C" w14:textId="77777777" w:rsidR="00EB738E" w:rsidRPr="003E73CD" w:rsidRDefault="00EB738E" w:rsidP="00EB738E">
            <w:pPr>
              <w:rPr>
                <w:sz w:val="16"/>
                <w:szCs w:val="16"/>
              </w:rPr>
            </w:pPr>
            <w:r w:rsidRPr="003E73CD">
              <w:rPr>
                <w:sz w:val="16"/>
                <w:szCs w:val="16"/>
              </w:rPr>
              <w:t>1.03 (1.02-1.04)</w:t>
            </w:r>
          </w:p>
        </w:tc>
        <w:tc>
          <w:tcPr>
            <w:tcW w:w="857" w:type="pct"/>
          </w:tcPr>
          <w:p w14:paraId="06F43050" w14:textId="77777777" w:rsidR="00EB738E" w:rsidRPr="003E73CD" w:rsidRDefault="00EB738E" w:rsidP="00EB738E">
            <w:pPr>
              <w:rPr>
                <w:sz w:val="16"/>
                <w:szCs w:val="16"/>
              </w:rPr>
            </w:pPr>
            <w:r w:rsidRPr="003E73CD">
              <w:rPr>
                <w:sz w:val="16"/>
                <w:szCs w:val="16"/>
              </w:rPr>
              <w:t>Not reported</w:t>
            </w:r>
          </w:p>
        </w:tc>
        <w:tc>
          <w:tcPr>
            <w:tcW w:w="930" w:type="pct"/>
          </w:tcPr>
          <w:p w14:paraId="60EE2C14" w14:textId="77777777" w:rsidR="00EB738E" w:rsidRPr="003E73CD" w:rsidRDefault="00EB738E" w:rsidP="00EB738E">
            <w:pPr>
              <w:rPr>
                <w:sz w:val="16"/>
                <w:szCs w:val="16"/>
              </w:rPr>
            </w:pPr>
            <w:r w:rsidRPr="003E73CD">
              <w:rPr>
                <w:rFonts w:eastAsia="ＭＳ ゴシック"/>
                <w:color w:val="000000"/>
                <w:sz w:val="16"/>
                <w:szCs w:val="16"/>
              </w:rPr>
              <w:t>≥59 yrs: 1.788 (1.32-2.37), p=0.0002</w:t>
            </w:r>
          </w:p>
        </w:tc>
        <w:tc>
          <w:tcPr>
            <w:tcW w:w="938" w:type="pct"/>
          </w:tcPr>
          <w:p w14:paraId="2C1DD764" w14:textId="77777777" w:rsidR="00EB738E" w:rsidRPr="003E73CD" w:rsidRDefault="00EB738E" w:rsidP="00EB738E">
            <w:pPr>
              <w:rPr>
                <w:sz w:val="16"/>
                <w:szCs w:val="16"/>
              </w:rPr>
            </w:pPr>
            <w:r w:rsidRPr="003E73CD">
              <w:rPr>
                <w:sz w:val="16"/>
                <w:szCs w:val="16"/>
              </w:rPr>
              <w:t>1.02 (1.01-1.03), p&lt;0.001</w:t>
            </w:r>
          </w:p>
        </w:tc>
      </w:tr>
      <w:tr w:rsidR="00EB738E" w:rsidRPr="003E73CD" w14:paraId="0179B7C7" w14:textId="77777777" w:rsidTr="00EB738E">
        <w:tc>
          <w:tcPr>
            <w:tcW w:w="1410" w:type="pct"/>
          </w:tcPr>
          <w:p w14:paraId="291CFBCE" w14:textId="77777777" w:rsidR="00EB738E" w:rsidRPr="003E73CD" w:rsidRDefault="00EB738E" w:rsidP="00EB738E">
            <w:pPr>
              <w:rPr>
                <w:sz w:val="18"/>
                <w:szCs w:val="18"/>
              </w:rPr>
            </w:pPr>
            <w:r w:rsidRPr="003E73CD">
              <w:rPr>
                <w:sz w:val="18"/>
                <w:szCs w:val="18"/>
              </w:rPr>
              <w:t>Sex</w:t>
            </w:r>
          </w:p>
        </w:tc>
        <w:tc>
          <w:tcPr>
            <w:tcW w:w="865" w:type="pct"/>
          </w:tcPr>
          <w:p w14:paraId="57F4D65E" w14:textId="77777777" w:rsidR="00EB738E" w:rsidRPr="003E73CD" w:rsidRDefault="00EB738E" w:rsidP="00EB738E">
            <w:pPr>
              <w:rPr>
                <w:sz w:val="16"/>
                <w:szCs w:val="16"/>
              </w:rPr>
            </w:pPr>
            <w:r w:rsidRPr="003E73CD">
              <w:rPr>
                <w:sz w:val="16"/>
                <w:szCs w:val="16"/>
              </w:rPr>
              <w:t>Not included</w:t>
            </w:r>
          </w:p>
        </w:tc>
        <w:tc>
          <w:tcPr>
            <w:tcW w:w="857" w:type="pct"/>
          </w:tcPr>
          <w:p w14:paraId="66D0A764" w14:textId="77777777" w:rsidR="00EB738E" w:rsidRPr="003E73CD" w:rsidRDefault="00EB738E" w:rsidP="00EB738E">
            <w:pPr>
              <w:rPr>
                <w:sz w:val="16"/>
                <w:szCs w:val="16"/>
              </w:rPr>
            </w:pPr>
            <w:r w:rsidRPr="003E73CD">
              <w:rPr>
                <w:sz w:val="16"/>
                <w:szCs w:val="16"/>
              </w:rPr>
              <w:t>Not reported</w:t>
            </w:r>
          </w:p>
        </w:tc>
        <w:tc>
          <w:tcPr>
            <w:tcW w:w="930" w:type="pct"/>
          </w:tcPr>
          <w:p w14:paraId="6DB29FF6" w14:textId="77777777" w:rsidR="00EB738E" w:rsidRPr="003E73CD" w:rsidRDefault="00EB738E" w:rsidP="00EB738E">
            <w:pPr>
              <w:rPr>
                <w:sz w:val="16"/>
                <w:szCs w:val="16"/>
              </w:rPr>
            </w:pPr>
            <w:r w:rsidRPr="003E73CD">
              <w:rPr>
                <w:sz w:val="16"/>
                <w:szCs w:val="16"/>
              </w:rPr>
              <w:t>Male: 1.53 (1.13-2.1), p=0.0054</w:t>
            </w:r>
          </w:p>
        </w:tc>
        <w:tc>
          <w:tcPr>
            <w:tcW w:w="938" w:type="pct"/>
          </w:tcPr>
          <w:p w14:paraId="78AF8B23" w14:textId="77777777" w:rsidR="00EB738E" w:rsidRPr="003E73CD" w:rsidRDefault="00EB738E" w:rsidP="00EB738E">
            <w:pPr>
              <w:rPr>
                <w:sz w:val="16"/>
                <w:szCs w:val="16"/>
              </w:rPr>
            </w:pPr>
            <w:r w:rsidRPr="003E73CD">
              <w:rPr>
                <w:sz w:val="16"/>
                <w:szCs w:val="16"/>
              </w:rPr>
              <w:t>Male: 1.55 (1.22-1.99), p&lt;0.001</w:t>
            </w:r>
          </w:p>
        </w:tc>
      </w:tr>
      <w:tr w:rsidR="00EB738E" w:rsidRPr="003E73CD" w14:paraId="7E79299B" w14:textId="77777777" w:rsidTr="00EB738E">
        <w:tc>
          <w:tcPr>
            <w:tcW w:w="1410" w:type="pct"/>
          </w:tcPr>
          <w:p w14:paraId="358BFCB9" w14:textId="77777777" w:rsidR="00EB738E" w:rsidRPr="003E73CD" w:rsidRDefault="00EB738E" w:rsidP="00EB738E">
            <w:pPr>
              <w:rPr>
                <w:sz w:val="18"/>
                <w:szCs w:val="18"/>
              </w:rPr>
            </w:pPr>
            <w:r w:rsidRPr="003E73CD">
              <w:rPr>
                <w:sz w:val="18"/>
                <w:szCs w:val="18"/>
              </w:rPr>
              <w:t>Primary tumour location (compared to trunk location unless stated)</w:t>
            </w:r>
          </w:p>
        </w:tc>
        <w:tc>
          <w:tcPr>
            <w:tcW w:w="865" w:type="pct"/>
          </w:tcPr>
          <w:p w14:paraId="566B1E39" w14:textId="77777777" w:rsidR="00EB738E" w:rsidRPr="003E73CD" w:rsidRDefault="00EB738E" w:rsidP="00EB738E">
            <w:pPr>
              <w:rPr>
                <w:sz w:val="16"/>
                <w:szCs w:val="16"/>
              </w:rPr>
            </w:pPr>
            <w:r w:rsidRPr="003E73CD">
              <w:rPr>
                <w:sz w:val="16"/>
                <w:szCs w:val="16"/>
              </w:rPr>
              <w:t>Not included</w:t>
            </w:r>
          </w:p>
        </w:tc>
        <w:tc>
          <w:tcPr>
            <w:tcW w:w="857" w:type="pct"/>
          </w:tcPr>
          <w:p w14:paraId="66734DEA" w14:textId="77777777" w:rsidR="00EB738E" w:rsidRPr="003E73CD" w:rsidRDefault="00EB738E" w:rsidP="00EB738E">
            <w:pPr>
              <w:rPr>
                <w:sz w:val="16"/>
                <w:szCs w:val="16"/>
              </w:rPr>
            </w:pPr>
            <w:r w:rsidRPr="003E73CD">
              <w:rPr>
                <w:sz w:val="16"/>
                <w:szCs w:val="16"/>
              </w:rPr>
              <w:t>Not included</w:t>
            </w:r>
          </w:p>
        </w:tc>
        <w:tc>
          <w:tcPr>
            <w:tcW w:w="930" w:type="pct"/>
          </w:tcPr>
          <w:p w14:paraId="708108B5" w14:textId="77777777" w:rsidR="00EB738E" w:rsidRPr="003E73CD" w:rsidRDefault="00EB738E" w:rsidP="00EB738E">
            <w:pPr>
              <w:rPr>
                <w:sz w:val="16"/>
                <w:szCs w:val="16"/>
              </w:rPr>
            </w:pPr>
            <w:r w:rsidRPr="003E73CD">
              <w:rPr>
                <w:sz w:val="16"/>
                <w:szCs w:val="16"/>
              </w:rPr>
              <w:t>Not significant on univariate</w:t>
            </w:r>
          </w:p>
        </w:tc>
        <w:tc>
          <w:tcPr>
            <w:tcW w:w="938" w:type="pct"/>
          </w:tcPr>
          <w:p w14:paraId="21380DE1" w14:textId="77777777" w:rsidR="00EB738E" w:rsidRPr="003E73CD" w:rsidRDefault="00EB738E" w:rsidP="00EB738E">
            <w:pPr>
              <w:rPr>
                <w:sz w:val="16"/>
                <w:szCs w:val="16"/>
              </w:rPr>
            </w:pPr>
            <w:r w:rsidRPr="003E73CD">
              <w:rPr>
                <w:sz w:val="16"/>
                <w:szCs w:val="16"/>
              </w:rPr>
              <w:t>Not included</w:t>
            </w:r>
          </w:p>
        </w:tc>
      </w:tr>
      <w:tr w:rsidR="00EB738E" w:rsidRPr="003E73CD" w14:paraId="42BEFB7A" w14:textId="77777777" w:rsidTr="00EB738E">
        <w:tc>
          <w:tcPr>
            <w:tcW w:w="1410" w:type="pct"/>
          </w:tcPr>
          <w:p w14:paraId="093E1A58" w14:textId="77777777" w:rsidR="00EB738E" w:rsidRPr="003E73CD" w:rsidRDefault="00EB738E" w:rsidP="00EB738E">
            <w:pPr>
              <w:rPr>
                <w:sz w:val="18"/>
                <w:szCs w:val="18"/>
              </w:rPr>
            </w:pPr>
            <w:r w:rsidRPr="003E73CD">
              <w:rPr>
                <w:sz w:val="18"/>
                <w:szCs w:val="18"/>
              </w:rPr>
              <w:t>Breslow thickness (as continuous variable unless stated)</w:t>
            </w:r>
          </w:p>
        </w:tc>
        <w:tc>
          <w:tcPr>
            <w:tcW w:w="865" w:type="pct"/>
          </w:tcPr>
          <w:p w14:paraId="2E855F56" w14:textId="77777777" w:rsidR="00EB738E" w:rsidRPr="003E73CD" w:rsidRDefault="00EB738E" w:rsidP="00EB738E">
            <w:pPr>
              <w:rPr>
                <w:sz w:val="16"/>
                <w:szCs w:val="16"/>
              </w:rPr>
            </w:pPr>
            <w:r w:rsidRPr="003E73CD">
              <w:rPr>
                <w:sz w:val="16"/>
                <w:szCs w:val="16"/>
              </w:rPr>
              <w:t>1.76 (1.14-2.73)</w:t>
            </w:r>
          </w:p>
        </w:tc>
        <w:tc>
          <w:tcPr>
            <w:tcW w:w="857" w:type="pct"/>
          </w:tcPr>
          <w:p w14:paraId="4DA73704" w14:textId="77777777" w:rsidR="00EB738E" w:rsidRPr="003E73CD" w:rsidRDefault="00EB738E" w:rsidP="00EB738E">
            <w:pPr>
              <w:rPr>
                <w:sz w:val="16"/>
                <w:szCs w:val="16"/>
              </w:rPr>
            </w:pPr>
            <w:r w:rsidRPr="003E73CD">
              <w:rPr>
                <w:sz w:val="16"/>
                <w:szCs w:val="16"/>
              </w:rPr>
              <w:t>Not reported</w:t>
            </w:r>
          </w:p>
        </w:tc>
        <w:tc>
          <w:tcPr>
            <w:tcW w:w="930" w:type="pct"/>
          </w:tcPr>
          <w:p w14:paraId="22F666F4" w14:textId="77777777" w:rsidR="00EB738E" w:rsidRPr="003E73CD" w:rsidRDefault="00EB738E" w:rsidP="00EB738E">
            <w:pPr>
              <w:rPr>
                <w:sz w:val="16"/>
                <w:szCs w:val="16"/>
              </w:rPr>
            </w:pPr>
            <w:r w:rsidRPr="003E73CD">
              <w:rPr>
                <w:rFonts w:eastAsia="ＭＳ ゴシック"/>
                <w:color w:val="000000"/>
                <w:sz w:val="16"/>
                <w:szCs w:val="16"/>
              </w:rPr>
              <w:t>≥2.1mm: 1.73 (1.24-2.45), p=0.0011</w:t>
            </w:r>
          </w:p>
        </w:tc>
        <w:tc>
          <w:tcPr>
            <w:tcW w:w="938" w:type="pct"/>
          </w:tcPr>
          <w:p w14:paraId="61D85197" w14:textId="77777777" w:rsidR="00EB738E" w:rsidRPr="003E73CD" w:rsidRDefault="00EB738E" w:rsidP="00EB738E">
            <w:pPr>
              <w:rPr>
                <w:sz w:val="16"/>
                <w:szCs w:val="16"/>
              </w:rPr>
            </w:pPr>
            <w:r w:rsidRPr="003E73CD">
              <w:rPr>
                <w:sz w:val="16"/>
                <w:szCs w:val="16"/>
              </w:rPr>
              <w:t>1.04 (1.03-1.06), p&lt;0.001</w:t>
            </w:r>
          </w:p>
        </w:tc>
      </w:tr>
      <w:tr w:rsidR="00EB738E" w:rsidRPr="003E73CD" w14:paraId="719B5146" w14:textId="77777777" w:rsidTr="00EB738E">
        <w:tc>
          <w:tcPr>
            <w:tcW w:w="1410" w:type="pct"/>
          </w:tcPr>
          <w:p w14:paraId="33C24732" w14:textId="77777777" w:rsidR="00EB738E" w:rsidRPr="003E73CD" w:rsidRDefault="00EB738E" w:rsidP="00EB738E">
            <w:pPr>
              <w:rPr>
                <w:sz w:val="18"/>
                <w:szCs w:val="18"/>
              </w:rPr>
            </w:pPr>
            <w:r w:rsidRPr="003E73CD">
              <w:rPr>
                <w:sz w:val="18"/>
                <w:szCs w:val="18"/>
              </w:rPr>
              <w:t>Ulceration</w:t>
            </w:r>
          </w:p>
        </w:tc>
        <w:tc>
          <w:tcPr>
            <w:tcW w:w="865" w:type="pct"/>
          </w:tcPr>
          <w:p w14:paraId="3F3214C4" w14:textId="77777777" w:rsidR="00EB738E" w:rsidRPr="003E73CD" w:rsidRDefault="00EB738E" w:rsidP="00EB738E">
            <w:pPr>
              <w:rPr>
                <w:sz w:val="16"/>
                <w:szCs w:val="16"/>
              </w:rPr>
            </w:pPr>
            <w:r w:rsidRPr="003E73CD">
              <w:rPr>
                <w:sz w:val="16"/>
                <w:szCs w:val="16"/>
              </w:rPr>
              <w:t>Not reported</w:t>
            </w:r>
          </w:p>
        </w:tc>
        <w:tc>
          <w:tcPr>
            <w:tcW w:w="857" w:type="pct"/>
          </w:tcPr>
          <w:p w14:paraId="7F53879A" w14:textId="77777777" w:rsidR="00EB738E" w:rsidRPr="003E73CD" w:rsidRDefault="00EB738E" w:rsidP="00EB738E">
            <w:pPr>
              <w:rPr>
                <w:sz w:val="16"/>
                <w:szCs w:val="16"/>
              </w:rPr>
            </w:pPr>
            <w:r w:rsidRPr="003E73CD">
              <w:rPr>
                <w:sz w:val="16"/>
                <w:szCs w:val="16"/>
              </w:rPr>
              <w:t>Not included</w:t>
            </w:r>
          </w:p>
        </w:tc>
        <w:tc>
          <w:tcPr>
            <w:tcW w:w="930" w:type="pct"/>
          </w:tcPr>
          <w:p w14:paraId="42862E6F" w14:textId="77777777" w:rsidR="00EB738E" w:rsidRPr="003E73CD" w:rsidRDefault="00EB738E" w:rsidP="00EB738E">
            <w:pPr>
              <w:rPr>
                <w:sz w:val="16"/>
                <w:szCs w:val="16"/>
              </w:rPr>
            </w:pPr>
            <w:r w:rsidRPr="003E73CD">
              <w:rPr>
                <w:sz w:val="16"/>
                <w:szCs w:val="16"/>
              </w:rPr>
              <w:t>1.78 (1.33-2.39), p=0.0001</w:t>
            </w:r>
          </w:p>
        </w:tc>
        <w:tc>
          <w:tcPr>
            <w:tcW w:w="938" w:type="pct"/>
          </w:tcPr>
          <w:p w14:paraId="30B02C2C" w14:textId="77777777" w:rsidR="00EB738E" w:rsidRPr="003E73CD" w:rsidRDefault="00EB738E" w:rsidP="00EB738E">
            <w:pPr>
              <w:rPr>
                <w:sz w:val="16"/>
                <w:szCs w:val="16"/>
              </w:rPr>
            </w:pPr>
            <w:r w:rsidRPr="003E73CD">
              <w:rPr>
                <w:sz w:val="16"/>
                <w:szCs w:val="16"/>
              </w:rPr>
              <w:t>1.84 (1.45-2.35), p&lt;0.001</w:t>
            </w:r>
          </w:p>
        </w:tc>
      </w:tr>
      <w:tr w:rsidR="00EB738E" w:rsidRPr="003E73CD" w14:paraId="6FC70B49" w14:textId="77777777" w:rsidTr="00EB738E">
        <w:tc>
          <w:tcPr>
            <w:tcW w:w="1410" w:type="pct"/>
          </w:tcPr>
          <w:p w14:paraId="6E89DA98" w14:textId="77777777" w:rsidR="00EB738E" w:rsidRPr="003E73CD" w:rsidRDefault="00EB738E" w:rsidP="00EB738E">
            <w:pPr>
              <w:rPr>
                <w:sz w:val="18"/>
                <w:szCs w:val="18"/>
              </w:rPr>
            </w:pPr>
            <w:r w:rsidRPr="003E73CD">
              <w:rPr>
                <w:sz w:val="18"/>
                <w:szCs w:val="18"/>
              </w:rPr>
              <w:t>Mitotic rate (mitoses/mm</w:t>
            </w:r>
            <w:r w:rsidRPr="003E73CD">
              <w:rPr>
                <w:sz w:val="18"/>
                <w:szCs w:val="18"/>
                <w:vertAlign w:val="superscript"/>
              </w:rPr>
              <w:t>2</w:t>
            </w:r>
            <w:r w:rsidRPr="003E73CD">
              <w:rPr>
                <w:sz w:val="18"/>
                <w:szCs w:val="18"/>
              </w:rPr>
              <w:t>)</w:t>
            </w:r>
          </w:p>
          <w:p w14:paraId="3993F646" w14:textId="77777777" w:rsidR="00EB738E" w:rsidRPr="003E73CD" w:rsidRDefault="00EB738E" w:rsidP="00EB738E">
            <w:pPr>
              <w:rPr>
                <w:sz w:val="18"/>
                <w:szCs w:val="18"/>
              </w:rPr>
            </w:pPr>
            <w:r w:rsidRPr="003E73CD">
              <w:rPr>
                <w:sz w:val="18"/>
                <w:szCs w:val="18"/>
              </w:rPr>
              <w:t>(</w:t>
            </w:r>
            <w:r w:rsidRPr="003E73CD">
              <w:rPr>
                <w:rFonts w:eastAsia="ＭＳ ゴシック"/>
                <w:color w:val="000000"/>
                <w:sz w:val="16"/>
                <w:szCs w:val="16"/>
              </w:rPr>
              <w:t>≤5, 6-10, &gt;10)</w:t>
            </w:r>
          </w:p>
        </w:tc>
        <w:tc>
          <w:tcPr>
            <w:tcW w:w="865" w:type="pct"/>
          </w:tcPr>
          <w:p w14:paraId="7C5BBB69" w14:textId="77777777" w:rsidR="00EB738E" w:rsidRPr="003E73CD" w:rsidRDefault="00EB738E" w:rsidP="00EB738E">
            <w:pPr>
              <w:rPr>
                <w:sz w:val="16"/>
                <w:szCs w:val="16"/>
              </w:rPr>
            </w:pPr>
            <w:r w:rsidRPr="003E73CD">
              <w:rPr>
                <w:sz w:val="16"/>
                <w:szCs w:val="16"/>
              </w:rPr>
              <w:t>Not reported</w:t>
            </w:r>
          </w:p>
        </w:tc>
        <w:tc>
          <w:tcPr>
            <w:tcW w:w="857" w:type="pct"/>
          </w:tcPr>
          <w:p w14:paraId="66319F22" w14:textId="77777777" w:rsidR="00EB738E" w:rsidRPr="003E73CD" w:rsidRDefault="00EB738E" w:rsidP="00EB738E">
            <w:pPr>
              <w:rPr>
                <w:sz w:val="16"/>
                <w:szCs w:val="16"/>
              </w:rPr>
            </w:pPr>
            <w:r w:rsidRPr="003E73CD">
              <w:rPr>
                <w:sz w:val="16"/>
                <w:szCs w:val="16"/>
              </w:rPr>
              <w:t>Not included</w:t>
            </w:r>
          </w:p>
        </w:tc>
        <w:tc>
          <w:tcPr>
            <w:tcW w:w="930" w:type="pct"/>
          </w:tcPr>
          <w:p w14:paraId="18B2BC16" w14:textId="77777777" w:rsidR="00EB738E" w:rsidRPr="003E73CD" w:rsidRDefault="00EB738E" w:rsidP="00EB738E">
            <w:pPr>
              <w:rPr>
                <w:sz w:val="16"/>
                <w:szCs w:val="16"/>
              </w:rPr>
            </w:pPr>
            <w:r w:rsidRPr="003E73CD">
              <w:rPr>
                <w:sz w:val="16"/>
                <w:szCs w:val="16"/>
              </w:rPr>
              <w:t>Not included</w:t>
            </w:r>
          </w:p>
        </w:tc>
        <w:tc>
          <w:tcPr>
            <w:tcW w:w="938" w:type="pct"/>
          </w:tcPr>
          <w:p w14:paraId="1BE65E94" w14:textId="77777777" w:rsidR="00EB738E" w:rsidRPr="003E73CD" w:rsidRDefault="00EB738E" w:rsidP="00EB738E">
            <w:pPr>
              <w:rPr>
                <w:sz w:val="16"/>
                <w:szCs w:val="16"/>
              </w:rPr>
            </w:pPr>
            <w:r w:rsidRPr="003E73CD">
              <w:rPr>
                <w:sz w:val="16"/>
                <w:szCs w:val="16"/>
              </w:rPr>
              <w:t>Not included</w:t>
            </w:r>
          </w:p>
        </w:tc>
      </w:tr>
      <w:tr w:rsidR="00EB738E" w:rsidRPr="003E73CD" w14:paraId="6DBBA5A3" w14:textId="77777777" w:rsidTr="00EB738E">
        <w:tc>
          <w:tcPr>
            <w:tcW w:w="1410" w:type="pct"/>
          </w:tcPr>
          <w:p w14:paraId="4208E036" w14:textId="77777777" w:rsidR="00EB738E" w:rsidRPr="003E73CD" w:rsidRDefault="00EB738E" w:rsidP="00EB738E">
            <w:pPr>
              <w:rPr>
                <w:sz w:val="18"/>
                <w:szCs w:val="18"/>
              </w:rPr>
            </w:pPr>
            <w:r w:rsidRPr="003E73CD">
              <w:rPr>
                <w:sz w:val="18"/>
                <w:szCs w:val="18"/>
              </w:rPr>
              <w:t>Lympho-vascular invasion</w:t>
            </w:r>
          </w:p>
        </w:tc>
        <w:tc>
          <w:tcPr>
            <w:tcW w:w="865" w:type="pct"/>
          </w:tcPr>
          <w:p w14:paraId="698E58A6" w14:textId="77777777" w:rsidR="00EB738E" w:rsidRPr="003E73CD" w:rsidRDefault="00EB738E" w:rsidP="00EB738E">
            <w:pPr>
              <w:rPr>
                <w:sz w:val="16"/>
                <w:szCs w:val="16"/>
              </w:rPr>
            </w:pPr>
            <w:r w:rsidRPr="003E73CD">
              <w:rPr>
                <w:sz w:val="16"/>
                <w:szCs w:val="16"/>
              </w:rPr>
              <w:t>Not reported</w:t>
            </w:r>
          </w:p>
        </w:tc>
        <w:tc>
          <w:tcPr>
            <w:tcW w:w="857" w:type="pct"/>
          </w:tcPr>
          <w:p w14:paraId="14EBBAC3" w14:textId="77777777" w:rsidR="00EB738E" w:rsidRPr="003E73CD" w:rsidRDefault="00EB738E" w:rsidP="00EB738E">
            <w:pPr>
              <w:rPr>
                <w:sz w:val="16"/>
                <w:szCs w:val="16"/>
              </w:rPr>
            </w:pPr>
            <w:r w:rsidRPr="003E73CD">
              <w:rPr>
                <w:sz w:val="16"/>
                <w:szCs w:val="16"/>
              </w:rPr>
              <w:t>Not included</w:t>
            </w:r>
          </w:p>
        </w:tc>
        <w:tc>
          <w:tcPr>
            <w:tcW w:w="930" w:type="pct"/>
          </w:tcPr>
          <w:p w14:paraId="3268983E" w14:textId="77777777" w:rsidR="00EB738E" w:rsidRPr="003E73CD" w:rsidRDefault="00EB738E" w:rsidP="00EB738E">
            <w:pPr>
              <w:rPr>
                <w:sz w:val="16"/>
                <w:szCs w:val="16"/>
              </w:rPr>
            </w:pPr>
            <w:r w:rsidRPr="003E73CD">
              <w:rPr>
                <w:sz w:val="16"/>
                <w:szCs w:val="16"/>
              </w:rPr>
              <w:t>Not significant on univariate</w:t>
            </w:r>
          </w:p>
        </w:tc>
        <w:tc>
          <w:tcPr>
            <w:tcW w:w="938" w:type="pct"/>
          </w:tcPr>
          <w:p w14:paraId="71A54E59" w14:textId="77777777" w:rsidR="00EB738E" w:rsidRPr="003E73CD" w:rsidRDefault="00EB738E" w:rsidP="00EB738E">
            <w:pPr>
              <w:rPr>
                <w:sz w:val="16"/>
                <w:szCs w:val="16"/>
              </w:rPr>
            </w:pPr>
            <w:r w:rsidRPr="003E73CD">
              <w:rPr>
                <w:sz w:val="16"/>
                <w:szCs w:val="16"/>
              </w:rPr>
              <w:t>Not included</w:t>
            </w:r>
          </w:p>
        </w:tc>
      </w:tr>
      <w:tr w:rsidR="00EB738E" w:rsidRPr="003E73CD" w14:paraId="42181DA3" w14:textId="77777777" w:rsidTr="00EB738E">
        <w:tc>
          <w:tcPr>
            <w:tcW w:w="1410" w:type="pct"/>
          </w:tcPr>
          <w:p w14:paraId="52CE616A" w14:textId="77777777" w:rsidR="00EB738E" w:rsidRPr="003E73CD" w:rsidRDefault="00EB738E" w:rsidP="00EB738E">
            <w:pPr>
              <w:rPr>
                <w:sz w:val="18"/>
                <w:szCs w:val="18"/>
              </w:rPr>
            </w:pPr>
            <w:r w:rsidRPr="003E73CD">
              <w:rPr>
                <w:sz w:val="18"/>
                <w:szCs w:val="18"/>
              </w:rPr>
              <w:t>Satellitosis</w:t>
            </w:r>
          </w:p>
        </w:tc>
        <w:tc>
          <w:tcPr>
            <w:tcW w:w="865" w:type="pct"/>
          </w:tcPr>
          <w:p w14:paraId="527BFB72" w14:textId="77777777" w:rsidR="00EB738E" w:rsidRPr="003E73CD" w:rsidRDefault="00EB738E" w:rsidP="00EB738E">
            <w:pPr>
              <w:rPr>
                <w:sz w:val="16"/>
                <w:szCs w:val="16"/>
              </w:rPr>
            </w:pPr>
            <w:r w:rsidRPr="003E73CD">
              <w:rPr>
                <w:sz w:val="16"/>
                <w:szCs w:val="16"/>
              </w:rPr>
              <w:t>Not reported</w:t>
            </w:r>
          </w:p>
        </w:tc>
        <w:tc>
          <w:tcPr>
            <w:tcW w:w="857" w:type="pct"/>
          </w:tcPr>
          <w:p w14:paraId="796A1961" w14:textId="77777777" w:rsidR="00EB738E" w:rsidRPr="003E73CD" w:rsidRDefault="00EB738E" w:rsidP="00EB738E">
            <w:pPr>
              <w:rPr>
                <w:sz w:val="16"/>
                <w:szCs w:val="16"/>
              </w:rPr>
            </w:pPr>
            <w:r w:rsidRPr="003E73CD">
              <w:rPr>
                <w:sz w:val="16"/>
                <w:szCs w:val="16"/>
              </w:rPr>
              <w:t>Not included</w:t>
            </w:r>
          </w:p>
        </w:tc>
        <w:tc>
          <w:tcPr>
            <w:tcW w:w="930" w:type="pct"/>
          </w:tcPr>
          <w:p w14:paraId="765C9DB0" w14:textId="77777777" w:rsidR="00EB738E" w:rsidRPr="003E73CD" w:rsidRDefault="00EB738E" w:rsidP="00EB738E">
            <w:pPr>
              <w:rPr>
                <w:sz w:val="16"/>
                <w:szCs w:val="16"/>
              </w:rPr>
            </w:pPr>
            <w:r w:rsidRPr="003E73CD">
              <w:rPr>
                <w:sz w:val="16"/>
                <w:szCs w:val="16"/>
              </w:rPr>
              <w:t>Not included</w:t>
            </w:r>
          </w:p>
        </w:tc>
        <w:tc>
          <w:tcPr>
            <w:tcW w:w="938" w:type="pct"/>
          </w:tcPr>
          <w:p w14:paraId="5A1A6817" w14:textId="77777777" w:rsidR="00EB738E" w:rsidRPr="003E73CD" w:rsidRDefault="00EB738E" w:rsidP="00EB738E">
            <w:pPr>
              <w:rPr>
                <w:sz w:val="16"/>
                <w:szCs w:val="16"/>
              </w:rPr>
            </w:pPr>
            <w:r w:rsidRPr="003E73CD">
              <w:rPr>
                <w:sz w:val="16"/>
                <w:szCs w:val="16"/>
              </w:rPr>
              <w:t>Not included</w:t>
            </w:r>
          </w:p>
        </w:tc>
      </w:tr>
      <w:tr w:rsidR="00EB738E" w:rsidRPr="003E73CD" w14:paraId="1AC63498" w14:textId="77777777" w:rsidTr="00EB738E">
        <w:tc>
          <w:tcPr>
            <w:tcW w:w="1410" w:type="pct"/>
          </w:tcPr>
          <w:p w14:paraId="3235C38B" w14:textId="77777777" w:rsidR="00EB738E" w:rsidRPr="003E73CD" w:rsidRDefault="00EB738E" w:rsidP="00EB738E">
            <w:pPr>
              <w:rPr>
                <w:sz w:val="18"/>
                <w:szCs w:val="18"/>
              </w:rPr>
            </w:pPr>
            <w:r w:rsidRPr="003E73CD">
              <w:rPr>
                <w:sz w:val="18"/>
                <w:szCs w:val="18"/>
              </w:rPr>
              <w:t>Number of SNs removed</w:t>
            </w:r>
          </w:p>
        </w:tc>
        <w:tc>
          <w:tcPr>
            <w:tcW w:w="865" w:type="pct"/>
          </w:tcPr>
          <w:p w14:paraId="539B705B" w14:textId="77777777" w:rsidR="00EB738E" w:rsidRPr="003E73CD" w:rsidRDefault="00EB738E" w:rsidP="00EB738E">
            <w:pPr>
              <w:rPr>
                <w:sz w:val="16"/>
                <w:szCs w:val="16"/>
              </w:rPr>
            </w:pPr>
            <w:r w:rsidRPr="003E73CD">
              <w:rPr>
                <w:sz w:val="16"/>
                <w:szCs w:val="16"/>
              </w:rPr>
              <w:t>Not included</w:t>
            </w:r>
          </w:p>
        </w:tc>
        <w:tc>
          <w:tcPr>
            <w:tcW w:w="857" w:type="pct"/>
          </w:tcPr>
          <w:p w14:paraId="0D322A21" w14:textId="77777777" w:rsidR="00EB738E" w:rsidRPr="003E73CD" w:rsidRDefault="00EB738E" w:rsidP="00EB738E">
            <w:pPr>
              <w:rPr>
                <w:sz w:val="16"/>
                <w:szCs w:val="16"/>
              </w:rPr>
            </w:pPr>
            <w:r w:rsidRPr="003E73CD">
              <w:rPr>
                <w:sz w:val="16"/>
                <w:szCs w:val="16"/>
              </w:rPr>
              <w:t>Not included</w:t>
            </w:r>
          </w:p>
        </w:tc>
        <w:tc>
          <w:tcPr>
            <w:tcW w:w="930" w:type="pct"/>
          </w:tcPr>
          <w:p w14:paraId="5886EA03" w14:textId="77777777" w:rsidR="00EB738E" w:rsidRPr="003E73CD" w:rsidRDefault="00EB738E" w:rsidP="00EB738E">
            <w:pPr>
              <w:rPr>
                <w:sz w:val="16"/>
                <w:szCs w:val="16"/>
              </w:rPr>
            </w:pPr>
            <w:r w:rsidRPr="003E73CD">
              <w:rPr>
                <w:sz w:val="16"/>
                <w:szCs w:val="16"/>
              </w:rPr>
              <w:t>Not included</w:t>
            </w:r>
          </w:p>
        </w:tc>
        <w:tc>
          <w:tcPr>
            <w:tcW w:w="938" w:type="pct"/>
          </w:tcPr>
          <w:p w14:paraId="4ACC4D81" w14:textId="77777777" w:rsidR="00EB738E" w:rsidRPr="003E73CD" w:rsidRDefault="00EB738E" w:rsidP="00EB738E">
            <w:pPr>
              <w:rPr>
                <w:sz w:val="16"/>
                <w:szCs w:val="16"/>
              </w:rPr>
            </w:pPr>
            <w:r w:rsidRPr="003E73CD">
              <w:rPr>
                <w:sz w:val="16"/>
                <w:szCs w:val="16"/>
              </w:rPr>
              <w:t>Not included</w:t>
            </w:r>
          </w:p>
        </w:tc>
      </w:tr>
      <w:tr w:rsidR="00EB738E" w:rsidRPr="003E73CD" w14:paraId="0BE44365" w14:textId="77777777" w:rsidTr="00EB738E">
        <w:tc>
          <w:tcPr>
            <w:tcW w:w="1410" w:type="pct"/>
          </w:tcPr>
          <w:p w14:paraId="40DC5FD2" w14:textId="77777777" w:rsidR="00EB738E" w:rsidRPr="003E73CD" w:rsidRDefault="00EB738E" w:rsidP="00EB738E">
            <w:pPr>
              <w:rPr>
                <w:sz w:val="18"/>
                <w:szCs w:val="18"/>
              </w:rPr>
            </w:pPr>
            <w:r w:rsidRPr="003E73CD">
              <w:rPr>
                <w:sz w:val="18"/>
                <w:szCs w:val="18"/>
              </w:rPr>
              <w:t>Number of positive SNs</w:t>
            </w:r>
          </w:p>
        </w:tc>
        <w:tc>
          <w:tcPr>
            <w:tcW w:w="865" w:type="pct"/>
          </w:tcPr>
          <w:p w14:paraId="6154C265" w14:textId="77777777" w:rsidR="00EB738E" w:rsidRPr="003E73CD" w:rsidRDefault="00EB738E" w:rsidP="00EB738E">
            <w:pPr>
              <w:rPr>
                <w:sz w:val="16"/>
                <w:szCs w:val="16"/>
              </w:rPr>
            </w:pPr>
            <w:r w:rsidRPr="003E73CD">
              <w:rPr>
                <w:sz w:val="16"/>
                <w:szCs w:val="16"/>
              </w:rPr>
              <w:t>Not included</w:t>
            </w:r>
          </w:p>
        </w:tc>
        <w:tc>
          <w:tcPr>
            <w:tcW w:w="857" w:type="pct"/>
          </w:tcPr>
          <w:p w14:paraId="0BB284FF" w14:textId="77777777" w:rsidR="00EB738E" w:rsidRPr="003E73CD" w:rsidRDefault="00EB738E" w:rsidP="00EB738E">
            <w:pPr>
              <w:rPr>
                <w:sz w:val="16"/>
                <w:szCs w:val="16"/>
              </w:rPr>
            </w:pPr>
            <w:r w:rsidRPr="003E73CD">
              <w:rPr>
                <w:sz w:val="16"/>
                <w:szCs w:val="16"/>
              </w:rPr>
              <w:t>Not included</w:t>
            </w:r>
          </w:p>
        </w:tc>
        <w:tc>
          <w:tcPr>
            <w:tcW w:w="930" w:type="pct"/>
          </w:tcPr>
          <w:p w14:paraId="5AA4D81E" w14:textId="77777777" w:rsidR="00EB738E" w:rsidRPr="003E73CD" w:rsidRDefault="00EB738E" w:rsidP="00EB738E">
            <w:pPr>
              <w:rPr>
                <w:sz w:val="16"/>
                <w:szCs w:val="16"/>
              </w:rPr>
            </w:pPr>
            <w:r w:rsidRPr="003E73CD">
              <w:rPr>
                <w:sz w:val="16"/>
                <w:szCs w:val="16"/>
              </w:rPr>
              <w:t>Not included</w:t>
            </w:r>
          </w:p>
        </w:tc>
        <w:tc>
          <w:tcPr>
            <w:tcW w:w="938" w:type="pct"/>
          </w:tcPr>
          <w:p w14:paraId="0103DA8F" w14:textId="77777777" w:rsidR="00EB738E" w:rsidRPr="003E73CD" w:rsidRDefault="00EB738E" w:rsidP="00EB738E">
            <w:pPr>
              <w:rPr>
                <w:sz w:val="16"/>
                <w:szCs w:val="16"/>
              </w:rPr>
            </w:pPr>
            <w:r w:rsidRPr="003E73CD">
              <w:rPr>
                <w:sz w:val="16"/>
                <w:szCs w:val="16"/>
              </w:rPr>
              <w:t>Not included</w:t>
            </w:r>
          </w:p>
        </w:tc>
      </w:tr>
      <w:tr w:rsidR="00EB738E" w:rsidRPr="003E73CD" w14:paraId="40D43BDC" w14:textId="77777777" w:rsidTr="00EB738E">
        <w:tc>
          <w:tcPr>
            <w:tcW w:w="1410" w:type="pct"/>
          </w:tcPr>
          <w:p w14:paraId="4EFA29F2" w14:textId="77777777" w:rsidR="00EB738E" w:rsidRPr="003E73CD" w:rsidRDefault="00EB738E" w:rsidP="00EB738E">
            <w:pPr>
              <w:rPr>
                <w:sz w:val="18"/>
                <w:szCs w:val="18"/>
              </w:rPr>
            </w:pPr>
            <w:r w:rsidRPr="003E73CD">
              <w:rPr>
                <w:sz w:val="18"/>
                <w:szCs w:val="18"/>
              </w:rPr>
              <w:t>Extra-capsular extension</w:t>
            </w:r>
          </w:p>
        </w:tc>
        <w:tc>
          <w:tcPr>
            <w:tcW w:w="865" w:type="pct"/>
          </w:tcPr>
          <w:p w14:paraId="6E280D5A" w14:textId="77777777" w:rsidR="00EB738E" w:rsidRPr="003E73CD" w:rsidRDefault="00EB738E" w:rsidP="00EB738E">
            <w:pPr>
              <w:rPr>
                <w:sz w:val="16"/>
                <w:szCs w:val="16"/>
              </w:rPr>
            </w:pPr>
            <w:r w:rsidRPr="003E73CD">
              <w:rPr>
                <w:sz w:val="16"/>
                <w:szCs w:val="16"/>
              </w:rPr>
              <w:t>2.39 (1.45-3.95)</w:t>
            </w:r>
          </w:p>
        </w:tc>
        <w:tc>
          <w:tcPr>
            <w:tcW w:w="857" w:type="pct"/>
          </w:tcPr>
          <w:p w14:paraId="11953587" w14:textId="77777777" w:rsidR="00EB738E" w:rsidRPr="003E73CD" w:rsidRDefault="00EB738E" w:rsidP="00EB738E">
            <w:pPr>
              <w:rPr>
                <w:sz w:val="16"/>
                <w:szCs w:val="16"/>
              </w:rPr>
            </w:pPr>
            <w:r w:rsidRPr="003E73CD">
              <w:rPr>
                <w:sz w:val="16"/>
                <w:szCs w:val="16"/>
              </w:rPr>
              <w:t>Not included</w:t>
            </w:r>
          </w:p>
        </w:tc>
        <w:tc>
          <w:tcPr>
            <w:tcW w:w="930" w:type="pct"/>
          </w:tcPr>
          <w:p w14:paraId="24332B06" w14:textId="77777777" w:rsidR="00EB738E" w:rsidRPr="003E73CD" w:rsidRDefault="00EB738E" w:rsidP="00EB738E">
            <w:pPr>
              <w:rPr>
                <w:sz w:val="16"/>
                <w:szCs w:val="16"/>
              </w:rPr>
            </w:pPr>
            <w:r w:rsidRPr="003E73CD">
              <w:rPr>
                <w:sz w:val="16"/>
                <w:szCs w:val="16"/>
              </w:rPr>
              <w:t>Not included</w:t>
            </w:r>
          </w:p>
        </w:tc>
        <w:tc>
          <w:tcPr>
            <w:tcW w:w="938" w:type="pct"/>
          </w:tcPr>
          <w:p w14:paraId="5A065ABF" w14:textId="77777777" w:rsidR="00EB738E" w:rsidRPr="003E73CD" w:rsidRDefault="00EB738E" w:rsidP="00EB738E">
            <w:pPr>
              <w:rPr>
                <w:sz w:val="16"/>
                <w:szCs w:val="16"/>
              </w:rPr>
            </w:pPr>
            <w:r w:rsidRPr="003E73CD">
              <w:rPr>
                <w:sz w:val="16"/>
                <w:szCs w:val="16"/>
              </w:rPr>
              <w:t>Not included</w:t>
            </w:r>
          </w:p>
        </w:tc>
      </w:tr>
      <w:tr w:rsidR="00EB738E" w:rsidRPr="003E73CD" w14:paraId="4CCB0333" w14:textId="77777777" w:rsidTr="00EB738E">
        <w:tc>
          <w:tcPr>
            <w:tcW w:w="1410" w:type="pct"/>
          </w:tcPr>
          <w:p w14:paraId="29094509" w14:textId="77777777" w:rsidR="00EB738E" w:rsidRPr="003E73CD" w:rsidRDefault="00EB738E" w:rsidP="00EB738E">
            <w:pPr>
              <w:rPr>
                <w:sz w:val="18"/>
                <w:szCs w:val="18"/>
              </w:rPr>
            </w:pPr>
            <w:r w:rsidRPr="003E73CD">
              <w:rPr>
                <w:sz w:val="18"/>
                <w:szCs w:val="18"/>
              </w:rPr>
              <w:t>SN tumour volume</w:t>
            </w:r>
          </w:p>
        </w:tc>
        <w:tc>
          <w:tcPr>
            <w:tcW w:w="865" w:type="pct"/>
          </w:tcPr>
          <w:p w14:paraId="63AA2323" w14:textId="77777777" w:rsidR="00EB738E" w:rsidRPr="003E73CD" w:rsidRDefault="00EB738E" w:rsidP="00EB738E">
            <w:pPr>
              <w:rPr>
                <w:sz w:val="16"/>
                <w:szCs w:val="16"/>
              </w:rPr>
            </w:pPr>
            <w:r w:rsidRPr="003E73CD">
              <w:rPr>
                <w:sz w:val="16"/>
                <w:szCs w:val="16"/>
              </w:rPr>
              <w:t>Not reported</w:t>
            </w:r>
          </w:p>
        </w:tc>
        <w:tc>
          <w:tcPr>
            <w:tcW w:w="857" w:type="pct"/>
          </w:tcPr>
          <w:p w14:paraId="1112F0C0" w14:textId="77777777" w:rsidR="00EB738E" w:rsidRPr="003E73CD" w:rsidRDefault="00EB738E" w:rsidP="00EB738E">
            <w:pPr>
              <w:rPr>
                <w:sz w:val="16"/>
                <w:szCs w:val="16"/>
              </w:rPr>
            </w:pPr>
            <w:r w:rsidRPr="003E73CD">
              <w:rPr>
                <w:sz w:val="16"/>
                <w:szCs w:val="16"/>
              </w:rPr>
              <w:t>Not included</w:t>
            </w:r>
          </w:p>
        </w:tc>
        <w:tc>
          <w:tcPr>
            <w:tcW w:w="930" w:type="pct"/>
          </w:tcPr>
          <w:p w14:paraId="1EAAB2F8" w14:textId="77777777" w:rsidR="00EB738E" w:rsidRPr="003E73CD" w:rsidRDefault="00EB738E" w:rsidP="00EB738E">
            <w:pPr>
              <w:rPr>
                <w:sz w:val="16"/>
                <w:szCs w:val="16"/>
              </w:rPr>
            </w:pPr>
            <w:r w:rsidRPr="003E73CD">
              <w:rPr>
                <w:sz w:val="16"/>
                <w:szCs w:val="16"/>
              </w:rPr>
              <w:t>Not included</w:t>
            </w:r>
          </w:p>
        </w:tc>
        <w:tc>
          <w:tcPr>
            <w:tcW w:w="938" w:type="pct"/>
          </w:tcPr>
          <w:p w14:paraId="15A096EF" w14:textId="77777777" w:rsidR="00EB738E" w:rsidRPr="003E73CD" w:rsidRDefault="00EB738E" w:rsidP="00EB738E">
            <w:pPr>
              <w:rPr>
                <w:sz w:val="16"/>
                <w:szCs w:val="16"/>
              </w:rPr>
            </w:pPr>
            <w:r w:rsidRPr="003E73CD">
              <w:rPr>
                <w:sz w:val="16"/>
                <w:szCs w:val="16"/>
              </w:rPr>
              <w:t>Not included</w:t>
            </w:r>
          </w:p>
        </w:tc>
      </w:tr>
      <w:tr w:rsidR="00EB738E" w:rsidRPr="003E73CD" w14:paraId="707ED3C4" w14:textId="77777777" w:rsidTr="00EB738E">
        <w:tc>
          <w:tcPr>
            <w:tcW w:w="1410" w:type="pct"/>
          </w:tcPr>
          <w:p w14:paraId="23469418" w14:textId="77777777" w:rsidR="00EB738E" w:rsidRPr="003E73CD" w:rsidRDefault="00EB738E" w:rsidP="00EB738E">
            <w:pPr>
              <w:rPr>
                <w:sz w:val="18"/>
                <w:szCs w:val="18"/>
              </w:rPr>
            </w:pPr>
            <w:r w:rsidRPr="003E73CD">
              <w:rPr>
                <w:sz w:val="18"/>
                <w:szCs w:val="18"/>
              </w:rPr>
              <w:t>Number of positive NSNs</w:t>
            </w:r>
          </w:p>
        </w:tc>
        <w:tc>
          <w:tcPr>
            <w:tcW w:w="865" w:type="pct"/>
          </w:tcPr>
          <w:p w14:paraId="65AC2B04" w14:textId="77777777" w:rsidR="00EB738E" w:rsidRPr="003E73CD" w:rsidRDefault="00EB738E" w:rsidP="00EB738E">
            <w:pPr>
              <w:rPr>
                <w:sz w:val="16"/>
                <w:szCs w:val="16"/>
              </w:rPr>
            </w:pPr>
            <w:r w:rsidRPr="003E73CD">
              <w:rPr>
                <w:sz w:val="16"/>
                <w:szCs w:val="16"/>
              </w:rPr>
              <w:t>Not included</w:t>
            </w:r>
          </w:p>
        </w:tc>
        <w:tc>
          <w:tcPr>
            <w:tcW w:w="857" w:type="pct"/>
          </w:tcPr>
          <w:p w14:paraId="18FB318A" w14:textId="77777777" w:rsidR="00EB738E" w:rsidRPr="003E73CD" w:rsidRDefault="00EB738E" w:rsidP="00EB738E">
            <w:pPr>
              <w:rPr>
                <w:sz w:val="16"/>
                <w:szCs w:val="16"/>
              </w:rPr>
            </w:pPr>
            <w:r w:rsidRPr="003E73CD">
              <w:rPr>
                <w:sz w:val="16"/>
                <w:szCs w:val="16"/>
              </w:rPr>
              <w:t>1.7 (1.0-2.9) for 1 NSN, 2.7 (1.6-4.6) for &gt;1 NSN</w:t>
            </w:r>
          </w:p>
        </w:tc>
        <w:tc>
          <w:tcPr>
            <w:tcW w:w="930" w:type="pct"/>
          </w:tcPr>
          <w:p w14:paraId="77A842FC" w14:textId="77777777" w:rsidR="00EB738E" w:rsidRPr="003E73CD" w:rsidRDefault="00EB738E" w:rsidP="00EB738E">
            <w:pPr>
              <w:rPr>
                <w:sz w:val="16"/>
                <w:szCs w:val="16"/>
              </w:rPr>
            </w:pPr>
            <w:r w:rsidRPr="003E73CD">
              <w:rPr>
                <w:sz w:val="16"/>
                <w:szCs w:val="16"/>
              </w:rPr>
              <w:t>Not included</w:t>
            </w:r>
          </w:p>
        </w:tc>
        <w:tc>
          <w:tcPr>
            <w:tcW w:w="938" w:type="pct"/>
          </w:tcPr>
          <w:p w14:paraId="0D1EC52C" w14:textId="77777777" w:rsidR="00EB738E" w:rsidRPr="003E73CD" w:rsidRDefault="00EB738E" w:rsidP="00EB738E">
            <w:pPr>
              <w:rPr>
                <w:sz w:val="16"/>
                <w:szCs w:val="16"/>
              </w:rPr>
            </w:pPr>
            <w:r w:rsidRPr="003E73CD">
              <w:rPr>
                <w:sz w:val="16"/>
                <w:szCs w:val="16"/>
              </w:rPr>
              <w:t>Not included</w:t>
            </w:r>
          </w:p>
        </w:tc>
      </w:tr>
      <w:tr w:rsidR="00EB738E" w:rsidRPr="003E73CD" w14:paraId="147F0C98" w14:textId="77777777" w:rsidTr="00EB738E">
        <w:tc>
          <w:tcPr>
            <w:tcW w:w="1410" w:type="pct"/>
          </w:tcPr>
          <w:p w14:paraId="4C8EFB8A" w14:textId="77777777" w:rsidR="00EB738E" w:rsidRPr="003E73CD" w:rsidRDefault="00EB738E" w:rsidP="00EB738E">
            <w:pPr>
              <w:rPr>
                <w:sz w:val="18"/>
                <w:szCs w:val="18"/>
              </w:rPr>
            </w:pPr>
            <w:r w:rsidRPr="003E73CD">
              <w:rPr>
                <w:sz w:val="18"/>
                <w:szCs w:val="18"/>
              </w:rPr>
              <w:t>NSN status</w:t>
            </w:r>
          </w:p>
        </w:tc>
        <w:tc>
          <w:tcPr>
            <w:tcW w:w="865" w:type="pct"/>
          </w:tcPr>
          <w:p w14:paraId="2454C85B" w14:textId="77777777" w:rsidR="00EB738E" w:rsidRPr="003E73CD" w:rsidRDefault="00EB738E" w:rsidP="00EB738E">
            <w:pPr>
              <w:rPr>
                <w:sz w:val="16"/>
                <w:szCs w:val="16"/>
              </w:rPr>
            </w:pPr>
            <w:r w:rsidRPr="003E73CD">
              <w:rPr>
                <w:sz w:val="16"/>
                <w:szCs w:val="16"/>
              </w:rPr>
              <w:t>1.92 (1.27-2.89)</w:t>
            </w:r>
          </w:p>
        </w:tc>
        <w:tc>
          <w:tcPr>
            <w:tcW w:w="857" w:type="pct"/>
          </w:tcPr>
          <w:p w14:paraId="63972220" w14:textId="77777777" w:rsidR="00EB738E" w:rsidRPr="003E73CD" w:rsidRDefault="00EB738E" w:rsidP="00EB738E">
            <w:pPr>
              <w:rPr>
                <w:sz w:val="16"/>
                <w:szCs w:val="16"/>
              </w:rPr>
            </w:pPr>
            <w:r w:rsidRPr="003E73CD">
              <w:rPr>
                <w:sz w:val="16"/>
                <w:szCs w:val="16"/>
              </w:rPr>
              <w:t>Not included</w:t>
            </w:r>
          </w:p>
        </w:tc>
        <w:tc>
          <w:tcPr>
            <w:tcW w:w="930" w:type="pct"/>
          </w:tcPr>
          <w:p w14:paraId="38050203" w14:textId="77777777" w:rsidR="00EB738E" w:rsidRPr="003E73CD" w:rsidRDefault="00EB738E" w:rsidP="00EB738E">
            <w:pPr>
              <w:rPr>
                <w:sz w:val="16"/>
                <w:szCs w:val="16"/>
              </w:rPr>
            </w:pPr>
            <w:r w:rsidRPr="003E73CD">
              <w:rPr>
                <w:sz w:val="16"/>
                <w:szCs w:val="16"/>
              </w:rPr>
              <w:t>1.51 (1.01-2.2), p=0.0467</w:t>
            </w:r>
          </w:p>
        </w:tc>
        <w:tc>
          <w:tcPr>
            <w:tcW w:w="938" w:type="pct"/>
          </w:tcPr>
          <w:p w14:paraId="332B0582" w14:textId="77777777" w:rsidR="00EB738E" w:rsidRPr="003E73CD" w:rsidRDefault="00EB738E" w:rsidP="00EB738E">
            <w:pPr>
              <w:rPr>
                <w:sz w:val="16"/>
                <w:szCs w:val="16"/>
              </w:rPr>
            </w:pPr>
            <w:r w:rsidRPr="003E73CD">
              <w:rPr>
                <w:sz w:val="16"/>
                <w:szCs w:val="16"/>
              </w:rPr>
              <w:t>1.34 (1.18-1.52), p&lt;0.001</w:t>
            </w:r>
          </w:p>
        </w:tc>
      </w:tr>
      <w:tr w:rsidR="00EB738E" w:rsidRPr="003E73CD" w14:paraId="56715B64" w14:textId="77777777" w:rsidTr="00EB738E">
        <w:tc>
          <w:tcPr>
            <w:tcW w:w="1410" w:type="pct"/>
          </w:tcPr>
          <w:p w14:paraId="6912D7D1" w14:textId="77777777" w:rsidR="00EB738E" w:rsidRPr="003E73CD" w:rsidRDefault="00EB738E" w:rsidP="00EB738E">
            <w:pPr>
              <w:rPr>
                <w:sz w:val="18"/>
                <w:szCs w:val="18"/>
              </w:rPr>
            </w:pPr>
            <w:r w:rsidRPr="003E73CD">
              <w:rPr>
                <w:sz w:val="18"/>
                <w:szCs w:val="18"/>
              </w:rPr>
              <w:t>Total number of positive nodes</w:t>
            </w:r>
          </w:p>
        </w:tc>
        <w:tc>
          <w:tcPr>
            <w:tcW w:w="865" w:type="pct"/>
          </w:tcPr>
          <w:p w14:paraId="12EE5A66" w14:textId="77777777" w:rsidR="00EB738E" w:rsidRPr="003E73CD" w:rsidRDefault="00EB738E" w:rsidP="00EB738E">
            <w:pPr>
              <w:rPr>
                <w:sz w:val="16"/>
                <w:szCs w:val="16"/>
              </w:rPr>
            </w:pPr>
            <w:r w:rsidRPr="003E73CD">
              <w:rPr>
                <w:sz w:val="16"/>
                <w:szCs w:val="16"/>
              </w:rPr>
              <w:t>Not reported</w:t>
            </w:r>
          </w:p>
        </w:tc>
        <w:tc>
          <w:tcPr>
            <w:tcW w:w="857" w:type="pct"/>
          </w:tcPr>
          <w:p w14:paraId="5D0EBCFD" w14:textId="77777777" w:rsidR="00EB738E" w:rsidRPr="003E73CD" w:rsidRDefault="00EB738E" w:rsidP="00EB738E">
            <w:pPr>
              <w:rPr>
                <w:sz w:val="16"/>
                <w:szCs w:val="16"/>
              </w:rPr>
            </w:pPr>
            <w:r w:rsidRPr="003E73CD">
              <w:rPr>
                <w:sz w:val="16"/>
                <w:szCs w:val="16"/>
              </w:rPr>
              <w:t>Not included</w:t>
            </w:r>
          </w:p>
        </w:tc>
        <w:tc>
          <w:tcPr>
            <w:tcW w:w="930" w:type="pct"/>
          </w:tcPr>
          <w:p w14:paraId="1975301F" w14:textId="77777777" w:rsidR="00EB738E" w:rsidRPr="003E73CD" w:rsidRDefault="00EB738E" w:rsidP="00EB738E">
            <w:pPr>
              <w:rPr>
                <w:sz w:val="16"/>
                <w:szCs w:val="16"/>
              </w:rPr>
            </w:pPr>
            <w:r w:rsidRPr="003E73CD">
              <w:rPr>
                <w:sz w:val="16"/>
                <w:szCs w:val="16"/>
              </w:rPr>
              <w:t>Not included</w:t>
            </w:r>
          </w:p>
        </w:tc>
        <w:tc>
          <w:tcPr>
            <w:tcW w:w="938" w:type="pct"/>
          </w:tcPr>
          <w:p w14:paraId="3FC3D28E" w14:textId="77777777" w:rsidR="00EB738E" w:rsidRPr="003E73CD" w:rsidRDefault="00EB738E" w:rsidP="00EB738E">
            <w:pPr>
              <w:rPr>
                <w:sz w:val="16"/>
                <w:szCs w:val="16"/>
              </w:rPr>
            </w:pPr>
            <w:r w:rsidRPr="003E73CD">
              <w:rPr>
                <w:sz w:val="16"/>
                <w:szCs w:val="16"/>
              </w:rPr>
              <w:t>Not included</w:t>
            </w:r>
          </w:p>
        </w:tc>
      </w:tr>
    </w:tbl>
    <w:p w14:paraId="55CBE1F2" w14:textId="77777777" w:rsidR="00EB738E" w:rsidRPr="003E73CD" w:rsidRDefault="00EB738E" w:rsidP="00EB738E">
      <w:pPr>
        <w:rPr>
          <w:sz w:val="18"/>
          <w:szCs w:val="18"/>
        </w:rPr>
      </w:pPr>
      <w:r w:rsidRPr="003E73CD">
        <w:rPr>
          <w:sz w:val="18"/>
          <w:szCs w:val="18"/>
          <w:vertAlign w:val="superscript"/>
        </w:rPr>
        <w:t>$</w:t>
      </w:r>
      <w:proofErr w:type="gramStart"/>
      <w:r w:rsidRPr="003E73CD">
        <w:rPr>
          <w:sz w:val="18"/>
          <w:szCs w:val="18"/>
        </w:rPr>
        <w:t>p</w:t>
      </w:r>
      <w:proofErr w:type="gramEnd"/>
      <w:r w:rsidRPr="003E73CD">
        <w:rPr>
          <w:sz w:val="18"/>
          <w:szCs w:val="18"/>
        </w:rPr>
        <w:t xml:space="preserve"> values not reported for the multivariate or univariate analyses.</w:t>
      </w:r>
    </w:p>
    <w:p w14:paraId="09A7D9DC" w14:textId="77777777" w:rsidR="00EB738E" w:rsidRPr="003E73CD" w:rsidRDefault="00EB738E" w:rsidP="00EB738E">
      <w:pPr>
        <w:rPr>
          <w:sz w:val="18"/>
          <w:szCs w:val="18"/>
        </w:rPr>
      </w:pPr>
      <w:r w:rsidRPr="003E73CD">
        <w:rPr>
          <w:sz w:val="18"/>
          <w:szCs w:val="18"/>
        </w:rPr>
        <w:t>SN = sentinel node, NSN= non-sentinel node.</w:t>
      </w:r>
    </w:p>
    <w:p w14:paraId="075D7157" w14:textId="77777777" w:rsidR="00EB738E" w:rsidRPr="003E73CD" w:rsidRDefault="00EB738E" w:rsidP="00EB738E">
      <w:pPr>
        <w:rPr>
          <w:b/>
          <w:sz w:val="28"/>
          <w:szCs w:val="28"/>
        </w:rPr>
      </w:pPr>
    </w:p>
    <w:p w14:paraId="26D1D4B9" w14:textId="77777777" w:rsidR="00EB738E" w:rsidRPr="003E73CD" w:rsidRDefault="00EB738E" w:rsidP="00EB738E">
      <w:pPr>
        <w:rPr>
          <w:sz w:val="22"/>
          <w:szCs w:val="22"/>
        </w:rPr>
      </w:pPr>
      <w:r w:rsidRPr="003E73CD">
        <w:rPr>
          <w:sz w:val="22"/>
          <w:szCs w:val="22"/>
        </w:rPr>
        <w:br w:type="page"/>
      </w:r>
    </w:p>
    <w:p w14:paraId="5ADA86EF" w14:textId="5CB5DCAB" w:rsidR="00EB738E" w:rsidRPr="003E73CD" w:rsidRDefault="00202947" w:rsidP="00EB738E">
      <w:pPr>
        <w:rPr>
          <w:sz w:val="22"/>
          <w:szCs w:val="22"/>
        </w:rPr>
      </w:pPr>
      <w:r>
        <w:rPr>
          <w:sz w:val="22"/>
          <w:szCs w:val="22"/>
        </w:rPr>
        <w:t>Table 3.1</w:t>
      </w:r>
      <w:r w:rsidR="00EB738E" w:rsidRPr="003E73CD">
        <w:rPr>
          <w:sz w:val="22"/>
          <w:szCs w:val="22"/>
        </w:rPr>
        <w:t>.4.  Studies that performed multivariate Cox regression analyses for factors predictive of overall, or disease-specific, survival in sentinel node positive melanoma patients and accounted for an effect due to total number of positive nodes (n=3).</w:t>
      </w:r>
    </w:p>
    <w:p w14:paraId="0C7774D7" w14:textId="77777777" w:rsidR="00EB738E" w:rsidRPr="003E73CD" w:rsidRDefault="00EB738E" w:rsidP="00EB738E">
      <w:pPr>
        <w:rPr>
          <w:b/>
          <w:sz w:val="28"/>
          <w:szCs w:val="28"/>
        </w:rPr>
      </w:pPr>
    </w:p>
    <w:tbl>
      <w:tblPr>
        <w:tblStyle w:val="TableGrid"/>
        <w:tblW w:w="5000" w:type="pct"/>
        <w:tblLook w:val="04A0" w:firstRow="1" w:lastRow="0" w:firstColumn="1" w:lastColumn="0" w:noHBand="0" w:noVBand="1"/>
      </w:tblPr>
      <w:tblGrid>
        <w:gridCol w:w="2895"/>
        <w:gridCol w:w="1908"/>
        <w:gridCol w:w="2177"/>
        <w:gridCol w:w="1734"/>
      </w:tblGrid>
      <w:tr w:rsidR="00EB738E" w:rsidRPr="003E73CD" w14:paraId="35FA9329" w14:textId="77777777" w:rsidTr="00EB738E">
        <w:trPr>
          <w:trHeight w:val="653"/>
        </w:trPr>
        <w:tc>
          <w:tcPr>
            <w:tcW w:w="1661" w:type="pct"/>
            <w:vMerge w:val="restart"/>
          </w:tcPr>
          <w:p w14:paraId="5DCA12CD" w14:textId="77777777" w:rsidR="00EB738E" w:rsidRPr="003E73CD" w:rsidRDefault="00EB738E" w:rsidP="00EB738E">
            <w:pPr>
              <w:rPr>
                <w:sz w:val="18"/>
                <w:szCs w:val="18"/>
              </w:rPr>
            </w:pPr>
            <w:r w:rsidRPr="003E73CD">
              <w:rPr>
                <w:sz w:val="18"/>
                <w:szCs w:val="18"/>
              </w:rPr>
              <w:t>Variable</w:t>
            </w:r>
          </w:p>
        </w:tc>
        <w:tc>
          <w:tcPr>
            <w:tcW w:w="3339" w:type="pct"/>
            <w:gridSpan w:val="3"/>
          </w:tcPr>
          <w:p w14:paraId="2C40333E" w14:textId="77777777" w:rsidR="00EB738E" w:rsidRPr="003E73CD" w:rsidRDefault="00EB738E" w:rsidP="00EB738E">
            <w:pPr>
              <w:jc w:val="center"/>
              <w:rPr>
                <w:sz w:val="18"/>
                <w:szCs w:val="18"/>
              </w:rPr>
            </w:pPr>
            <w:r w:rsidRPr="003E73CD">
              <w:rPr>
                <w:sz w:val="18"/>
                <w:szCs w:val="18"/>
              </w:rPr>
              <w:t>Study first author (year of publication)</w:t>
            </w:r>
          </w:p>
        </w:tc>
      </w:tr>
      <w:tr w:rsidR="00EB738E" w:rsidRPr="003E73CD" w14:paraId="29747B53" w14:textId="77777777" w:rsidTr="00EB738E">
        <w:tc>
          <w:tcPr>
            <w:tcW w:w="1661" w:type="pct"/>
            <w:vMerge/>
            <w:tcBorders>
              <w:bottom w:val="single" w:sz="4" w:space="0" w:color="auto"/>
            </w:tcBorders>
          </w:tcPr>
          <w:p w14:paraId="68EC6A3A" w14:textId="77777777" w:rsidR="00EB738E" w:rsidRPr="003E73CD" w:rsidRDefault="00EB738E" w:rsidP="00EB738E">
            <w:pPr>
              <w:rPr>
                <w:sz w:val="18"/>
                <w:szCs w:val="18"/>
              </w:rPr>
            </w:pPr>
          </w:p>
        </w:tc>
        <w:tc>
          <w:tcPr>
            <w:tcW w:w="1095" w:type="pct"/>
          </w:tcPr>
          <w:p w14:paraId="50B42735" w14:textId="77777777" w:rsidR="00EB738E" w:rsidRPr="003E73CD" w:rsidRDefault="00EB738E" w:rsidP="00EB738E">
            <w:pPr>
              <w:rPr>
                <w:sz w:val="18"/>
                <w:szCs w:val="18"/>
              </w:rPr>
            </w:pPr>
            <w:r w:rsidRPr="003E73CD">
              <w:rPr>
                <w:sz w:val="18"/>
                <w:szCs w:val="18"/>
              </w:rPr>
              <w:t>Ariyan (2008)</w:t>
            </w:r>
          </w:p>
        </w:tc>
        <w:tc>
          <w:tcPr>
            <w:tcW w:w="1249" w:type="pct"/>
          </w:tcPr>
          <w:p w14:paraId="2A510AED" w14:textId="77777777" w:rsidR="00EB738E" w:rsidRPr="003E73CD" w:rsidRDefault="00EB738E" w:rsidP="00EB738E">
            <w:pPr>
              <w:rPr>
                <w:sz w:val="18"/>
                <w:szCs w:val="18"/>
                <w:vertAlign w:val="superscript"/>
              </w:rPr>
            </w:pPr>
            <w:r w:rsidRPr="003E73CD">
              <w:rPr>
                <w:sz w:val="18"/>
                <w:szCs w:val="18"/>
              </w:rPr>
              <w:t>Wiener (2010)</w:t>
            </w:r>
            <w:r w:rsidRPr="003E73CD">
              <w:rPr>
                <w:sz w:val="18"/>
                <w:szCs w:val="18"/>
                <w:vertAlign w:val="superscript"/>
              </w:rPr>
              <w:t>&amp;</w:t>
            </w:r>
          </w:p>
        </w:tc>
        <w:tc>
          <w:tcPr>
            <w:tcW w:w="995" w:type="pct"/>
          </w:tcPr>
          <w:p w14:paraId="021CE471" w14:textId="77777777" w:rsidR="00EB738E" w:rsidRPr="003E73CD" w:rsidRDefault="00EB738E" w:rsidP="00EB738E">
            <w:pPr>
              <w:rPr>
                <w:sz w:val="18"/>
                <w:szCs w:val="18"/>
              </w:rPr>
            </w:pPr>
            <w:r w:rsidRPr="003E73CD">
              <w:rPr>
                <w:sz w:val="18"/>
                <w:szCs w:val="18"/>
              </w:rPr>
              <w:t>Leung (2013)</w:t>
            </w:r>
          </w:p>
        </w:tc>
      </w:tr>
      <w:tr w:rsidR="00EB738E" w:rsidRPr="003E73CD" w14:paraId="7DD88982" w14:textId="77777777" w:rsidTr="00EB738E">
        <w:tc>
          <w:tcPr>
            <w:tcW w:w="1661" w:type="pct"/>
            <w:vMerge/>
          </w:tcPr>
          <w:p w14:paraId="74ABE270" w14:textId="77777777" w:rsidR="00EB738E" w:rsidRPr="003E73CD" w:rsidRDefault="00EB738E" w:rsidP="00EB738E">
            <w:pPr>
              <w:rPr>
                <w:sz w:val="18"/>
                <w:szCs w:val="18"/>
              </w:rPr>
            </w:pPr>
          </w:p>
        </w:tc>
        <w:tc>
          <w:tcPr>
            <w:tcW w:w="3339" w:type="pct"/>
            <w:gridSpan w:val="3"/>
          </w:tcPr>
          <w:p w14:paraId="011AD7E1" w14:textId="77777777" w:rsidR="00EB738E" w:rsidRPr="003E73CD" w:rsidRDefault="00EB738E" w:rsidP="00EB738E">
            <w:pPr>
              <w:jc w:val="center"/>
              <w:rPr>
                <w:sz w:val="16"/>
                <w:szCs w:val="16"/>
              </w:rPr>
            </w:pPr>
            <w:r w:rsidRPr="003E73CD">
              <w:rPr>
                <w:sz w:val="18"/>
                <w:szCs w:val="18"/>
              </w:rPr>
              <w:t>Hazard ratio (95% CI), p value</w:t>
            </w:r>
          </w:p>
        </w:tc>
      </w:tr>
      <w:tr w:rsidR="00EB738E" w:rsidRPr="003E73CD" w14:paraId="6D84C2EC" w14:textId="77777777" w:rsidTr="00EB738E">
        <w:tc>
          <w:tcPr>
            <w:tcW w:w="1661" w:type="pct"/>
          </w:tcPr>
          <w:p w14:paraId="772037F6" w14:textId="77777777" w:rsidR="00EB738E" w:rsidRPr="003E73CD" w:rsidRDefault="00EB738E" w:rsidP="00EB738E">
            <w:pPr>
              <w:rPr>
                <w:sz w:val="18"/>
                <w:szCs w:val="18"/>
              </w:rPr>
            </w:pPr>
            <w:r w:rsidRPr="003E73CD">
              <w:rPr>
                <w:sz w:val="18"/>
                <w:szCs w:val="18"/>
              </w:rPr>
              <w:t>Age (as continuous variable unless stated)</w:t>
            </w:r>
          </w:p>
        </w:tc>
        <w:tc>
          <w:tcPr>
            <w:tcW w:w="1095" w:type="pct"/>
          </w:tcPr>
          <w:p w14:paraId="2A0FC7CA" w14:textId="77777777" w:rsidR="00EB738E" w:rsidRPr="003E73CD" w:rsidRDefault="00EB738E" w:rsidP="00EB738E">
            <w:pPr>
              <w:rPr>
                <w:sz w:val="16"/>
                <w:szCs w:val="16"/>
              </w:rPr>
            </w:pPr>
            <w:r w:rsidRPr="003E73CD">
              <w:rPr>
                <w:sz w:val="16"/>
                <w:szCs w:val="16"/>
              </w:rPr>
              <w:t>1.0 (1.01-1.04), p =0.003</w:t>
            </w:r>
          </w:p>
        </w:tc>
        <w:tc>
          <w:tcPr>
            <w:tcW w:w="1249" w:type="pct"/>
          </w:tcPr>
          <w:p w14:paraId="3A7047C1" w14:textId="77777777" w:rsidR="00EB738E" w:rsidRPr="003E73CD" w:rsidRDefault="00EB738E" w:rsidP="00EB738E">
            <w:pPr>
              <w:rPr>
                <w:sz w:val="16"/>
                <w:szCs w:val="16"/>
              </w:rPr>
            </w:pPr>
            <w:r w:rsidRPr="003E73CD">
              <w:rPr>
                <w:sz w:val="16"/>
                <w:szCs w:val="16"/>
              </w:rPr>
              <w:t>Age in 10yr increments: 1.19 (1.04-1.37), p=0.012</w:t>
            </w:r>
          </w:p>
        </w:tc>
        <w:tc>
          <w:tcPr>
            <w:tcW w:w="995" w:type="pct"/>
          </w:tcPr>
          <w:p w14:paraId="007D99DF" w14:textId="77777777" w:rsidR="00EB738E" w:rsidRPr="003E73CD" w:rsidRDefault="00EB738E" w:rsidP="00EB738E">
            <w:pPr>
              <w:rPr>
                <w:sz w:val="16"/>
                <w:szCs w:val="16"/>
              </w:rPr>
            </w:pPr>
            <w:r w:rsidRPr="003E73CD">
              <w:rPr>
                <w:sz w:val="16"/>
                <w:szCs w:val="16"/>
              </w:rPr>
              <w:t>1.03 (1.02-1.04), p&lt;0.001</w:t>
            </w:r>
          </w:p>
        </w:tc>
      </w:tr>
      <w:tr w:rsidR="00EB738E" w:rsidRPr="003E73CD" w14:paraId="2F2E01AE" w14:textId="77777777" w:rsidTr="00EB738E">
        <w:tc>
          <w:tcPr>
            <w:tcW w:w="1661" w:type="pct"/>
          </w:tcPr>
          <w:p w14:paraId="1936B972" w14:textId="77777777" w:rsidR="00EB738E" w:rsidRPr="003E73CD" w:rsidRDefault="00EB738E" w:rsidP="00EB738E">
            <w:pPr>
              <w:rPr>
                <w:sz w:val="18"/>
                <w:szCs w:val="18"/>
              </w:rPr>
            </w:pPr>
            <w:r w:rsidRPr="003E73CD">
              <w:rPr>
                <w:sz w:val="18"/>
                <w:szCs w:val="18"/>
              </w:rPr>
              <w:t>Sex</w:t>
            </w:r>
          </w:p>
        </w:tc>
        <w:tc>
          <w:tcPr>
            <w:tcW w:w="1095" w:type="pct"/>
          </w:tcPr>
          <w:p w14:paraId="63750408" w14:textId="77777777" w:rsidR="00EB738E" w:rsidRPr="003E73CD" w:rsidRDefault="00EB738E" w:rsidP="00EB738E">
            <w:pPr>
              <w:rPr>
                <w:sz w:val="16"/>
                <w:szCs w:val="16"/>
              </w:rPr>
            </w:pPr>
            <w:r w:rsidRPr="003E73CD">
              <w:rPr>
                <w:sz w:val="16"/>
                <w:szCs w:val="16"/>
              </w:rPr>
              <w:t>Not significant on univariate</w:t>
            </w:r>
          </w:p>
        </w:tc>
        <w:tc>
          <w:tcPr>
            <w:tcW w:w="1249" w:type="pct"/>
          </w:tcPr>
          <w:p w14:paraId="1B289AE6" w14:textId="77777777" w:rsidR="00EB738E" w:rsidRPr="003E73CD" w:rsidRDefault="00EB738E" w:rsidP="00EB738E">
            <w:pPr>
              <w:rPr>
                <w:sz w:val="16"/>
                <w:szCs w:val="16"/>
              </w:rPr>
            </w:pPr>
            <w:r w:rsidRPr="003E73CD">
              <w:rPr>
                <w:sz w:val="16"/>
                <w:szCs w:val="16"/>
              </w:rPr>
              <w:t xml:space="preserve">Female: 0.64 (0.41-1.00), p=0.052) </w:t>
            </w:r>
          </w:p>
        </w:tc>
        <w:tc>
          <w:tcPr>
            <w:tcW w:w="995" w:type="pct"/>
          </w:tcPr>
          <w:p w14:paraId="7FCB23EC" w14:textId="77777777" w:rsidR="00EB738E" w:rsidRPr="003E73CD" w:rsidRDefault="00EB738E" w:rsidP="00EB738E">
            <w:pPr>
              <w:rPr>
                <w:sz w:val="16"/>
                <w:szCs w:val="16"/>
              </w:rPr>
            </w:pPr>
            <w:r w:rsidRPr="003E73CD">
              <w:rPr>
                <w:sz w:val="16"/>
                <w:szCs w:val="16"/>
              </w:rPr>
              <w:t>Male: 1.53 (1.03-2.26), p=0.03</w:t>
            </w:r>
          </w:p>
        </w:tc>
      </w:tr>
      <w:tr w:rsidR="00EB738E" w:rsidRPr="003E73CD" w14:paraId="6C1E2670" w14:textId="77777777" w:rsidTr="00EB738E">
        <w:tc>
          <w:tcPr>
            <w:tcW w:w="1661" w:type="pct"/>
          </w:tcPr>
          <w:p w14:paraId="13034E40" w14:textId="77777777" w:rsidR="00EB738E" w:rsidRPr="003E73CD" w:rsidRDefault="00EB738E" w:rsidP="00EB738E">
            <w:pPr>
              <w:rPr>
                <w:sz w:val="18"/>
                <w:szCs w:val="18"/>
              </w:rPr>
            </w:pPr>
            <w:r w:rsidRPr="003E73CD">
              <w:rPr>
                <w:sz w:val="18"/>
                <w:szCs w:val="18"/>
              </w:rPr>
              <w:t>Primary tumour location (compared to trunk location unless stated)</w:t>
            </w:r>
          </w:p>
        </w:tc>
        <w:tc>
          <w:tcPr>
            <w:tcW w:w="1095" w:type="pct"/>
          </w:tcPr>
          <w:p w14:paraId="00DD9F28" w14:textId="77777777" w:rsidR="00EB738E" w:rsidRPr="003E73CD" w:rsidRDefault="00EB738E" w:rsidP="00EB738E">
            <w:pPr>
              <w:rPr>
                <w:sz w:val="16"/>
                <w:szCs w:val="16"/>
              </w:rPr>
            </w:pPr>
            <w:r w:rsidRPr="003E73CD">
              <w:rPr>
                <w:sz w:val="16"/>
                <w:szCs w:val="16"/>
              </w:rPr>
              <w:t>Not included</w:t>
            </w:r>
          </w:p>
        </w:tc>
        <w:tc>
          <w:tcPr>
            <w:tcW w:w="1249" w:type="pct"/>
          </w:tcPr>
          <w:p w14:paraId="512F73F5" w14:textId="77777777" w:rsidR="00EB738E" w:rsidRPr="003E73CD" w:rsidRDefault="00EB738E" w:rsidP="00EB738E">
            <w:pPr>
              <w:rPr>
                <w:sz w:val="16"/>
                <w:szCs w:val="16"/>
              </w:rPr>
            </w:pPr>
            <w:r w:rsidRPr="003E73CD">
              <w:rPr>
                <w:sz w:val="16"/>
                <w:szCs w:val="16"/>
              </w:rPr>
              <w:t>Extremity: 0.96 (0.62-1.51), p=0.87. Head and neck: 1.11 (0.58-2.12), p=0.761</w:t>
            </w:r>
          </w:p>
        </w:tc>
        <w:tc>
          <w:tcPr>
            <w:tcW w:w="995" w:type="pct"/>
          </w:tcPr>
          <w:p w14:paraId="24806136" w14:textId="77777777" w:rsidR="00EB738E" w:rsidRPr="003E73CD" w:rsidRDefault="00EB738E" w:rsidP="00EB738E">
            <w:pPr>
              <w:rPr>
                <w:sz w:val="16"/>
                <w:szCs w:val="16"/>
              </w:rPr>
            </w:pPr>
            <w:r w:rsidRPr="003E73CD">
              <w:rPr>
                <w:sz w:val="16"/>
                <w:szCs w:val="16"/>
              </w:rPr>
              <w:t>Not included</w:t>
            </w:r>
          </w:p>
        </w:tc>
      </w:tr>
      <w:tr w:rsidR="00EB738E" w:rsidRPr="003E73CD" w14:paraId="575F7E07" w14:textId="77777777" w:rsidTr="00EB738E">
        <w:tc>
          <w:tcPr>
            <w:tcW w:w="1661" w:type="pct"/>
          </w:tcPr>
          <w:p w14:paraId="5BB57E03" w14:textId="77777777" w:rsidR="00EB738E" w:rsidRPr="003E73CD" w:rsidRDefault="00EB738E" w:rsidP="00EB738E">
            <w:pPr>
              <w:rPr>
                <w:sz w:val="18"/>
                <w:szCs w:val="18"/>
              </w:rPr>
            </w:pPr>
            <w:r w:rsidRPr="003E73CD">
              <w:rPr>
                <w:sz w:val="18"/>
                <w:szCs w:val="18"/>
              </w:rPr>
              <w:t>Breslow thickness (as continuous variable unless stated)</w:t>
            </w:r>
          </w:p>
        </w:tc>
        <w:tc>
          <w:tcPr>
            <w:tcW w:w="1095" w:type="pct"/>
          </w:tcPr>
          <w:p w14:paraId="5CB02582" w14:textId="77777777" w:rsidR="00EB738E" w:rsidRPr="003E73CD" w:rsidRDefault="00EB738E" w:rsidP="00EB738E">
            <w:pPr>
              <w:rPr>
                <w:sz w:val="16"/>
                <w:szCs w:val="16"/>
              </w:rPr>
            </w:pPr>
            <w:r w:rsidRPr="003E73CD">
              <w:rPr>
                <w:sz w:val="16"/>
                <w:szCs w:val="16"/>
              </w:rPr>
              <w:t>1.1 (1.06-1.16), p&lt;0.001</w:t>
            </w:r>
          </w:p>
        </w:tc>
        <w:tc>
          <w:tcPr>
            <w:tcW w:w="1249" w:type="pct"/>
          </w:tcPr>
          <w:p w14:paraId="6C9BE60F" w14:textId="77777777" w:rsidR="00EB738E" w:rsidRPr="003E73CD" w:rsidRDefault="00EB738E" w:rsidP="00EB738E">
            <w:pPr>
              <w:rPr>
                <w:rFonts w:eastAsia="ＭＳ ゴシック"/>
                <w:color w:val="000000"/>
                <w:sz w:val="16"/>
                <w:szCs w:val="16"/>
              </w:rPr>
            </w:pPr>
            <w:r w:rsidRPr="003E73CD">
              <w:rPr>
                <w:rFonts w:eastAsia="ＭＳ ゴシック"/>
                <w:color w:val="000000"/>
                <w:sz w:val="16"/>
                <w:szCs w:val="16"/>
              </w:rPr>
              <w:t>≤2mm: 1.0</w:t>
            </w:r>
          </w:p>
          <w:p w14:paraId="33D5B4A0" w14:textId="77777777" w:rsidR="00EB738E" w:rsidRPr="003E73CD" w:rsidRDefault="00EB738E" w:rsidP="00EB738E">
            <w:pPr>
              <w:rPr>
                <w:rFonts w:eastAsia="ＭＳ ゴシック"/>
                <w:color w:val="000000"/>
                <w:sz w:val="16"/>
                <w:szCs w:val="16"/>
              </w:rPr>
            </w:pPr>
            <w:r w:rsidRPr="003E73CD">
              <w:rPr>
                <w:rFonts w:eastAsia="ＭＳ ゴシック"/>
                <w:color w:val="000000"/>
                <w:sz w:val="16"/>
                <w:szCs w:val="16"/>
              </w:rPr>
              <w:t>2.1-4.0mm: 1.70 (0.91-3.18), p=0.096</w:t>
            </w:r>
          </w:p>
          <w:p w14:paraId="287F3C9D" w14:textId="77777777" w:rsidR="00EB738E" w:rsidRPr="003E73CD" w:rsidRDefault="00EB738E" w:rsidP="00EB738E">
            <w:pPr>
              <w:rPr>
                <w:sz w:val="16"/>
                <w:szCs w:val="16"/>
              </w:rPr>
            </w:pPr>
            <w:r w:rsidRPr="003E73CD">
              <w:rPr>
                <w:rFonts w:eastAsia="ＭＳ ゴシック"/>
                <w:color w:val="000000"/>
                <w:sz w:val="16"/>
                <w:szCs w:val="16"/>
              </w:rPr>
              <w:t>&gt;4.0mm: 2.38 (1.25-4.55), p=0.008</w:t>
            </w:r>
          </w:p>
        </w:tc>
        <w:tc>
          <w:tcPr>
            <w:tcW w:w="995" w:type="pct"/>
          </w:tcPr>
          <w:p w14:paraId="34450863" w14:textId="77777777" w:rsidR="00EB738E" w:rsidRPr="003E73CD" w:rsidRDefault="00EB738E" w:rsidP="00EB738E">
            <w:pPr>
              <w:rPr>
                <w:sz w:val="16"/>
                <w:szCs w:val="16"/>
              </w:rPr>
            </w:pPr>
            <w:r w:rsidRPr="003E73CD">
              <w:rPr>
                <w:sz w:val="16"/>
                <w:szCs w:val="16"/>
              </w:rPr>
              <w:t>1.032 (1.00-1.06), p=0.04</w:t>
            </w:r>
          </w:p>
        </w:tc>
      </w:tr>
      <w:tr w:rsidR="00EB738E" w:rsidRPr="003E73CD" w14:paraId="26F0DEE7" w14:textId="77777777" w:rsidTr="00EB738E">
        <w:tc>
          <w:tcPr>
            <w:tcW w:w="1661" w:type="pct"/>
          </w:tcPr>
          <w:p w14:paraId="0572B800" w14:textId="77777777" w:rsidR="00EB738E" w:rsidRPr="003E73CD" w:rsidRDefault="00EB738E" w:rsidP="00EB738E">
            <w:pPr>
              <w:rPr>
                <w:sz w:val="18"/>
                <w:szCs w:val="18"/>
              </w:rPr>
            </w:pPr>
            <w:r w:rsidRPr="003E73CD">
              <w:rPr>
                <w:sz w:val="18"/>
                <w:szCs w:val="18"/>
              </w:rPr>
              <w:t>Ulceration</w:t>
            </w:r>
          </w:p>
        </w:tc>
        <w:tc>
          <w:tcPr>
            <w:tcW w:w="1095" w:type="pct"/>
          </w:tcPr>
          <w:p w14:paraId="1D09893B" w14:textId="77777777" w:rsidR="00EB738E" w:rsidRPr="003E73CD" w:rsidRDefault="00EB738E" w:rsidP="00EB738E">
            <w:pPr>
              <w:rPr>
                <w:sz w:val="16"/>
                <w:szCs w:val="16"/>
              </w:rPr>
            </w:pPr>
            <w:r w:rsidRPr="003E73CD">
              <w:rPr>
                <w:sz w:val="16"/>
                <w:szCs w:val="16"/>
              </w:rPr>
              <w:t>*Not included</w:t>
            </w:r>
          </w:p>
        </w:tc>
        <w:tc>
          <w:tcPr>
            <w:tcW w:w="1249" w:type="pct"/>
          </w:tcPr>
          <w:p w14:paraId="11E25CE0" w14:textId="77777777" w:rsidR="00EB738E" w:rsidRPr="003E73CD" w:rsidRDefault="00EB738E" w:rsidP="00EB738E">
            <w:pPr>
              <w:rPr>
                <w:sz w:val="16"/>
                <w:szCs w:val="16"/>
              </w:rPr>
            </w:pPr>
            <w:r w:rsidRPr="003E73CD">
              <w:rPr>
                <w:sz w:val="16"/>
                <w:szCs w:val="16"/>
              </w:rPr>
              <w:t>1.49 (0.95-2.34), p=0.085</w:t>
            </w:r>
          </w:p>
        </w:tc>
        <w:tc>
          <w:tcPr>
            <w:tcW w:w="995" w:type="pct"/>
          </w:tcPr>
          <w:p w14:paraId="3411B8F2" w14:textId="77777777" w:rsidR="00EB738E" w:rsidRPr="003E73CD" w:rsidRDefault="00EB738E" w:rsidP="00EB738E">
            <w:pPr>
              <w:rPr>
                <w:sz w:val="16"/>
                <w:szCs w:val="16"/>
              </w:rPr>
            </w:pPr>
            <w:r w:rsidRPr="003E73CD">
              <w:rPr>
                <w:sz w:val="16"/>
                <w:szCs w:val="16"/>
              </w:rPr>
              <w:t>1.28 (0.84-1.96), p=0.28</w:t>
            </w:r>
          </w:p>
        </w:tc>
      </w:tr>
      <w:tr w:rsidR="00EB738E" w:rsidRPr="003E73CD" w14:paraId="7CCC85A4" w14:textId="77777777" w:rsidTr="00EB738E">
        <w:tc>
          <w:tcPr>
            <w:tcW w:w="1661" w:type="pct"/>
          </w:tcPr>
          <w:p w14:paraId="01A4063C" w14:textId="77777777" w:rsidR="00EB738E" w:rsidRPr="003E73CD" w:rsidRDefault="00EB738E" w:rsidP="00EB738E">
            <w:pPr>
              <w:rPr>
                <w:sz w:val="18"/>
                <w:szCs w:val="18"/>
              </w:rPr>
            </w:pPr>
            <w:r w:rsidRPr="003E73CD">
              <w:rPr>
                <w:sz w:val="18"/>
                <w:szCs w:val="18"/>
              </w:rPr>
              <w:t>Mitotic rate (mitoses/mm</w:t>
            </w:r>
            <w:r w:rsidRPr="003E73CD">
              <w:rPr>
                <w:sz w:val="18"/>
                <w:szCs w:val="18"/>
                <w:vertAlign w:val="superscript"/>
              </w:rPr>
              <w:t>2</w:t>
            </w:r>
            <w:r w:rsidRPr="003E73CD">
              <w:rPr>
                <w:sz w:val="18"/>
                <w:szCs w:val="18"/>
              </w:rPr>
              <w:t>)</w:t>
            </w:r>
          </w:p>
          <w:p w14:paraId="0C8FD5C3" w14:textId="77777777" w:rsidR="00EB738E" w:rsidRPr="003E73CD" w:rsidRDefault="00EB738E" w:rsidP="00EB738E">
            <w:pPr>
              <w:rPr>
                <w:sz w:val="18"/>
                <w:szCs w:val="18"/>
              </w:rPr>
            </w:pPr>
            <w:r w:rsidRPr="003E73CD">
              <w:rPr>
                <w:sz w:val="18"/>
                <w:szCs w:val="18"/>
              </w:rPr>
              <w:t>(</w:t>
            </w:r>
            <w:r w:rsidRPr="003E73CD">
              <w:rPr>
                <w:rFonts w:eastAsia="ＭＳ ゴシック"/>
                <w:color w:val="000000"/>
                <w:sz w:val="16"/>
                <w:szCs w:val="16"/>
              </w:rPr>
              <w:t>≤5, 6-10, &gt;10)</w:t>
            </w:r>
          </w:p>
        </w:tc>
        <w:tc>
          <w:tcPr>
            <w:tcW w:w="1095" w:type="pct"/>
          </w:tcPr>
          <w:p w14:paraId="05084288" w14:textId="77777777" w:rsidR="00EB738E" w:rsidRPr="003E73CD" w:rsidRDefault="00EB738E" w:rsidP="00EB738E">
            <w:pPr>
              <w:rPr>
                <w:sz w:val="16"/>
                <w:szCs w:val="16"/>
              </w:rPr>
            </w:pPr>
            <w:r w:rsidRPr="003E73CD">
              <w:rPr>
                <w:sz w:val="16"/>
                <w:szCs w:val="16"/>
              </w:rPr>
              <w:t>Not included</w:t>
            </w:r>
          </w:p>
        </w:tc>
        <w:tc>
          <w:tcPr>
            <w:tcW w:w="1249" w:type="pct"/>
          </w:tcPr>
          <w:p w14:paraId="28ED0C39" w14:textId="77777777" w:rsidR="00EB738E" w:rsidRPr="003E73CD" w:rsidRDefault="00EB738E" w:rsidP="00EB738E">
            <w:pPr>
              <w:rPr>
                <w:sz w:val="16"/>
                <w:szCs w:val="16"/>
              </w:rPr>
            </w:pPr>
            <w:r w:rsidRPr="003E73CD">
              <w:rPr>
                <w:rFonts w:eastAsia="ＭＳ ゴシック"/>
                <w:color w:val="000000"/>
                <w:sz w:val="16"/>
                <w:szCs w:val="16"/>
              </w:rPr>
              <w:t>≤5</w:t>
            </w:r>
            <w:r w:rsidRPr="003E73CD">
              <w:rPr>
                <w:sz w:val="16"/>
                <w:szCs w:val="16"/>
              </w:rPr>
              <w:t>/mm</w:t>
            </w:r>
            <w:r w:rsidRPr="003E73CD">
              <w:rPr>
                <w:sz w:val="16"/>
                <w:szCs w:val="16"/>
                <w:vertAlign w:val="superscript"/>
              </w:rPr>
              <w:t>2</w:t>
            </w:r>
            <w:r w:rsidRPr="003E73CD">
              <w:rPr>
                <w:sz w:val="16"/>
                <w:szCs w:val="16"/>
              </w:rPr>
              <w:t>: 1.0</w:t>
            </w:r>
          </w:p>
          <w:p w14:paraId="28FABA5E" w14:textId="77777777" w:rsidR="00EB738E" w:rsidRPr="003E73CD" w:rsidRDefault="00EB738E" w:rsidP="00EB738E">
            <w:pPr>
              <w:rPr>
                <w:sz w:val="16"/>
                <w:szCs w:val="16"/>
              </w:rPr>
            </w:pPr>
            <w:r w:rsidRPr="003E73CD">
              <w:rPr>
                <w:sz w:val="16"/>
                <w:szCs w:val="16"/>
              </w:rPr>
              <w:t>6-10/mm</w:t>
            </w:r>
            <w:r w:rsidRPr="003E73CD">
              <w:rPr>
                <w:sz w:val="16"/>
                <w:szCs w:val="16"/>
                <w:vertAlign w:val="superscript"/>
              </w:rPr>
              <w:t>2</w:t>
            </w:r>
            <w:r w:rsidRPr="003E73CD">
              <w:rPr>
                <w:sz w:val="16"/>
                <w:szCs w:val="16"/>
              </w:rPr>
              <w:t>: 1.30 (0.80-2.13), p=0.295</w:t>
            </w:r>
          </w:p>
          <w:p w14:paraId="35CC6734" w14:textId="77777777" w:rsidR="00EB738E" w:rsidRPr="003E73CD" w:rsidRDefault="00EB738E" w:rsidP="00EB738E">
            <w:pPr>
              <w:rPr>
                <w:sz w:val="16"/>
                <w:szCs w:val="16"/>
              </w:rPr>
            </w:pPr>
            <w:r w:rsidRPr="003E73CD">
              <w:rPr>
                <w:sz w:val="16"/>
                <w:szCs w:val="16"/>
              </w:rPr>
              <w:t>&gt;10/mm</w:t>
            </w:r>
            <w:r w:rsidRPr="003E73CD">
              <w:rPr>
                <w:sz w:val="16"/>
                <w:szCs w:val="16"/>
                <w:vertAlign w:val="superscript"/>
              </w:rPr>
              <w:t>2</w:t>
            </w:r>
            <w:r w:rsidRPr="003E73CD">
              <w:rPr>
                <w:sz w:val="16"/>
                <w:szCs w:val="16"/>
              </w:rPr>
              <w:t>: 1.77 (1.05-2.96), p=0.031</w:t>
            </w:r>
          </w:p>
        </w:tc>
        <w:tc>
          <w:tcPr>
            <w:tcW w:w="995" w:type="pct"/>
          </w:tcPr>
          <w:p w14:paraId="7D9FF6D0" w14:textId="77777777" w:rsidR="00EB738E" w:rsidRPr="003E73CD" w:rsidRDefault="00EB738E" w:rsidP="00EB738E">
            <w:pPr>
              <w:rPr>
                <w:sz w:val="16"/>
                <w:szCs w:val="16"/>
              </w:rPr>
            </w:pPr>
            <w:r w:rsidRPr="003E73CD">
              <w:rPr>
                <w:sz w:val="16"/>
                <w:szCs w:val="16"/>
              </w:rPr>
              <w:t>Not included</w:t>
            </w:r>
          </w:p>
        </w:tc>
      </w:tr>
      <w:tr w:rsidR="00EB738E" w:rsidRPr="003E73CD" w14:paraId="786F5FCE" w14:textId="77777777" w:rsidTr="00EB738E">
        <w:tc>
          <w:tcPr>
            <w:tcW w:w="1661" w:type="pct"/>
          </w:tcPr>
          <w:p w14:paraId="4D2FDCFD" w14:textId="77777777" w:rsidR="00EB738E" w:rsidRPr="003E73CD" w:rsidRDefault="00EB738E" w:rsidP="00EB738E">
            <w:pPr>
              <w:rPr>
                <w:sz w:val="18"/>
                <w:szCs w:val="18"/>
              </w:rPr>
            </w:pPr>
            <w:r w:rsidRPr="003E73CD">
              <w:rPr>
                <w:sz w:val="18"/>
                <w:szCs w:val="18"/>
              </w:rPr>
              <w:t>Lympho-vascular invasion</w:t>
            </w:r>
          </w:p>
        </w:tc>
        <w:tc>
          <w:tcPr>
            <w:tcW w:w="1095" w:type="pct"/>
          </w:tcPr>
          <w:p w14:paraId="403DABDA" w14:textId="77777777" w:rsidR="00EB738E" w:rsidRPr="003E73CD" w:rsidRDefault="00EB738E" w:rsidP="00EB738E">
            <w:pPr>
              <w:rPr>
                <w:sz w:val="16"/>
                <w:szCs w:val="16"/>
              </w:rPr>
            </w:pPr>
            <w:r w:rsidRPr="003E73CD">
              <w:rPr>
                <w:sz w:val="16"/>
                <w:szCs w:val="16"/>
              </w:rPr>
              <w:t>Not included</w:t>
            </w:r>
          </w:p>
        </w:tc>
        <w:tc>
          <w:tcPr>
            <w:tcW w:w="1249" w:type="pct"/>
          </w:tcPr>
          <w:p w14:paraId="18F6B126" w14:textId="77777777" w:rsidR="00EB738E" w:rsidRPr="003E73CD" w:rsidRDefault="00EB738E" w:rsidP="00EB738E">
            <w:pPr>
              <w:rPr>
                <w:sz w:val="16"/>
                <w:szCs w:val="16"/>
              </w:rPr>
            </w:pPr>
            <w:r w:rsidRPr="003E73CD">
              <w:rPr>
                <w:sz w:val="16"/>
                <w:szCs w:val="16"/>
              </w:rPr>
              <w:t>Not included</w:t>
            </w:r>
          </w:p>
        </w:tc>
        <w:tc>
          <w:tcPr>
            <w:tcW w:w="995" w:type="pct"/>
          </w:tcPr>
          <w:p w14:paraId="4AF6C84F" w14:textId="77777777" w:rsidR="00EB738E" w:rsidRPr="003E73CD" w:rsidRDefault="00EB738E" w:rsidP="00EB738E">
            <w:pPr>
              <w:rPr>
                <w:sz w:val="16"/>
                <w:szCs w:val="16"/>
              </w:rPr>
            </w:pPr>
            <w:r w:rsidRPr="003E73CD">
              <w:rPr>
                <w:sz w:val="16"/>
                <w:szCs w:val="16"/>
              </w:rPr>
              <w:t>Not included</w:t>
            </w:r>
          </w:p>
        </w:tc>
      </w:tr>
      <w:tr w:rsidR="00EB738E" w:rsidRPr="003E73CD" w14:paraId="4B4DEEE4" w14:textId="77777777" w:rsidTr="00EB738E">
        <w:tc>
          <w:tcPr>
            <w:tcW w:w="1661" w:type="pct"/>
          </w:tcPr>
          <w:p w14:paraId="63BB4B42" w14:textId="77777777" w:rsidR="00EB738E" w:rsidRPr="003E73CD" w:rsidRDefault="00EB738E" w:rsidP="00EB738E">
            <w:pPr>
              <w:rPr>
                <w:sz w:val="18"/>
                <w:szCs w:val="18"/>
              </w:rPr>
            </w:pPr>
            <w:r w:rsidRPr="003E73CD">
              <w:rPr>
                <w:sz w:val="18"/>
                <w:szCs w:val="18"/>
              </w:rPr>
              <w:t>Satellitosis</w:t>
            </w:r>
          </w:p>
        </w:tc>
        <w:tc>
          <w:tcPr>
            <w:tcW w:w="1095" w:type="pct"/>
          </w:tcPr>
          <w:p w14:paraId="234312B2" w14:textId="77777777" w:rsidR="00EB738E" w:rsidRPr="003E73CD" w:rsidRDefault="00EB738E" w:rsidP="00EB738E">
            <w:pPr>
              <w:rPr>
                <w:sz w:val="16"/>
                <w:szCs w:val="16"/>
              </w:rPr>
            </w:pPr>
            <w:r w:rsidRPr="003E73CD">
              <w:rPr>
                <w:sz w:val="16"/>
                <w:szCs w:val="16"/>
              </w:rPr>
              <w:t>Not included</w:t>
            </w:r>
          </w:p>
        </w:tc>
        <w:tc>
          <w:tcPr>
            <w:tcW w:w="1249" w:type="pct"/>
          </w:tcPr>
          <w:p w14:paraId="5F3109D5" w14:textId="77777777" w:rsidR="00EB738E" w:rsidRPr="003E73CD" w:rsidRDefault="00EB738E" w:rsidP="00EB738E">
            <w:pPr>
              <w:rPr>
                <w:sz w:val="16"/>
                <w:szCs w:val="16"/>
              </w:rPr>
            </w:pPr>
            <w:r w:rsidRPr="003E73CD">
              <w:rPr>
                <w:sz w:val="16"/>
                <w:szCs w:val="16"/>
              </w:rPr>
              <w:t>Not included</w:t>
            </w:r>
          </w:p>
        </w:tc>
        <w:tc>
          <w:tcPr>
            <w:tcW w:w="995" w:type="pct"/>
          </w:tcPr>
          <w:p w14:paraId="7753220B" w14:textId="77777777" w:rsidR="00EB738E" w:rsidRPr="003E73CD" w:rsidRDefault="00EB738E" w:rsidP="00EB738E">
            <w:pPr>
              <w:rPr>
                <w:sz w:val="16"/>
                <w:szCs w:val="16"/>
              </w:rPr>
            </w:pPr>
            <w:r w:rsidRPr="003E73CD">
              <w:rPr>
                <w:sz w:val="16"/>
                <w:szCs w:val="16"/>
              </w:rPr>
              <w:t>Not included</w:t>
            </w:r>
          </w:p>
        </w:tc>
      </w:tr>
      <w:tr w:rsidR="00EB738E" w:rsidRPr="003E73CD" w14:paraId="1E1B38D6" w14:textId="77777777" w:rsidTr="00EB738E">
        <w:tc>
          <w:tcPr>
            <w:tcW w:w="1661" w:type="pct"/>
          </w:tcPr>
          <w:p w14:paraId="07D27414" w14:textId="77777777" w:rsidR="00EB738E" w:rsidRPr="003E73CD" w:rsidRDefault="00EB738E" w:rsidP="00EB738E">
            <w:pPr>
              <w:rPr>
                <w:sz w:val="18"/>
                <w:szCs w:val="18"/>
              </w:rPr>
            </w:pPr>
            <w:r w:rsidRPr="003E73CD">
              <w:rPr>
                <w:sz w:val="18"/>
                <w:szCs w:val="18"/>
              </w:rPr>
              <w:t>Number of SNs removed</w:t>
            </w:r>
          </w:p>
        </w:tc>
        <w:tc>
          <w:tcPr>
            <w:tcW w:w="1095" w:type="pct"/>
          </w:tcPr>
          <w:p w14:paraId="2FBBCF2D" w14:textId="77777777" w:rsidR="00EB738E" w:rsidRPr="003E73CD" w:rsidRDefault="00EB738E" w:rsidP="00EB738E">
            <w:pPr>
              <w:rPr>
                <w:sz w:val="16"/>
                <w:szCs w:val="16"/>
              </w:rPr>
            </w:pPr>
            <w:r w:rsidRPr="003E73CD">
              <w:rPr>
                <w:sz w:val="16"/>
                <w:szCs w:val="16"/>
              </w:rPr>
              <w:t>Not included</w:t>
            </w:r>
          </w:p>
        </w:tc>
        <w:tc>
          <w:tcPr>
            <w:tcW w:w="1249" w:type="pct"/>
          </w:tcPr>
          <w:p w14:paraId="5307B5C2" w14:textId="77777777" w:rsidR="00EB738E" w:rsidRPr="003E73CD" w:rsidRDefault="00EB738E" w:rsidP="00EB738E">
            <w:pPr>
              <w:rPr>
                <w:sz w:val="16"/>
                <w:szCs w:val="16"/>
              </w:rPr>
            </w:pPr>
            <w:r w:rsidRPr="003E73CD">
              <w:rPr>
                <w:sz w:val="16"/>
                <w:szCs w:val="16"/>
              </w:rPr>
              <w:t>1.02 (0.85-1.24), p=0.818</w:t>
            </w:r>
          </w:p>
        </w:tc>
        <w:tc>
          <w:tcPr>
            <w:tcW w:w="995" w:type="pct"/>
          </w:tcPr>
          <w:p w14:paraId="69D4A718" w14:textId="77777777" w:rsidR="00EB738E" w:rsidRPr="003E73CD" w:rsidRDefault="00EB738E" w:rsidP="00EB738E">
            <w:pPr>
              <w:rPr>
                <w:sz w:val="16"/>
                <w:szCs w:val="16"/>
              </w:rPr>
            </w:pPr>
            <w:r w:rsidRPr="003E73CD">
              <w:rPr>
                <w:sz w:val="16"/>
                <w:szCs w:val="16"/>
              </w:rPr>
              <w:t>Not included</w:t>
            </w:r>
          </w:p>
        </w:tc>
      </w:tr>
      <w:tr w:rsidR="00EB738E" w:rsidRPr="003E73CD" w14:paraId="7DC47855" w14:textId="77777777" w:rsidTr="00EB738E">
        <w:tc>
          <w:tcPr>
            <w:tcW w:w="1661" w:type="pct"/>
          </w:tcPr>
          <w:p w14:paraId="1560198D" w14:textId="77777777" w:rsidR="00EB738E" w:rsidRPr="003E73CD" w:rsidRDefault="00EB738E" w:rsidP="00EB738E">
            <w:pPr>
              <w:rPr>
                <w:sz w:val="18"/>
                <w:szCs w:val="18"/>
              </w:rPr>
            </w:pPr>
            <w:r w:rsidRPr="003E73CD">
              <w:rPr>
                <w:sz w:val="18"/>
                <w:szCs w:val="18"/>
              </w:rPr>
              <w:t>Number of positive SNs</w:t>
            </w:r>
          </w:p>
        </w:tc>
        <w:tc>
          <w:tcPr>
            <w:tcW w:w="1095" w:type="pct"/>
          </w:tcPr>
          <w:p w14:paraId="22C0E55B" w14:textId="77777777" w:rsidR="00EB738E" w:rsidRPr="003E73CD" w:rsidRDefault="00EB738E" w:rsidP="00EB738E">
            <w:pPr>
              <w:rPr>
                <w:sz w:val="16"/>
                <w:szCs w:val="16"/>
              </w:rPr>
            </w:pPr>
            <w:r w:rsidRPr="003E73CD">
              <w:rPr>
                <w:sz w:val="16"/>
                <w:szCs w:val="16"/>
              </w:rPr>
              <w:t>Not included</w:t>
            </w:r>
          </w:p>
        </w:tc>
        <w:tc>
          <w:tcPr>
            <w:tcW w:w="1249" w:type="pct"/>
          </w:tcPr>
          <w:p w14:paraId="5D2B9133" w14:textId="77777777" w:rsidR="00EB738E" w:rsidRPr="003E73CD" w:rsidRDefault="00EB738E" w:rsidP="00EB738E">
            <w:pPr>
              <w:rPr>
                <w:sz w:val="16"/>
                <w:szCs w:val="16"/>
              </w:rPr>
            </w:pPr>
            <w:r w:rsidRPr="003E73CD">
              <w:rPr>
                <w:sz w:val="16"/>
                <w:szCs w:val="16"/>
              </w:rPr>
              <w:t>Included in separate multivariate analyses and found not to be significant</w:t>
            </w:r>
          </w:p>
        </w:tc>
        <w:tc>
          <w:tcPr>
            <w:tcW w:w="995" w:type="pct"/>
          </w:tcPr>
          <w:p w14:paraId="6B6E33C2" w14:textId="77777777" w:rsidR="00EB738E" w:rsidRPr="003E73CD" w:rsidRDefault="00EB738E" w:rsidP="00EB738E">
            <w:pPr>
              <w:rPr>
                <w:sz w:val="16"/>
                <w:szCs w:val="16"/>
              </w:rPr>
            </w:pPr>
            <w:r w:rsidRPr="003E73CD">
              <w:rPr>
                <w:sz w:val="16"/>
                <w:szCs w:val="16"/>
              </w:rPr>
              <w:t>1.64 (1.30-2.06), p&lt;0.001</w:t>
            </w:r>
          </w:p>
        </w:tc>
      </w:tr>
      <w:tr w:rsidR="00EB738E" w:rsidRPr="003E73CD" w14:paraId="74901E8E" w14:textId="77777777" w:rsidTr="00EB738E">
        <w:tc>
          <w:tcPr>
            <w:tcW w:w="1661" w:type="pct"/>
          </w:tcPr>
          <w:p w14:paraId="75495394" w14:textId="77777777" w:rsidR="00EB738E" w:rsidRPr="003E73CD" w:rsidRDefault="00EB738E" w:rsidP="00EB738E">
            <w:pPr>
              <w:rPr>
                <w:sz w:val="18"/>
                <w:szCs w:val="18"/>
              </w:rPr>
            </w:pPr>
            <w:r w:rsidRPr="003E73CD">
              <w:rPr>
                <w:sz w:val="18"/>
                <w:szCs w:val="18"/>
              </w:rPr>
              <w:t>Extra-capsular extension</w:t>
            </w:r>
          </w:p>
        </w:tc>
        <w:tc>
          <w:tcPr>
            <w:tcW w:w="1095" w:type="pct"/>
          </w:tcPr>
          <w:p w14:paraId="19185AF7" w14:textId="77777777" w:rsidR="00EB738E" w:rsidRPr="003E73CD" w:rsidRDefault="00EB738E" w:rsidP="00EB738E">
            <w:pPr>
              <w:rPr>
                <w:sz w:val="16"/>
                <w:szCs w:val="16"/>
              </w:rPr>
            </w:pPr>
            <w:r w:rsidRPr="003E73CD">
              <w:rPr>
                <w:sz w:val="16"/>
                <w:szCs w:val="16"/>
              </w:rPr>
              <w:t>Not included</w:t>
            </w:r>
          </w:p>
        </w:tc>
        <w:tc>
          <w:tcPr>
            <w:tcW w:w="1249" w:type="pct"/>
          </w:tcPr>
          <w:p w14:paraId="5666757E" w14:textId="77777777" w:rsidR="00EB738E" w:rsidRPr="003E73CD" w:rsidRDefault="00EB738E" w:rsidP="00EB738E">
            <w:pPr>
              <w:rPr>
                <w:sz w:val="16"/>
                <w:szCs w:val="16"/>
              </w:rPr>
            </w:pPr>
            <w:r w:rsidRPr="003E73CD">
              <w:rPr>
                <w:sz w:val="16"/>
                <w:szCs w:val="16"/>
              </w:rPr>
              <w:t>Not included</w:t>
            </w:r>
          </w:p>
        </w:tc>
        <w:tc>
          <w:tcPr>
            <w:tcW w:w="995" w:type="pct"/>
          </w:tcPr>
          <w:p w14:paraId="33B652B8" w14:textId="77777777" w:rsidR="00EB738E" w:rsidRPr="003E73CD" w:rsidRDefault="00EB738E" w:rsidP="00EB738E">
            <w:pPr>
              <w:rPr>
                <w:sz w:val="16"/>
                <w:szCs w:val="16"/>
              </w:rPr>
            </w:pPr>
            <w:r w:rsidRPr="003E73CD">
              <w:rPr>
                <w:sz w:val="16"/>
                <w:szCs w:val="16"/>
              </w:rPr>
              <w:t>Not included</w:t>
            </w:r>
          </w:p>
        </w:tc>
      </w:tr>
      <w:tr w:rsidR="00EB738E" w:rsidRPr="003E73CD" w14:paraId="3858F125" w14:textId="77777777" w:rsidTr="00EB738E">
        <w:tc>
          <w:tcPr>
            <w:tcW w:w="1661" w:type="pct"/>
          </w:tcPr>
          <w:p w14:paraId="57F112E3" w14:textId="77777777" w:rsidR="00EB738E" w:rsidRPr="003E73CD" w:rsidRDefault="00EB738E" w:rsidP="00EB738E">
            <w:pPr>
              <w:rPr>
                <w:sz w:val="18"/>
                <w:szCs w:val="18"/>
              </w:rPr>
            </w:pPr>
            <w:r w:rsidRPr="003E73CD">
              <w:rPr>
                <w:sz w:val="18"/>
                <w:szCs w:val="18"/>
              </w:rPr>
              <w:t>SN tumour volume</w:t>
            </w:r>
          </w:p>
        </w:tc>
        <w:tc>
          <w:tcPr>
            <w:tcW w:w="1095" w:type="pct"/>
          </w:tcPr>
          <w:p w14:paraId="566E7E7B" w14:textId="77777777" w:rsidR="00EB738E" w:rsidRPr="003E73CD" w:rsidRDefault="00EB738E" w:rsidP="00EB738E">
            <w:pPr>
              <w:rPr>
                <w:sz w:val="16"/>
                <w:szCs w:val="16"/>
              </w:rPr>
            </w:pPr>
            <w:r w:rsidRPr="003E73CD">
              <w:rPr>
                <w:sz w:val="16"/>
                <w:szCs w:val="16"/>
              </w:rPr>
              <w:t>Not included</w:t>
            </w:r>
          </w:p>
        </w:tc>
        <w:tc>
          <w:tcPr>
            <w:tcW w:w="1249" w:type="pct"/>
          </w:tcPr>
          <w:p w14:paraId="67F723BA" w14:textId="77777777" w:rsidR="00EB738E" w:rsidRPr="003E73CD" w:rsidRDefault="00EB738E" w:rsidP="00EB738E">
            <w:pPr>
              <w:rPr>
                <w:sz w:val="16"/>
                <w:szCs w:val="16"/>
              </w:rPr>
            </w:pPr>
            <w:r w:rsidRPr="003E73CD">
              <w:rPr>
                <w:sz w:val="16"/>
                <w:szCs w:val="16"/>
              </w:rPr>
              <w:t>Not included</w:t>
            </w:r>
          </w:p>
        </w:tc>
        <w:tc>
          <w:tcPr>
            <w:tcW w:w="995" w:type="pct"/>
          </w:tcPr>
          <w:p w14:paraId="0F2277C1" w14:textId="77777777" w:rsidR="00EB738E" w:rsidRPr="003E73CD" w:rsidRDefault="00EB738E" w:rsidP="00EB738E">
            <w:pPr>
              <w:rPr>
                <w:sz w:val="16"/>
                <w:szCs w:val="16"/>
              </w:rPr>
            </w:pPr>
            <w:r w:rsidRPr="003E73CD">
              <w:rPr>
                <w:sz w:val="16"/>
                <w:szCs w:val="16"/>
              </w:rPr>
              <w:t>Not included</w:t>
            </w:r>
          </w:p>
        </w:tc>
      </w:tr>
      <w:tr w:rsidR="00EB738E" w:rsidRPr="003E73CD" w14:paraId="5203E1A3" w14:textId="77777777" w:rsidTr="00EB738E">
        <w:tc>
          <w:tcPr>
            <w:tcW w:w="1661" w:type="pct"/>
          </w:tcPr>
          <w:p w14:paraId="4727DD9A" w14:textId="77777777" w:rsidR="00EB738E" w:rsidRPr="003E73CD" w:rsidRDefault="00EB738E" w:rsidP="00EB738E">
            <w:pPr>
              <w:rPr>
                <w:sz w:val="18"/>
                <w:szCs w:val="18"/>
              </w:rPr>
            </w:pPr>
            <w:r w:rsidRPr="003E73CD">
              <w:rPr>
                <w:sz w:val="18"/>
                <w:szCs w:val="18"/>
              </w:rPr>
              <w:t>Number of positive NSNs</w:t>
            </w:r>
          </w:p>
        </w:tc>
        <w:tc>
          <w:tcPr>
            <w:tcW w:w="1095" w:type="pct"/>
          </w:tcPr>
          <w:p w14:paraId="5F6D2985" w14:textId="77777777" w:rsidR="00EB738E" w:rsidRPr="003E73CD" w:rsidRDefault="00EB738E" w:rsidP="00EB738E">
            <w:pPr>
              <w:rPr>
                <w:sz w:val="16"/>
                <w:szCs w:val="16"/>
              </w:rPr>
            </w:pPr>
            <w:r w:rsidRPr="003E73CD">
              <w:rPr>
                <w:sz w:val="16"/>
                <w:szCs w:val="16"/>
              </w:rPr>
              <w:t>Not included</w:t>
            </w:r>
          </w:p>
        </w:tc>
        <w:tc>
          <w:tcPr>
            <w:tcW w:w="1249" w:type="pct"/>
          </w:tcPr>
          <w:p w14:paraId="79DEC594" w14:textId="77777777" w:rsidR="00EB738E" w:rsidRPr="003E73CD" w:rsidRDefault="00EB738E" w:rsidP="00EB738E">
            <w:pPr>
              <w:rPr>
                <w:sz w:val="16"/>
                <w:szCs w:val="16"/>
              </w:rPr>
            </w:pPr>
            <w:r w:rsidRPr="003E73CD">
              <w:rPr>
                <w:sz w:val="16"/>
                <w:szCs w:val="16"/>
              </w:rPr>
              <w:t>1.76 (1.05-2.95), p=0.032</w:t>
            </w:r>
          </w:p>
        </w:tc>
        <w:tc>
          <w:tcPr>
            <w:tcW w:w="995" w:type="pct"/>
          </w:tcPr>
          <w:p w14:paraId="724EBF0A" w14:textId="77777777" w:rsidR="00EB738E" w:rsidRPr="003E73CD" w:rsidRDefault="00EB738E" w:rsidP="00EB738E">
            <w:pPr>
              <w:rPr>
                <w:sz w:val="16"/>
                <w:szCs w:val="16"/>
              </w:rPr>
            </w:pPr>
            <w:r w:rsidRPr="003E73CD">
              <w:rPr>
                <w:sz w:val="16"/>
                <w:szCs w:val="16"/>
              </w:rPr>
              <w:t>Not included</w:t>
            </w:r>
          </w:p>
        </w:tc>
      </w:tr>
      <w:tr w:rsidR="00EB738E" w:rsidRPr="003E73CD" w14:paraId="05C799C6" w14:textId="77777777" w:rsidTr="00EB738E">
        <w:tc>
          <w:tcPr>
            <w:tcW w:w="1661" w:type="pct"/>
          </w:tcPr>
          <w:p w14:paraId="79F3FF8E" w14:textId="77777777" w:rsidR="00EB738E" w:rsidRPr="003E73CD" w:rsidRDefault="00EB738E" w:rsidP="00EB738E">
            <w:pPr>
              <w:rPr>
                <w:sz w:val="18"/>
                <w:szCs w:val="18"/>
              </w:rPr>
            </w:pPr>
            <w:r w:rsidRPr="003E73CD">
              <w:rPr>
                <w:sz w:val="18"/>
                <w:szCs w:val="18"/>
              </w:rPr>
              <w:t>NSN status</w:t>
            </w:r>
          </w:p>
        </w:tc>
        <w:tc>
          <w:tcPr>
            <w:tcW w:w="1095" w:type="pct"/>
          </w:tcPr>
          <w:p w14:paraId="209FE685" w14:textId="77777777" w:rsidR="00EB738E" w:rsidRPr="003E73CD" w:rsidRDefault="00EB738E" w:rsidP="00EB738E">
            <w:pPr>
              <w:rPr>
                <w:sz w:val="16"/>
                <w:szCs w:val="16"/>
              </w:rPr>
            </w:pPr>
            <w:r w:rsidRPr="003E73CD">
              <w:rPr>
                <w:sz w:val="16"/>
                <w:szCs w:val="16"/>
              </w:rPr>
              <w:t>2.5 (1.51-4.26), p&lt;0.001</w:t>
            </w:r>
          </w:p>
        </w:tc>
        <w:tc>
          <w:tcPr>
            <w:tcW w:w="1249" w:type="pct"/>
          </w:tcPr>
          <w:p w14:paraId="315B4094" w14:textId="77777777" w:rsidR="00EB738E" w:rsidRPr="003E73CD" w:rsidRDefault="00EB738E" w:rsidP="00EB738E">
            <w:pPr>
              <w:rPr>
                <w:sz w:val="16"/>
                <w:szCs w:val="16"/>
              </w:rPr>
            </w:pPr>
            <w:r w:rsidRPr="003E73CD">
              <w:rPr>
                <w:sz w:val="16"/>
                <w:szCs w:val="16"/>
              </w:rPr>
              <w:t>Not included</w:t>
            </w:r>
          </w:p>
        </w:tc>
        <w:tc>
          <w:tcPr>
            <w:tcW w:w="995" w:type="pct"/>
          </w:tcPr>
          <w:p w14:paraId="14C93374" w14:textId="77777777" w:rsidR="00EB738E" w:rsidRPr="003E73CD" w:rsidRDefault="00EB738E" w:rsidP="00EB738E">
            <w:pPr>
              <w:rPr>
                <w:sz w:val="16"/>
                <w:szCs w:val="16"/>
              </w:rPr>
            </w:pPr>
            <w:r w:rsidRPr="003E73CD">
              <w:rPr>
                <w:sz w:val="16"/>
                <w:szCs w:val="16"/>
              </w:rPr>
              <w:t>1.82 (1.24-2.69), p=0.002</w:t>
            </w:r>
          </w:p>
        </w:tc>
      </w:tr>
      <w:tr w:rsidR="00EB738E" w:rsidRPr="003E73CD" w14:paraId="20620CD6" w14:textId="77777777" w:rsidTr="00EB738E">
        <w:tc>
          <w:tcPr>
            <w:tcW w:w="1661" w:type="pct"/>
          </w:tcPr>
          <w:p w14:paraId="5562EFFC" w14:textId="77777777" w:rsidR="00EB738E" w:rsidRPr="003E73CD" w:rsidRDefault="00EB738E" w:rsidP="00EB738E">
            <w:pPr>
              <w:rPr>
                <w:sz w:val="18"/>
                <w:szCs w:val="18"/>
              </w:rPr>
            </w:pPr>
            <w:r w:rsidRPr="003E73CD">
              <w:rPr>
                <w:sz w:val="18"/>
                <w:szCs w:val="18"/>
              </w:rPr>
              <w:t>Total number of positive nodes</w:t>
            </w:r>
          </w:p>
        </w:tc>
        <w:tc>
          <w:tcPr>
            <w:tcW w:w="1095" w:type="pct"/>
          </w:tcPr>
          <w:p w14:paraId="4F9D7315" w14:textId="77777777" w:rsidR="00EB738E" w:rsidRPr="003E73CD" w:rsidRDefault="00EB738E" w:rsidP="00EB738E">
            <w:pPr>
              <w:rPr>
                <w:sz w:val="16"/>
                <w:szCs w:val="16"/>
              </w:rPr>
            </w:pPr>
            <w:r w:rsidRPr="003E73CD">
              <w:rPr>
                <w:sz w:val="16"/>
                <w:szCs w:val="16"/>
              </w:rPr>
              <w:t>1.1 (0.97-1.30), p=0.1</w:t>
            </w:r>
          </w:p>
        </w:tc>
        <w:tc>
          <w:tcPr>
            <w:tcW w:w="1249" w:type="pct"/>
          </w:tcPr>
          <w:p w14:paraId="6654D2FB" w14:textId="77777777" w:rsidR="00EB738E" w:rsidRPr="003E73CD" w:rsidRDefault="00EB738E" w:rsidP="00EB738E">
            <w:pPr>
              <w:rPr>
                <w:sz w:val="16"/>
                <w:szCs w:val="16"/>
              </w:rPr>
            </w:pPr>
            <w:r w:rsidRPr="003E73CD">
              <w:rPr>
                <w:sz w:val="16"/>
                <w:szCs w:val="16"/>
              </w:rPr>
              <w:t>0.82 (0.51-1.32), p=0.409</w:t>
            </w:r>
          </w:p>
        </w:tc>
        <w:tc>
          <w:tcPr>
            <w:tcW w:w="995" w:type="pct"/>
          </w:tcPr>
          <w:p w14:paraId="5F2EC5AB" w14:textId="77777777" w:rsidR="00EB738E" w:rsidRPr="003E73CD" w:rsidRDefault="00EB738E" w:rsidP="00EB738E">
            <w:pPr>
              <w:rPr>
                <w:sz w:val="16"/>
                <w:szCs w:val="16"/>
              </w:rPr>
            </w:pPr>
            <w:r w:rsidRPr="003E73CD">
              <w:rPr>
                <w:sz w:val="16"/>
                <w:szCs w:val="16"/>
              </w:rPr>
              <w:t>Not included</w:t>
            </w:r>
          </w:p>
        </w:tc>
      </w:tr>
    </w:tbl>
    <w:p w14:paraId="6C932DCE" w14:textId="77777777" w:rsidR="00EB738E" w:rsidRPr="003E73CD" w:rsidRDefault="00EB738E" w:rsidP="00EB738E">
      <w:pPr>
        <w:rPr>
          <w:sz w:val="16"/>
          <w:szCs w:val="16"/>
        </w:rPr>
      </w:pPr>
      <w:r w:rsidRPr="003E73CD">
        <w:rPr>
          <w:sz w:val="16"/>
          <w:szCs w:val="16"/>
        </w:rPr>
        <w:t xml:space="preserve">* </w:t>
      </w:r>
      <w:proofErr w:type="gramStart"/>
      <w:r w:rsidRPr="003E73CD">
        <w:rPr>
          <w:sz w:val="16"/>
          <w:szCs w:val="16"/>
        </w:rPr>
        <w:t>authors</w:t>
      </w:r>
      <w:proofErr w:type="gramEnd"/>
      <w:r w:rsidRPr="003E73CD">
        <w:rPr>
          <w:sz w:val="16"/>
          <w:szCs w:val="16"/>
        </w:rPr>
        <w:t xml:space="preserve"> stated that ulceration was included and was significant on univariate analysis but it did not appear in their results table or included in the multivariate analysis.</w:t>
      </w:r>
    </w:p>
    <w:p w14:paraId="65511D49" w14:textId="77777777" w:rsidR="00EB738E" w:rsidRPr="003E73CD" w:rsidRDefault="00EB738E" w:rsidP="00EB738E">
      <w:pPr>
        <w:rPr>
          <w:sz w:val="16"/>
          <w:szCs w:val="16"/>
        </w:rPr>
      </w:pPr>
      <w:r w:rsidRPr="003E73CD">
        <w:rPr>
          <w:sz w:val="16"/>
          <w:szCs w:val="16"/>
          <w:vertAlign w:val="superscript"/>
        </w:rPr>
        <w:t>&amp;</w:t>
      </w:r>
      <w:r w:rsidRPr="003E73CD">
        <w:rPr>
          <w:sz w:val="16"/>
          <w:szCs w:val="16"/>
        </w:rPr>
        <w:t>3 multivariate analyses performed.  Model 1 presented in current table.</w:t>
      </w:r>
    </w:p>
    <w:p w14:paraId="73DD779F" w14:textId="77777777" w:rsidR="00EB738E" w:rsidRPr="003E73CD" w:rsidRDefault="00EB738E" w:rsidP="00EB738E">
      <w:pPr>
        <w:rPr>
          <w:sz w:val="16"/>
          <w:szCs w:val="16"/>
        </w:rPr>
      </w:pPr>
      <w:r w:rsidRPr="003E73CD">
        <w:rPr>
          <w:sz w:val="16"/>
          <w:szCs w:val="16"/>
        </w:rPr>
        <w:t>SN = sentinel node, NSN = non-sentinel node.</w:t>
      </w:r>
    </w:p>
    <w:p w14:paraId="12430381" w14:textId="77777777" w:rsidR="00EB738E" w:rsidRPr="003E73CD" w:rsidRDefault="00EB738E" w:rsidP="00EB738E">
      <w:pPr>
        <w:rPr>
          <w:sz w:val="22"/>
          <w:szCs w:val="22"/>
        </w:rPr>
      </w:pPr>
    </w:p>
    <w:p w14:paraId="2FEA1F57" w14:textId="77777777" w:rsidR="00EB738E" w:rsidRPr="003E73CD" w:rsidRDefault="00EB738E" w:rsidP="00EB738E">
      <w:pPr>
        <w:rPr>
          <w:sz w:val="22"/>
          <w:szCs w:val="22"/>
        </w:rPr>
      </w:pPr>
    </w:p>
    <w:p w14:paraId="43C11E47" w14:textId="77777777" w:rsidR="00EB738E" w:rsidRPr="003E73CD" w:rsidRDefault="00EB738E" w:rsidP="00EB738E">
      <w:pPr>
        <w:rPr>
          <w:b/>
          <w:sz w:val="22"/>
          <w:szCs w:val="22"/>
        </w:rPr>
      </w:pPr>
      <w:r w:rsidRPr="003E73CD">
        <w:rPr>
          <w:b/>
          <w:sz w:val="22"/>
          <w:szCs w:val="22"/>
        </w:rPr>
        <w:br w:type="page"/>
      </w:r>
    </w:p>
    <w:p w14:paraId="15D9A402" w14:textId="77777777" w:rsidR="00397FF8" w:rsidRDefault="00397FF8" w:rsidP="00580806">
      <w:pPr>
        <w:sectPr w:rsidR="00397FF8" w:rsidSect="00397FF8">
          <w:pgSz w:w="11900" w:h="16840"/>
          <w:pgMar w:top="1440" w:right="1134" w:bottom="1440" w:left="2268" w:header="709" w:footer="709" w:gutter="0"/>
          <w:cols w:space="708"/>
          <w:docGrid w:linePitch="360"/>
        </w:sectPr>
      </w:pPr>
    </w:p>
    <w:p w14:paraId="527BFDE3" w14:textId="6EC85108" w:rsidR="00580806" w:rsidRDefault="00580806" w:rsidP="00580806">
      <w:r>
        <w:t>Table 3.1.5.  Quantitative quality assessment of included studies (n=11) against checklist scoring system developed from the STROBE statement checklist.</w:t>
      </w:r>
    </w:p>
    <w:p w14:paraId="79C7D8E9" w14:textId="77777777" w:rsidR="00580806" w:rsidRDefault="00580806" w:rsidP="00580806"/>
    <w:p w14:paraId="02D94E9F" w14:textId="77777777" w:rsidR="00580806" w:rsidRDefault="00580806" w:rsidP="00580806"/>
    <w:tbl>
      <w:tblPr>
        <w:tblStyle w:val="TableGrid"/>
        <w:tblpPr w:leftFromText="180" w:rightFromText="180" w:vertAnchor="page" w:horzAnchor="page" w:tblpX="3457" w:tblpY="3601"/>
        <w:tblW w:w="3733" w:type="pct"/>
        <w:tblLook w:val="04A0" w:firstRow="1" w:lastRow="0" w:firstColumn="1" w:lastColumn="0" w:noHBand="0" w:noVBand="1"/>
      </w:tblPr>
      <w:tblGrid>
        <w:gridCol w:w="1071"/>
        <w:gridCol w:w="1030"/>
        <w:gridCol w:w="812"/>
        <w:gridCol w:w="812"/>
        <w:gridCol w:w="843"/>
        <w:gridCol w:w="846"/>
        <w:gridCol w:w="812"/>
        <w:gridCol w:w="981"/>
        <w:gridCol w:w="812"/>
        <w:gridCol w:w="812"/>
        <w:gridCol w:w="812"/>
        <w:gridCol w:w="941"/>
      </w:tblGrid>
      <w:tr w:rsidR="00397FF8" w14:paraId="276CECE5" w14:textId="77777777" w:rsidTr="00397FF8">
        <w:trPr>
          <w:trHeight w:val="224"/>
        </w:trPr>
        <w:tc>
          <w:tcPr>
            <w:tcW w:w="506" w:type="pct"/>
            <w:vMerge w:val="restart"/>
          </w:tcPr>
          <w:p w14:paraId="2219BFE0" w14:textId="77777777" w:rsidR="00397FF8" w:rsidRPr="0052640F" w:rsidRDefault="00397FF8" w:rsidP="00397FF8">
            <w:pPr>
              <w:rPr>
                <w:sz w:val="22"/>
                <w:szCs w:val="22"/>
              </w:rPr>
            </w:pPr>
            <w:r w:rsidRPr="0052640F">
              <w:rPr>
                <w:sz w:val="22"/>
                <w:szCs w:val="22"/>
              </w:rPr>
              <w:t>Checklist Item</w:t>
            </w:r>
          </w:p>
        </w:tc>
        <w:tc>
          <w:tcPr>
            <w:tcW w:w="4494" w:type="pct"/>
            <w:gridSpan w:val="11"/>
          </w:tcPr>
          <w:p w14:paraId="50E2CA04" w14:textId="77777777" w:rsidR="00397FF8" w:rsidRPr="0052640F" w:rsidRDefault="00397FF8" w:rsidP="00397FF8">
            <w:pPr>
              <w:jc w:val="center"/>
              <w:rPr>
                <w:sz w:val="22"/>
                <w:szCs w:val="22"/>
              </w:rPr>
            </w:pPr>
            <w:r w:rsidRPr="0052640F">
              <w:rPr>
                <w:sz w:val="22"/>
                <w:szCs w:val="22"/>
              </w:rPr>
              <w:t>Study first author (year)</w:t>
            </w:r>
          </w:p>
        </w:tc>
      </w:tr>
      <w:tr w:rsidR="00397FF8" w14:paraId="5BDD61C4" w14:textId="77777777" w:rsidTr="00397FF8">
        <w:trPr>
          <w:trHeight w:val="563"/>
        </w:trPr>
        <w:tc>
          <w:tcPr>
            <w:tcW w:w="506" w:type="pct"/>
            <w:vMerge/>
            <w:tcBorders>
              <w:bottom w:val="single" w:sz="4" w:space="0" w:color="auto"/>
            </w:tcBorders>
          </w:tcPr>
          <w:p w14:paraId="18C8E72F" w14:textId="77777777" w:rsidR="00397FF8" w:rsidRDefault="00397FF8" w:rsidP="00397FF8"/>
        </w:tc>
        <w:tc>
          <w:tcPr>
            <w:tcW w:w="487" w:type="pct"/>
            <w:tcBorders>
              <w:bottom w:val="single" w:sz="4" w:space="0" w:color="auto"/>
            </w:tcBorders>
          </w:tcPr>
          <w:p w14:paraId="6E59AF51" w14:textId="77777777" w:rsidR="00397FF8" w:rsidRPr="0052640F" w:rsidRDefault="00397FF8" w:rsidP="00397FF8">
            <w:r w:rsidRPr="0052640F">
              <w:t>Cascinelli</w:t>
            </w:r>
          </w:p>
          <w:p w14:paraId="01A7ADF1" w14:textId="77777777" w:rsidR="00397FF8" w:rsidRPr="0052640F" w:rsidRDefault="00397FF8" w:rsidP="00397FF8">
            <w:r w:rsidRPr="0052640F">
              <w:t>(2006)</w:t>
            </w:r>
          </w:p>
        </w:tc>
        <w:tc>
          <w:tcPr>
            <w:tcW w:w="384" w:type="pct"/>
            <w:tcBorders>
              <w:bottom w:val="single" w:sz="4" w:space="0" w:color="auto"/>
            </w:tcBorders>
          </w:tcPr>
          <w:p w14:paraId="18C89F3D" w14:textId="77777777" w:rsidR="00397FF8" w:rsidRPr="0052640F" w:rsidRDefault="00397FF8" w:rsidP="00397FF8">
            <w:r w:rsidRPr="0052640F">
              <w:t>Ariyan</w:t>
            </w:r>
          </w:p>
          <w:p w14:paraId="6391B2D6" w14:textId="77777777" w:rsidR="00397FF8" w:rsidRPr="0052640F" w:rsidRDefault="00397FF8" w:rsidP="00397FF8">
            <w:r w:rsidRPr="0052640F">
              <w:t>(2008)</w:t>
            </w:r>
          </w:p>
        </w:tc>
        <w:tc>
          <w:tcPr>
            <w:tcW w:w="384" w:type="pct"/>
            <w:tcBorders>
              <w:bottom w:val="single" w:sz="4" w:space="0" w:color="auto"/>
            </w:tcBorders>
          </w:tcPr>
          <w:p w14:paraId="6786B29D" w14:textId="77777777" w:rsidR="00397FF8" w:rsidRPr="0052640F" w:rsidRDefault="00397FF8" w:rsidP="00397FF8">
            <w:r w:rsidRPr="0052640F">
              <w:t>Jakub</w:t>
            </w:r>
          </w:p>
          <w:p w14:paraId="357F24BA" w14:textId="77777777" w:rsidR="00397FF8" w:rsidRPr="0052640F" w:rsidRDefault="00397FF8" w:rsidP="00397FF8">
            <w:r w:rsidRPr="0052640F">
              <w:t>(2009)</w:t>
            </w:r>
          </w:p>
        </w:tc>
        <w:tc>
          <w:tcPr>
            <w:tcW w:w="398" w:type="pct"/>
            <w:tcBorders>
              <w:bottom w:val="single" w:sz="4" w:space="0" w:color="auto"/>
            </w:tcBorders>
          </w:tcPr>
          <w:p w14:paraId="69B0B86D" w14:textId="77777777" w:rsidR="00397FF8" w:rsidRPr="0052640F" w:rsidRDefault="00397FF8" w:rsidP="00397FF8">
            <w:r w:rsidRPr="0052640F">
              <w:t>Ghaferi</w:t>
            </w:r>
          </w:p>
          <w:p w14:paraId="3BA02B07" w14:textId="77777777" w:rsidR="00397FF8" w:rsidRPr="0052640F" w:rsidRDefault="00397FF8" w:rsidP="00397FF8">
            <w:r w:rsidRPr="0052640F">
              <w:t>(2009)</w:t>
            </w:r>
          </w:p>
        </w:tc>
        <w:tc>
          <w:tcPr>
            <w:tcW w:w="400" w:type="pct"/>
            <w:tcBorders>
              <w:bottom w:val="single" w:sz="4" w:space="0" w:color="auto"/>
            </w:tcBorders>
          </w:tcPr>
          <w:p w14:paraId="0A9F87EF" w14:textId="77777777" w:rsidR="00397FF8" w:rsidRPr="0052640F" w:rsidRDefault="00397FF8" w:rsidP="00397FF8">
            <w:r w:rsidRPr="0052640F">
              <w:t>Wiener</w:t>
            </w:r>
          </w:p>
          <w:p w14:paraId="252E8DE1" w14:textId="77777777" w:rsidR="00397FF8" w:rsidRPr="0052640F" w:rsidRDefault="00397FF8" w:rsidP="00397FF8">
            <w:r w:rsidRPr="0052640F">
              <w:t>(2010)</w:t>
            </w:r>
          </w:p>
        </w:tc>
        <w:tc>
          <w:tcPr>
            <w:tcW w:w="384" w:type="pct"/>
            <w:tcBorders>
              <w:bottom w:val="single" w:sz="4" w:space="0" w:color="auto"/>
            </w:tcBorders>
          </w:tcPr>
          <w:p w14:paraId="0605B11B" w14:textId="77777777" w:rsidR="00397FF8" w:rsidRPr="0052640F" w:rsidRDefault="00397FF8" w:rsidP="00397FF8">
            <w:r w:rsidRPr="0052640F">
              <w:t>Brown</w:t>
            </w:r>
          </w:p>
          <w:p w14:paraId="23680D69" w14:textId="77777777" w:rsidR="00397FF8" w:rsidRPr="0052640F" w:rsidRDefault="00397FF8" w:rsidP="00397FF8">
            <w:r w:rsidRPr="0052640F">
              <w:t>(2010)</w:t>
            </w:r>
          </w:p>
        </w:tc>
        <w:tc>
          <w:tcPr>
            <w:tcW w:w="463" w:type="pct"/>
            <w:tcBorders>
              <w:bottom w:val="single" w:sz="4" w:space="0" w:color="auto"/>
            </w:tcBorders>
          </w:tcPr>
          <w:p w14:paraId="69D73C40" w14:textId="77777777" w:rsidR="00397FF8" w:rsidRPr="0052640F" w:rsidRDefault="00397FF8" w:rsidP="00397FF8">
            <w:r w:rsidRPr="0052640F">
              <w:t>Reintgen</w:t>
            </w:r>
          </w:p>
          <w:p w14:paraId="012F4B8E" w14:textId="77777777" w:rsidR="00397FF8" w:rsidRPr="0052640F" w:rsidRDefault="00397FF8" w:rsidP="00397FF8">
            <w:r w:rsidRPr="0052640F">
              <w:t>(2013)</w:t>
            </w:r>
          </w:p>
        </w:tc>
        <w:tc>
          <w:tcPr>
            <w:tcW w:w="384" w:type="pct"/>
            <w:tcBorders>
              <w:bottom w:val="single" w:sz="4" w:space="0" w:color="auto"/>
            </w:tcBorders>
          </w:tcPr>
          <w:p w14:paraId="0E723412" w14:textId="77777777" w:rsidR="00397FF8" w:rsidRPr="0052640F" w:rsidRDefault="00397FF8" w:rsidP="00397FF8">
            <w:pPr>
              <w:rPr>
                <w:vertAlign w:val="superscript"/>
              </w:rPr>
            </w:pPr>
            <w:r w:rsidRPr="0052640F">
              <w:t>Egger</w:t>
            </w:r>
            <w:r w:rsidRPr="0052640F">
              <w:rPr>
                <w:vertAlign w:val="superscript"/>
              </w:rPr>
              <w:t>a</w:t>
            </w:r>
          </w:p>
          <w:p w14:paraId="4E4453D5" w14:textId="77777777" w:rsidR="00397FF8" w:rsidRPr="0052640F" w:rsidRDefault="00397FF8" w:rsidP="00397FF8">
            <w:r w:rsidRPr="0052640F">
              <w:t>(2013)</w:t>
            </w:r>
          </w:p>
        </w:tc>
        <w:tc>
          <w:tcPr>
            <w:tcW w:w="384" w:type="pct"/>
            <w:tcBorders>
              <w:bottom w:val="single" w:sz="4" w:space="0" w:color="auto"/>
            </w:tcBorders>
          </w:tcPr>
          <w:p w14:paraId="2E50E7B0" w14:textId="77777777" w:rsidR="00397FF8" w:rsidRPr="0052640F" w:rsidRDefault="00397FF8" w:rsidP="00397FF8">
            <w:r w:rsidRPr="0052640F">
              <w:t>Leung</w:t>
            </w:r>
          </w:p>
          <w:p w14:paraId="70D509E0" w14:textId="77777777" w:rsidR="00397FF8" w:rsidRPr="0052640F" w:rsidRDefault="00397FF8" w:rsidP="00397FF8">
            <w:r w:rsidRPr="0052640F">
              <w:t>(2013)</w:t>
            </w:r>
          </w:p>
        </w:tc>
        <w:tc>
          <w:tcPr>
            <w:tcW w:w="384" w:type="pct"/>
            <w:tcBorders>
              <w:bottom w:val="single" w:sz="4" w:space="0" w:color="auto"/>
            </w:tcBorders>
          </w:tcPr>
          <w:p w14:paraId="37E8C665" w14:textId="77777777" w:rsidR="00397FF8" w:rsidRPr="0052640F" w:rsidRDefault="00397FF8" w:rsidP="00397FF8">
            <w:pPr>
              <w:rPr>
                <w:vertAlign w:val="superscript"/>
              </w:rPr>
            </w:pPr>
            <w:r w:rsidRPr="0052640F">
              <w:t>Egger</w:t>
            </w:r>
            <w:r w:rsidRPr="0052640F">
              <w:rPr>
                <w:vertAlign w:val="superscript"/>
              </w:rPr>
              <w:t>b</w:t>
            </w:r>
          </w:p>
          <w:p w14:paraId="780FD972" w14:textId="77777777" w:rsidR="00397FF8" w:rsidRPr="0052640F" w:rsidRDefault="00397FF8" w:rsidP="00397FF8">
            <w:r w:rsidRPr="0052640F">
              <w:t>(2013)</w:t>
            </w:r>
          </w:p>
        </w:tc>
        <w:tc>
          <w:tcPr>
            <w:tcW w:w="445" w:type="pct"/>
            <w:tcBorders>
              <w:bottom w:val="single" w:sz="4" w:space="0" w:color="auto"/>
            </w:tcBorders>
          </w:tcPr>
          <w:p w14:paraId="1315D291" w14:textId="77777777" w:rsidR="00397FF8" w:rsidRPr="0052640F" w:rsidRDefault="00397FF8" w:rsidP="00397FF8">
            <w:r w:rsidRPr="0052640F">
              <w:t>Pasquali</w:t>
            </w:r>
          </w:p>
          <w:p w14:paraId="473BCABC" w14:textId="77777777" w:rsidR="00397FF8" w:rsidRPr="0052640F" w:rsidRDefault="00397FF8" w:rsidP="00397FF8">
            <w:r w:rsidRPr="0052640F">
              <w:t>(2014)</w:t>
            </w:r>
          </w:p>
        </w:tc>
      </w:tr>
      <w:tr w:rsidR="00397FF8" w:rsidRPr="0052640F" w14:paraId="03D5187E" w14:textId="77777777" w:rsidTr="00397FF8">
        <w:tc>
          <w:tcPr>
            <w:tcW w:w="506" w:type="pct"/>
          </w:tcPr>
          <w:p w14:paraId="56FC8361" w14:textId="77777777" w:rsidR="00397FF8" w:rsidRPr="0052640F" w:rsidRDefault="00397FF8" w:rsidP="00397FF8">
            <w:r w:rsidRPr="0052640F">
              <w:t>1</w:t>
            </w:r>
          </w:p>
        </w:tc>
        <w:tc>
          <w:tcPr>
            <w:tcW w:w="487" w:type="pct"/>
          </w:tcPr>
          <w:p w14:paraId="3048FEA6" w14:textId="77777777" w:rsidR="00397FF8" w:rsidRPr="0052640F" w:rsidRDefault="00397FF8" w:rsidP="00397FF8">
            <w:r w:rsidRPr="0052640F">
              <w:t>3</w:t>
            </w:r>
          </w:p>
        </w:tc>
        <w:tc>
          <w:tcPr>
            <w:tcW w:w="384" w:type="pct"/>
          </w:tcPr>
          <w:p w14:paraId="7B5DFB0C" w14:textId="77777777" w:rsidR="00397FF8" w:rsidRPr="0052640F" w:rsidRDefault="00397FF8" w:rsidP="00397FF8">
            <w:r w:rsidRPr="0052640F">
              <w:t>4</w:t>
            </w:r>
          </w:p>
        </w:tc>
        <w:tc>
          <w:tcPr>
            <w:tcW w:w="384" w:type="pct"/>
          </w:tcPr>
          <w:p w14:paraId="5F74E5E8" w14:textId="77777777" w:rsidR="00397FF8" w:rsidRPr="0052640F" w:rsidRDefault="00397FF8" w:rsidP="00397FF8">
            <w:r w:rsidRPr="0052640F">
              <w:t>2</w:t>
            </w:r>
          </w:p>
        </w:tc>
        <w:tc>
          <w:tcPr>
            <w:tcW w:w="398" w:type="pct"/>
          </w:tcPr>
          <w:p w14:paraId="22A4DA83" w14:textId="77777777" w:rsidR="00397FF8" w:rsidRPr="0052640F" w:rsidRDefault="00397FF8" w:rsidP="00397FF8">
            <w:r w:rsidRPr="0052640F">
              <w:t>4</w:t>
            </w:r>
          </w:p>
        </w:tc>
        <w:tc>
          <w:tcPr>
            <w:tcW w:w="400" w:type="pct"/>
          </w:tcPr>
          <w:p w14:paraId="295F9647" w14:textId="77777777" w:rsidR="00397FF8" w:rsidRPr="0052640F" w:rsidRDefault="00397FF8" w:rsidP="00397FF8">
            <w:r w:rsidRPr="0052640F">
              <w:t>4</w:t>
            </w:r>
          </w:p>
        </w:tc>
        <w:tc>
          <w:tcPr>
            <w:tcW w:w="384" w:type="pct"/>
          </w:tcPr>
          <w:p w14:paraId="5314EE98" w14:textId="77777777" w:rsidR="00397FF8" w:rsidRPr="0052640F" w:rsidRDefault="00397FF8" w:rsidP="00397FF8">
            <w:r w:rsidRPr="0052640F">
              <w:t>4</w:t>
            </w:r>
          </w:p>
        </w:tc>
        <w:tc>
          <w:tcPr>
            <w:tcW w:w="463" w:type="pct"/>
          </w:tcPr>
          <w:p w14:paraId="65121E06" w14:textId="77777777" w:rsidR="00397FF8" w:rsidRPr="0052640F" w:rsidRDefault="00397FF8" w:rsidP="00397FF8">
            <w:r w:rsidRPr="0052640F">
              <w:t>2</w:t>
            </w:r>
          </w:p>
        </w:tc>
        <w:tc>
          <w:tcPr>
            <w:tcW w:w="384" w:type="pct"/>
          </w:tcPr>
          <w:p w14:paraId="0316C019" w14:textId="77777777" w:rsidR="00397FF8" w:rsidRPr="0052640F" w:rsidRDefault="00397FF8" w:rsidP="00397FF8">
            <w:r w:rsidRPr="0052640F">
              <w:t>5</w:t>
            </w:r>
          </w:p>
        </w:tc>
        <w:tc>
          <w:tcPr>
            <w:tcW w:w="384" w:type="pct"/>
          </w:tcPr>
          <w:p w14:paraId="1AD4327C" w14:textId="77777777" w:rsidR="00397FF8" w:rsidRPr="0052640F" w:rsidRDefault="00397FF8" w:rsidP="00397FF8">
            <w:r w:rsidRPr="0052640F">
              <w:t>4</w:t>
            </w:r>
          </w:p>
        </w:tc>
        <w:tc>
          <w:tcPr>
            <w:tcW w:w="384" w:type="pct"/>
          </w:tcPr>
          <w:p w14:paraId="59A189C0" w14:textId="77777777" w:rsidR="00397FF8" w:rsidRPr="0052640F" w:rsidRDefault="00397FF8" w:rsidP="00397FF8">
            <w:r w:rsidRPr="0052640F">
              <w:t>4</w:t>
            </w:r>
          </w:p>
        </w:tc>
        <w:tc>
          <w:tcPr>
            <w:tcW w:w="445" w:type="pct"/>
          </w:tcPr>
          <w:p w14:paraId="252E7F44" w14:textId="77777777" w:rsidR="00397FF8" w:rsidRPr="0052640F" w:rsidRDefault="00397FF8" w:rsidP="00397FF8">
            <w:r w:rsidRPr="0052640F">
              <w:t>4</w:t>
            </w:r>
          </w:p>
        </w:tc>
      </w:tr>
      <w:tr w:rsidR="00397FF8" w:rsidRPr="0052640F" w14:paraId="7F8C6A0B" w14:textId="77777777" w:rsidTr="00397FF8">
        <w:tc>
          <w:tcPr>
            <w:tcW w:w="506" w:type="pct"/>
          </w:tcPr>
          <w:p w14:paraId="21194383" w14:textId="77777777" w:rsidR="00397FF8" w:rsidRPr="0052640F" w:rsidRDefault="00397FF8" w:rsidP="00397FF8">
            <w:r w:rsidRPr="0052640F">
              <w:t>2</w:t>
            </w:r>
          </w:p>
        </w:tc>
        <w:tc>
          <w:tcPr>
            <w:tcW w:w="487" w:type="pct"/>
          </w:tcPr>
          <w:p w14:paraId="613FB2BC" w14:textId="77777777" w:rsidR="00397FF8" w:rsidRPr="0052640F" w:rsidRDefault="00397FF8" w:rsidP="00397FF8">
            <w:r w:rsidRPr="0052640F">
              <w:t>1</w:t>
            </w:r>
          </w:p>
        </w:tc>
        <w:tc>
          <w:tcPr>
            <w:tcW w:w="384" w:type="pct"/>
          </w:tcPr>
          <w:p w14:paraId="63B8AE56" w14:textId="77777777" w:rsidR="00397FF8" w:rsidRPr="0052640F" w:rsidRDefault="00397FF8" w:rsidP="00397FF8">
            <w:r w:rsidRPr="0052640F">
              <w:t>2</w:t>
            </w:r>
          </w:p>
        </w:tc>
        <w:tc>
          <w:tcPr>
            <w:tcW w:w="384" w:type="pct"/>
          </w:tcPr>
          <w:p w14:paraId="3F05037E" w14:textId="77777777" w:rsidR="00397FF8" w:rsidRPr="0052640F" w:rsidRDefault="00397FF8" w:rsidP="00397FF8">
            <w:r w:rsidRPr="0052640F">
              <w:t>2</w:t>
            </w:r>
          </w:p>
        </w:tc>
        <w:tc>
          <w:tcPr>
            <w:tcW w:w="398" w:type="pct"/>
          </w:tcPr>
          <w:p w14:paraId="3E63C1FB" w14:textId="77777777" w:rsidR="00397FF8" w:rsidRPr="0052640F" w:rsidRDefault="00397FF8" w:rsidP="00397FF8">
            <w:r w:rsidRPr="0052640F">
              <w:t>2</w:t>
            </w:r>
          </w:p>
        </w:tc>
        <w:tc>
          <w:tcPr>
            <w:tcW w:w="400" w:type="pct"/>
          </w:tcPr>
          <w:p w14:paraId="14157F6C" w14:textId="77777777" w:rsidR="00397FF8" w:rsidRPr="0052640F" w:rsidRDefault="00397FF8" w:rsidP="00397FF8">
            <w:r w:rsidRPr="0052640F">
              <w:t>2</w:t>
            </w:r>
          </w:p>
        </w:tc>
        <w:tc>
          <w:tcPr>
            <w:tcW w:w="384" w:type="pct"/>
          </w:tcPr>
          <w:p w14:paraId="17C5FF6B" w14:textId="77777777" w:rsidR="00397FF8" w:rsidRPr="0052640F" w:rsidRDefault="00397FF8" w:rsidP="00397FF8">
            <w:r w:rsidRPr="0052640F">
              <w:t>2</w:t>
            </w:r>
          </w:p>
        </w:tc>
        <w:tc>
          <w:tcPr>
            <w:tcW w:w="463" w:type="pct"/>
          </w:tcPr>
          <w:p w14:paraId="21E473A8" w14:textId="77777777" w:rsidR="00397FF8" w:rsidRPr="0052640F" w:rsidRDefault="00397FF8" w:rsidP="00397FF8">
            <w:r w:rsidRPr="0052640F">
              <w:t>2</w:t>
            </w:r>
          </w:p>
        </w:tc>
        <w:tc>
          <w:tcPr>
            <w:tcW w:w="384" w:type="pct"/>
          </w:tcPr>
          <w:p w14:paraId="5435A7F5" w14:textId="77777777" w:rsidR="00397FF8" w:rsidRPr="0052640F" w:rsidRDefault="00397FF8" w:rsidP="00397FF8">
            <w:r w:rsidRPr="0052640F">
              <w:t>2</w:t>
            </w:r>
          </w:p>
        </w:tc>
        <w:tc>
          <w:tcPr>
            <w:tcW w:w="384" w:type="pct"/>
          </w:tcPr>
          <w:p w14:paraId="29793720" w14:textId="77777777" w:rsidR="00397FF8" w:rsidRPr="0052640F" w:rsidRDefault="00397FF8" w:rsidP="00397FF8">
            <w:r w:rsidRPr="0052640F">
              <w:t>2</w:t>
            </w:r>
          </w:p>
        </w:tc>
        <w:tc>
          <w:tcPr>
            <w:tcW w:w="384" w:type="pct"/>
          </w:tcPr>
          <w:p w14:paraId="2A44874A" w14:textId="77777777" w:rsidR="00397FF8" w:rsidRPr="0052640F" w:rsidRDefault="00397FF8" w:rsidP="00397FF8">
            <w:r w:rsidRPr="0052640F">
              <w:t>2</w:t>
            </w:r>
          </w:p>
        </w:tc>
        <w:tc>
          <w:tcPr>
            <w:tcW w:w="445" w:type="pct"/>
          </w:tcPr>
          <w:p w14:paraId="2206F25C" w14:textId="77777777" w:rsidR="00397FF8" w:rsidRPr="0052640F" w:rsidRDefault="00397FF8" w:rsidP="00397FF8">
            <w:r w:rsidRPr="0052640F">
              <w:t>2</w:t>
            </w:r>
          </w:p>
        </w:tc>
      </w:tr>
      <w:tr w:rsidR="00397FF8" w:rsidRPr="0052640F" w14:paraId="09053F66" w14:textId="77777777" w:rsidTr="00397FF8">
        <w:tc>
          <w:tcPr>
            <w:tcW w:w="506" w:type="pct"/>
          </w:tcPr>
          <w:p w14:paraId="48CD11CB" w14:textId="77777777" w:rsidR="00397FF8" w:rsidRPr="0052640F" w:rsidRDefault="00397FF8" w:rsidP="00397FF8">
            <w:r w:rsidRPr="0052640F">
              <w:t>3</w:t>
            </w:r>
          </w:p>
        </w:tc>
        <w:tc>
          <w:tcPr>
            <w:tcW w:w="487" w:type="pct"/>
          </w:tcPr>
          <w:p w14:paraId="7E3084DD" w14:textId="77777777" w:rsidR="00397FF8" w:rsidRPr="0052640F" w:rsidRDefault="00397FF8" w:rsidP="00397FF8">
            <w:r w:rsidRPr="0052640F">
              <w:t>0</w:t>
            </w:r>
          </w:p>
        </w:tc>
        <w:tc>
          <w:tcPr>
            <w:tcW w:w="384" w:type="pct"/>
          </w:tcPr>
          <w:p w14:paraId="2666169C" w14:textId="77777777" w:rsidR="00397FF8" w:rsidRPr="0052640F" w:rsidRDefault="00397FF8" w:rsidP="00397FF8">
            <w:r w:rsidRPr="0052640F">
              <w:t>1</w:t>
            </w:r>
          </w:p>
        </w:tc>
        <w:tc>
          <w:tcPr>
            <w:tcW w:w="384" w:type="pct"/>
          </w:tcPr>
          <w:p w14:paraId="357E301F" w14:textId="77777777" w:rsidR="00397FF8" w:rsidRPr="0052640F" w:rsidRDefault="00397FF8" w:rsidP="00397FF8">
            <w:r w:rsidRPr="0052640F">
              <w:t>1</w:t>
            </w:r>
          </w:p>
        </w:tc>
        <w:tc>
          <w:tcPr>
            <w:tcW w:w="398" w:type="pct"/>
          </w:tcPr>
          <w:p w14:paraId="4508D9BF" w14:textId="77777777" w:rsidR="00397FF8" w:rsidRPr="0052640F" w:rsidRDefault="00397FF8" w:rsidP="00397FF8">
            <w:r w:rsidRPr="0052640F">
              <w:t>1</w:t>
            </w:r>
          </w:p>
        </w:tc>
        <w:tc>
          <w:tcPr>
            <w:tcW w:w="400" w:type="pct"/>
          </w:tcPr>
          <w:p w14:paraId="7F964EF9" w14:textId="77777777" w:rsidR="00397FF8" w:rsidRPr="0052640F" w:rsidRDefault="00397FF8" w:rsidP="00397FF8">
            <w:r w:rsidRPr="0052640F">
              <w:t>1</w:t>
            </w:r>
          </w:p>
        </w:tc>
        <w:tc>
          <w:tcPr>
            <w:tcW w:w="384" w:type="pct"/>
          </w:tcPr>
          <w:p w14:paraId="44609773" w14:textId="77777777" w:rsidR="00397FF8" w:rsidRPr="0052640F" w:rsidRDefault="00397FF8" w:rsidP="00397FF8">
            <w:r w:rsidRPr="0052640F">
              <w:t>1</w:t>
            </w:r>
          </w:p>
        </w:tc>
        <w:tc>
          <w:tcPr>
            <w:tcW w:w="463" w:type="pct"/>
          </w:tcPr>
          <w:p w14:paraId="489EED52" w14:textId="77777777" w:rsidR="00397FF8" w:rsidRPr="0052640F" w:rsidRDefault="00397FF8" w:rsidP="00397FF8">
            <w:r w:rsidRPr="0052640F">
              <w:t>1</w:t>
            </w:r>
          </w:p>
        </w:tc>
        <w:tc>
          <w:tcPr>
            <w:tcW w:w="384" w:type="pct"/>
          </w:tcPr>
          <w:p w14:paraId="140334C3" w14:textId="77777777" w:rsidR="00397FF8" w:rsidRPr="0052640F" w:rsidRDefault="00397FF8" w:rsidP="00397FF8">
            <w:r w:rsidRPr="0052640F">
              <w:t>1</w:t>
            </w:r>
          </w:p>
        </w:tc>
        <w:tc>
          <w:tcPr>
            <w:tcW w:w="384" w:type="pct"/>
          </w:tcPr>
          <w:p w14:paraId="5A0BEBBD" w14:textId="77777777" w:rsidR="00397FF8" w:rsidRPr="0052640F" w:rsidRDefault="00397FF8" w:rsidP="00397FF8">
            <w:r w:rsidRPr="0052640F">
              <w:t>1</w:t>
            </w:r>
          </w:p>
        </w:tc>
        <w:tc>
          <w:tcPr>
            <w:tcW w:w="384" w:type="pct"/>
          </w:tcPr>
          <w:p w14:paraId="165F95C4" w14:textId="77777777" w:rsidR="00397FF8" w:rsidRPr="0052640F" w:rsidRDefault="00397FF8" w:rsidP="00397FF8">
            <w:r w:rsidRPr="0052640F">
              <w:t>0</w:t>
            </w:r>
          </w:p>
        </w:tc>
        <w:tc>
          <w:tcPr>
            <w:tcW w:w="445" w:type="pct"/>
          </w:tcPr>
          <w:p w14:paraId="6C014D74" w14:textId="77777777" w:rsidR="00397FF8" w:rsidRPr="0052640F" w:rsidRDefault="00397FF8" w:rsidP="00397FF8">
            <w:r w:rsidRPr="0052640F">
              <w:t>0</w:t>
            </w:r>
          </w:p>
        </w:tc>
      </w:tr>
      <w:tr w:rsidR="00397FF8" w:rsidRPr="0052640F" w14:paraId="593E81AC" w14:textId="77777777" w:rsidTr="00397FF8">
        <w:tc>
          <w:tcPr>
            <w:tcW w:w="506" w:type="pct"/>
          </w:tcPr>
          <w:p w14:paraId="295DE108" w14:textId="77777777" w:rsidR="00397FF8" w:rsidRPr="0052640F" w:rsidRDefault="00397FF8" w:rsidP="00397FF8">
            <w:r w:rsidRPr="0052640F">
              <w:t>4</w:t>
            </w:r>
          </w:p>
        </w:tc>
        <w:tc>
          <w:tcPr>
            <w:tcW w:w="487" w:type="pct"/>
          </w:tcPr>
          <w:p w14:paraId="118EB37F" w14:textId="77777777" w:rsidR="00397FF8" w:rsidRPr="0052640F" w:rsidRDefault="00397FF8" w:rsidP="00397FF8">
            <w:r w:rsidRPr="0052640F">
              <w:t>2</w:t>
            </w:r>
          </w:p>
        </w:tc>
        <w:tc>
          <w:tcPr>
            <w:tcW w:w="384" w:type="pct"/>
          </w:tcPr>
          <w:p w14:paraId="2A88BC78" w14:textId="77777777" w:rsidR="00397FF8" w:rsidRPr="0052640F" w:rsidRDefault="00397FF8" w:rsidP="00397FF8">
            <w:r w:rsidRPr="0052640F">
              <w:t>3</w:t>
            </w:r>
          </w:p>
        </w:tc>
        <w:tc>
          <w:tcPr>
            <w:tcW w:w="384" w:type="pct"/>
          </w:tcPr>
          <w:p w14:paraId="5AB31D4F" w14:textId="77777777" w:rsidR="00397FF8" w:rsidRPr="0052640F" w:rsidRDefault="00397FF8" w:rsidP="00397FF8">
            <w:r w:rsidRPr="0052640F">
              <w:t>3</w:t>
            </w:r>
          </w:p>
        </w:tc>
        <w:tc>
          <w:tcPr>
            <w:tcW w:w="398" w:type="pct"/>
          </w:tcPr>
          <w:p w14:paraId="2478581C" w14:textId="77777777" w:rsidR="00397FF8" w:rsidRPr="0052640F" w:rsidRDefault="00397FF8" w:rsidP="00397FF8">
            <w:r w:rsidRPr="0052640F">
              <w:t>3</w:t>
            </w:r>
          </w:p>
        </w:tc>
        <w:tc>
          <w:tcPr>
            <w:tcW w:w="400" w:type="pct"/>
          </w:tcPr>
          <w:p w14:paraId="37D9000A" w14:textId="77777777" w:rsidR="00397FF8" w:rsidRPr="0052640F" w:rsidRDefault="00397FF8" w:rsidP="00397FF8">
            <w:r w:rsidRPr="0052640F">
              <w:t>3</w:t>
            </w:r>
          </w:p>
        </w:tc>
        <w:tc>
          <w:tcPr>
            <w:tcW w:w="384" w:type="pct"/>
          </w:tcPr>
          <w:p w14:paraId="1AE35F9E" w14:textId="77777777" w:rsidR="00397FF8" w:rsidRPr="0052640F" w:rsidRDefault="00397FF8" w:rsidP="00397FF8">
            <w:r w:rsidRPr="0052640F">
              <w:t>3</w:t>
            </w:r>
          </w:p>
        </w:tc>
        <w:tc>
          <w:tcPr>
            <w:tcW w:w="463" w:type="pct"/>
          </w:tcPr>
          <w:p w14:paraId="1FD7FE07" w14:textId="77777777" w:rsidR="00397FF8" w:rsidRPr="0052640F" w:rsidRDefault="00397FF8" w:rsidP="00397FF8">
            <w:r w:rsidRPr="0052640F">
              <w:t>2</w:t>
            </w:r>
          </w:p>
        </w:tc>
        <w:tc>
          <w:tcPr>
            <w:tcW w:w="384" w:type="pct"/>
          </w:tcPr>
          <w:p w14:paraId="3C390CEA" w14:textId="77777777" w:rsidR="00397FF8" w:rsidRPr="0052640F" w:rsidRDefault="00397FF8" w:rsidP="00397FF8">
            <w:r w:rsidRPr="0052640F">
              <w:t>3</w:t>
            </w:r>
          </w:p>
        </w:tc>
        <w:tc>
          <w:tcPr>
            <w:tcW w:w="384" w:type="pct"/>
          </w:tcPr>
          <w:p w14:paraId="73B13396" w14:textId="77777777" w:rsidR="00397FF8" w:rsidRPr="0052640F" w:rsidRDefault="00397FF8" w:rsidP="00397FF8">
            <w:r w:rsidRPr="0052640F">
              <w:t>3</w:t>
            </w:r>
          </w:p>
        </w:tc>
        <w:tc>
          <w:tcPr>
            <w:tcW w:w="384" w:type="pct"/>
          </w:tcPr>
          <w:p w14:paraId="701505BD" w14:textId="77777777" w:rsidR="00397FF8" w:rsidRPr="0052640F" w:rsidRDefault="00397FF8" w:rsidP="00397FF8">
            <w:r w:rsidRPr="0052640F">
              <w:t>3</w:t>
            </w:r>
          </w:p>
        </w:tc>
        <w:tc>
          <w:tcPr>
            <w:tcW w:w="445" w:type="pct"/>
          </w:tcPr>
          <w:p w14:paraId="718A146D" w14:textId="77777777" w:rsidR="00397FF8" w:rsidRPr="0052640F" w:rsidRDefault="00397FF8" w:rsidP="00397FF8">
            <w:r w:rsidRPr="0052640F">
              <w:t>3</w:t>
            </w:r>
          </w:p>
        </w:tc>
      </w:tr>
      <w:tr w:rsidR="00397FF8" w:rsidRPr="0052640F" w14:paraId="6B7AC873" w14:textId="77777777" w:rsidTr="00397FF8">
        <w:tc>
          <w:tcPr>
            <w:tcW w:w="506" w:type="pct"/>
          </w:tcPr>
          <w:p w14:paraId="4E0188DD" w14:textId="77777777" w:rsidR="00397FF8" w:rsidRPr="0052640F" w:rsidRDefault="00397FF8" w:rsidP="00397FF8">
            <w:r w:rsidRPr="0052640F">
              <w:t>5</w:t>
            </w:r>
          </w:p>
        </w:tc>
        <w:tc>
          <w:tcPr>
            <w:tcW w:w="487" w:type="pct"/>
          </w:tcPr>
          <w:p w14:paraId="2BEC56E9" w14:textId="77777777" w:rsidR="00397FF8" w:rsidRPr="0052640F" w:rsidRDefault="00397FF8" w:rsidP="00397FF8">
            <w:r w:rsidRPr="0052640F">
              <w:t>5</w:t>
            </w:r>
          </w:p>
        </w:tc>
        <w:tc>
          <w:tcPr>
            <w:tcW w:w="384" w:type="pct"/>
          </w:tcPr>
          <w:p w14:paraId="24CEED35" w14:textId="77777777" w:rsidR="00397FF8" w:rsidRPr="0052640F" w:rsidRDefault="00397FF8" w:rsidP="00397FF8">
            <w:r w:rsidRPr="0052640F">
              <w:t>5</w:t>
            </w:r>
          </w:p>
        </w:tc>
        <w:tc>
          <w:tcPr>
            <w:tcW w:w="384" w:type="pct"/>
          </w:tcPr>
          <w:p w14:paraId="316EC573" w14:textId="77777777" w:rsidR="00397FF8" w:rsidRPr="0052640F" w:rsidRDefault="00397FF8" w:rsidP="00397FF8">
            <w:r w:rsidRPr="0052640F">
              <w:t>6</w:t>
            </w:r>
          </w:p>
        </w:tc>
        <w:tc>
          <w:tcPr>
            <w:tcW w:w="398" w:type="pct"/>
          </w:tcPr>
          <w:p w14:paraId="0199934A" w14:textId="77777777" w:rsidR="00397FF8" w:rsidRPr="0052640F" w:rsidRDefault="00397FF8" w:rsidP="00397FF8">
            <w:r w:rsidRPr="0052640F">
              <w:t>5</w:t>
            </w:r>
          </w:p>
        </w:tc>
        <w:tc>
          <w:tcPr>
            <w:tcW w:w="400" w:type="pct"/>
          </w:tcPr>
          <w:p w14:paraId="7BB42E6F" w14:textId="77777777" w:rsidR="00397FF8" w:rsidRPr="0052640F" w:rsidRDefault="00397FF8" w:rsidP="00397FF8">
            <w:r w:rsidRPr="0052640F">
              <w:t>5</w:t>
            </w:r>
          </w:p>
        </w:tc>
        <w:tc>
          <w:tcPr>
            <w:tcW w:w="384" w:type="pct"/>
          </w:tcPr>
          <w:p w14:paraId="4A664D23" w14:textId="77777777" w:rsidR="00397FF8" w:rsidRPr="0052640F" w:rsidRDefault="00397FF8" w:rsidP="00397FF8">
            <w:r w:rsidRPr="0052640F">
              <w:t>6</w:t>
            </w:r>
          </w:p>
        </w:tc>
        <w:tc>
          <w:tcPr>
            <w:tcW w:w="463" w:type="pct"/>
          </w:tcPr>
          <w:p w14:paraId="51AA23FC" w14:textId="77777777" w:rsidR="00397FF8" w:rsidRPr="0052640F" w:rsidRDefault="00397FF8" w:rsidP="00397FF8">
            <w:r w:rsidRPr="0052640F">
              <w:t>6</w:t>
            </w:r>
          </w:p>
        </w:tc>
        <w:tc>
          <w:tcPr>
            <w:tcW w:w="384" w:type="pct"/>
          </w:tcPr>
          <w:p w14:paraId="07336673" w14:textId="77777777" w:rsidR="00397FF8" w:rsidRPr="0052640F" w:rsidRDefault="00397FF8" w:rsidP="00397FF8">
            <w:r w:rsidRPr="0052640F">
              <w:t>5</w:t>
            </w:r>
          </w:p>
        </w:tc>
        <w:tc>
          <w:tcPr>
            <w:tcW w:w="384" w:type="pct"/>
          </w:tcPr>
          <w:p w14:paraId="59EDEC78" w14:textId="77777777" w:rsidR="00397FF8" w:rsidRPr="0052640F" w:rsidRDefault="00397FF8" w:rsidP="00397FF8">
            <w:r w:rsidRPr="0052640F">
              <w:t>6</w:t>
            </w:r>
          </w:p>
        </w:tc>
        <w:tc>
          <w:tcPr>
            <w:tcW w:w="384" w:type="pct"/>
          </w:tcPr>
          <w:p w14:paraId="17959542" w14:textId="77777777" w:rsidR="00397FF8" w:rsidRPr="0052640F" w:rsidRDefault="00397FF8" w:rsidP="00397FF8">
            <w:r w:rsidRPr="0052640F">
              <w:t>4</w:t>
            </w:r>
          </w:p>
        </w:tc>
        <w:tc>
          <w:tcPr>
            <w:tcW w:w="445" w:type="pct"/>
          </w:tcPr>
          <w:p w14:paraId="608BBA66" w14:textId="77777777" w:rsidR="00397FF8" w:rsidRPr="0052640F" w:rsidRDefault="00397FF8" w:rsidP="00397FF8">
            <w:r w:rsidRPr="0052640F">
              <w:t>6</w:t>
            </w:r>
          </w:p>
        </w:tc>
      </w:tr>
      <w:tr w:rsidR="00397FF8" w:rsidRPr="0052640F" w14:paraId="6254214B" w14:textId="77777777" w:rsidTr="00397FF8">
        <w:tc>
          <w:tcPr>
            <w:tcW w:w="506" w:type="pct"/>
          </w:tcPr>
          <w:p w14:paraId="6068C51C" w14:textId="77777777" w:rsidR="00397FF8" w:rsidRPr="0052640F" w:rsidRDefault="00397FF8" w:rsidP="00397FF8">
            <w:r w:rsidRPr="0052640F">
              <w:t>6</w:t>
            </w:r>
          </w:p>
        </w:tc>
        <w:tc>
          <w:tcPr>
            <w:tcW w:w="487" w:type="pct"/>
          </w:tcPr>
          <w:p w14:paraId="2E5E9B37" w14:textId="77777777" w:rsidR="00397FF8" w:rsidRPr="0052640F" w:rsidRDefault="00397FF8" w:rsidP="00397FF8">
            <w:r w:rsidRPr="0052640F">
              <w:t>3</w:t>
            </w:r>
          </w:p>
        </w:tc>
        <w:tc>
          <w:tcPr>
            <w:tcW w:w="384" w:type="pct"/>
          </w:tcPr>
          <w:p w14:paraId="7E7550DD" w14:textId="77777777" w:rsidR="00397FF8" w:rsidRPr="0052640F" w:rsidRDefault="00397FF8" w:rsidP="00397FF8">
            <w:r w:rsidRPr="0052640F">
              <w:t>3</w:t>
            </w:r>
          </w:p>
        </w:tc>
        <w:tc>
          <w:tcPr>
            <w:tcW w:w="384" w:type="pct"/>
          </w:tcPr>
          <w:p w14:paraId="75AC1DDA" w14:textId="77777777" w:rsidR="00397FF8" w:rsidRPr="0052640F" w:rsidRDefault="00397FF8" w:rsidP="00397FF8">
            <w:r w:rsidRPr="0052640F">
              <w:t>3</w:t>
            </w:r>
          </w:p>
        </w:tc>
        <w:tc>
          <w:tcPr>
            <w:tcW w:w="398" w:type="pct"/>
          </w:tcPr>
          <w:p w14:paraId="67021FDD" w14:textId="77777777" w:rsidR="00397FF8" w:rsidRPr="0052640F" w:rsidRDefault="00397FF8" w:rsidP="00397FF8">
            <w:r w:rsidRPr="0052640F">
              <w:t>3</w:t>
            </w:r>
          </w:p>
        </w:tc>
        <w:tc>
          <w:tcPr>
            <w:tcW w:w="400" w:type="pct"/>
          </w:tcPr>
          <w:p w14:paraId="578D623C" w14:textId="77777777" w:rsidR="00397FF8" w:rsidRPr="0052640F" w:rsidRDefault="00397FF8" w:rsidP="00397FF8">
            <w:r w:rsidRPr="0052640F">
              <w:t>3</w:t>
            </w:r>
          </w:p>
        </w:tc>
        <w:tc>
          <w:tcPr>
            <w:tcW w:w="384" w:type="pct"/>
          </w:tcPr>
          <w:p w14:paraId="65FE88C9" w14:textId="77777777" w:rsidR="00397FF8" w:rsidRPr="0052640F" w:rsidRDefault="00397FF8" w:rsidP="00397FF8">
            <w:r w:rsidRPr="0052640F">
              <w:t>3</w:t>
            </w:r>
          </w:p>
        </w:tc>
        <w:tc>
          <w:tcPr>
            <w:tcW w:w="463" w:type="pct"/>
          </w:tcPr>
          <w:p w14:paraId="70D283EC" w14:textId="77777777" w:rsidR="00397FF8" w:rsidRPr="0052640F" w:rsidRDefault="00397FF8" w:rsidP="00397FF8">
            <w:r w:rsidRPr="0052640F">
              <w:t>3</w:t>
            </w:r>
          </w:p>
        </w:tc>
        <w:tc>
          <w:tcPr>
            <w:tcW w:w="384" w:type="pct"/>
          </w:tcPr>
          <w:p w14:paraId="571BED11" w14:textId="77777777" w:rsidR="00397FF8" w:rsidRPr="0052640F" w:rsidRDefault="00397FF8" w:rsidP="00397FF8">
            <w:r w:rsidRPr="0052640F">
              <w:t>3</w:t>
            </w:r>
          </w:p>
        </w:tc>
        <w:tc>
          <w:tcPr>
            <w:tcW w:w="384" w:type="pct"/>
          </w:tcPr>
          <w:p w14:paraId="65629A96" w14:textId="77777777" w:rsidR="00397FF8" w:rsidRPr="0052640F" w:rsidRDefault="00397FF8" w:rsidP="00397FF8">
            <w:r w:rsidRPr="0052640F">
              <w:t>2</w:t>
            </w:r>
          </w:p>
        </w:tc>
        <w:tc>
          <w:tcPr>
            <w:tcW w:w="384" w:type="pct"/>
          </w:tcPr>
          <w:p w14:paraId="12D15E89" w14:textId="77777777" w:rsidR="00397FF8" w:rsidRPr="0052640F" w:rsidRDefault="00397FF8" w:rsidP="00397FF8">
            <w:r w:rsidRPr="0052640F">
              <w:t>3</w:t>
            </w:r>
          </w:p>
        </w:tc>
        <w:tc>
          <w:tcPr>
            <w:tcW w:w="445" w:type="pct"/>
          </w:tcPr>
          <w:p w14:paraId="052472C8" w14:textId="77777777" w:rsidR="00397FF8" w:rsidRPr="0052640F" w:rsidRDefault="00397FF8" w:rsidP="00397FF8">
            <w:r w:rsidRPr="0052640F">
              <w:t>3</w:t>
            </w:r>
          </w:p>
        </w:tc>
      </w:tr>
      <w:tr w:rsidR="00397FF8" w:rsidRPr="0052640F" w14:paraId="1451B065" w14:textId="77777777" w:rsidTr="00397FF8">
        <w:tc>
          <w:tcPr>
            <w:tcW w:w="506" w:type="pct"/>
          </w:tcPr>
          <w:p w14:paraId="508E34C1" w14:textId="77777777" w:rsidR="00397FF8" w:rsidRPr="0052640F" w:rsidRDefault="00397FF8" w:rsidP="00397FF8">
            <w:r w:rsidRPr="0052640F">
              <w:t>7</w:t>
            </w:r>
          </w:p>
        </w:tc>
        <w:tc>
          <w:tcPr>
            <w:tcW w:w="487" w:type="pct"/>
          </w:tcPr>
          <w:p w14:paraId="7A8AA946" w14:textId="77777777" w:rsidR="00397FF8" w:rsidRPr="0052640F" w:rsidRDefault="00397FF8" w:rsidP="00397FF8">
            <w:r w:rsidRPr="0052640F">
              <w:t>4</w:t>
            </w:r>
          </w:p>
        </w:tc>
        <w:tc>
          <w:tcPr>
            <w:tcW w:w="384" w:type="pct"/>
          </w:tcPr>
          <w:p w14:paraId="348CE87A" w14:textId="77777777" w:rsidR="00397FF8" w:rsidRPr="0052640F" w:rsidRDefault="00397FF8" w:rsidP="00397FF8">
            <w:r w:rsidRPr="0052640F">
              <w:t>4</w:t>
            </w:r>
          </w:p>
        </w:tc>
        <w:tc>
          <w:tcPr>
            <w:tcW w:w="384" w:type="pct"/>
          </w:tcPr>
          <w:p w14:paraId="1CBF6883" w14:textId="77777777" w:rsidR="00397FF8" w:rsidRPr="0052640F" w:rsidRDefault="00397FF8" w:rsidP="00397FF8">
            <w:r w:rsidRPr="0052640F">
              <w:t>4</w:t>
            </w:r>
          </w:p>
        </w:tc>
        <w:tc>
          <w:tcPr>
            <w:tcW w:w="398" w:type="pct"/>
          </w:tcPr>
          <w:p w14:paraId="76193B69" w14:textId="77777777" w:rsidR="00397FF8" w:rsidRPr="0052640F" w:rsidRDefault="00397FF8" w:rsidP="00397FF8">
            <w:r w:rsidRPr="0052640F">
              <w:t>5</w:t>
            </w:r>
          </w:p>
        </w:tc>
        <w:tc>
          <w:tcPr>
            <w:tcW w:w="400" w:type="pct"/>
          </w:tcPr>
          <w:p w14:paraId="41091279" w14:textId="77777777" w:rsidR="00397FF8" w:rsidRPr="0052640F" w:rsidRDefault="00397FF8" w:rsidP="00397FF8">
            <w:r w:rsidRPr="0052640F">
              <w:t>4</w:t>
            </w:r>
          </w:p>
        </w:tc>
        <w:tc>
          <w:tcPr>
            <w:tcW w:w="384" w:type="pct"/>
          </w:tcPr>
          <w:p w14:paraId="14167205" w14:textId="77777777" w:rsidR="00397FF8" w:rsidRPr="0052640F" w:rsidRDefault="00397FF8" w:rsidP="00397FF8">
            <w:r w:rsidRPr="0052640F">
              <w:t>4</w:t>
            </w:r>
          </w:p>
        </w:tc>
        <w:tc>
          <w:tcPr>
            <w:tcW w:w="463" w:type="pct"/>
          </w:tcPr>
          <w:p w14:paraId="3C20D6EC" w14:textId="77777777" w:rsidR="00397FF8" w:rsidRPr="0052640F" w:rsidRDefault="00397FF8" w:rsidP="00397FF8">
            <w:r w:rsidRPr="0052640F">
              <w:t>2</w:t>
            </w:r>
          </w:p>
        </w:tc>
        <w:tc>
          <w:tcPr>
            <w:tcW w:w="384" w:type="pct"/>
          </w:tcPr>
          <w:p w14:paraId="52E202E9" w14:textId="77777777" w:rsidR="00397FF8" w:rsidRPr="0052640F" w:rsidRDefault="00397FF8" w:rsidP="00397FF8">
            <w:r w:rsidRPr="0052640F">
              <w:t>4</w:t>
            </w:r>
          </w:p>
        </w:tc>
        <w:tc>
          <w:tcPr>
            <w:tcW w:w="384" w:type="pct"/>
          </w:tcPr>
          <w:p w14:paraId="4396830E" w14:textId="77777777" w:rsidR="00397FF8" w:rsidRPr="0052640F" w:rsidRDefault="00397FF8" w:rsidP="00397FF8">
            <w:r w:rsidRPr="0052640F">
              <w:t>4</w:t>
            </w:r>
          </w:p>
        </w:tc>
        <w:tc>
          <w:tcPr>
            <w:tcW w:w="384" w:type="pct"/>
          </w:tcPr>
          <w:p w14:paraId="002E84D6" w14:textId="77777777" w:rsidR="00397FF8" w:rsidRPr="0052640F" w:rsidRDefault="00397FF8" w:rsidP="00397FF8">
            <w:r w:rsidRPr="0052640F">
              <w:t>5</w:t>
            </w:r>
          </w:p>
        </w:tc>
        <w:tc>
          <w:tcPr>
            <w:tcW w:w="445" w:type="pct"/>
          </w:tcPr>
          <w:p w14:paraId="13AAA391" w14:textId="77777777" w:rsidR="00397FF8" w:rsidRPr="0052640F" w:rsidRDefault="00397FF8" w:rsidP="00397FF8">
            <w:r w:rsidRPr="0052640F">
              <w:t>4</w:t>
            </w:r>
          </w:p>
        </w:tc>
      </w:tr>
      <w:tr w:rsidR="00397FF8" w:rsidRPr="0052640F" w14:paraId="37FD7C38" w14:textId="77777777" w:rsidTr="00397FF8">
        <w:tc>
          <w:tcPr>
            <w:tcW w:w="506" w:type="pct"/>
          </w:tcPr>
          <w:p w14:paraId="1CE8D5D0" w14:textId="77777777" w:rsidR="00397FF8" w:rsidRPr="0052640F" w:rsidRDefault="00397FF8" w:rsidP="00397FF8">
            <w:r w:rsidRPr="0052640F">
              <w:t>8</w:t>
            </w:r>
          </w:p>
        </w:tc>
        <w:tc>
          <w:tcPr>
            <w:tcW w:w="487" w:type="pct"/>
          </w:tcPr>
          <w:p w14:paraId="2B5F3E4C" w14:textId="77777777" w:rsidR="00397FF8" w:rsidRPr="0052640F" w:rsidRDefault="00397FF8" w:rsidP="00397FF8">
            <w:r w:rsidRPr="0052640F">
              <w:t>3</w:t>
            </w:r>
          </w:p>
        </w:tc>
        <w:tc>
          <w:tcPr>
            <w:tcW w:w="384" w:type="pct"/>
          </w:tcPr>
          <w:p w14:paraId="7FE5BC54" w14:textId="77777777" w:rsidR="00397FF8" w:rsidRPr="0052640F" w:rsidRDefault="00397FF8" w:rsidP="00397FF8">
            <w:r w:rsidRPr="0052640F">
              <w:t>3</w:t>
            </w:r>
          </w:p>
        </w:tc>
        <w:tc>
          <w:tcPr>
            <w:tcW w:w="384" w:type="pct"/>
          </w:tcPr>
          <w:p w14:paraId="2B76D0BD" w14:textId="77777777" w:rsidR="00397FF8" w:rsidRPr="0052640F" w:rsidRDefault="00397FF8" w:rsidP="00397FF8">
            <w:r w:rsidRPr="0052640F">
              <w:t>4</w:t>
            </w:r>
          </w:p>
        </w:tc>
        <w:tc>
          <w:tcPr>
            <w:tcW w:w="398" w:type="pct"/>
          </w:tcPr>
          <w:p w14:paraId="08329DA2" w14:textId="77777777" w:rsidR="00397FF8" w:rsidRPr="0052640F" w:rsidRDefault="00397FF8" w:rsidP="00397FF8">
            <w:r w:rsidRPr="0052640F">
              <w:t>4</w:t>
            </w:r>
          </w:p>
        </w:tc>
        <w:tc>
          <w:tcPr>
            <w:tcW w:w="400" w:type="pct"/>
          </w:tcPr>
          <w:p w14:paraId="18D60175" w14:textId="77777777" w:rsidR="00397FF8" w:rsidRPr="0052640F" w:rsidRDefault="00397FF8" w:rsidP="00397FF8">
            <w:r w:rsidRPr="0052640F">
              <w:t>4</w:t>
            </w:r>
          </w:p>
        </w:tc>
        <w:tc>
          <w:tcPr>
            <w:tcW w:w="384" w:type="pct"/>
          </w:tcPr>
          <w:p w14:paraId="6502A26B" w14:textId="77777777" w:rsidR="00397FF8" w:rsidRPr="0052640F" w:rsidRDefault="00397FF8" w:rsidP="00397FF8">
            <w:r w:rsidRPr="0052640F">
              <w:t>3</w:t>
            </w:r>
          </w:p>
        </w:tc>
        <w:tc>
          <w:tcPr>
            <w:tcW w:w="463" w:type="pct"/>
          </w:tcPr>
          <w:p w14:paraId="311DD690" w14:textId="77777777" w:rsidR="00397FF8" w:rsidRPr="0052640F" w:rsidRDefault="00397FF8" w:rsidP="00397FF8">
            <w:r w:rsidRPr="0052640F">
              <w:t>3</w:t>
            </w:r>
          </w:p>
        </w:tc>
        <w:tc>
          <w:tcPr>
            <w:tcW w:w="384" w:type="pct"/>
          </w:tcPr>
          <w:p w14:paraId="60BD172C" w14:textId="77777777" w:rsidR="00397FF8" w:rsidRPr="0052640F" w:rsidRDefault="00397FF8" w:rsidP="00397FF8">
            <w:r w:rsidRPr="0052640F">
              <w:t>4</w:t>
            </w:r>
          </w:p>
        </w:tc>
        <w:tc>
          <w:tcPr>
            <w:tcW w:w="384" w:type="pct"/>
          </w:tcPr>
          <w:p w14:paraId="512ECA0D" w14:textId="77777777" w:rsidR="00397FF8" w:rsidRPr="0052640F" w:rsidRDefault="00397FF8" w:rsidP="00397FF8">
            <w:r w:rsidRPr="0052640F">
              <w:t>3</w:t>
            </w:r>
          </w:p>
        </w:tc>
        <w:tc>
          <w:tcPr>
            <w:tcW w:w="384" w:type="pct"/>
          </w:tcPr>
          <w:p w14:paraId="0B0A311D" w14:textId="77777777" w:rsidR="00397FF8" w:rsidRPr="0052640F" w:rsidRDefault="00397FF8" w:rsidP="00397FF8">
            <w:r w:rsidRPr="0052640F">
              <w:t>3</w:t>
            </w:r>
          </w:p>
        </w:tc>
        <w:tc>
          <w:tcPr>
            <w:tcW w:w="445" w:type="pct"/>
          </w:tcPr>
          <w:p w14:paraId="210AD797" w14:textId="77777777" w:rsidR="00397FF8" w:rsidRPr="0052640F" w:rsidRDefault="00397FF8" w:rsidP="00397FF8">
            <w:r w:rsidRPr="0052640F">
              <w:t>3</w:t>
            </w:r>
          </w:p>
        </w:tc>
      </w:tr>
      <w:tr w:rsidR="00397FF8" w:rsidRPr="0052640F" w14:paraId="1E2C26FB" w14:textId="77777777" w:rsidTr="00397FF8">
        <w:tc>
          <w:tcPr>
            <w:tcW w:w="506" w:type="pct"/>
          </w:tcPr>
          <w:p w14:paraId="12934B4F" w14:textId="77777777" w:rsidR="00397FF8" w:rsidRPr="0052640F" w:rsidRDefault="00397FF8" w:rsidP="00397FF8">
            <w:r w:rsidRPr="0052640F">
              <w:t>9</w:t>
            </w:r>
          </w:p>
        </w:tc>
        <w:tc>
          <w:tcPr>
            <w:tcW w:w="487" w:type="pct"/>
          </w:tcPr>
          <w:p w14:paraId="37BCDCCF" w14:textId="77777777" w:rsidR="00397FF8" w:rsidRPr="0052640F" w:rsidRDefault="00397FF8" w:rsidP="00397FF8">
            <w:r w:rsidRPr="0052640F">
              <w:t>0</w:t>
            </w:r>
          </w:p>
        </w:tc>
        <w:tc>
          <w:tcPr>
            <w:tcW w:w="384" w:type="pct"/>
          </w:tcPr>
          <w:p w14:paraId="636FB322" w14:textId="77777777" w:rsidR="00397FF8" w:rsidRPr="0052640F" w:rsidRDefault="00397FF8" w:rsidP="00397FF8">
            <w:r w:rsidRPr="0052640F">
              <w:t>0</w:t>
            </w:r>
          </w:p>
        </w:tc>
        <w:tc>
          <w:tcPr>
            <w:tcW w:w="384" w:type="pct"/>
          </w:tcPr>
          <w:p w14:paraId="4F38198F" w14:textId="77777777" w:rsidR="00397FF8" w:rsidRPr="0052640F" w:rsidRDefault="00397FF8" w:rsidP="00397FF8">
            <w:r w:rsidRPr="0052640F">
              <w:t>2</w:t>
            </w:r>
          </w:p>
        </w:tc>
        <w:tc>
          <w:tcPr>
            <w:tcW w:w="398" w:type="pct"/>
          </w:tcPr>
          <w:p w14:paraId="3639669B" w14:textId="77777777" w:rsidR="00397FF8" w:rsidRPr="0052640F" w:rsidRDefault="00397FF8" w:rsidP="00397FF8">
            <w:r w:rsidRPr="0052640F">
              <w:t>0</w:t>
            </w:r>
          </w:p>
        </w:tc>
        <w:tc>
          <w:tcPr>
            <w:tcW w:w="400" w:type="pct"/>
          </w:tcPr>
          <w:p w14:paraId="5322121D" w14:textId="77777777" w:rsidR="00397FF8" w:rsidRPr="0052640F" w:rsidRDefault="00397FF8" w:rsidP="00397FF8">
            <w:r w:rsidRPr="0052640F">
              <w:t>2</w:t>
            </w:r>
          </w:p>
        </w:tc>
        <w:tc>
          <w:tcPr>
            <w:tcW w:w="384" w:type="pct"/>
          </w:tcPr>
          <w:p w14:paraId="5D1DB927" w14:textId="77777777" w:rsidR="00397FF8" w:rsidRPr="0052640F" w:rsidRDefault="00397FF8" w:rsidP="00397FF8">
            <w:r w:rsidRPr="0052640F">
              <w:t>1</w:t>
            </w:r>
          </w:p>
        </w:tc>
        <w:tc>
          <w:tcPr>
            <w:tcW w:w="463" w:type="pct"/>
          </w:tcPr>
          <w:p w14:paraId="5854E61B" w14:textId="77777777" w:rsidR="00397FF8" w:rsidRPr="0052640F" w:rsidRDefault="00397FF8" w:rsidP="00397FF8">
            <w:r w:rsidRPr="0052640F">
              <w:t>0</w:t>
            </w:r>
          </w:p>
        </w:tc>
        <w:tc>
          <w:tcPr>
            <w:tcW w:w="384" w:type="pct"/>
          </w:tcPr>
          <w:p w14:paraId="4C0C8AF3" w14:textId="77777777" w:rsidR="00397FF8" w:rsidRPr="0052640F" w:rsidRDefault="00397FF8" w:rsidP="00397FF8">
            <w:r w:rsidRPr="0052640F">
              <w:t>2</w:t>
            </w:r>
          </w:p>
        </w:tc>
        <w:tc>
          <w:tcPr>
            <w:tcW w:w="384" w:type="pct"/>
          </w:tcPr>
          <w:p w14:paraId="183B70C2" w14:textId="77777777" w:rsidR="00397FF8" w:rsidRPr="0052640F" w:rsidRDefault="00397FF8" w:rsidP="00397FF8">
            <w:r w:rsidRPr="0052640F">
              <w:t>2</w:t>
            </w:r>
          </w:p>
        </w:tc>
        <w:tc>
          <w:tcPr>
            <w:tcW w:w="384" w:type="pct"/>
          </w:tcPr>
          <w:p w14:paraId="3B618C35" w14:textId="77777777" w:rsidR="00397FF8" w:rsidRPr="0052640F" w:rsidRDefault="00397FF8" w:rsidP="00397FF8">
            <w:r w:rsidRPr="0052640F">
              <w:t>0</w:t>
            </w:r>
          </w:p>
        </w:tc>
        <w:tc>
          <w:tcPr>
            <w:tcW w:w="445" w:type="pct"/>
          </w:tcPr>
          <w:p w14:paraId="284C9CE8" w14:textId="77777777" w:rsidR="00397FF8" w:rsidRPr="0052640F" w:rsidRDefault="00397FF8" w:rsidP="00397FF8">
            <w:r w:rsidRPr="0052640F">
              <w:t>1</w:t>
            </w:r>
          </w:p>
        </w:tc>
      </w:tr>
      <w:tr w:rsidR="00397FF8" w:rsidRPr="0052640F" w14:paraId="2D04C7BA" w14:textId="77777777" w:rsidTr="00397FF8">
        <w:tc>
          <w:tcPr>
            <w:tcW w:w="506" w:type="pct"/>
          </w:tcPr>
          <w:p w14:paraId="1EE03597" w14:textId="77777777" w:rsidR="00397FF8" w:rsidRPr="0052640F" w:rsidRDefault="00397FF8" w:rsidP="00397FF8">
            <w:r w:rsidRPr="0052640F">
              <w:t>10</w:t>
            </w:r>
          </w:p>
        </w:tc>
        <w:tc>
          <w:tcPr>
            <w:tcW w:w="487" w:type="pct"/>
          </w:tcPr>
          <w:p w14:paraId="1A74A37F" w14:textId="77777777" w:rsidR="00397FF8" w:rsidRPr="0052640F" w:rsidRDefault="00397FF8" w:rsidP="00397FF8">
            <w:r w:rsidRPr="0052640F">
              <w:t>1</w:t>
            </w:r>
          </w:p>
        </w:tc>
        <w:tc>
          <w:tcPr>
            <w:tcW w:w="384" w:type="pct"/>
          </w:tcPr>
          <w:p w14:paraId="07B0F71D" w14:textId="77777777" w:rsidR="00397FF8" w:rsidRPr="0052640F" w:rsidRDefault="00397FF8" w:rsidP="00397FF8">
            <w:r w:rsidRPr="0052640F">
              <w:t>1</w:t>
            </w:r>
          </w:p>
        </w:tc>
        <w:tc>
          <w:tcPr>
            <w:tcW w:w="384" w:type="pct"/>
          </w:tcPr>
          <w:p w14:paraId="2B04BAF3" w14:textId="77777777" w:rsidR="00397FF8" w:rsidRPr="0052640F" w:rsidRDefault="00397FF8" w:rsidP="00397FF8">
            <w:r w:rsidRPr="0052640F">
              <w:t>1</w:t>
            </w:r>
          </w:p>
        </w:tc>
        <w:tc>
          <w:tcPr>
            <w:tcW w:w="398" w:type="pct"/>
          </w:tcPr>
          <w:p w14:paraId="6F84C495" w14:textId="77777777" w:rsidR="00397FF8" w:rsidRPr="0052640F" w:rsidRDefault="00397FF8" w:rsidP="00397FF8">
            <w:r w:rsidRPr="0052640F">
              <w:t>1</w:t>
            </w:r>
          </w:p>
        </w:tc>
        <w:tc>
          <w:tcPr>
            <w:tcW w:w="400" w:type="pct"/>
          </w:tcPr>
          <w:p w14:paraId="53766CD5" w14:textId="77777777" w:rsidR="00397FF8" w:rsidRPr="0052640F" w:rsidRDefault="00397FF8" w:rsidP="00397FF8">
            <w:r w:rsidRPr="0052640F">
              <w:t>1</w:t>
            </w:r>
          </w:p>
        </w:tc>
        <w:tc>
          <w:tcPr>
            <w:tcW w:w="384" w:type="pct"/>
          </w:tcPr>
          <w:p w14:paraId="013A0604" w14:textId="77777777" w:rsidR="00397FF8" w:rsidRPr="0052640F" w:rsidRDefault="00397FF8" w:rsidP="00397FF8">
            <w:r w:rsidRPr="0052640F">
              <w:t>1</w:t>
            </w:r>
          </w:p>
        </w:tc>
        <w:tc>
          <w:tcPr>
            <w:tcW w:w="463" w:type="pct"/>
          </w:tcPr>
          <w:p w14:paraId="2A058ABE" w14:textId="77777777" w:rsidR="00397FF8" w:rsidRPr="0052640F" w:rsidRDefault="00397FF8" w:rsidP="00397FF8">
            <w:r w:rsidRPr="0052640F">
              <w:t>1</w:t>
            </w:r>
          </w:p>
        </w:tc>
        <w:tc>
          <w:tcPr>
            <w:tcW w:w="384" w:type="pct"/>
          </w:tcPr>
          <w:p w14:paraId="31A852D9" w14:textId="77777777" w:rsidR="00397FF8" w:rsidRPr="0052640F" w:rsidRDefault="00397FF8" w:rsidP="00397FF8">
            <w:r w:rsidRPr="0052640F">
              <w:t>1</w:t>
            </w:r>
          </w:p>
        </w:tc>
        <w:tc>
          <w:tcPr>
            <w:tcW w:w="384" w:type="pct"/>
          </w:tcPr>
          <w:p w14:paraId="217F1A2D" w14:textId="77777777" w:rsidR="00397FF8" w:rsidRPr="0052640F" w:rsidRDefault="00397FF8" w:rsidP="00397FF8">
            <w:r w:rsidRPr="0052640F">
              <w:t>1</w:t>
            </w:r>
          </w:p>
        </w:tc>
        <w:tc>
          <w:tcPr>
            <w:tcW w:w="384" w:type="pct"/>
          </w:tcPr>
          <w:p w14:paraId="241BE92F" w14:textId="77777777" w:rsidR="00397FF8" w:rsidRPr="0052640F" w:rsidRDefault="00397FF8" w:rsidP="00397FF8">
            <w:r w:rsidRPr="0052640F">
              <w:t>1</w:t>
            </w:r>
          </w:p>
        </w:tc>
        <w:tc>
          <w:tcPr>
            <w:tcW w:w="445" w:type="pct"/>
          </w:tcPr>
          <w:p w14:paraId="5DCD6E13" w14:textId="77777777" w:rsidR="00397FF8" w:rsidRPr="0052640F" w:rsidRDefault="00397FF8" w:rsidP="00397FF8">
            <w:r w:rsidRPr="0052640F">
              <w:t>1</w:t>
            </w:r>
          </w:p>
        </w:tc>
      </w:tr>
      <w:tr w:rsidR="00397FF8" w:rsidRPr="0052640F" w14:paraId="3ECCA704" w14:textId="77777777" w:rsidTr="00397FF8">
        <w:tc>
          <w:tcPr>
            <w:tcW w:w="506" w:type="pct"/>
          </w:tcPr>
          <w:p w14:paraId="2B6EED42" w14:textId="77777777" w:rsidR="00397FF8" w:rsidRPr="0052640F" w:rsidRDefault="00397FF8" w:rsidP="00397FF8">
            <w:r w:rsidRPr="0052640F">
              <w:t>11</w:t>
            </w:r>
          </w:p>
        </w:tc>
        <w:tc>
          <w:tcPr>
            <w:tcW w:w="487" w:type="pct"/>
          </w:tcPr>
          <w:p w14:paraId="5990C9C7" w14:textId="77777777" w:rsidR="00397FF8" w:rsidRPr="0052640F" w:rsidRDefault="00397FF8" w:rsidP="00397FF8">
            <w:r w:rsidRPr="0052640F">
              <w:t>2</w:t>
            </w:r>
          </w:p>
        </w:tc>
        <w:tc>
          <w:tcPr>
            <w:tcW w:w="384" w:type="pct"/>
          </w:tcPr>
          <w:p w14:paraId="2299B81A" w14:textId="77777777" w:rsidR="00397FF8" w:rsidRPr="0052640F" w:rsidRDefault="00397FF8" w:rsidP="00397FF8">
            <w:r w:rsidRPr="0052640F">
              <w:t>3</w:t>
            </w:r>
          </w:p>
        </w:tc>
        <w:tc>
          <w:tcPr>
            <w:tcW w:w="384" w:type="pct"/>
          </w:tcPr>
          <w:p w14:paraId="7E388AFE" w14:textId="77777777" w:rsidR="00397FF8" w:rsidRPr="0052640F" w:rsidRDefault="00397FF8" w:rsidP="00397FF8">
            <w:r w:rsidRPr="0052640F">
              <w:t>3</w:t>
            </w:r>
          </w:p>
        </w:tc>
        <w:tc>
          <w:tcPr>
            <w:tcW w:w="398" w:type="pct"/>
          </w:tcPr>
          <w:p w14:paraId="5A393266" w14:textId="77777777" w:rsidR="00397FF8" w:rsidRPr="0052640F" w:rsidRDefault="00397FF8" w:rsidP="00397FF8">
            <w:r w:rsidRPr="0052640F">
              <w:t>3</w:t>
            </w:r>
          </w:p>
        </w:tc>
        <w:tc>
          <w:tcPr>
            <w:tcW w:w="400" w:type="pct"/>
          </w:tcPr>
          <w:p w14:paraId="5F4F6445" w14:textId="77777777" w:rsidR="00397FF8" w:rsidRPr="0052640F" w:rsidRDefault="00397FF8" w:rsidP="00397FF8">
            <w:r w:rsidRPr="0052640F">
              <w:t>3</w:t>
            </w:r>
          </w:p>
        </w:tc>
        <w:tc>
          <w:tcPr>
            <w:tcW w:w="384" w:type="pct"/>
          </w:tcPr>
          <w:p w14:paraId="03C69684" w14:textId="77777777" w:rsidR="00397FF8" w:rsidRPr="0052640F" w:rsidRDefault="00397FF8" w:rsidP="00397FF8">
            <w:r w:rsidRPr="0052640F">
              <w:t>3</w:t>
            </w:r>
          </w:p>
        </w:tc>
        <w:tc>
          <w:tcPr>
            <w:tcW w:w="463" w:type="pct"/>
          </w:tcPr>
          <w:p w14:paraId="74890B8F" w14:textId="77777777" w:rsidR="00397FF8" w:rsidRPr="0052640F" w:rsidRDefault="00397FF8" w:rsidP="00397FF8">
            <w:r w:rsidRPr="0052640F">
              <w:t>0</w:t>
            </w:r>
          </w:p>
        </w:tc>
        <w:tc>
          <w:tcPr>
            <w:tcW w:w="384" w:type="pct"/>
          </w:tcPr>
          <w:p w14:paraId="488D6356" w14:textId="77777777" w:rsidR="00397FF8" w:rsidRPr="0052640F" w:rsidRDefault="00397FF8" w:rsidP="00397FF8">
            <w:r w:rsidRPr="0052640F">
              <w:t>1</w:t>
            </w:r>
          </w:p>
        </w:tc>
        <w:tc>
          <w:tcPr>
            <w:tcW w:w="384" w:type="pct"/>
          </w:tcPr>
          <w:p w14:paraId="7328B3C7" w14:textId="77777777" w:rsidR="00397FF8" w:rsidRPr="0052640F" w:rsidRDefault="00397FF8" w:rsidP="00397FF8">
            <w:r w:rsidRPr="0052640F">
              <w:t>3</w:t>
            </w:r>
          </w:p>
        </w:tc>
        <w:tc>
          <w:tcPr>
            <w:tcW w:w="384" w:type="pct"/>
          </w:tcPr>
          <w:p w14:paraId="7B85DBD1" w14:textId="77777777" w:rsidR="00397FF8" w:rsidRPr="0052640F" w:rsidRDefault="00397FF8" w:rsidP="00397FF8">
            <w:r w:rsidRPr="0052640F">
              <w:t>2</w:t>
            </w:r>
          </w:p>
        </w:tc>
        <w:tc>
          <w:tcPr>
            <w:tcW w:w="445" w:type="pct"/>
          </w:tcPr>
          <w:p w14:paraId="594ECAF3" w14:textId="77777777" w:rsidR="00397FF8" w:rsidRPr="0052640F" w:rsidRDefault="00397FF8" w:rsidP="00397FF8">
            <w:r w:rsidRPr="0052640F">
              <w:t>2</w:t>
            </w:r>
          </w:p>
        </w:tc>
      </w:tr>
      <w:tr w:rsidR="00397FF8" w:rsidRPr="0052640F" w14:paraId="5D461C5A" w14:textId="77777777" w:rsidTr="00397FF8">
        <w:tc>
          <w:tcPr>
            <w:tcW w:w="506" w:type="pct"/>
          </w:tcPr>
          <w:p w14:paraId="4C301D05" w14:textId="77777777" w:rsidR="00397FF8" w:rsidRPr="0052640F" w:rsidRDefault="00397FF8" w:rsidP="00397FF8">
            <w:r w:rsidRPr="0052640F">
              <w:t>12</w:t>
            </w:r>
          </w:p>
        </w:tc>
        <w:tc>
          <w:tcPr>
            <w:tcW w:w="487" w:type="pct"/>
          </w:tcPr>
          <w:p w14:paraId="6CD6171D" w14:textId="77777777" w:rsidR="00397FF8" w:rsidRPr="0052640F" w:rsidRDefault="00397FF8" w:rsidP="00397FF8">
            <w:r w:rsidRPr="0052640F">
              <w:t>3</w:t>
            </w:r>
          </w:p>
        </w:tc>
        <w:tc>
          <w:tcPr>
            <w:tcW w:w="384" w:type="pct"/>
          </w:tcPr>
          <w:p w14:paraId="6C41AC9E" w14:textId="77777777" w:rsidR="00397FF8" w:rsidRPr="0052640F" w:rsidRDefault="00397FF8" w:rsidP="00397FF8">
            <w:r w:rsidRPr="0052640F">
              <w:t>2</w:t>
            </w:r>
          </w:p>
        </w:tc>
        <w:tc>
          <w:tcPr>
            <w:tcW w:w="384" w:type="pct"/>
          </w:tcPr>
          <w:p w14:paraId="2E88179F" w14:textId="77777777" w:rsidR="00397FF8" w:rsidRPr="0052640F" w:rsidRDefault="00397FF8" w:rsidP="00397FF8">
            <w:r w:rsidRPr="0052640F">
              <w:t>4</w:t>
            </w:r>
          </w:p>
        </w:tc>
        <w:tc>
          <w:tcPr>
            <w:tcW w:w="398" w:type="pct"/>
          </w:tcPr>
          <w:p w14:paraId="35FEE9BB" w14:textId="77777777" w:rsidR="00397FF8" w:rsidRPr="0052640F" w:rsidRDefault="00397FF8" w:rsidP="00397FF8">
            <w:r w:rsidRPr="0052640F">
              <w:t>3</w:t>
            </w:r>
          </w:p>
        </w:tc>
        <w:tc>
          <w:tcPr>
            <w:tcW w:w="400" w:type="pct"/>
          </w:tcPr>
          <w:p w14:paraId="0F5982E7" w14:textId="77777777" w:rsidR="00397FF8" w:rsidRPr="0052640F" w:rsidRDefault="00397FF8" w:rsidP="00397FF8">
            <w:r w:rsidRPr="0052640F">
              <w:t>4</w:t>
            </w:r>
          </w:p>
        </w:tc>
        <w:tc>
          <w:tcPr>
            <w:tcW w:w="384" w:type="pct"/>
          </w:tcPr>
          <w:p w14:paraId="77FF94D5" w14:textId="77777777" w:rsidR="00397FF8" w:rsidRPr="0052640F" w:rsidRDefault="00397FF8" w:rsidP="00397FF8">
            <w:r w:rsidRPr="0052640F">
              <w:t>3</w:t>
            </w:r>
          </w:p>
        </w:tc>
        <w:tc>
          <w:tcPr>
            <w:tcW w:w="463" w:type="pct"/>
          </w:tcPr>
          <w:p w14:paraId="22FDA312" w14:textId="77777777" w:rsidR="00397FF8" w:rsidRPr="0052640F" w:rsidRDefault="00397FF8" w:rsidP="00397FF8">
            <w:r w:rsidRPr="0052640F">
              <w:t>3</w:t>
            </w:r>
          </w:p>
        </w:tc>
        <w:tc>
          <w:tcPr>
            <w:tcW w:w="384" w:type="pct"/>
          </w:tcPr>
          <w:p w14:paraId="7765AE65" w14:textId="77777777" w:rsidR="00397FF8" w:rsidRPr="0052640F" w:rsidRDefault="00397FF8" w:rsidP="00397FF8">
            <w:r w:rsidRPr="0052640F">
              <w:t>4</w:t>
            </w:r>
          </w:p>
        </w:tc>
        <w:tc>
          <w:tcPr>
            <w:tcW w:w="384" w:type="pct"/>
          </w:tcPr>
          <w:p w14:paraId="12E05620" w14:textId="77777777" w:rsidR="00397FF8" w:rsidRPr="0052640F" w:rsidRDefault="00397FF8" w:rsidP="00397FF8">
            <w:r w:rsidRPr="0052640F">
              <w:t>2</w:t>
            </w:r>
          </w:p>
        </w:tc>
        <w:tc>
          <w:tcPr>
            <w:tcW w:w="384" w:type="pct"/>
          </w:tcPr>
          <w:p w14:paraId="4354BFCC" w14:textId="77777777" w:rsidR="00397FF8" w:rsidRPr="0052640F" w:rsidRDefault="00397FF8" w:rsidP="00397FF8">
            <w:r w:rsidRPr="0052640F">
              <w:t>3</w:t>
            </w:r>
          </w:p>
        </w:tc>
        <w:tc>
          <w:tcPr>
            <w:tcW w:w="445" w:type="pct"/>
          </w:tcPr>
          <w:p w14:paraId="254EDB77" w14:textId="77777777" w:rsidR="00397FF8" w:rsidRPr="0052640F" w:rsidRDefault="00397FF8" w:rsidP="00397FF8">
            <w:r w:rsidRPr="0052640F">
              <w:t>4</w:t>
            </w:r>
          </w:p>
        </w:tc>
      </w:tr>
      <w:tr w:rsidR="00397FF8" w:rsidRPr="0052640F" w14:paraId="1EB773A2" w14:textId="77777777" w:rsidTr="00397FF8">
        <w:tc>
          <w:tcPr>
            <w:tcW w:w="506" w:type="pct"/>
          </w:tcPr>
          <w:p w14:paraId="65BA8468" w14:textId="77777777" w:rsidR="00397FF8" w:rsidRPr="0052640F" w:rsidRDefault="00397FF8" w:rsidP="00397FF8">
            <w:r w:rsidRPr="0052640F">
              <w:t>13</w:t>
            </w:r>
          </w:p>
        </w:tc>
        <w:tc>
          <w:tcPr>
            <w:tcW w:w="487" w:type="pct"/>
          </w:tcPr>
          <w:p w14:paraId="3F767035" w14:textId="77777777" w:rsidR="00397FF8" w:rsidRPr="0052640F" w:rsidRDefault="00397FF8" w:rsidP="00397FF8">
            <w:r w:rsidRPr="0052640F">
              <w:t>2</w:t>
            </w:r>
          </w:p>
        </w:tc>
        <w:tc>
          <w:tcPr>
            <w:tcW w:w="384" w:type="pct"/>
          </w:tcPr>
          <w:p w14:paraId="3DBB86B5" w14:textId="77777777" w:rsidR="00397FF8" w:rsidRPr="0052640F" w:rsidRDefault="00397FF8" w:rsidP="00397FF8">
            <w:r w:rsidRPr="0052640F">
              <w:t>1</w:t>
            </w:r>
          </w:p>
        </w:tc>
        <w:tc>
          <w:tcPr>
            <w:tcW w:w="384" w:type="pct"/>
          </w:tcPr>
          <w:p w14:paraId="5E2BA558" w14:textId="77777777" w:rsidR="00397FF8" w:rsidRPr="0052640F" w:rsidRDefault="00397FF8" w:rsidP="00397FF8">
            <w:r w:rsidRPr="0052640F">
              <w:t>3</w:t>
            </w:r>
          </w:p>
        </w:tc>
        <w:tc>
          <w:tcPr>
            <w:tcW w:w="398" w:type="pct"/>
          </w:tcPr>
          <w:p w14:paraId="4B7307C5" w14:textId="77777777" w:rsidR="00397FF8" w:rsidRPr="0052640F" w:rsidRDefault="00397FF8" w:rsidP="00397FF8">
            <w:r w:rsidRPr="0052640F">
              <w:t>3</w:t>
            </w:r>
          </w:p>
        </w:tc>
        <w:tc>
          <w:tcPr>
            <w:tcW w:w="400" w:type="pct"/>
          </w:tcPr>
          <w:p w14:paraId="16FDF280" w14:textId="77777777" w:rsidR="00397FF8" w:rsidRPr="0052640F" w:rsidRDefault="00397FF8" w:rsidP="00397FF8">
            <w:r w:rsidRPr="0052640F">
              <w:t>3</w:t>
            </w:r>
          </w:p>
        </w:tc>
        <w:tc>
          <w:tcPr>
            <w:tcW w:w="384" w:type="pct"/>
          </w:tcPr>
          <w:p w14:paraId="274CDB7D" w14:textId="77777777" w:rsidR="00397FF8" w:rsidRPr="0052640F" w:rsidRDefault="00397FF8" w:rsidP="00397FF8">
            <w:r w:rsidRPr="0052640F">
              <w:t>2</w:t>
            </w:r>
          </w:p>
        </w:tc>
        <w:tc>
          <w:tcPr>
            <w:tcW w:w="463" w:type="pct"/>
          </w:tcPr>
          <w:p w14:paraId="4A8D0CB9" w14:textId="77777777" w:rsidR="00397FF8" w:rsidRPr="0052640F" w:rsidRDefault="00397FF8" w:rsidP="00397FF8">
            <w:r w:rsidRPr="0052640F">
              <w:t>2</w:t>
            </w:r>
          </w:p>
        </w:tc>
        <w:tc>
          <w:tcPr>
            <w:tcW w:w="384" w:type="pct"/>
          </w:tcPr>
          <w:p w14:paraId="202DE588" w14:textId="77777777" w:rsidR="00397FF8" w:rsidRPr="0052640F" w:rsidRDefault="00397FF8" w:rsidP="00397FF8">
            <w:r w:rsidRPr="0052640F">
              <w:t>3</w:t>
            </w:r>
          </w:p>
        </w:tc>
        <w:tc>
          <w:tcPr>
            <w:tcW w:w="384" w:type="pct"/>
          </w:tcPr>
          <w:p w14:paraId="1BCB6175" w14:textId="77777777" w:rsidR="00397FF8" w:rsidRPr="0052640F" w:rsidRDefault="00397FF8" w:rsidP="00397FF8">
            <w:r w:rsidRPr="0052640F">
              <w:t>1</w:t>
            </w:r>
          </w:p>
        </w:tc>
        <w:tc>
          <w:tcPr>
            <w:tcW w:w="384" w:type="pct"/>
          </w:tcPr>
          <w:p w14:paraId="6466912E" w14:textId="77777777" w:rsidR="00397FF8" w:rsidRPr="0052640F" w:rsidRDefault="00397FF8" w:rsidP="00397FF8">
            <w:r w:rsidRPr="0052640F">
              <w:t>2</w:t>
            </w:r>
          </w:p>
        </w:tc>
        <w:tc>
          <w:tcPr>
            <w:tcW w:w="445" w:type="pct"/>
          </w:tcPr>
          <w:p w14:paraId="4DDC7D15" w14:textId="77777777" w:rsidR="00397FF8" w:rsidRPr="0052640F" w:rsidRDefault="00397FF8" w:rsidP="00397FF8">
            <w:r w:rsidRPr="0052640F">
              <w:t>1</w:t>
            </w:r>
          </w:p>
        </w:tc>
      </w:tr>
      <w:tr w:rsidR="00397FF8" w:rsidRPr="0052640F" w14:paraId="27EE8A24" w14:textId="77777777" w:rsidTr="00397FF8">
        <w:tc>
          <w:tcPr>
            <w:tcW w:w="506" w:type="pct"/>
          </w:tcPr>
          <w:p w14:paraId="7EDBE1FE" w14:textId="77777777" w:rsidR="00397FF8" w:rsidRPr="0052640F" w:rsidRDefault="00397FF8" w:rsidP="00397FF8">
            <w:r w:rsidRPr="0052640F">
              <w:t>14</w:t>
            </w:r>
          </w:p>
        </w:tc>
        <w:tc>
          <w:tcPr>
            <w:tcW w:w="487" w:type="pct"/>
          </w:tcPr>
          <w:p w14:paraId="5479CCCD" w14:textId="77777777" w:rsidR="00397FF8" w:rsidRPr="0052640F" w:rsidRDefault="00397FF8" w:rsidP="00397FF8">
            <w:r w:rsidRPr="0052640F">
              <w:t>4</w:t>
            </w:r>
          </w:p>
        </w:tc>
        <w:tc>
          <w:tcPr>
            <w:tcW w:w="384" w:type="pct"/>
          </w:tcPr>
          <w:p w14:paraId="5FB2B44E" w14:textId="77777777" w:rsidR="00397FF8" w:rsidRPr="0052640F" w:rsidRDefault="00397FF8" w:rsidP="00397FF8">
            <w:r w:rsidRPr="0052640F">
              <w:t>4</w:t>
            </w:r>
          </w:p>
        </w:tc>
        <w:tc>
          <w:tcPr>
            <w:tcW w:w="384" w:type="pct"/>
          </w:tcPr>
          <w:p w14:paraId="65BBFA63" w14:textId="77777777" w:rsidR="00397FF8" w:rsidRPr="0052640F" w:rsidRDefault="00397FF8" w:rsidP="00397FF8">
            <w:r w:rsidRPr="0052640F">
              <w:t>4</w:t>
            </w:r>
          </w:p>
        </w:tc>
        <w:tc>
          <w:tcPr>
            <w:tcW w:w="398" w:type="pct"/>
          </w:tcPr>
          <w:p w14:paraId="778190F0" w14:textId="77777777" w:rsidR="00397FF8" w:rsidRPr="0052640F" w:rsidRDefault="00397FF8" w:rsidP="00397FF8">
            <w:r w:rsidRPr="0052640F">
              <w:t>4</w:t>
            </w:r>
          </w:p>
        </w:tc>
        <w:tc>
          <w:tcPr>
            <w:tcW w:w="400" w:type="pct"/>
          </w:tcPr>
          <w:p w14:paraId="40A23362" w14:textId="77777777" w:rsidR="00397FF8" w:rsidRPr="0052640F" w:rsidRDefault="00397FF8" w:rsidP="00397FF8">
            <w:r w:rsidRPr="0052640F">
              <w:t>4</w:t>
            </w:r>
          </w:p>
        </w:tc>
        <w:tc>
          <w:tcPr>
            <w:tcW w:w="384" w:type="pct"/>
          </w:tcPr>
          <w:p w14:paraId="299A1B88" w14:textId="77777777" w:rsidR="00397FF8" w:rsidRPr="0052640F" w:rsidRDefault="00397FF8" w:rsidP="00397FF8">
            <w:r w:rsidRPr="0052640F">
              <w:t>3</w:t>
            </w:r>
          </w:p>
        </w:tc>
        <w:tc>
          <w:tcPr>
            <w:tcW w:w="463" w:type="pct"/>
          </w:tcPr>
          <w:p w14:paraId="181EFD96" w14:textId="77777777" w:rsidR="00397FF8" w:rsidRPr="0052640F" w:rsidRDefault="00397FF8" w:rsidP="00397FF8">
            <w:r w:rsidRPr="0052640F">
              <w:t>4</w:t>
            </w:r>
          </w:p>
        </w:tc>
        <w:tc>
          <w:tcPr>
            <w:tcW w:w="384" w:type="pct"/>
          </w:tcPr>
          <w:p w14:paraId="77F31A69" w14:textId="77777777" w:rsidR="00397FF8" w:rsidRPr="0052640F" w:rsidRDefault="00397FF8" w:rsidP="00397FF8">
            <w:r w:rsidRPr="0052640F">
              <w:t>4</w:t>
            </w:r>
          </w:p>
        </w:tc>
        <w:tc>
          <w:tcPr>
            <w:tcW w:w="384" w:type="pct"/>
          </w:tcPr>
          <w:p w14:paraId="444933D1" w14:textId="77777777" w:rsidR="00397FF8" w:rsidRPr="0052640F" w:rsidRDefault="00397FF8" w:rsidP="00397FF8">
            <w:r w:rsidRPr="0052640F">
              <w:t>2</w:t>
            </w:r>
          </w:p>
        </w:tc>
        <w:tc>
          <w:tcPr>
            <w:tcW w:w="384" w:type="pct"/>
          </w:tcPr>
          <w:p w14:paraId="4755B490" w14:textId="77777777" w:rsidR="00397FF8" w:rsidRPr="0052640F" w:rsidRDefault="00397FF8" w:rsidP="00397FF8">
            <w:r w:rsidRPr="0052640F">
              <w:t>2</w:t>
            </w:r>
          </w:p>
        </w:tc>
        <w:tc>
          <w:tcPr>
            <w:tcW w:w="445" w:type="pct"/>
          </w:tcPr>
          <w:p w14:paraId="3DFCD7C6" w14:textId="77777777" w:rsidR="00397FF8" w:rsidRPr="0052640F" w:rsidRDefault="00397FF8" w:rsidP="00397FF8">
            <w:r w:rsidRPr="0052640F">
              <w:t>4</w:t>
            </w:r>
          </w:p>
        </w:tc>
      </w:tr>
      <w:tr w:rsidR="00397FF8" w:rsidRPr="0052640F" w14:paraId="7D808B7B" w14:textId="77777777" w:rsidTr="00397FF8">
        <w:tc>
          <w:tcPr>
            <w:tcW w:w="506" w:type="pct"/>
          </w:tcPr>
          <w:p w14:paraId="05365E4C" w14:textId="77777777" w:rsidR="00397FF8" w:rsidRPr="0052640F" w:rsidRDefault="00397FF8" w:rsidP="00397FF8">
            <w:r w:rsidRPr="0052640F">
              <w:t>15</w:t>
            </w:r>
          </w:p>
        </w:tc>
        <w:tc>
          <w:tcPr>
            <w:tcW w:w="487" w:type="pct"/>
          </w:tcPr>
          <w:p w14:paraId="11CC4D93" w14:textId="77777777" w:rsidR="00397FF8" w:rsidRPr="0052640F" w:rsidRDefault="00397FF8" w:rsidP="00397FF8">
            <w:r w:rsidRPr="0052640F">
              <w:t>1</w:t>
            </w:r>
          </w:p>
        </w:tc>
        <w:tc>
          <w:tcPr>
            <w:tcW w:w="384" w:type="pct"/>
          </w:tcPr>
          <w:p w14:paraId="65C8AA36" w14:textId="77777777" w:rsidR="00397FF8" w:rsidRPr="0052640F" w:rsidRDefault="00397FF8" w:rsidP="00397FF8">
            <w:r w:rsidRPr="0052640F">
              <w:t>1</w:t>
            </w:r>
          </w:p>
        </w:tc>
        <w:tc>
          <w:tcPr>
            <w:tcW w:w="384" w:type="pct"/>
          </w:tcPr>
          <w:p w14:paraId="5E36C117" w14:textId="77777777" w:rsidR="00397FF8" w:rsidRPr="0052640F" w:rsidRDefault="00397FF8" w:rsidP="00397FF8">
            <w:r w:rsidRPr="0052640F">
              <w:t>1</w:t>
            </w:r>
          </w:p>
        </w:tc>
        <w:tc>
          <w:tcPr>
            <w:tcW w:w="398" w:type="pct"/>
          </w:tcPr>
          <w:p w14:paraId="759A89A3" w14:textId="77777777" w:rsidR="00397FF8" w:rsidRPr="0052640F" w:rsidRDefault="00397FF8" w:rsidP="00397FF8">
            <w:r w:rsidRPr="0052640F">
              <w:t>1</w:t>
            </w:r>
          </w:p>
        </w:tc>
        <w:tc>
          <w:tcPr>
            <w:tcW w:w="400" w:type="pct"/>
          </w:tcPr>
          <w:p w14:paraId="449F1CD6" w14:textId="77777777" w:rsidR="00397FF8" w:rsidRPr="0052640F" w:rsidRDefault="00397FF8" w:rsidP="00397FF8">
            <w:r w:rsidRPr="0052640F">
              <w:t>1</w:t>
            </w:r>
          </w:p>
        </w:tc>
        <w:tc>
          <w:tcPr>
            <w:tcW w:w="384" w:type="pct"/>
          </w:tcPr>
          <w:p w14:paraId="272229DE" w14:textId="77777777" w:rsidR="00397FF8" w:rsidRPr="0052640F" w:rsidRDefault="00397FF8" w:rsidP="00397FF8">
            <w:r w:rsidRPr="0052640F">
              <w:t>1</w:t>
            </w:r>
          </w:p>
        </w:tc>
        <w:tc>
          <w:tcPr>
            <w:tcW w:w="463" w:type="pct"/>
          </w:tcPr>
          <w:p w14:paraId="64ACE13E" w14:textId="77777777" w:rsidR="00397FF8" w:rsidRPr="0052640F" w:rsidRDefault="00397FF8" w:rsidP="00397FF8">
            <w:r w:rsidRPr="0052640F">
              <w:t>1</w:t>
            </w:r>
          </w:p>
        </w:tc>
        <w:tc>
          <w:tcPr>
            <w:tcW w:w="384" w:type="pct"/>
          </w:tcPr>
          <w:p w14:paraId="5749FF2F" w14:textId="77777777" w:rsidR="00397FF8" w:rsidRPr="0052640F" w:rsidRDefault="00397FF8" w:rsidP="00397FF8">
            <w:r w:rsidRPr="0052640F">
              <w:t>1</w:t>
            </w:r>
          </w:p>
        </w:tc>
        <w:tc>
          <w:tcPr>
            <w:tcW w:w="384" w:type="pct"/>
          </w:tcPr>
          <w:p w14:paraId="4CCF8AFC" w14:textId="77777777" w:rsidR="00397FF8" w:rsidRPr="0052640F" w:rsidRDefault="00397FF8" w:rsidP="00397FF8">
            <w:r w:rsidRPr="0052640F">
              <w:t>1</w:t>
            </w:r>
          </w:p>
        </w:tc>
        <w:tc>
          <w:tcPr>
            <w:tcW w:w="384" w:type="pct"/>
          </w:tcPr>
          <w:p w14:paraId="5113C860" w14:textId="77777777" w:rsidR="00397FF8" w:rsidRPr="0052640F" w:rsidRDefault="00397FF8" w:rsidP="00397FF8">
            <w:r w:rsidRPr="0052640F">
              <w:t>1</w:t>
            </w:r>
          </w:p>
        </w:tc>
        <w:tc>
          <w:tcPr>
            <w:tcW w:w="445" w:type="pct"/>
          </w:tcPr>
          <w:p w14:paraId="7EFAFB1D" w14:textId="77777777" w:rsidR="00397FF8" w:rsidRPr="0052640F" w:rsidRDefault="00397FF8" w:rsidP="00397FF8">
            <w:r w:rsidRPr="0052640F">
              <w:t>1</w:t>
            </w:r>
          </w:p>
        </w:tc>
      </w:tr>
      <w:tr w:rsidR="00397FF8" w:rsidRPr="0052640F" w14:paraId="0EAE4272" w14:textId="77777777" w:rsidTr="00397FF8">
        <w:tc>
          <w:tcPr>
            <w:tcW w:w="506" w:type="pct"/>
          </w:tcPr>
          <w:p w14:paraId="4773E8F1" w14:textId="77777777" w:rsidR="00397FF8" w:rsidRPr="0052640F" w:rsidRDefault="00397FF8" w:rsidP="00397FF8">
            <w:r w:rsidRPr="0052640F">
              <w:t>16</w:t>
            </w:r>
          </w:p>
        </w:tc>
        <w:tc>
          <w:tcPr>
            <w:tcW w:w="487" w:type="pct"/>
          </w:tcPr>
          <w:p w14:paraId="44BC37BF" w14:textId="77777777" w:rsidR="00397FF8" w:rsidRPr="0052640F" w:rsidRDefault="00397FF8" w:rsidP="00397FF8">
            <w:r w:rsidRPr="0052640F">
              <w:t>4</w:t>
            </w:r>
          </w:p>
        </w:tc>
        <w:tc>
          <w:tcPr>
            <w:tcW w:w="384" w:type="pct"/>
          </w:tcPr>
          <w:p w14:paraId="03B37E32" w14:textId="77777777" w:rsidR="00397FF8" w:rsidRPr="0052640F" w:rsidRDefault="00397FF8" w:rsidP="00397FF8">
            <w:r w:rsidRPr="0052640F">
              <w:t>5</w:t>
            </w:r>
          </w:p>
        </w:tc>
        <w:tc>
          <w:tcPr>
            <w:tcW w:w="384" w:type="pct"/>
          </w:tcPr>
          <w:p w14:paraId="17FCF58B" w14:textId="77777777" w:rsidR="00397FF8" w:rsidRPr="0052640F" w:rsidRDefault="00397FF8" w:rsidP="00397FF8">
            <w:r w:rsidRPr="0052640F">
              <w:t>4</w:t>
            </w:r>
          </w:p>
        </w:tc>
        <w:tc>
          <w:tcPr>
            <w:tcW w:w="398" w:type="pct"/>
          </w:tcPr>
          <w:p w14:paraId="5E64A3DF" w14:textId="77777777" w:rsidR="00397FF8" w:rsidRPr="0052640F" w:rsidRDefault="00397FF8" w:rsidP="00397FF8">
            <w:r w:rsidRPr="0052640F">
              <w:t>5</w:t>
            </w:r>
          </w:p>
        </w:tc>
        <w:tc>
          <w:tcPr>
            <w:tcW w:w="400" w:type="pct"/>
          </w:tcPr>
          <w:p w14:paraId="55EF7BB3" w14:textId="77777777" w:rsidR="00397FF8" w:rsidRPr="0052640F" w:rsidRDefault="00397FF8" w:rsidP="00397FF8">
            <w:r w:rsidRPr="0052640F">
              <w:t>5</w:t>
            </w:r>
          </w:p>
        </w:tc>
        <w:tc>
          <w:tcPr>
            <w:tcW w:w="384" w:type="pct"/>
          </w:tcPr>
          <w:p w14:paraId="5F696C20" w14:textId="77777777" w:rsidR="00397FF8" w:rsidRPr="0052640F" w:rsidRDefault="00397FF8" w:rsidP="00397FF8">
            <w:r w:rsidRPr="0052640F">
              <w:t>5</w:t>
            </w:r>
          </w:p>
        </w:tc>
        <w:tc>
          <w:tcPr>
            <w:tcW w:w="463" w:type="pct"/>
          </w:tcPr>
          <w:p w14:paraId="6A65E941" w14:textId="77777777" w:rsidR="00397FF8" w:rsidRPr="0052640F" w:rsidRDefault="00397FF8" w:rsidP="00397FF8">
            <w:r w:rsidRPr="0052640F">
              <w:t>5</w:t>
            </w:r>
          </w:p>
        </w:tc>
        <w:tc>
          <w:tcPr>
            <w:tcW w:w="384" w:type="pct"/>
          </w:tcPr>
          <w:p w14:paraId="62B25673" w14:textId="77777777" w:rsidR="00397FF8" w:rsidRPr="0052640F" w:rsidRDefault="00397FF8" w:rsidP="00397FF8">
            <w:r w:rsidRPr="0052640F">
              <w:t>5</w:t>
            </w:r>
          </w:p>
        </w:tc>
        <w:tc>
          <w:tcPr>
            <w:tcW w:w="384" w:type="pct"/>
          </w:tcPr>
          <w:p w14:paraId="6EAB72EF" w14:textId="77777777" w:rsidR="00397FF8" w:rsidRPr="0052640F" w:rsidRDefault="00397FF8" w:rsidP="00397FF8">
            <w:r w:rsidRPr="0052640F">
              <w:t>4</w:t>
            </w:r>
          </w:p>
        </w:tc>
        <w:tc>
          <w:tcPr>
            <w:tcW w:w="384" w:type="pct"/>
          </w:tcPr>
          <w:p w14:paraId="42653003" w14:textId="77777777" w:rsidR="00397FF8" w:rsidRPr="0052640F" w:rsidRDefault="00397FF8" w:rsidP="00397FF8">
            <w:r w:rsidRPr="0052640F">
              <w:t>4</w:t>
            </w:r>
          </w:p>
        </w:tc>
        <w:tc>
          <w:tcPr>
            <w:tcW w:w="445" w:type="pct"/>
          </w:tcPr>
          <w:p w14:paraId="3EEFC03A" w14:textId="77777777" w:rsidR="00397FF8" w:rsidRPr="0052640F" w:rsidRDefault="00397FF8" w:rsidP="00397FF8">
            <w:r w:rsidRPr="0052640F">
              <w:t>5</w:t>
            </w:r>
          </w:p>
        </w:tc>
      </w:tr>
      <w:tr w:rsidR="00397FF8" w:rsidRPr="0052640F" w14:paraId="3925E070" w14:textId="77777777" w:rsidTr="00397FF8">
        <w:tc>
          <w:tcPr>
            <w:tcW w:w="506" w:type="pct"/>
          </w:tcPr>
          <w:p w14:paraId="4E37CCEE" w14:textId="77777777" w:rsidR="00397FF8" w:rsidRPr="0052640F" w:rsidRDefault="00397FF8" w:rsidP="00397FF8">
            <w:r w:rsidRPr="0052640F">
              <w:t>17</w:t>
            </w:r>
          </w:p>
        </w:tc>
        <w:tc>
          <w:tcPr>
            <w:tcW w:w="487" w:type="pct"/>
          </w:tcPr>
          <w:p w14:paraId="4DBDA52B" w14:textId="77777777" w:rsidR="00397FF8" w:rsidRPr="0052640F" w:rsidRDefault="00397FF8" w:rsidP="00397FF8">
            <w:r w:rsidRPr="0052640F">
              <w:t>2</w:t>
            </w:r>
          </w:p>
        </w:tc>
        <w:tc>
          <w:tcPr>
            <w:tcW w:w="384" w:type="pct"/>
          </w:tcPr>
          <w:p w14:paraId="7F76533C" w14:textId="77777777" w:rsidR="00397FF8" w:rsidRPr="0052640F" w:rsidRDefault="00397FF8" w:rsidP="00397FF8">
            <w:r w:rsidRPr="0052640F">
              <w:t>2</w:t>
            </w:r>
          </w:p>
        </w:tc>
        <w:tc>
          <w:tcPr>
            <w:tcW w:w="384" w:type="pct"/>
          </w:tcPr>
          <w:p w14:paraId="79642539" w14:textId="77777777" w:rsidR="00397FF8" w:rsidRPr="0052640F" w:rsidRDefault="00397FF8" w:rsidP="00397FF8">
            <w:r w:rsidRPr="0052640F">
              <w:t>2</w:t>
            </w:r>
          </w:p>
        </w:tc>
        <w:tc>
          <w:tcPr>
            <w:tcW w:w="398" w:type="pct"/>
          </w:tcPr>
          <w:p w14:paraId="11F4E270" w14:textId="77777777" w:rsidR="00397FF8" w:rsidRPr="0052640F" w:rsidRDefault="00397FF8" w:rsidP="00397FF8">
            <w:r w:rsidRPr="0052640F">
              <w:t>1</w:t>
            </w:r>
          </w:p>
        </w:tc>
        <w:tc>
          <w:tcPr>
            <w:tcW w:w="400" w:type="pct"/>
          </w:tcPr>
          <w:p w14:paraId="7A9F975C" w14:textId="77777777" w:rsidR="00397FF8" w:rsidRPr="0052640F" w:rsidRDefault="00397FF8" w:rsidP="00397FF8">
            <w:r w:rsidRPr="0052640F">
              <w:t>2</w:t>
            </w:r>
          </w:p>
        </w:tc>
        <w:tc>
          <w:tcPr>
            <w:tcW w:w="384" w:type="pct"/>
          </w:tcPr>
          <w:p w14:paraId="577E98DC" w14:textId="77777777" w:rsidR="00397FF8" w:rsidRPr="0052640F" w:rsidRDefault="00397FF8" w:rsidP="00397FF8">
            <w:r w:rsidRPr="0052640F">
              <w:t>2</w:t>
            </w:r>
          </w:p>
        </w:tc>
        <w:tc>
          <w:tcPr>
            <w:tcW w:w="463" w:type="pct"/>
          </w:tcPr>
          <w:p w14:paraId="2EBB1441" w14:textId="77777777" w:rsidR="00397FF8" w:rsidRPr="0052640F" w:rsidRDefault="00397FF8" w:rsidP="00397FF8">
            <w:r w:rsidRPr="0052640F">
              <w:t>2</w:t>
            </w:r>
          </w:p>
        </w:tc>
        <w:tc>
          <w:tcPr>
            <w:tcW w:w="384" w:type="pct"/>
          </w:tcPr>
          <w:p w14:paraId="5A04BD68" w14:textId="77777777" w:rsidR="00397FF8" w:rsidRPr="0052640F" w:rsidRDefault="00397FF8" w:rsidP="00397FF8">
            <w:r w:rsidRPr="0052640F">
              <w:t>2</w:t>
            </w:r>
          </w:p>
        </w:tc>
        <w:tc>
          <w:tcPr>
            <w:tcW w:w="384" w:type="pct"/>
          </w:tcPr>
          <w:p w14:paraId="02E316AD" w14:textId="77777777" w:rsidR="00397FF8" w:rsidRPr="0052640F" w:rsidRDefault="00397FF8" w:rsidP="00397FF8">
            <w:r w:rsidRPr="0052640F">
              <w:t>2</w:t>
            </w:r>
          </w:p>
        </w:tc>
        <w:tc>
          <w:tcPr>
            <w:tcW w:w="384" w:type="pct"/>
          </w:tcPr>
          <w:p w14:paraId="5CE9A0CB" w14:textId="77777777" w:rsidR="00397FF8" w:rsidRPr="0052640F" w:rsidRDefault="00397FF8" w:rsidP="00397FF8">
            <w:r w:rsidRPr="0052640F">
              <w:t>2</w:t>
            </w:r>
          </w:p>
        </w:tc>
        <w:tc>
          <w:tcPr>
            <w:tcW w:w="445" w:type="pct"/>
          </w:tcPr>
          <w:p w14:paraId="09CA8390" w14:textId="77777777" w:rsidR="00397FF8" w:rsidRPr="0052640F" w:rsidRDefault="00397FF8" w:rsidP="00397FF8">
            <w:r w:rsidRPr="0052640F">
              <w:t>2</w:t>
            </w:r>
          </w:p>
        </w:tc>
      </w:tr>
      <w:tr w:rsidR="00397FF8" w:rsidRPr="0052640F" w14:paraId="7CEB1A41" w14:textId="77777777" w:rsidTr="00397FF8">
        <w:tc>
          <w:tcPr>
            <w:tcW w:w="506" w:type="pct"/>
          </w:tcPr>
          <w:p w14:paraId="7D1FFA35" w14:textId="77777777" w:rsidR="00397FF8" w:rsidRPr="0052640F" w:rsidRDefault="00397FF8" w:rsidP="00397FF8">
            <w:r w:rsidRPr="0052640F">
              <w:t>18</w:t>
            </w:r>
          </w:p>
        </w:tc>
        <w:tc>
          <w:tcPr>
            <w:tcW w:w="487" w:type="pct"/>
          </w:tcPr>
          <w:p w14:paraId="4ECEB512" w14:textId="77777777" w:rsidR="00397FF8" w:rsidRPr="0052640F" w:rsidRDefault="00397FF8" w:rsidP="00397FF8">
            <w:r w:rsidRPr="0052640F">
              <w:t>1</w:t>
            </w:r>
          </w:p>
        </w:tc>
        <w:tc>
          <w:tcPr>
            <w:tcW w:w="384" w:type="pct"/>
          </w:tcPr>
          <w:p w14:paraId="6B054A14" w14:textId="77777777" w:rsidR="00397FF8" w:rsidRPr="0052640F" w:rsidRDefault="00397FF8" w:rsidP="00397FF8">
            <w:r w:rsidRPr="0052640F">
              <w:t>1</w:t>
            </w:r>
          </w:p>
        </w:tc>
        <w:tc>
          <w:tcPr>
            <w:tcW w:w="384" w:type="pct"/>
          </w:tcPr>
          <w:p w14:paraId="44F7D99A" w14:textId="77777777" w:rsidR="00397FF8" w:rsidRPr="0052640F" w:rsidRDefault="00397FF8" w:rsidP="00397FF8">
            <w:r w:rsidRPr="0052640F">
              <w:t>1</w:t>
            </w:r>
          </w:p>
        </w:tc>
        <w:tc>
          <w:tcPr>
            <w:tcW w:w="398" w:type="pct"/>
          </w:tcPr>
          <w:p w14:paraId="7363B7FE" w14:textId="77777777" w:rsidR="00397FF8" w:rsidRPr="0052640F" w:rsidRDefault="00397FF8" w:rsidP="00397FF8">
            <w:r w:rsidRPr="0052640F">
              <w:t>1</w:t>
            </w:r>
          </w:p>
        </w:tc>
        <w:tc>
          <w:tcPr>
            <w:tcW w:w="400" w:type="pct"/>
          </w:tcPr>
          <w:p w14:paraId="53967D50" w14:textId="77777777" w:rsidR="00397FF8" w:rsidRPr="0052640F" w:rsidRDefault="00397FF8" w:rsidP="00397FF8">
            <w:r w:rsidRPr="0052640F">
              <w:t>1</w:t>
            </w:r>
          </w:p>
        </w:tc>
        <w:tc>
          <w:tcPr>
            <w:tcW w:w="384" w:type="pct"/>
          </w:tcPr>
          <w:p w14:paraId="4F525196" w14:textId="77777777" w:rsidR="00397FF8" w:rsidRPr="0052640F" w:rsidRDefault="00397FF8" w:rsidP="00397FF8">
            <w:r w:rsidRPr="0052640F">
              <w:t>1</w:t>
            </w:r>
          </w:p>
        </w:tc>
        <w:tc>
          <w:tcPr>
            <w:tcW w:w="463" w:type="pct"/>
          </w:tcPr>
          <w:p w14:paraId="2410B412" w14:textId="77777777" w:rsidR="00397FF8" w:rsidRPr="0052640F" w:rsidRDefault="00397FF8" w:rsidP="00397FF8">
            <w:r w:rsidRPr="0052640F">
              <w:t>1</w:t>
            </w:r>
          </w:p>
        </w:tc>
        <w:tc>
          <w:tcPr>
            <w:tcW w:w="384" w:type="pct"/>
          </w:tcPr>
          <w:p w14:paraId="2FD8E271" w14:textId="77777777" w:rsidR="00397FF8" w:rsidRPr="0052640F" w:rsidRDefault="00397FF8" w:rsidP="00397FF8">
            <w:r w:rsidRPr="0052640F">
              <w:t>1</w:t>
            </w:r>
          </w:p>
        </w:tc>
        <w:tc>
          <w:tcPr>
            <w:tcW w:w="384" w:type="pct"/>
          </w:tcPr>
          <w:p w14:paraId="2E73E2F7" w14:textId="77777777" w:rsidR="00397FF8" w:rsidRPr="0052640F" w:rsidRDefault="00397FF8" w:rsidP="00397FF8">
            <w:r w:rsidRPr="0052640F">
              <w:t>1</w:t>
            </w:r>
          </w:p>
        </w:tc>
        <w:tc>
          <w:tcPr>
            <w:tcW w:w="384" w:type="pct"/>
          </w:tcPr>
          <w:p w14:paraId="2ED6F65F" w14:textId="77777777" w:rsidR="00397FF8" w:rsidRPr="0052640F" w:rsidRDefault="00397FF8" w:rsidP="00397FF8">
            <w:r w:rsidRPr="0052640F">
              <w:t>1</w:t>
            </w:r>
          </w:p>
        </w:tc>
        <w:tc>
          <w:tcPr>
            <w:tcW w:w="445" w:type="pct"/>
          </w:tcPr>
          <w:p w14:paraId="07B66FC9" w14:textId="77777777" w:rsidR="00397FF8" w:rsidRPr="0052640F" w:rsidRDefault="00397FF8" w:rsidP="00397FF8">
            <w:r w:rsidRPr="0052640F">
              <w:t>1</w:t>
            </w:r>
          </w:p>
        </w:tc>
      </w:tr>
      <w:tr w:rsidR="00397FF8" w:rsidRPr="0052640F" w14:paraId="75CBB780" w14:textId="77777777" w:rsidTr="00397FF8">
        <w:tc>
          <w:tcPr>
            <w:tcW w:w="506" w:type="pct"/>
          </w:tcPr>
          <w:p w14:paraId="625B1E35" w14:textId="77777777" w:rsidR="00397FF8" w:rsidRPr="0052640F" w:rsidRDefault="00397FF8" w:rsidP="00397FF8">
            <w:r w:rsidRPr="0052640F">
              <w:t>19</w:t>
            </w:r>
          </w:p>
        </w:tc>
        <w:tc>
          <w:tcPr>
            <w:tcW w:w="487" w:type="pct"/>
          </w:tcPr>
          <w:p w14:paraId="5CA2B4FD" w14:textId="77777777" w:rsidR="00397FF8" w:rsidRPr="0052640F" w:rsidRDefault="00397FF8" w:rsidP="00397FF8">
            <w:r w:rsidRPr="0052640F">
              <w:t>0</w:t>
            </w:r>
          </w:p>
        </w:tc>
        <w:tc>
          <w:tcPr>
            <w:tcW w:w="384" w:type="pct"/>
          </w:tcPr>
          <w:p w14:paraId="690630AA" w14:textId="77777777" w:rsidR="00397FF8" w:rsidRPr="0052640F" w:rsidRDefault="00397FF8" w:rsidP="00397FF8">
            <w:r w:rsidRPr="0052640F">
              <w:t>1</w:t>
            </w:r>
          </w:p>
        </w:tc>
        <w:tc>
          <w:tcPr>
            <w:tcW w:w="384" w:type="pct"/>
          </w:tcPr>
          <w:p w14:paraId="2D85D309" w14:textId="77777777" w:rsidR="00397FF8" w:rsidRPr="0052640F" w:rsidRDefault="00397FF8" w:rsidP="00397FF8">
            <w:r w:rsidRPr="0052640F">
              <w:t>2</w:t>
            </w:r>
          </w:p>
        </w:tc>
        <w:tc>
          <w:tcPr>
            <w:tcW w:w="398" w:type="pct"/>
          </w:tcPr>
          <w:p w14:paraId="01FDBB9E" w14:textId="77777777" w:rsidR="00397FF8" w:rsidRPr="0052640F" w:rsidRDefault="00397FF8" w:rsidP="00397FF8">
            <w:r w:rsidRPr="0052640F">
              <w:t>1</w:t>
            </w:r>
          </w:p>
        </w:tc>
        <w:tc>
          <w:tcPr>
            <w:tcW w:w="400" w:type="pct"/>
          </w:tcPr>
          <w:p w14:paraId="7E134A7A" w14:textId="77777777" w:rsidR="00397FF8" w:rsidRPr="0052640F" w:rsidRDefault="00397FF8" w:rsidP="00397FF8">
            <w:r w:rsidRPr="0052640F">
              <w:t>3</w:t>
            </w:r>
          </w:p>
        </w:tc>
        <w:tc>
          <w:tcPr>
            <w:tcW w:w="384" w:type="pct"/>
          </w:tcPr>
          <w:p w14:paraId="451D1F5C" w14:textId="77777777" w:rsidR="00397FF8" w:rsidRPr="0052640F" w:rsidRDefault="00397FF8" w:rsidP="00397FF8">
            <w:r w:rsidRPr="0052640F">
              <w:t>2</w:t>
            </w:r>
          </w:p>
        </w:tc>
        <w:tc>
          <w:tcPr>
            <w:tcW w:w="463" w:type="pct"/>
          </w:tcPr>
          <w:p w14:paraId="0948F2B4" w14:textId="77777777" w:rsidR="00397FF8" w:rsidRPr="0052640F" w:rsidRDefault="00397FF8" w:rsidP="00397FF8">
            <w:r w:rsidRPr="0052640F">
              <w:t>1</w:t>
            </w:r>
          </w:p>
        </w:tc>
        <w:tc>
          <w:tcPr>
            <w:tcW w:w="384" w:type="pct"/>
          </w:tcPr>
          <w:p w14:paraId="4E93948B" w14:textId="77777777" w:rsidR="00397FF8" w:rsidRPr="0052640F" w:rsidRDefault="00397FF8" w:rsidP="00397FF8">
            <w:r w:rsidRPr="0052640F">
              <w:t>2</w:t>
            </w:r>
          </w:p>
        </w:tc>
        <w:tc>
          <w:tcPr>
            <w:tcW w:w="384" w:type="pct"/>
          </w:tcPr>
          <w:p w14:paraId="0EB67855" w14:textId="77777777" w:rsidR="00397FF8" w:rsidRPr="0052640F" w:rsidRDefault="00397FF8" w:rsidP="00397FF8">
            <w:r w:rsidRPr="0052640F">
              <w:t>2</w:t>
            </w:r>
          </w:p>
        </w:tc>
        <w:tc>
          <w:tcPr>
            <w:tcW w:w="384" w:type="pct"/>
          </w:tcPr>
          <w:p w14:paraId="09331492" w14:textId="77777777" w:rsidR="00397FF8" w:rsidRPr="0052640F" w:rsidRDefault="00397FF8" w:rsidP="00397FF8">
            <w:r w:rsidRPr="0052640F">
              <w:t>2</w:t>
            </w:r>
          </w:p>
        </w:tc>
        <w:tc>
          <w:tcPr>
            <w:tcW w:w="445" w:type="pct"/>
          </w:tcPr>
          <w:p w14:paraId="07A8E7A7" w14:textId="77777777" w:rsidR="00397FF8" w:rsidRPr="0052640F" w:rsidRDefault="00397FF8" w:rsidP="00397FF8">
            <w:r w:rsidRPr="0052640F">
              <w:t>1</w:t>
            </w:r>
          </w:p>
        </w:tc>
      </w:tr>
      <w:tr w:rsidR="00397FF8" w:rsidRPr="0052640F" w14:paraId="6EB2C932" w14:textId="77777777" w:rsidTr="00397FF8">
        <w:tc>
          <w:tcPr>
            <w:tcW w:w="506" w:type="pct"/>
          </w:tcPr>
          <w:p w14:paraId="234B8E6E" w14:textId="77777777" w:rsidR="00397FF8" w:rsidRPr="0052640F" w:rsidRDefault="00397FF8" w:rsidP="00397FF8">
            <w:r w:rsidRPr="0052640F">
              <w:t>20</w:t>
            </w:r>
          </w:p>
        </w:tc>
        <w:tc>
          <w:tcPr>
            <w:tcW w:w="487" w:type="pct"/>
          </w:tcPr>
          <w:p w14:paraId="24A3DF37" w14:textId="77777777" w:rsidR="00397FF8" w:rsidRPr="0052640F" w:rsidRDefault="00397FF8" w:rsidP="00397FF8">
            <w:r w:rsidRPr="0052640F">
              <w:t>4</w:t>
            </w:r>
          </w:p>
        </w:tc>
        <w:tc>
          <w:tcPr>
            <w:tcW w:w="384" w:type="pct"/>
          </w:tcPr>
          <w:p w14:paraId="3DB6FEDF" w14:textId="77777777" w:rsidR="00397FF8" w:rsidRPr="0052640F" w:rsidRDefault="00397FF8" w:rsidP="00397FF8">
            <w:r w:rsidRPr="0052640F">
              <w:t>4</w:t>
            </w:r>
          </w:p>
        </w:tc>
        <w:tc>
          <w:tcPr>
            <w:tcW w:w="384" w:type="pct"/>
          </w:tcPr>
          <w:p w14:paraId="305C8C33" w14:textId="77777777" w:rsidR="00397FF8" w:rsidRPr="0052640F" w:rsidRDefault="00397FF8" w:rsidP="00397FF8">
            <w:r w:rsidRPr="0052640F">
              <w:t>4</w:t>
            </w:r>
          </w:p>
        </w:tc>
        <w:tc>
          <w:tcPr>
            <w:tcW w:w="398" w:type="pct"/>
          </w:tcPr>
          <w:p w14:paraId="697B5C89" w14:textId="77777777" w:rsidR="00397FF8" w:rsidRPr="0052640F" w:rsidRDefault="00397FF8" w:rsidP="00397FF8">
            <w:r w:rsidRPr="0052640F">
              <w:t>4</w:t>
            </w:r>
          </w:p>
        </w:tc>
        <w:tc>
          <w:tcPr>
            <w:tcW w:w="400" w:type="pct"/>
          </w:tcPr>
          <w:p w14:paraId="3C99F612" w14:textId="77777777" w:rsidR="00397FF8" w:rsidRPr="0052640F" w:rsidRDefault="00397FF8" w:rsidP="00397FF8">
            <w:r w:rsidRPr="0052640F">
              <w:t>5</w:t>
            </w:r>
          </w:p>
        </w:tc>
        <w:tc>
          <w:tcPr>
            <w:tcW w:w="384" w:type="pct"/>
          </w:tcPr>
          <w:p w14:paraId="7981E581" w14:textId="77777777" w:rsidR="00397FF8" w:rsidRPr="0052640F" w:rsidRDefault="00397FF8" w:rsidP="00397FF8">
            <w:r w:rsidRPr="0052640F">
              <w:t>5</w:t>
            </w:r>
          </w:p>
        </w:tc>
        <w:tc>
          <w:tcPr>
            <w:tcW w:w="463" w:type="pct"/>
          </w:tcPr>
          <w:p w14:paraId="074E8552" w14:textId="77777777" w:rsidR="00397FF8" w:rsidRPr="0052640F" w:rsidRDefault="00397FF8" w:rsidP="00397FF8">
            <w:r w:rsidRPr="0052640F">
              <w:t>4</w:t>
            </w:r>
          </w:p>
        </w:tc>
        <w:tc>
          <w:tcPr>
            <w:tcW w:w="384" w:type="pct"/>
          </w:tcPr>
          <w:p w14:paraId="6A5D4D37" w14:textId="77777777" w:rsidR="00397FF8" w:rsidRPr="0052640F" w:rsidRDefault="00397FF8" w:rsidP="00397FF8">
            <w:r w:rsidRPr="0052640F">
              <w:t>5</w:t>
            </w:r>
          </w:p>
        </w:tc>
        <w:tc>
          <w:tcPr>
            <w:tcW w:w="384" w:type="pct"/>
          </w:tcPr>
          <w:p w14:paraId="18681A30" w14:textId="77777777" w:rsidR="00397FF8" w:rsidRPr="0052640F" w:rsidRDefault="00397FF8" w:rsidP="00397FF8">
            <w:r w:rsidRPr="0052640F">
              <w:t>3</w:t>
            </w:r>
          </w:p>
        </w:tc>
        <w:tc>
          <w:tcPr>
            <w:tcW w:w="384" w:type="pct"/>
          </w:tcPr>
          <w:p w14:paraId="6CC169CB" w14:textId="77777777" w:rsidR="00397FF8" w:rsidRPr="0052640F" w:rsidRDefault="00397FF8" w:rsidP="00397FF8">
            <w:r w:rsidRPr="0052640F">
              <w:t>4</w:t>
            </w:r>
          </w:p>
        </w:tc>
        <w:tc>
          <w:tcPr>
            <w:tcW w:w="445" w:type="pct"/>
          </w:tcPr>
          <w:p w14:paraId="53048017" w14:textId="77777777" w:rsidR="00397FF8" w:rsidRPr="0052640F" w:rsidRDefault="00397FF8" w:rsidP="00397FF8">
            <w:r w:rsidRPr="0052640F">
              <w:t>5</w:t>
            </w:r>
          </w:p>
        </w:tc>
      </w:tr>
      <w:tr w:rsidR="00397FF8" w:rsidRPr="0052640F" w14:paraId="25DABF3E" w14:textId="77777777" w:rsidTr="00397FF8">
        <w:tc>
          <w:tcPr>
            <w:tcW w:w="506" w:type="pct"/>
          </w:tcPr>
          <w:p w14:paraId="5BDD7102" w14:textId="77777777" w:rsidR="00397FF8" w:rsidRPr="0052640F" w:rsidRDefault="00397FF8" w:rsidP="00397FF8">
            <w:r w:rsidRPr="0052640F">
              <w:t>21</w:t>
            </w:r>
          </w:p>
        </w:tc>
        <w:tc>
          <w:tcPr>
            <w:tcW w:w="487" w:type="pct"/>
          </w:tcPr>
          <w:p w14:paraId="59453EA7" w14:textId="77777777" w:rsidR="00397FF8" w:rsidRPr="0052640F" w:rsidRDefault="00397FF8" w:rsidP="00397FF8">
            <w:r w:rsidRPr="0052640F">
              <w:t>1</w:t>
            </w:r>
          </w:p>
        </w:tc>
        <w:tc>
          <w:tcPr>
            <w:tcW w:w="384" w:type="pct"/>
          </w:tcPr>
          <w:p w14:paraId="50818035" w14:textId="77777777" w:rsidR="00397FF8" w:rsidRPr="0052640F" w:rsidRDefault="00397FF8" w:rsidP="00397FF8">
            <w:r w:rsidRPr="0052640F">
              <w:t>1</w:t>
            </w:r>
          </w:p>
        </w:tc>
        <w:tc>
          <w:tcPr>
            <w:tcW w:w="384" w:type="pct"/>
          </w:tcPr>
          <w:p w14:paraId="13204E8B" w14:textId="77777777" w:rsidR="00397FF8" w:rsidRPr="0052640F" w:rsidRDefault="00397FF8" w:rsidP="00397FF8">
            <w:r w:rsidRPr="0052640F">
              <w:t>1</w:t>
            </w:r>
          </w:p>
        </w:tc>
        <w:tc>
          <w:tcPr>
            <w:tcW w:w="398" w:type="pct"/>
          </w:tcPr>
          <w:p w14:paraId="5971E371" w14:textId="77777777" w:rsidR="00397FF8" w:rsidRPr="0052640F" w:rsidRDefault="00397FF8" w:rsidP="00397FF8">
            <w:r w:rsidRPr="0052640F">
              <w:t>1</w:t>
            </w:r>
          </w:p>
        </w:tc>
        <w:tc>
          <w:tcPr>
            <w:tcW w:w="400" w:type="pct"/>
          </w:tcPr>
          <w:p w14:paraId="012F41B1" w14:textId="77777777" w:rsidR="00397FF8" w:rsidRPr="0052640F" w:rsidRDefault="00397FF8" w:rsidP="00397FF8">
            <w:r w:rsidRPr="0052640F">
              <w:t>1</w:t>
            </w:r>
          </w:p>
        </w:tc>
        <w:tc>
          <w:tcPr>
            <w:tcW w:w="384" w:type="pct"/>
          </w:tcPr>
          <w:p w14:paraId="0CF7DC66" w14:textId="77777777" w:rsidR="00397FF8" w:rsidRPr="0052640F" w:rsidRDefault="00397FF8" w:rsidP="00397FF8">
            <w:r w:rsidRPr="0052640F">
              <w:t>1</w:t>
            </w:r>
          </w:p>
        </w:tc>
        <w:tc>
          <w:tcPr>
            <w:tcW w:w="463" w:type="pct"/>
          </w:tcPr>
          <w:p w14:paraId="1BCEF845" w14:textId="77777777" w:rsidR="00397FF8" w:rsidRPr="0052640F" w:rsidRDefault="00397FF8" w:rsidP="00397FF8">
            <w:r w:rsidRPr="0052640F">
              <w:t>1</w:t>
            </w:r>
          </w:p>
        </w:tc>
        <w:tc>
          <w:tcPr>
            <w:tcW w:w="384" w:type="pct"/>
          </w:tcPr>
          <w:p w14:paraId="6E172B6B" w14:textId="77777777" w:rsidR="00397FF8" w:rsidRPr="0052640F" w:rsidRDefault="00397FF8" w:rsidP="00397FF8">
            <w:r w:rsidRPr="0052640F">
              <w:t>1</w:t>
            </w:r>
          </w:p>
        </w:tc>
        <w:tc>
          <w:tcPr>
            <w:tcW w:w="384" w:type="pct"/>
          </w:tcPr>
          <w:p w14:paraId="09E9A0D9" w14:textId="77777777" w:rsidR="00397FF8" w:rsidRPr="0052640F" w:rsidRDefault="00397FF8" w:rsidP="00397FF8">
            <w:r w:rsidRPr="0052640F">
              <w:t>1</w:t>
            </w:r>
          </w:p>
        </w:tc>
        <w:tc>
          <w:tcPr>
            <w:tcW w:w="384" w:type="pct"/>
          </w:tcPr>
          <w:p w14:paraId="62CC4F2A" w14:textId="77777777" w:rsidR="00397FF8" w:rsidRPr="0052640F" w:rsidRDefault="00397FF8" w:rsidP="00397FF8">
            <w:r w:rsidRPr="0052640F">
              <w:t>1</w:t>
            </w:r>
          </w:p>
        </w:tc>
        <w:tc>
          <w:tcPr>
            <w:tcW w:w="445" w:type="pct"/>
          </w:tcPr>
          <w:p w14:paraId="5305F026" w14:textId="77777777" w:rsidR="00397FF8" w:rsidRPr="0052640F" w:rsidRDefault="00397FF8" w:rsidP="00397FF8">
            <w:r w:rsidRPr="0052640F">
              <w:t>1</w:t>
            </w:r>
          </w:p>
        </w:tc>
      </w:tr>
      <w:tr w:rsidR="00397FF8" w:rsidRPr="0052640F" w14:paraId="04F431DA" w14:textId="77777777" w:rsidTr="00397FF8">
        <w:tc>
          <w:tcPr>
            <w:tcW w:w="506" w:type="pct"/>
          </w:tcPr>
          <w:p w14:paraId="53E77468" w14:textId="77777777" w:rsidR="00397FF8" w:rsidRPr="0052640F" w:rsidRDefault="00397FF8" w:rsidP="00397FF8">
            <w:r w:rsidRPr="0052640F">
              <w:t>22</w:t>
            </w:r>
          </w:p>
        </w:tc>
        <w:tc>
          <w:tcPr>
            <w:tcW w:w="487" w:type="pct"/>
          </w:tcPr>
          <w:p w14:paraId="71698D2C" w14:textId="77777777" w:rsidR="00397FF8" w:rsidRPr="0052640F" w:rsidRDefault="00397FF8" w:rsidP="00397FF8">
            <w:r w:rsidRPr="0052640F">
              <w:t>0</w:t>
            </w:r>
          </w:p>
        </w:tc>
        <w:tc>
          <w:tcPr>
            <w:tcW w:w="384" w:type="pct"/>
          </w:tcPr>
          <w:p w14:paraId="7959D78D" w14:textId="77777777" w:rsidR="00397FF8" w:rsidRPr="0052640F" w:rsidRDefault="00397FF8" w:rsidP="00397FF8">
            <w:r w:rsidRPr="0052640F">
              <w:t>0</w:t>
            </w:r>
          </w:p>
        </w:tc>
        <w:tc>
          <w:tcPr>
            <w:tcW w:w="384" w:type="pct"/>
          </w:tcPr>
          <w:p w14:paraId="06AF451F" w14:textId="77777777" w:rsidR="00397FF8" w:rsidRPr="0052640F" w:rsidRDefault="00397FF8" w:rsidP="00397FF8">
            <w:r w:rsidRPr="0052640F">
              <w:t>0</w:t>
            </w:r>
          </w:p>
        </w:tc>
        <w:tc>
          <w:tcPr>
            <w:tcW w:w="398" w:type="pct"/>
          </w:tcPr>
          <w:p w14:paraId="0CFB6459" w14:textId="77777777" w:rsidR="00397FF8" w:rsidRPr="0052640F" w:rsidRDefault="00397FF8" w:rsidP="00397FF8">
            <w:r w:rsidRPr="0052640F">
              <w:t>1</w:t>
            </w:r>
          </w:p>
        </w:tc>
        <w:tc>
          <w:tcPr>
            <w:tcW w:w="400" w:type="pct"/>
          </w:tcPr>
          <w:p w14:paraId="234552A5" w14:textId="77777777" w:rsidR="00397FF8" w:rsidRPr="0052640F" w:rsidRDefault="00397FF8" w:rsidP="00397FF8">
            <w:r w:rsidRPr="0052640F">
              <w:t>0</w:t>
            </w:r>
          </w:p>
        </w:tc>
        <w:tc>
          <w:tcPr>
            <w:tcW w:w="384" w:type="pct"/>
          </w:tcPr>
          <w:p w14:paraId="35805324" w14:textId="77777777" w:rsidR="00397FF8" w:rsidRPr="0052640F" w:rsidRDefault="00397FF8" w:rsidP="00397FF8">
            <w:r w:rsidRPr="0052640F">
              <w:t>2</w:t>
            </w:r>
          </w:p>
        </w:tc>
        <w:tc>
          <w:tcPr>
            <w:tcW w:w="463" w:type="pct"/>
          </w:tcPr>
          <w:p w14:paraId="170265B2" w14:textId="77777777" w:rsidR="00397FF8" w:rsidRPr="0052640F" w:rsidRDefault="00397FF8" w:rsidP="00397FF8">
            <w:r w:rsidRPr="0052640F">
              <w:t>0</w:t>
            </w:r>
          </w:p>
        </w:tc>
        <w:tc>
          <w:tcPr>
            <w:tcW w:w="384" w:type="pct"/>
          </w:tcPr>
          <w:p w14:paraId="52041A6E" w14:textId="77777777" w:rsidR="00397FF8" w:rsidRPr="0052640F" w:rsidRDefault="00397FF8" w:rsidP="00397FF8">
            <w:r w:rsidRPr="0052640F">
              <w:t>2</w:t>
            </w:r>
          </w:p>
        </w:tc>
        <w:tc>
          <w:tcPr>
            <w:tcW w:w="384" w:type="pct"/>
          </w:tcPr>
          <w:p w14:paraId="0276D3B8" w14:textId="77777777" w:rsidR="00397FF8" w:rsidRPr="0052640F" w:rsidRDefault="00397FF8" w:rsidP="00397FF8">
            <w:r w:rsidRPr="0052640F">
              <w:t>2</w:t>
            </w:r>
          </w:p>
        </w:tc>
        <w:tc>
          <w:tcPr>
            <w:tcW w:w="384" w:type="pct"/>
          </w:tcPr>
          <w:p w14:paraId="23A4E095" w14:textId="77777777" w:rsidR="00397FF8" w:rsidRPr="0052640F" w:rsidRDefault="00397FF8" w:rsidP="00397FF8">
            <w:r w:rsidRPr="0052640F">
              <w:t>1</w:t>
            </w:r>
          </w:p>
        </w:tc>
        <w:tc>
          <w:tcPr>
            <w:tcW w:w="445" w:type="pct"/>
          </w:tcPr>
          <w:p w14:paraId="07488A74" w14:textId="77777777" w:rsidR="00397FF8" w:rsidRPr="0052640F" w:rsidRDefault="00397FF8" w:rsidP="00397FF8">
            <w:r w:rsidRPr="0052640F">
              <w:t>1</w:t>
            </w:r>
          </w:p>
        </w:tc>
      </w:tr>
      <w:tr w:rsidR="00397FF8" w:rsidRPr="0052640F" w14:paraId="78918A8E" w14:textId="77777777" w:rsidTr="00397FF8">
        <w:trPr>
          <w:trHeight w:val="664"/>
        </w:trPr>
        <w:tc>
          <w:tcPr>
            <w:tcW w:w="506" w:type="pct"/>
          </w:tcPr>
          <w:p w14:paraId="27292408" w14:textId="77777777" w:rsidR="00397FF8" w:rsidRPr="0052640F" w:rsidRDefault="00397FF8" w:rsidP="00397FF8">
            <w:pPr>
              <w:rPr>
                <w:sz w:val="22"/>
                <w:szCs w:val="22"/>
              </w:rPr>
            </w:pPr>
            <w:r w:rsidRPr="0052640F">
              <w:rPr>
                <w:sz w:val="22"/>
                <w:szCs w:val="22"/>
              </w:rPr>
              <w:t>TOTAL</w:t>
            </w:r>
          </w:p>
        </w:tc>
        <w:tc>
          <w:tcPr>
            <w:tcW w:w="487" w:type="pct"/>
          </w:tcPr>
          <w:p w14:paraId="70580458" w14:textId="77777777" w:rsidR="00397FF8" w:rsidRPr="0052640F" w:rsidRDefault="00397FF8" w:rsidP="00397FF8">
            <w:pPr>
              <w:rPr>
                <w:sz w:val="22"/>
                <w:szCs w:val="22"/>
              </w:rPr>
            </w:pPr>
            <w:r w:rsidRPr="0052640F">
              <w:rPr>
                <w:sz w:val="22"/>
                <w:szCs w:val="22"/>
              </w:rPr>
              <w:t>46</w:t>
            </w:r>
          </w:p>
        </w:tc>
        <w:tc>
          <w:tcPr>
            <w:tcW w:w="384" w:type="pct"/>
          </w:tcPr>
          <w:p w14:paraId="7BABA212" w14:textId="77777777" w:rsidR="00397FF8" w:rsidRPr="0052640F" w:rsidRDefault="00397FF8" w:rsidP="00397FF8">
            <w:pPr>
              <w:rPr>
                <w:sz w:val="22"/>
                <w:szCs w:val="22"/>
              </w:rPr>
            </w:pPr>
            <w:r w:rsidRPr="0052640F">
              <w:rPr>
                <w:sz w:val="22"/>
                <w:szCs w:val="22"/>
              </w:rPr>
              <w:t>51</w:t>
            </w:r>
          </w:p>
        </w:tc>
        <w:tc>
          <w:tcPr>
            <w:tcW w:w="384" w:type="pct"/>
          </w:tcPr>
          <w:p w14:paraId="0275815B" w14:textId="77777777" w:rsidR="00397FF8" w:rsidRPr="0052640F" w:rsidRDefault="00397FF8" w:rsidP="00397FF8">
            <w:pPr>
              <w:rPr>
                <w:sz w:val="22"/>
                <w:szCs w:val="22"/>
              </w:rPr>
            </w:pPr>
            <w:r w:rsidRPr="0052640F">
              <w:rPr>
                <w:sz w:val="22"/>
                <w:szCs w:val="22"/>
              </w:rPr>
              <w:t>57</w:t>
            </w:r>
          </w:p>
        </w:tc>
        <w:tc>
          <w:tcPr>
            <w:tcW w:w="398" w:type="pct"/>
          </w:tcPr>
          <w:p w14:paraId="70F03A6D" w14:textId="77777777" w:rsidR="00397FF8" w:rsidRPr="0052640F" w:rsidRDefault="00397FF8" w:rsidP="00397FF8">
            <w:pPr>
              <w:rPr>
                <w:sz w:val="22"/>
                <w:szCs w:val="22"/>
              </w:rPr>
            </w:pPr>
            <w:r w:rsidRPr="0052640F">
              <w:rPr>
                <w:sz w:val="22"/>
                <w:szCs w:val="22"/>
              </w:rPr>
              <w:t>56</w:t>
            </w:r>
          </w:p>
        </w:tc>
        <w:tc>
          <w:tcPr>
            <w:tcW w:w="400" w:type="pct"/>
          </w:tcPr>
          <w:p w14:paraId="4AFE548C" w14:textId="77777777" w:rsidR="00397FF8" w:rsidRPr="0052640F" w:rsidRDefault="00397FF8" w:rsidP="00397FF8">
            <w:pPr>
              <w:rPr>
                <w:sz w:val="22"/>
                <w:szCs w:val="22"/>
              </w:rPr>
            </w:pPr>
            <w:r w:rsidRPr="0052640F">
              <w:rPr>
                <w:sz w:val="22"/>
                <w:szCs w:val="22"/>
              </w:rPr>
              <w:t>60</w:t>
            </w:r>
          </w:p>
        </w:tc>
        <w:tc>
          <w:tcPr>
            <w:tcW w:w="384" w:type="pct"/>
          </w:tcPr>
          <w:p w14:paraId="19FE4D76" w14:textId="77777777" w:rsidR="00397FF8" w:rsidRPr="0052640F" w:rsidRDefault="00397FF8" w:rsidP="00397FF8">
            <w:pPr>
              <w:rPr>
                <w:sz w:val="22"/>
                <w:szCs w:val="22"/>
              </w:rPr>
            </w:pPr>
            <w:r w:rsidRPr="0052640F">
              <w:rPr>
                <w:sz w:val="22"/>
                <w:szCs w:val="22"/>
              </w:rPr>
              <w:t>58</w:t>
            </w:r>
          </w:p>
        </w:tc>
        <w:tc>
          <w:tcPr>
            <w:tcW w:w="463" w:type="pct"/>
          </w:tcPr>
          <w:p w14:paraId="4BEE7019" w14:textId="77777777" w:rsidR="00397FF8" w:rsidRPr="0052640F" w:rsidRDefault="00397FF8" w:rsidP="00397FF8">
            <w:pPr>
              <w:rPr>
                <w:sz w:val="22"/>
                <w:szCs w:val="22"/>
              </w:rPr>
            </w:pPr>
            <w:r w:rsidRPr="0052640F">
              <w:rPr>
                <w:sz w:val="22"/>
                <w:szCs w:val="22"/>
              </w:rPr>
              <w:t>46</w:t>
            </w:r>
          </w:p>
        </w:tc>
        <w:tc>
          <w:tcPr>
            <w:tcW w:w="384" w:type="pct"/>
          </w:tcPr>
          <w:p w14:paraId="154F4CD2" w14:textId="77777777" w:rsidR="00397FF8" w:rsidRPr="0052640F" w:rsidRDefault="00397FF8" w:rsidP="00397FF8">
            <w:pPr>
              <w:rPr>
                <w:sz w:val="22"/>
                <w:szCs w:val="22"/>
              </w:rPr>
            </w:pPr>
            <w:r w:rsidRPr="0052640F">
              <w:rPr>
                <w:sz w:val="22"/>
                <w:szCs w:val="22"/>
              </w:rPr>
              <w:t>61</w:t>
            </w:r>
          </w:p>
        </w:tc>
        <w:tc>
          <w:tcPr>
            <w:tcW w:w="384" w:type="pct"/>
          </w:tcPr>
          <w:p w14:paraId="1E42D0AF" w14:textId="77777777" w:rsidR="00397FF8" w:rsidRPr="0052640F" w:rsidRDefault="00397FF8" w:rsidP="00397FF8">
            <w:pPr>
              <w:rPr>
                <w:sz w:val="22"/>
                <w:szCs w:val="22"/>
              </w:rPr>
            </w:pPr>
            <w:r w:rsidRPr="0052640F">
              <w:rPr>
                <w:sz w:val="22"/>
                <w:szCs w:val="22"/>
              </w:rPr>
              <w:t>52</w:t>
            </w:r>
          </w:p>
        </w:tc>
        <w:tc>
          <w:tcPr>
            <w:tcW w:w="384" w:type="pct"/>
          </w:tcPr>
          <w:p w14:paraId="044C8C7D" w14:textId="77777777" w:rsidR="00397FF8" w:rsidRPr="0052640F" w:rsidRDefault="00397FF8" w:rsidP="00397FF8">
            <w:pPr>
              <w:rPr>
                <w:sz w:val="22"/>
                <w:szCs w:val="22"/>
              </w:rPr>
            </w:pPr>
            <w:r w:rsidRPr="0052640F">
              <w:rPr>
                <w:sz w:val="22"/>
                <w:szCs w:val="22"/>
              </w:rPr>
              <w:t>50</w:t>
            </w:r>
          </w:p>
        </w:tc>
        <w:tc>
          <w:tcPr>
            <w:tcW w:w="445" w:type="pct"/>
          </w:tcPr>
          <w:p w14:paraId="07B652C2" w14:textId="77777777" w:rsidR="00397FF8" w:rsidRPr="0052640F" w:rsidRDefault="00397FF8" w:rsidP="00397FF8">
            <w:pPr>
              <w:rPr>
                <w:sz w:val="22"/>
                <w:szCs w:val="22"/>
              </w:rPr>
            </w:pPr>
            <w:r w:rsidRPr="0052640F">
              <w:rPr>
                <w:sz w:val="22"/>
                <w:szCs w:val="22"/>
              </w:rPr>
              <w:t>55</w:t>
            </w:r>
          </w:p>
        </w:tc>
      </w:tr>
    </w:tbl>
    <w:p w14:paraId="1B88F50F" w14:textId="77777777" w:rsidR="00580806" w:rsidRDefault="00580806">
      <w:pPr>
        <w:rPr>
          <w:sz w:val="22"/>
          <w:szCs w:val="22"/>
        </w:rPr>
      </w:pPr>
      <w:r>
        <w:rPr>
          <w:sz w:val="22"/>
          <w:szCs w:val="22"/>
        </w:rPr>
        <w:br w:type="page"/>
      </w:r>
    </w:p>
    <w:p w14:paraId="101C510C" w14:textId="77777777" w:rsidR="00397FF8" w:rsidRDefault="00397FF8" w:rsidP="00EB738E">
      <w:pPr>
        <w:spacing w:line="480" w:lineRule="auto"/>
        <w:rPr>
          <w:sz w:val="22"/>
          <w:szCs w:val="22"/>
        </w:rPr>
        <w:sectPr w:rsidR="00397FF8" w:rsidSect="00397FF8">
          <w:pgSz w:w="16840" w:h="11900" w:orient="landscape"/>
          <w:pgMar w:top="2268" w:right="1440" w:bottom="1134" w:left="1440" w:header="709" w:footer="709" w:gutter="0"/>
          <w:cols w:space="708"/>
          <w:docGrid w:linePitch="360"/>
        </w:sectPr>
      </w:pPr>
    </w:p>
    <w:p w14:paraId="62B3632E" w14:textId="59759D31" w:rsidR="00EB738E" w:rsidRPr="00824F55" w:rsidRDefault="00EB738E" w:rsidP="00EB738E">
      <w:pPr>
        <w:spacing w:line="480" w:lineRule="auto"/>
        <w:rPr>
          <w:sz w:val="22"/>
          <w:szCs w:val="22"/>
        </w:rPr>
      </w:pPr>
      <w:r w:rsidRPr="00824F55">
        <w:rPr>
          <w:sz w:val="22"/>
          <w:szCs w:val="22"/>
        </w:rPr>
        <w:t>Limitations</w:t>
      </w:r>
    </w:p>
    <w:p w14:paraId="16F0D04D" w14:textId="77777777" w:rsidR="00EB738E" w:rsidRDefault="00EB738E" w:rsidP="00EB738E">
      <w:pPr>
        <w:spacing w:line="480" w:lineRule="auto"/>
        <w:rPr>
          <w:sz w:val="22"/>
          <w:szCs w:val="22"/>
        </w:rPr>
      </w:pPr>
      <w:r>
        <w:rPr>
          <w:sz w:val="22"/>
          <w:szCs w:val="22"/>
        </w:rPr>
        <w:tab/>
        <w:t xml:space="preserve">There are a number of limitations relating to clinical practice and sentinel node biopsy and also to the identified studies evaluating non-sentinel node status that have implications for this review.  The classification of lymph nodes as sentinel or non-sentinel is reliant upon correct identification and removal by the surgeon who performs sentinel node biopsy.  Non-sentinel nodes removed at the time of sentinel node biopsy should be clearly documented as such and only removed if there is a clinical suspicion that they contain metastases.  It is rare for studies to report on the number of non-sentinel nodes that were removed at the time of sentinel node biopsy rather than at the time of completion lymph node dissection.  Similarly, sentinel nodes that were not identified and removed at sentinel node biopsy are likely to be removed and mislabeled as non-sentinel nodes at completion lymph node dissection, thus resulting in inaccuracy of data for studies aiming to determine the effect of non-sentinel node status. </w:t>
      </w:r>
    </w:p>
    <w:p w14:paraId="2F73E5BA" w14:textId="77777777" w:rsidR="00EB738E" w:rsidRDefault="00EB738E" w:rsidP="00EB738E">
      <w:pPr>
        <w:spacing w:line="480" w:lineRule="auto"/>
        <w:rPr>
          <w:sz w:val="22"/>
          <w:szCs w:val="22"/>
        </w:rPr>
      </w:pPr>
      <w:r>
        <w:rPr>
          <w:sz w:val="22"/>
          <w:szCs w:val="22"/>
        </w:rPr>
        <w:tab/>
        <w:t xml:space="preserve">All studies examining non-sentinel node status have been retrospective studies, commonly using data from </w:t>
      </w:r>
      <w:proofErr w:type="gramStart"/>
      <w:r>
        <w:rPr>
          <w:sz w:val="22"/>
          <w:szCs w:val="22"/>
        </w:rPr>
        <w:t>prospectively-maintained</w:t>
      </w:r>
      <w:proofErr w:type="gramEnd"/>
      <w:r>
        <w:rPr>
          <w:sz w:val="22"/>
          <w:szCs w:val="22"/>
        </w:rPr>
        <w:t xml:space="preserve"> databases.   Some sizeable studies and studies with an overlapping patient population were excluded.  However, all included and excluded studies reached the same conclusion regarding the significance of non-sentinel node status and so their inclusion would not have altered the outcome of the review.  A meta-analysis of the effect size of non-sentinel node status was not performed as part of this review as the 3 studies suitable for inclusion in such a meta-analysis had accounted for non-sentinel node status using different combinations of variables and so were unsuitable for meta-analysis.</w:t>
      </w:r>
    </w:p>
    <w:p w14:paraId="0C40DC8D" w14:textId="77777777" w:rsidR="00EB738E" w:rsidRPr="00824F55" w:rsidRDefault="00EB738E" w:rsidP="00EB738E">
      <w:pPr>
        <w:spacing w:line="480" w:lineRule="auto"/>
        <w:rPr>
          <w:sz w:val="22"/>
          <w:szCs w:val="22"/>
        </w:rPr>
      </w:pPr>
    </w:p>
    <w:p w14:paraId="2F59C7BE" w14:textId="77777777" w:rsidR="00EB738E" w:rsidRDefault="00EB738E" w:rsidP="00EB738E">
      <w:pPr>
        <w:spacing w:line="480" w:lineRule="auto"/>
        <w:rPr>
          <w:b/>
          <w:sz w:val="22"/>
          <w:szCs w:val="22"/>
        </w:rPr>
      </w:pPr>
    </w:p>
    <w:p w14:paraId="2250988B" w14:textId="77777777" w:rsidR="00EB738E" w:rsidRPr="003E73CD" w:rsidRDefault="00EB738E" w:rsidP="00EB738E">
      <w:pPr>
        <w:spacing w:line="480" w:lineRule="auto"/>
        <w:rPr>
          <w:b/>
          <w:sz w:val="22"/>
          <w:szCs w:val="22"/>
        </w:rPr>
      </w:pPr>
      <w:r>
        <w:rPr>
          <w:b/>
          <w:sz w:val="22"/>
          <w:szCs w:val="22"/>
        </w:rPr>
        <w:t>CONCLUSIONS</w:t>
      </w:r>
    </w:p>
    <w:p w14:paraId="08F8E225" w14:textId="77777777" w:rsidR="00EB738E" w:rsidRPr="003E73CD" w:rsidRDefault="00EB738E" w:rsidP="00EB738E">
      <w:pPr>
        <w:spacing w:line="480" w:lineRule="auto"/>
        <w:ind w:firstLine="720"/>
        <w:rPr>
          <w:sz w:val="22"/>
          <w:szCs w:val="22"/>
        </w:rPr>
      </w:pPr>
      <w:r w:rsidRPr="003E73CD">
        <w:rPr>
          <w:sz w:val="22"/>
          <w:szCs w:val="22"/>
        </w:rPr>
        <w:t>The prognostic significance of non-sentinel node status has been investigated in Kaplan-Meier analyses that accounted for an effect due to differing total number of positive nodes in four studies (Ariyan et al., Ghaferi et al., Wiener et al. and Pasquali et al.).</w:t>
      </w:r>
      <w:r w:rsidRPr="003E73CD">
        <w:rPr>
          <w:sz w:val="22"/>
          <w:szCs w:val="22"/>
        </w:rPr>
        <w:fldChar w:fldCharType="begin" w:fldLock="1"/>
      </w:r>
      <w:r>
        <w:rPr>
          <w:sz w:val="22"/>
          <w:szCs w:val="22"/>
        </w:rPr>
        <w:instrText>ADDIN CSL_CITATION { "citationItems" : [ { "id" : "ITEM-1", "itemData" : { "DOI" : "10.1245/s10434-008-0187-5", "ISSN" : "1534-4681", "PMID" : "18979135", "abstract" : "While sentinel lymph node biopsy (SLN) is a highly accurate and well-tolerated procedure for patients with cutaneous melanoma, the role of the completion lymph node dissection (CLND) for patients with positive SLN biopsy remains unknown. This study aimed to look at the prognostic value of a positive nonsentinel lymph node (NSLN). A prospectively maintained database identified 222 patients with cutaneous melanoma and a positive SLN biopsy, without evidence of distant disease. All of these patients underwent CLND, and 37 patients (17%) had positive NSLN. With median follow-up of 33 months, patients with negative NSLN had median survival of 104 months, while patients with positive NSLN had median survival of 36 months (p &lt; 0.001). There were no survivors in the patients with positive NSLN beyond 6 years. When patients with an equal number of positive nodes were analyzed, the presence of a positive NSLN was still associated with worse melanoma-specific survival (66 months for NSLN- versus 34 months for NSLN+, p = 0.04). While increasing age, tumor thickness, and male sex were associated with an increased risk of death on multivariate analysis, a positive NSLN was the most important predictor of survival (hazard ratio 2.5). We conclude that positive NSLN is an independent predictor of disease-specific survival in patients with cutaneous melanoma.", "author" : [ { "dropping-particle" : "", "family" : "Ariyan", "given" : "Charlotte", "non-dropping-particle" : "", "parse-names" : false, "suffix" : "" }, { "dropping-particle" : "", "family" : "Brady", "given" : "Mary Sue", "non-dropping-particle" : "", "parse-names" : false, "suffix" : "" }, { "dropping-particle" : "", "family" : "G\u00f6nen", "given" : "Mithat", "non-dropping-particle" : "", "parse-names" : false, "suffix" : "" }, { "dropping-particle" : "", "family" : "Busam", "given" : "Klaus", "non-dropping-particle" : "", "parse-names" : false, "suffix" : "" }, { "dropping-particle" : "", "family" : "Coit", "given" : "Daniel", "non-dropping-particle" : "", "parse-names" : false, "suffix" : "" } ], "container-title" : "Annals of surgical oncology", "id" : "ITEM-1", "issue" : "1", "issued" : { "date-parts" : [ [ "2009", "1" ] ] }, "page" : "186-90", "title" : "Positive nonsentinel node status predicts mortality in patients with cutaneous melanoma.", "type" : "article-journal", "volume" : "16" }, "uris" : [ "http://www.mendeley.com/documents/?uuid=95f50211-78eb-42c1-b0bf-03f1224519aa" ] }, { "id" : "ITEM-2", "itemData" : { "DOI" : "10.1245/s10434-009-0665-4", "ISSN" : "1534-4681", "PMID" : "19711133", "abstract" : "PURPOSE: Sentinel lymph node (SLN) biopsy provides important prognostic information for patients with cutaneous melanoma. There may be additional prognostic significance to melanoma spreading from the SLN to nonsentinel lymph nodes (NSLN). We examined the implications of a positive NSLN for overall and distant disease-free survival.\n\nMETHODS: Using a prospectively maintained, Institutional Review Board-approved melanoma database we studied patients who had a cutaneous melanoma, a positive SLN, and a completion lymph node dissection (CLND). Survival was determined using a combination of hospital records and the Social Security Death Index (SSDI). Univariate and multivariate Cox regression analysis was performed to further characterize predictors of overall and distant disease-free survival. Kaplan-Meier analysis was used to generate survival curves.\n\nRESULTS: A total of 429 patients with positive SLN biopsies were identified, with at least one positive NSLN identified in 71 (17%). Median follow-up time was 36.8 months. Presence of a positive NSLN was significantly associated with poor outcome, although long-term survival was possible. Presence of ulceration, high mitotic rate, angiolymphatic invasion, total number of positive nodes, and volume of disease&gt;1% in the SLN were significant predictors of survival on univariate analysis, but lost significance on multivariate. Multivariate Cox analysis revealed several predictors of overall survival: increasing age [hazard ratio (HR) 1.04, P&lt;0.01], Breslow depth (HR 1.76, P&lt;0.01), presence of extracapsular extension in the SLN (HR 2.39, P&lt;0.01), and positive NSLN (HR 1.92, P&lt;0.01).\n\nCONCLUSION: Among node-positive melanoma patients, presence of a positive NSLN is a highly significant poor prognostic sign, even after considering the total number of positive nodes and volume of disease in the SLN. CLND after a positive SLN provides this important prognostic information.", "author" : [ { "dropping-particle" : "", "family" : "Ghaferi", "given" : "Amir A", "non-dropping-particle" : "", "parse-names" : false, "suffix" : "" }, { "dropping-particle" : "", "family" : "Wong", "given" : "Sandra L", "non-dropping-particle" : "", "parse-names" : false, "suffix" : "" }, { "dropping-particle" : "", "family" : "Johnson", "given" : "Timothy M", "non-dropping-particle" : "", "parse-names" : false, "suffix" : "" }, { "dropping-particle" : "", "family" : "Lowe", "given" : "Lori", "non-dropping-particle" : "", "parse-names" : false, "suffix" : "" }, { "dropping-particle" : "", "family" : "Chang", "given" : "Alfred E", "non-dropping-particle" : "", "parse-names" : false, "suffix" : "" }, { "dropping-particle" : "", "family" : "Cimmino", "given" : "Vincent M", "non-dropping-particle" : "", "parse-names" : false, "suffix" : "" }, { "dropping-particle" : "", "family" : "Bradford", "given" : "Carol R", "non-dropping-particle" : "", "parse-names" : false, "suffix" : "" }, { "dropping-particle" : "", "family" : "Rees", "given" : "Riley S", "non-dropping-particle" : "", "parse-names" : false, "suffix" : "" }, { "dropping-particle" : "", "family" : "Sabel", "given" : "Michael S", "non-dropping-particle" : "", "parse-names" : false, "suffix" : "" } ], "container-title" : "Annals of surgical oncology", "id" : "ITEM-2", "issue" : "11", "issued" : { "date-parts" : [ [ "2009", "11" ] ] }, "page" : "2978-84", "title" : "Prognostic significance of a positive nonsentinel lymph node in cutaneous melanoma.", "type" : "article-journal", "volume" : "16" }, "uris" : [ "http://www.mendeley.com/documents/?uuid=928824b4-dc07-42e0-87bf-4160d27f7eec" ] }, { "id" : "ITEM-3", "itemData" : { "DOI" : "10.1245/s10434-010-1049-5", "ISSN" : "1534-4681", "PMID" : "20490699", "abstract" : "BACKGROUND: Completion lymph node dissection (CLND) following positive sentinel node biopsy (SNB) for melanoma detects additional nonsentinel node (NSN) metastases in approximately 20% of cases. This study aimed to establish whether NSN status can be predicted, to determine its effect on survival, and to develop survival tree models for the sentinel node (SN) positive population.\n\nMATERIALS AND METHODS: Sydney Melanoma Unit (SMU) patients with at least 1 positive SN, meeting inclusion criteria and treated between October 1992 and June 2005, were identified from the Unit database. Survival characteristics, potential predictors of survival, and NSN status were assessed using the Kaplan-Meier method, Cox regression model, and logistic regression analyses, respectively. Classification tree analysis was performed to identify groups with distinctly different survival characteristics.\n\nRESULTS: A total of 323 SN-positive melanoma patients met the inclusion criteria. On multivariate analysis, age, gender, primary tumor thickness, mitotic rate, number of positive NSNs, or total number of positive nodes were statistically significant predictors of survival. NSN metastasis, found at CLND in 19% of patients, was only predicted to a statistically significant degree by ulceration. Multivariate analyses demonstrated that survival was more closely related to number of positive NSNs than total number of positive nodes. Classification tree analysis revealed 4 prognostically distinct survival groups.\n\nCONCLUSIONS: Patients with NSN metastases could not be reliably identified prior to CLND. Prognosis following CLND was more closely related to number of positive NSNs than total number of positive nodes. Classification tree analysis defined distinctly different survival groups more accurately than use of single-factor analysis.", "author" : [ { "dropping-particle" : "", "family" : "Wiener", "given" : "Martin", "non-dropping-particle" : "", "parse-names" : false, "suffix" : "" }, { "dropping-particle" : "", "family" : "Acland", "given" : "Katharine M", "non-dropping-particle" : "", "parse-names" : false, "suffix" : "" }, { "dropping-particle" : "", "family" : "Shaw", "given" : "Helen M", "non-dropping-particle" : "", "parse-names" : false, "suffix" : "" }, { "dropping-particle" : "", "family" : "Soong", "given" : "Seng-Jaw", "non-dropping-particle" : "", "parse-names" : false, "suffix" : "" }, { "dropping-particle" : "", "family" : "Lin", "given" : "Hui-Yi", "non-dropping-particle" : "", "parse-names" : false, "suffix" : "" }, { "dropping-particle" : "", "family" : "Chen", "given" : "Dung-Tsa", "non-dropping-particle" : "", "parse-names" : false, "suffix" : "" }, { "dropping-particle" : "", "family" : "Scolyer", "given" : "Richard A", "non-dropping-particle" : "", "parse-names" : false, "suffix" : "" }, { "dropping-particle" : "", "family" : "Winstanley", "given" : "Julie B", "non-dropping-particle" : "", "parse-names" : false, "suffix" : "" }, { "dropping-particle" : "", "family" : "Thompson", "given" : "John F", "non-dropping-particle" : "", "parse-names" : false, "suffix" : "" } ], "container-title" : "Annals of surgical oncology", "id" : "ITEM-3", "issue" : "8", "issued" : { "date-parts" : [ [ "2010", "8" ] ] }, "page" : "1995-2005", "title" : "Sentinel node positive melanoma patients: prediction and prognostic significance of nonsentinel node metastases and development of a survival tree model.", "type" : "article-journal", "volume" : "17" }, "uris" : [ "http://www.mendeley.com/documents/?uuid=f4126b0e-1dfd-4ac9-a748-0e48d0c17c53" ] }, { "id" : "ITEM-4", "itemData" : { "DOI" : "10.1200/JCO.2013.50.7681", "ISSN" : "1527-7755", "PMID" : "24516022", "abstract" : "PURPOSE: We investigated whether the nonsentinel lymph node (NSLN) status in patients with melanoma improves the prognostic accuracy of common staging features; then we formulated a proposal for including the NSLN status in the current melanoma staging system.\n\nPATIENTS AND METHODS: We retrospectively collected the clinicopathologic data of 1,538 patients with positive SLN status who underwent completion lymph node dissection (CLND) at nine Italian centers. Multivariable Cox regression survival analysis was used to identify independent prognostic factors. Literature meta-analysis was used to summarize the available evidence on the prognostic value of the NSLN status in patients with positive SLN.\n\nRESULTS: NSLN metastasis was observed in 353 patients (23%). After a median follow-up of 45 months, NSLN status was an independent prognostic factor for melanoma-specific survival (hazard ratio [HR] = 1.34; 95% CI, 1.18 to 1.52; P &lt; .001). NSLN status efficiently stratified the prognosis of patients with two to three positive lymph nodes (n = 387; HR = 1.39; 95% CI, 1.07 to 1.81; P = .013), independently of other staging features. Searching the literature, this patient subgroup was investigated in other two studies. Pooling the results (n = 620 patients; 284 NSLN negative and 336 NSLN positive), we found that NSLN status is a highly significant prognostic factor (summary HR = 1.59; 95% CI, 1.27 to 1.98; P &lt; .001) in patients with two to three positive lymph nodes.\n\nCONCLUSION: These findings support the independent prognostic value of the NSLN status in patients with two to three positive lymph nodes, suggesting that this information should be considered for the routine staging in patients with melanoma.", "author" : [ { "dropping-particle" : "", "family" : "Pasquali", "given" : "Sandro", "non-dropping-particle" : "", "parse-names" : false, "suffix" : "" }, { "dropping-particle" : "", "family" : "Mocellin", "given" : "Simone", "non-dropping-particle" : "", "parse-names" : false, "suffix" : "" }, { "dropping-particle" : "", "family" : "Mozzillo", "given" : "Nicola", "non-dropping-particle" : "", "parse-names" : false, "suffix" : "" }, { "dropping-particle" : "", "family" : "Maurichi", "given" : "Andrea", "non-dropping-particle" : "", "parse-names" : false, "suffix" : "" }, { "dropping-particle" : "", "family" : "Quaglino", "given" : "Pietro", "non-dropping-particle" : "", "parse-names" : false, "suffix" : "" }, { "dropping-particle" : "", "family" : "Borgognoni", "given" : "Lorenzo", "non-dropping-particle" : "", "parse-names" : false, "suffix" : "" }, { "dropping-particle" : "", "family" : "Solari", "given" : "Nicola", "non-dropping-particle" : "", "parse-names" : false, "suffix" : "" }, { "dropping-particle" : "", "family" : "Piazzalunga", "given" : "Dario", "non-dropping-particle" : "", "parse-names" : false, "suffix" : "" }, { "dropping-particle" : "", "family" : "Mascheroni", "given" : "Luigi", "non-dropping-particle" : "", "parse-names" : false, "suffix" : "" }, { "dropping-particle" : "", "family" : "Giudice", "given" : "Giuseppe", "non-dropping-particle" : "", "parse-names" : false, "suffix" : "" }, { "dropping-particle" : "", "family" : "Patuzzo", "given" : "Roberto", "non-dropping-particle" : "", "parse-names" : false, "suffix" : "" }, { "dropping-particle" : "", "family" : "Carac\u00f2", "given" : "Corrado", "non-dropping-particle" : "", "parse-names" : false, "suffix" : "" }, { "dropping-particle" : "", "family" : "Ribero", "given" : "Simone", "non-dropping-particle" : "", "parse-names" : false, "suffix" : "" }, { "dropping-particle" : "", "family" : "Marone", "given" : "Ugo", "non-dropping-particle" : "", "parse-names" : false, "suffix" : "" }, { "dropping-particle" : "", "family" : "Santinami", "given" : "Mario", "non-dropping-particle" : "", "parse-names" : false, "suffix" : "" }, { "dropping-particle" : "", "family" : "Rossi", "given" : "Carlo Riccardo", "non-dropping-particle" : "", "parse-names" : false, "suffix" : "" } ], "container-title" : "Journal of clinical oncology : official journal of the American Society of Clinical Oncology", "id" : "ITEM-4", "issue" : "9", "issued" : { "date-parts" : [ [ "2014", "3", "20" ] ] }, "page" : "935-41", "title" : "Nonsentinel lymph node status in patients with cutaneous melanoma: results from a multi-institution prognostic study.", "type" : "article-journal", "volume" : "32" }, "uris" : [ "http://www.mendeley.com/documents/?uuid=410348e6-9294-4ce8-8ceb-e0a01e3e8143" ] } ], "mendeley" : { "formattedCitation" : "&lt;sup&gt;161,174,175,181&lt;/sup&gt;", "plainTextFormattedCitation" : "161,174,175,181", "previouslyFormattedCitation" : "&lt;sup&gt;161,174,175,181&lt;/sup&gt;" }, "properties" : { "noteIndex" : 0 }, "schema" : "https://github.com/citation-style-language/schema/raw/master/csl-citation.json" }</w:instrText>
      </w:r>
      <w:r w:rsidRPr="003E73CD">
        <w:rPr>
          <w:sz w:val="22"/>
          <w:szCs w:val="22"/>
        </w:rPr>
        <w:fldChar w:fldCharType="separate"/>
      </w:r>
      <w:r w:rsidRPr="00217FAC">
        <w:rPr>
          <w:noProof/>
          <w:sz w:val="22"/>
          <w:szCs w:val="22"/>
          <w:vertAlign w:val="superscript"/>
        </w:rPr>
        <w:t>161,174,175,181</w:t>
      </w:r>
      <w:r w:rsidRPr="003E73CD">
        <w:rPr>
          <w:sz w:val="22"/>
          <w:szCs w:val="22"/>
        </w:rPr>
        <w:fldChar w:fldCharType="end"/>
      </w:r>
      <w:proofErr w:type="gramStart"/>
      <w:r w:rsidRPr="003E73CD">
        <w:rPr>
          <w:sz w:val="22"/>
          <w:szCs w:val="22"/>
        </w:rPr>
        <w:t xml:space="preserve">  The</w:t>
      </w:r>
      <w:proofErr w:type="gramEnd"/>
      <w:r w:rsidRPr="003E73CD">
        <w:rPr>
          <w:sz w:val="22"/>
          <w:szCs w:val="22"/>
        </w:rPr>
        <w:t xml:space="preserve"> analyses have all shown reduced survival for patients who are non-sentinel node positive.  Three studies have performed multivariate analyses that included variables that would differentiate between a survival effect due to increasing total number of positive nodes in non-sentinel node positive patients and an effect due to non-sentinel node status itself (Ariyan et al., Wiener et al. and Leung et al.).</w:t>
      </w:r>
      <w:r w:rsidRPr="003E73CD">
        <w:rPr>
          <w:sz w:val="22"/>
          <w:szCs w:val="22"/>
        </w:rPr>
        <w:fldChar w:fldCharType="begin" w:fldLock="1"/>
      </w:r>
      <w:r>
        <w:rPr>
          <w:sz w:val="22"/>
          <w:szCs w:val="22"/>
        </w:rPr>
        <w:instrText>ADDIN CSL_CITATION { "citationItems" : [ { "id" : "ITEM-1", "itemData" : { "DOI" : "10.1245/s10434-008-0187-5", "ISSN" : "1534-4681", "PMID" : "18979135", "abstract" : "While sentinel lymph node biopsy (SLN) is a highly accurate and well-tolerated procedure for patients with cutaneous melanoma, the role of the completion lymph node dissection (CLND) for patients with positive SLN biopsy remains unknown. This study aimed to look at the prognostic value of a positive nonsentinel lymph node (NSLN). A prospectively maintained database identified 222 patients with cutaneous melanoma and a positive SLN biopsy, without evidence of distant disease. All of these patients underwent CLND, and 37 patients (17%) had positive NSLN. With median follow-up of 33 months, patients with negative NSLN had median survival of 104 months, while patients with positive NSLN had median survival of 36 months (p &lt; 0.001). There were no survivors in the patients with positive NSLN beyond 6 years. When patients with an equal number of positive nodes were analyzed, the presence of a positive NSLN was still associated with worse melanoma-specific survival (66 months for NSLN- versus 34 months for NSLN+, p = 0.04). While increasing age, tumor thickness, and male sex were associated with an increased risk of death on multivariate analysis, a positive NSLN was the most important predictor of survival (hazard ratio 2.5). We conclude that positive NSLN is an independent predictor of disease-specific survival in patients with cutaneous melanoma.", "author" : [ { "dropping-particle" : "", "family" : "Ariyan", "given" : "Charlotte", "non-dropping-particle" : "", "parse-names" : false, "suffix" : "" }, { "dropping-particle" : "", "family" : "Brady", "given" : "Mary Sue", "non-dropping-particle" : "", "parse-names" : false, "suffix" : "" }, { "dropping-particle" : "", "family" : "G\u00f6nen", "given" : "Mithat", "non-dropping-particle" : "", "parse-names" : false, "suffix" : "" }, { "dropping-particle" : "", "family" : "Busam", "given" : "Klaus", "non-dropping-particle" : "", "parse-names" : false, "suffix" : "" }, { "dropping-particle" : "", "family" : "Coit", "given" : "Daniel", "non-dropping-particle" : "", "parse-names" : false, "suffix" : "" } ], "container-title" : "Annals of surgical oncology", "id" : "ITEM-1", "issue" : "1", "issued" : { "date-parts" : [ [ "2009", "1" ] ] }, "page" : "186-90", "title" : "Positive nonsentinel node status predicts mortality in patients with cutaneous melanoma.", "type" : "article-journal", "volume" : "16" }, "uris" : [ "http://www.mendeley.com/documents/?uuid=95f50211-78eb-42c1-b0bf-03f1224519aa" ] }, { "id" : "ITEM-2", "itemData" : { "DOI" : "10.1245/s10434-010-1049-5", "ISSN" : "1534-4681", "PMID" : "20490699", "abstract" : "BACKGROUND: Completion lymph node dissection (CLND) following positive sentinel node biopsy (SNB) for melanoma detects additional nonsentinel node (NSN) metastases in approximately 20% of cases. This study aimed to establish whether NSN status can be predicted, to determine its effect on survival, and to develop survival tree models for the sentinel node (SN) positive population.\n\nMATERIALS AND METHODS: Sydney Melanoma Unit (SMU) patients with at least 1 positive SN, meeting inclusion criteria and treated between October 1992 and June 2005, were identified from the Unit database. Survival characteristics, potential predictors of survival, and NSN status were assessed using the Kaplan-Meier method, Cox regression model, and logistic regression analyses, respectively. Classification tree analysis was performed to identify groups with distinctly different survival characteristics.\n\nRESULTS: A total of 323 SN-positive melanoma patients met the inclusion criteria. On multivariate analysis, age, gender, primary tumor thickness, mitotic rate, number of positive NSNs, or total number of positive nodes were statistically significant predictors of survival. NSN metastasis, found at CLND in 19% of patients, was only predicted to a statistically significant degree by ulceration. Multivariate analyses demonstrated that survival was more closely related to number of positive NSNs than total number of positive nodes. Classification tree analysis revealed 4 prognostically distinct survival groups.\n\nCONCLUSIONS: Patients with NSN metastases could not be reliably identified prior to CLND. Prognosis following CLND was more closely related to number of positive NSNs than total number of positive nodes. Classification tree analysis defined distinctly different survival groups more accurately than use of single-factor analysis.", "author" : [ { "dropping-particle" : "", "family" : "Wiener", "given" : "Martin", "non-dropping-particle" : "", "parse-names" : false, "suffix" : "" }, { "dropping-particle" : "", "family" : "Acland", "given" : "Katharine M", "non-dropping-particle" : "", "parse-names" : false, "suffix" : "" }, { "dropping-particle" : "", "family" : "Shaw", "given" : "Helen M", "non-dropping-particle" : "", "parse-names" : false, "suffix" : "" }, { "dropping-particle" : "", "family" : "Soong", "given" : "Seng-Jaw", "non-dropping-particle" : "", "parse-names" : false, "suffix" : "" }, { "dropping-particle" : "", "family" : "Lin", "given" : "Hui-Yi", "non-dropping-particle" : "", "parse-names" : false, "suffix" : "" }, { "dropping-particle" : "", "family" : "Chen", "given" : "Dung-Tsa", "non-dropping-particle" : "", "parse-names" : false, "suffix" : "" }, { "dropping-particle" : "", "family" : "Scolyer", "given" : "Richard A", "non-dropping-particle" : "", "parse-names" : false, "suffix" : "" }, { "dropping-particle" : "", "family" : "Winstanley", "given" : "Julie B", "non-dropping-particle" : "", "parse-names" : false, "suffix" : "" }, { "dropping-particle" : "", "family" : "Thompson", "given" : "John F", "non-dropping-particle" : "", "parse-names" : false, "suffix" : "" } ], "container-title" : "Annals of surgical oncology", "id" : "ITEM-2", "issue" : "8", "issued" : { "date-parts" : [ [ "2010", "8" ] ] }, "page" : "1995-2005", "title" : "Sentinel node positive melanoma patients: prediction and prognostic significance of nonsentinel node metastases and development of a survival tree model.", "type" : "article-journal", "volume" : "17" }, "uris" : [ "http://www.mendeley.com/documents/?uuid=f4126b0e-1dfd-4ac9-a748-0e48d0c17c53" ] }, { "id" : "ITEM-3", "itemData" : { "DOI" : "10.1001/jamasurg.2013.3044", "ISSN" : "2168-6262", "PMID" : "23903435", "abstract" : "IMPORTANCE: Survival varies widely in patients with stage III melanoma. The existence of clinical significance for positive nonsentinel lymph node (NSLN) status would warrant consideration for incorporation into the American Joint Committee on Cancer staging system and better prediction of survival.\n\nOBJECTIVE: To evaluate whether disease limited to sentinel lymph nodes (SLNs) represents different clinical significance than disease spread into NSLNs.\n\nDESIGN, SETTING, AND PARTICIPANTS: The database of the John Wayne Cancer Institute at Saint John's Health Center, Santa Monica, California, was queried for all patients with SLNs positive for cutaneous melanoma who subsequently underwent completion lymph node dissection.\n\nMAIN OUTCOMES AND MEASURES: Disease-free survival, melanoma-specific survival (MSS), and overall survival.\n\nRESULTS: A total of 4223 patients underwent SLN biopsy from 1986 to 2012. Of these patients, 329 had a tumor-positive SLN. Of the 329, 250 patients (76.0%) had no additional positive nodes and 79 (24.0%) had a tumor-positive NSLN. Factors predictive of NSLN positivity included older age (P\u2009=\u2009.04), greater Breslow thickness (P\u2009&lt;\u2009.001), and ulceration (P\u2009&lt;\u2009.02). Median overall survival was 178 months for the SLN-only positive group and 42.2 months for the NSLN positive group (5-year overall survival, 72.3% and 46.4%, respectively). Median MSS was not reached for the SLN-only positive group and was 60 months for the NSLN positive group (5-year MSS, 77.8% and 49.5%, respectively). On multivariate analysis, NSLN positivity had a strong association with recurrence (hazard ratio [HR], 1.75; 95% CI, 1.23-2.50; P\u2009=\u2009.002), shorter overall survival (HR, 2.24; 95% CI, 1.48-3.40; P\u2009&lt;\u2009.001), and shorter MSS (HR, 2.23; 95% CI, 1.46-3.07; P\u2009&lt;\u2009.001). To further control for the effects of total positive lymph nodes, comparison was done for patients with only N2 disease (2-3 total positive lymph nodes); the results of this comparison confirmed the independent effect of NSLN status (MSS; P\u2009=\u2009.04).\n\nCONCLUSIONS AND RELEVANCE: Nonsentinel lymph node positivity is one of the most significant prognostic factors in patients with stage III melanoma. Subclassification of melanoma by NSLN tumor status should be considered for the American Joint Committee on Cancer staging system.", "author" : [ { "dropping-particle" : "", "family" : "Leung", "given" : "Anna M", "non-dropping-particle" : "", "parse-names" : false, "suffix" : "" }, { "dropping-particle" : "", "family" : "Morton", "given" : "Donald L", "non-dropping-particle" : "", "parse-names" : false, "suffix" : "" }, { "dropping-particle" : "", "family" : "Ozao-Choy", "given" : "Junko", "non-dropping-particle" : "", "parse-names" : false, "suffix" : "" }, { "dropping-particle" : "", "family" : "Hari", "given" : "Danielle M", "non-dropping-particle" : "", "parse-names" : false, "suffix" : "" }, { "dropping-particle" : "", "family" : "Shin-Sim", "given" : "Myung", "non-dropping-particle" : "", "parse-names" : false, "suffix" : "" }, { "dropping-particle" : "", "family" : "Difronzo", "given" : "Andrew L", "non-dropping-particle" : "", "parse-names" : false, "suffix" : "" }, { "dropping-particle" : "", "family" : "Faries", "given" : "Mark B", "non-dropping-particle" : "", "parse-names" : false, "suffix" : "" } ], "container-title" : "JAMA surgery", "id" : "ITEM-3", "issue" : "9", "issued" : { "date-parts" : [ [ "2013", "9" ] ] }, "page" : "879-84", "title" : "Staging of regional lymph nodes in melanoma: a case for including nonsentinel lymph node positivity in the American Joint Committee on Cancer staging system.", "type" : "article-journal", "volume" : "148" }, "uris" : [ "http://www.mendeley.com/documents/?uuid=fac9559b-9a9f-4199-a346-556ae25e21d9" ] } ], "mendeley" : { "formattedCitation" : "&lt;sup&gt;161,174,180&lt;/sup&gt;", "plainTextFormattedCitation" : "161,174,180", "previouslyFormattedCitation" : "&lt;sup&gt;161,174,180&lt;/sup&gt;" }, "properties" : { "noteIndex" : 0 }, "schema" : "https://github.com/citation-style-language/schema/raw/master/csl-citation.json" }</w:instrText>
      </w:r>
      <w:r w:rsidRPr="003E73CD">
        <w:rPr>
          <w:sz w:val="22"/>
          <w:szCs w:val="22"/>
        </w:rPr>
        <w:fldChar w:fldCharType="separate"/>
      </w:r>
      <w:r w:rsidRPr="00217FAC">
        <w:rPr>
          <w:noProof/>
          <w:sz w:val="22"/>
          <w:szCs w:val="22"/>
          <w:vertAlign w:val="superscript"/>
        </w:rPr>
        <w:t>161,174,180</w:t>
      </w:r>
      <w:r w:rsidRPr="003E73CD">
        <w:rPr>
          <w:sz w:val="22"/>
          <w:szCs w:val="22"/>
        </w:rPr>
        <w:fldChar w:fldCharType="end"/>
      </w:r>
      <w:proofErr w:type="gramStart"/>
      <w:r w:rsidRPr="003E73CD">
        <w:rPr>
          <w:sz w:val="22"/>
          <w:szCs w:val="22"/>
        </w:rPr>
        <w:t xml:space="preserve">  These</w:t>
      </w:r>
      <w:proofErr w:type="gramEnd"/>
      <w:r w:rsidRPr="003E73CD">
        <w:rPr>
          <w:sz w:val="22"/>
          <w:szCs w:val="22"/>
        </w:rPr>
        <w:t xml:space="preserve"> studies have all also shown that non-sentinel node status is an independent predictor of survival.  Consideration should therefore be given to including non-sentinel node status as a discriminator for patients with micrometastases in 2-3 lymph nodes in the next revision of the AJCC staging system for melanoma.  </w:t>
      </w:r>
      <w:r w:rsidRPr="003E73CD">
        <w:rPr>
          <w:sz w:val="22"/>
          <w:szCs w:val="22"/>
        </w:rPr>
        <w:tab/>
      </w:r>
    </w:p>
    <w:p w14:paraId="4F084A28" w14:textId="77777777" w:rsidR="00EB738E" w:rsidRPr="003E73CD" w:rsidRDefault="00EB738E" w:rsidP="00EB738E">
      <w:pPr>
        <w:spacing w:line="480" w:lineRule="auto"/>
        <w:rPr>
          <w:sz w:val="22"/>
          <w:szCs w:val="22"/>
        </w:rPr>
      </w:pPr>
    </w:p>
    <w:p w14:paraId="0C11BA86" w14:textId="77777777" w:rsidR="00EB738E" w:rsidRPr="003E73CD" w:rsidRDefault="00EB738E" w:rsidP="00EB738E">
      <w:pPr>
        <w:rPr>
          <w:sz w:val="22"/>
          <w:szCs w:val="22"/>
        </w:rPr>
      </w:pPr>
    </w:p>
    <w:p w14:paraId="1F2D5FED" w14:textId="77777777" w:rsidR="00EB738E" w:rsidRPr="003E73CD" w:rsidRDefault="00EB738E" w:rsidP="00EB738E">
      <w:pPr>
        <w:rPr>
          <w:sz w:val="22"/>
          <w:szCs w:val="22"/>
        </w:rPr>
      </w:pPr>
    </w:p>
    <w:p w14:paraId="2AC5D83F" w14:textId="77777777" w:rsidR="00EB738E" w:rsidRPr="003E73CD" w:rsidRDefault="00EB738E" w:rsidP="00EB738E">
      <w:pPr>
        <w:rPr>
          <w:sz w:val="22"/>
          <w:szCs w:val="22"/>
        </w:rPr>
      </w:pPr>
    </w:p>
    <w:p w14:paraId="0305B7DD" w14:textId="77777777" w:rsidR="00EB738E" w:rsidRPr="003E73CD" w:rsidRDefault="00EB738E" w:rsidP="00EB738E">
      <w:pPr>
        <w:spacing w:line="480" w:lineRule="auto"/>
        <w:rPr>
          <w:sz w:val="22"/>
          <w:szCs w:val="22"/>
        </w:rPr>
      </w:pPr>
    </w:p>
    <w:p w14:paraId="0D6B5DFF" w14:textId="77777777" w:rsidR="00EB738E" w:rsidRPr="003E73CD" w:rsidRDefault="00EB738E" w:rsidP="00EB738E">
      <w:pPr>
        <w:spacing w:line="480" w:lineRule="auto"/>
        <w:rPr>
          <w:sz w:val="22"/>
          <w:szCs w:val="22"/>
        </w:rPr>
      </w:pPr>
    </w:p>
    <w:p w14:paraId="6B01C8C4" w14:textId="77777777" w:rsidR="00EB738E" w:rsidRPr="003E73CD" w:rsidRDefault="00EB738E" w:rsidP="00EB738E">
      <w:pPr>
        <w:spacing w:line="480" w:lineRule="auto"/>
        <w:rPr>
          <w:sz w:val="22"/>
          <w:szCs w:val="22"/>
        </w:rPr>
      </w:pPr>
    </w:p>
    <w:p w14:paraId="04C14B45" w14:textId="7749A079" w:rsidR="002224C9" w:rsidRPr="003E73CD" w:rsidRDefault="002224C9" w:rsidP="00EB738E">
      <w:pPr>
        <w:rPr>
          <w:sz w:val="28"/>
          <w:szCs w:val="28"/>
        </w:rPr>
      </w:pPr>
      <w:r w:rsidRPr="003E73CD">
        <w:rPr>
          <w:sz w:val="28"/>
          <w:szCs w:val="28"/>
        </w:rPr>
        <w:br w:type="page"/>
      </w:r>
    </w:p>
    <w:p w14:paraId="4A68C052" w14:textId="4F1D60C8" w:rsidR="0061482C" w:rsidRPr="003E73CD" w:rsidRDefault="00155C61" w:rsidP="0061482C">
      <w:pPr>
        <w:spacing w:line="480" w:lineRule="auto"/>
        <w:rPr>
          <w:sz w:val="28"/>
          <w:szCs w:val="28"/>
        </w:rPr>
      </w:pPr>
      <w:r>
        <w:rPr>
          <w:sz w:val="28"/>
          <w:szCs w:val="28"/>
        </w:rPr>
        <w:t>3.2</w:t>
      </w:r>
      <w:r w:rsidR="0061482C" w:rsidRPr="003E73CD">
        <w:rPr>
          <w:sz w:val="28"/>
          <w:szCs w:val="28"/>
        </w:rPr>
        <w:t>: Sentinel node positive melanoma patients: Prediction and prognostic significance of non-sentinel node metastases and development of a survival tree model.</w:t>
      </w:r>
    </w:p>
    <w:p w14:paraId="2FA6F084" w14:textId="77777777" w:rsidR="0061482C" w:rsidRPr="003E73CD" w:rsidRDefault="0061482C" w:rsidP="0061482C">
      <w:pPr>
        <w:spacing w:line="480" w:lineRule="auto"/>
        <w:rPr>
          <w:sz w:val="22"/>
          <w:szCs w:val="22"/>
        </w:rPr>
      </w:pPr>
    </w:p>
    <w:p w14:paraId="3265D2EB" w14:textId="77777777" w:rsidR="0061482C" w:rsidRPr="003E73CD" w:rsidRDefault="0061482C" w:rsidP="0061482C">
      <w:pPr>
        <w:pStyle w:val="BodyText"/>
        <w:rPr>
          <w:rFonts w:ascii="Cambria" w:hAnsi="Cambria"/>
          <w:szCs w:val="22"/>
        </w:rPr>
      </w:pPr>
      <w:r w:rsidRPr="003E73CD">
        <w:rPr>
          <w:rFonts w:ascii="Cambria" w:hAnsi="Cambria"/>
          <w:szCs w:val="22"/>
        </w:rPr>
        <w:t>Martin Wiener</w:t>
      </w:r>
      <w:r w:rsidRPr="003E73CD">
        <w:rPr>
          <w:rFonts w:ascii="Cambria" w:hAnsi="Cambria"/>
          <w:szCs w:val="22"/>
          <w:vertAlign w:val="superscript"/>
        </w:rPr>
        <w:t>1*</w:t>
      </w:r>
      <w:r w:rsidRPr="003E73CD">
        <w:rPr>
          <w:rFonts w:ascii="Cambria" w:hAnsi="Cambria"/>
          <w:szCs w:val="22"/>
        </w:rPr>
        <w:t>, Katharine M. Acland</w:t>
      </w:r>
      <w:r w:rsidRPr="003E73CD">
        <w:rPr>
          <w:rFonts w:ascii="Cambria" w:hAnsi="Cambria"/>
          <w:szCs w:val="22"/>
          <w:vertAlign w:val="superscript"/>
        </w:rPr>
        <w:t>1*</w:t>
      </w:r>
      <w:r w:rsidRPr="003E73CD">
        <w:rPr>
          <w:rFonts w:ascii="Cambria" w:hAnsi="Cambria"/>
          <w:szCs w:val="22"/>
        </w:rPr>
        <w:t>, Helen M. Shaw</w:t>
      </w:r>
      <w:r w:rsidRPr="003E73CD">
        <w:rPr>
          <w:rFonts w:ascii="Cambria" w:hAnsi="Cambria"/>
          <w:szCs w:val="22"/>
          <w:vertAlign w:val="superscript"/>
        </w:rPr>
        <w:t>1</w:t>
      </w:r>
      <w:proofErr w:type="gramStart"/>
      <w:r w:rsidRPr="003E73CD">
        <w:rPr>
          <w:rFonts w:ascii="Cambria" w:hAnsi="Cambria"/>
          <w:szCs w:val="22"/>
          <w:vertAlign w:val="superscript"/>
        </w:rPr>
        <w:t>,2</w:t>
      </w:r>
      <w:proofErr w:type="gramEnd"/>
      <w:r w:rsidRPr="003E73CD">
        <w:rPr>
          <w:rFonts w:ascii="Cambria" w:hAnsi="Cambria"/>
          <w:szCs w:val="22"/>
        </w:rPr>
        <w:t>, Seng-Jaw Soong</w:t>
      </w:r>
      <w:r w:rsidRPr="003E73CD">
        <w:rPr>
          <w:rFonts w:ascii="Cambria" w:hAnsi="Cambria"/>
          <w:szCs w:val="22"/>
          <w:vertAlign w:val="superscript"/>
        </w:rPr>
        <w:t>3</w:t>
      </w:r>
      <w:r w:rsidRPr="003E73CD">
        <w:rPr>
          <w:rFonts w:ascii="Cambria" w:hAnsi="Cambria"/>
          <w:szCs w:val="22"/>
        </w:rPr>
        <w:t>, Hui-Yi Lin</w:t>
      </w:r>
      <w:r w:rsidRPr="003E73CD">
        <w:rPr>
          <w:rFonts w:ascii="Cambria" w:hAnsi="Cambria"/>
          <w:szCs w:val="22"/>
          <w:vertAlign w:val="superscript"/>
        </w:rPr>
        <w:t>4</w:t>
      </w:r>
      <w:r w:rsidRPr="003E73CD">
        <w:rPr>
          <w:rFonts w:ascii="Cambria" w:hAnsi="Cambria"/>
          <w:szCs w:val="22"/>
        </w:rPr>
        <w:t>, Dung-Tsa Chen</w:t>
      </w:r>
      <w:r w:rsidRPr="003E73CD">
        <w:rPr>
          <w:rFonts w:ascii="Cambria" w:hAnsi="Cambria"/>
          <w:szCs w:val="22"/>
          <w:vertAlign w:val="superscript"/>
        </w:rPr>
        <w:t>4</w:t>
      </w:r>
      <w:r w:rsidRPr="003E73CD">
        <w:rPr>
          <w:rFonts w:ascii="Cambria" w:hAnsi="Cambria"/>
          <w:szCs w:val="22"/>
        </w:rPr>
        <w:t>, Richard A. Scolyer</w:t>
      </w:r>
      <w:r w:rsidRPr="003E73CD">
        <w:rPr>
          <w:rFonts w:ascii="Cambria" w:hAnsi="Cambria"/>
          <w:szCs w:val="22"/>
          <w:vertAlign w:val="superscript"/>
        </w:rPr>
        <w:t>1, 5,6</w:t>
      </w:r>
      <w:r w:rsidRPr="003E73CD">
        <w:rPr>
          <w:rFonts w:ascii="Cambria" w:hAnsi="Cambria"/>
          <w:szCs w:val="22"/>
        </w:rPr>
        <w:t>, Julie Winstanley</w:t>
      </w:r>
      <w:r w:rsidRPr="003E73CD">
        <w:rPr>
          <w:rFonts w:ascii="Cambria" w:hAnsi="Cambria"/>
          <w:szCs w:val="22"/>
          <w:vertAlign w:val="superscript"/>
        </w:rPr>
        <w:t>1</w:t>
      </w:r>
      <w:r w:rsidRPr="003E73CD">
        <w:rPr>
          <w:rFonts w:ascii="Cambria" w:hAnsi="Cambria"/>
          <w:szCs w:val="22"/>
        </w:rPr>
        <w:t>, John F. Thompson</w:t>
      </w:r>
      <w:r w:rsidRPr="003E73CD">
        <w:rPr>
          <w:rFonts w:ascii="Cambria" w:hAnsi="Cambria"/>
          <w:szCs w:val="22"/>
          <w:vertAlign w:val="superscript"/>
        </w:rPr>
        <w:t>1,2</w:t>
      </w:r>
    </w:p>
    <w:p w14:paraId="0759487B" w14:textId="77777777" w:rsidR="0061482C" w:rsidRPr="003E73CD" w:rsidRDefault="0061482C" w:rsidP="0061482C">
      <w:pPr>
        <w:pStyle w:val="BodyText"/>
        <w:rPr>
          <w:rFonts w:ascii="Cambria" w:hAnsi="Cambria"/>
          <w:b/>
          <w:szCs w:val="22"/>
        </w:rPr>
      </w:pPr>
    </w:p>
    <w:p w14:paraId="073E58A0" w14:textId="77777777" w:rsidR="0061482C" w:rsidRPr="003E73CD" w:rsidRDefault="0061482C" w:rsidP="0061482C">
      <w:pPr>
        <w:pStyle w:val="BodyText"/>
        <w:rPr>
          <w:rFonts w:ascii="Cambria" w:hAnsi="Cambria"/>
          <w:b/>
          <w:szCs w:val="22"/>
        </w:rPr>
      </w:pPr>
      <w:r w:rsidRPr="003E73CD">
        <w:rPr>
          <w:rFonts w:ascii="Cambria" w:hAnsi="Cambria"/>
          <w:b/>
          <w:szCs w:val="22"/>
        </w:rPr>
        <w:t>1. Sydney Melanoma Unit and Melanoma Institute of Australia, Sydney, Australia.</w:t>
      </w:r>
    </w:p>
    <w:p w14:paraId="7DDA9F9A" w14:textId="77777777" w:rsidR="0061482C" w:rsidRPr="003E73CD" w:rsidRDefault="0061482C" w:rsidP="0061482C">
      <w:pPr>
        <w:pStyle w:val="BodyText"/>
        <w:rPr>
          <w:rFonts w:ascii="Cambria" w:hAnsi="Cambria"/>
          <w:b/>
          <w:szCs w:val="22"/>
        </w:rPr>
      </w:pPr>
      <w:r w:rsidRPr="003E73CD">
        <w:rPr>
          <w:rFonts w:ascii="Cambria" w:hAnsi="Cambria"/>
          <w:b/>
          <w:szCs w:val="22"/>
        </w:rPr>
        <w:t>2. Discipline of Surgery, University of Sydney, Sydney, Australia.</w:t>
      </w:r>
    </w:p>
    <w:p w14:paraId="4729E0F7" w14:textId="77777777" w:rsidR="0061482C" w:rsidRPr="003E73CD" w:rsidRDefault="0061482C" w:rsidP="0061482C">
      <w:pPr>
        <w:pStyle w:val="BodyText"/>
        <w:rPr>
          <w:rFonts w:ascii="Cambria" w:hAnsi="Cambria"/>
          <w:b/>
          <w:szCs w:val="22"/>
        </w:rPr>
      </w:pPr>
      <w:r w:rsidRPr="003E73CD">
        <w:rPr>
          <w:rFonts w:ascii="Cambria" w:hAnsi="Cambria"/>
          <w:b/>
          <w:szCs w:val="22"/>
        </w:rPr>
        <w:t>3. Biostatistics and Bioinformatic Unit, Comprehensive Cancer Center, University of Alabama, Birmingham, Alabama, USA.</w:t>
      </w:r>
    </w:p>
    <w:p w14:paraId="2CA82DB0" w14:textId="77777777" w:rsidR="0061482C" w:rsidRPr="003E73CD" w:rsidRDefault="0061482C" w:rsidP="0061482C">
      <w:pPr>
        <w:pStyle w:val="BodyText"/>
        <w:rPr>
          <w:rFonts w:ascii="Cambria" w:hAnsi="Cambria"/>
          <w:b/>
          <w:szCs w:val="22"/>
        </w:rPr>
      </w:pPr>
      <w:r w:rsidRPr="003E73CD">
        <w:rPr>
          <w:rFonts w:ascii="Cambria" w:hAnsi="Cambria"/>
          <w:b/>
          <w:szCs w:val="22"/>
        </w:rPr>
        <w:t>4. Department of Biostatistics, H. Lee Moffitt Cancer Center &amp; Research Institute, Tampa, Florida, USA.</w:t>
      </w:r>
    </w:p>
    <w:p w14:paraId="4AED7721" w14:textId="77777777" w:rsidR="0061482C" w:rsidRPr="003E73CD" w:rsidRDefault="0061482C" w:rsidP="0061482C">
      <w:pPr>
        <w:pStyle w:val="BodyText"/>
        <w:rPr>
          <w:rFonts w:ascii="Cambria" w:hAnsi="Cambria"/>
          <w:b/>
          <w:szCs w:val="22"/>
        </w:rPr>
      </w:pPr>
      <w:r w:rsidRPr="003E73CD">
        <w:rPr>
          <w:rFonts w:ascii="Cambria" w:hAnsi="Cambria"/>
          <w:b/>
          <w:szCs w:val="22"/>
        </w:rPr>
        <w:t>5.Department of Anatomical Pathology, Royal Prince Alfred Hospital, Sydney, Australia.</w:t>
      </w:r>
    </w:p>
    <w:p w14:paraId="12FFFDB0" w14:textId="77777777" w:rsidR="0061482C" w:rsidRPr="003E73CD" w:rsidRDefault="0061482C" w:rsidP="0061482C">
      <w:pPr>
        <w:pStyle w:val="BodyText"/>
        <w:rPr>
          <w:rFonts w:ascii="Cambria" w:hAnsi="Cambria"/>
          <w:b/>
          <w:szCs w:val="22"/>
        </w:rPr>
      </w:pPr>
      <w:r w:rsidRPr="003E73CD">
        <w:rPr>
          <w:rFonts w:ascii="Cambria" w:hAnsi="Cambria"/>
          <w:b/>
          <w:szCs w:val="22"/>
        </w:rPr>
        <w:t>6. Discipline of Pathology, University of Sydney, Sydney, Australia.</w:t>
      </w:r>
    </w:p>
    <w:p w14:paraId="01B41478" w14:textId="77777777" w:rsidR="0061482C" w:rsidRPr="003E73CD" w:rsidRDefault="0061482C" w:rsidP="0061482C">
      <w:pPr>
        <w:pStyle w:val="BodyText"/>
        <w:rPr>
          <w:rFonts w:ascii="Cambria" w:hAnsi="Cambria"/>
          <w:b/>
          <w:szCs w:val="22"/>
        </w:rPr>
      </w:pPr>
      <w:r w:rsidRPr="003E73CD">
        <w:rPr>
          <w:rFonts w:ascii="Cambria" w:hAnsi="Cambria"/>
          <w:b/>
          <w:szCs w:val="22"/>
        </w:rPr>
        <w:t>* Drs Wiener and Acland contributed equally to this work.</w:t>
      </w:r>
    </w:p>
    <w:p w14:paraId="7481F6AA" w14:textId="77777777" w:rsidR="0061482C" w:rsidRPr="003E73CD" w:rsidRDefault="0061482C" w:rsidP="0061482C">
      <w:pPr>
        <w:pStyle w:val="BodyText"/>
        <w:rPr>
          <w:rFonts w:ascii="Cambria" w:hAnsi="Cambria"/>
          <w:szCs w:val="22"/>
        </w:rPr>
      </w:pPr>
    </w:p>
    <w:p w14:paraId="04ACA6DE" w14:textId="77777777" w:rsidR="00C576D1" w:rsidRPr="003E73CD" w:rsidRDefault="00C576D1" w:rsidP="00C576D1">
      <w:pPr>
        <w:widowControl w:val="0"/>
        <w:autoSpaceDE w:val="0"/>
        <w:autoSpaceDN w:val="0"/>
        <w:adjustRightInd w:val="0"/>
        <w:spacing w:line="480" w:lineRule="auto"/>
        <w:rPr>
          <w:b/>
          <w:bCs/>
          <w:sz w:val="22"/>
          <w:szCs w:val="22"/>
        </w:rPr>
      </w:pPr>
      <w:r w:rsidRPr="003E73CD">
        <w:rPr>
          <w:bCs/>
          <w:sz w:val="22"/>
          <w:szCs w:val="22"/>
        </w:rPr>
        <w:t xml:space="preserve">Originally published by Springer and Annals of Surgical Oncology (2010) Volume 17(8) 1995-2005. </w:t>
      </w:r>
      <w:r w:rsidRPr="003E73CD">
        <w:rPr>
          <w:rFonts w:ascii="Helvetica Neue" w:eastAsiaTheme="minorEastAsia" w:hAnsi="Helvetica Neue" w:cs="Helvetica Neue"/>
          <w:sz w:val="22"/>
          <w:szCs w:val="22"/>
        </w:rPr>
        <w:t>© Springer International Publishing AG, Part of Springer</w:t>
      </w:r>
      <w:r w:rsidRPr="003E73CD">
        <w:rPr>
          <w:rFonts w:ascii="Helvetica Neue" w:eastAsiaTheme="minorEastAsia" w:hAnsi="Helvetica Neue" w:cs="Helvetica Neue"/>
          <w:color w:val="FFFFFF"/>
          <w:sz w:val="22"/>
          <w:szCs w:val="22"/>
        </w:rPr>
        <w:t xml:space="preserve"> </w:t>
      </w:r>
      <w:r w:rsidRPr="003E73CD">
        <w:rPr>
          <w:rFonts w:ascii="Helvetica Neue" w:eastAsiaTheme="minorEastAsia" w:hAnsi="Helvetica Neue" w:cs="Helvetica Neue"/>
          <w:sz w:val="22"/>
          <w:szCs w:val="22"/>
        </w:rPr>
        <w:t>Science + Business Media.  Reproduced with kind permission from Springer Science and Business Media.</w:t>
      </w:r>
    </w:p>
    <w:p w14:paraId="2C8EF79D" w14:textId="77777777" w:rsidR="00DD390B" w:rsidRPr="003E73CD" w:rsidRDefault="00DD390B" w:rsidP="0061482C">
      <w:pPr>
        <w:pStyle w:val="Heading1"/>
        <w:rPr>
          <w:rFonts w:ascii="Cambria" w:hAnsi="Cambria"/>
          <w:szCs w:val="22"/>
        </w:rPr>
      </w:pPr>
    </w:p>
    <w:p w14:paraId="3584602C" w14:textId="77777777" w:rsidR="000A3745" w:rsidRPr="003E73CD" w:rsidRDefault="000A3745">
      <w:pPr>
        <w:rPr>
          <w:rFonts w:eastAsia="Times New Roman"/>
          <w:b/>
          <w:sz w:val="22"/>
          <w:szCs w:val="22"/>
        </w:rPr>
      </w:pPr>
      <w:r w:rsidRPr="003E73CD">
        <w:rPr>
          <w:szCs w:val="22"/>
        </w:rPr>
        <w:br w:type="page"/>
      </w:r>
    </w:p>
    <w:p w14:paraId="4FC669F0" w14:textId="0E1778DD" w:rsidR="0061482C" w:rsidRPr="003E73CD" w:rsidRDefault="0061482C" w:rsidP="0061482C">
      <w:pPr>
        <w:pStyle w:val="Heading1"/>
        <w:rPr>
          <w:rFonts w:ascii="Cambria" w:hAnsi="Cambria"/>
          <w:szCs w:val="22"/>
        </w:rPr>
      </w:pPr>
      <w:r w:rsidRPr="003E73CD">
        <w:rPr>
          <w:rFonts w:ascii="Cambria" w:hAnsi="Cambria"/>
          <w:szCs w:val="22"/>
        </w:rPr>
        <w:t>Abstract</w:t>
      </w:r>
    </w:p>
    <w:p w14:paraId="09DB016B" w14:textId="77777777" w:rsidR="0061482C" w:rsidRPr="003E73CD" w:rsidRDefault="0061482C" w:rsidP="0061482C">
      <w:pPr>
        <w:spacing w:line="480" w:lineRule="auto"/>
        <w:rPr>
          <w:sz w:val="22"/>
          <w:szCs w:val="22"/>
        </w:rPr>
      </w:pPr>
    </w:p>
    <w:p w14:paraId="31D2288F" w14:textId="77777777" w:rsidR="0061482C" w:rsidRPr="003E73CD" w:rsidRDefault="0061482C" w:rsidP="0061482C">
      <w:pPr>
        <w:spacing w:line="480" w:lineRule="auto"/>
        <w:rPr>
          <w:sz w:val="22"/>
          <w:szCs w:val="22"/>
        </w:rPr>
      </w:pPr>
      <w:r w:rsidRPr="003E73CD">
        <w:rPr>
          <w:sz w:val="22"/>
          <w:szCs w:val="22"/>
        </w:rPr>
        <w:t>BACKGROUND</w:t>
      </w:r>
    </w:p>
    <w:p w14:paraId="666AC2C0" w14:textId="77777777" w:rsidR="0061482C" w:rsidRPr="003E73CD" w:rsidRDefault="0061482C" w:rsidP="0061482C">
      <w:pPr>
        <w:spacing w:line="480" w:lineRule="auto"/>
        <w:rPr>
          <w:sz w:val="22"/>
          <w:szCs w:val="22"/>
        </w:rPr>
      </w:pPr>
    </w:p>
    <w:p w14:paraId="28BE208F" w14:textId="77777777" w:rsidR="0061482C" w:rsidRPr="003E73CD" w:rsidRDefault="0061482C" w:rsidP="0061482C">
      <w:pPr>
        <w:spacing w:line="480" w:lineRule="auto"/>
        <w:rPr>
          <w:sz w:val="22"/>
          <w:szCs w:val="22"/>
        </w:rPr>
      </w:pPr>
      <w:r w:rsidRPr="003E73CD">
        <w:rPr>
          <w:sz w:val="22"/>
          <w:szCs w:val="22"/>
        </w:rPr>
        <w:t xml:space="preserve">Completion lymph node dissection (CLND) following positive sentinel node biopsy (SNB) for melanoma detects additional non-sentinel node (NSN) metastases in approximately 20% of cases.  This study aimed to establish whether NSN status </w:t>
      </w:r>
      <w:proofErr w:type="gramStart"/>
      <w:r w:rsidRPr="003E73CD">
        <w:rPr>
          <w:sz w:val="22"/>
          <w:szCs w:val="22"/>
        </w:rPr>
        <w:t>can</w:t>
      </w:r>
      <w:proofErr w:type="gramEnd"/>
      <w:r w:rsidRPr="003E73CD">
        <w:rPr>
          <w:sz w:val="22"/>
          <w:szCs w:val="22"/>
        </w:rPr>
        <w:t xml:space="preserve"> be predicted, to determine its effect on survival, and to develop survival tree models for the sentinel node (SN) positive population.  </w:t>
      </w:r>
    </w:p>
    <w:p w14:paraId="20F3DB81" w14:textId="77777777" w:rsidR="0061482C" w:rsidRPr="003E73CD" w:rsidRDefault="0061482C" w:rsidP="0061482C">
      <w:pPr>
        <w:spacing w:line="480" w:lineRule="auto"/>
        <w:rPr>
          <w:sz w:val="22"/>
          <w:szCs w:val="22"/>
        </w:rPr>
      </w:pPr>
    </w:p>
    <w:p w14:paraId="46389744" w14:textId="77777777" w:rsidR="0061482C" w:rsidRPr="003E73CD" w:rsidRDefault="0061482C" w:rsidP="0061482C">
      <w:pPr>
        <w:spacing w:line="480" w:lineRule="auto"/>
        <w:rPr>
          <w:sz w:val="22"/>
          <w:szCs w:val="22"/>
        </w:rPr>
      </w:pPr>
      <w:r w:rsidRPr="003E73CD">
        <w:rPr>
          <w:sz w:val="22"/>
          <w:szCs w:val="22"/>
        </w:rPr>
        <w:t>METHODS</w:t>
      </w:r>
    </w:p>
    <w:p w14:paraId="040FD669" w14:textId="77777777" w:rsidR="0061482C" w:rsidRPr="003E73CD" w:rsidRDefault="0061482C" w:rsidP="0061482C">
      <w:pPr>
        <w:spacing w:line="480" w:lineRule="auto"/>
        <w:rPr>
          <w:sz w:val="22"/>
          <w:szCs w:val="22"/>
        </w:rPr>
      </w:pPr>
    </w:p>
    <w:p w14:paraId="6EA1314A" w14:textId="77777777" w:rsidR="0061482C" w:rsidRPr="003E73CD" w:rsidRDefault="0061482C" w:rsidP="0061482C">
      <w:pPr>
        <w:spacing w:line="480" w:lineRule="auto"/>
        <w:rPr>
          <w:sz w:val="22"/>
          <w:szCs w:val="22"/>
        </w:rPr>
      </w:pPr>
      <w:r w:rsidRPr="003E73CD">
        <w:rPr>
          <w:sz w:val="22"/>
          <w:szCs w:val="22"/>
        </w:rPr>
        <w:t xml:space="preserve">Sydney Melanoma Unit patients with at least one positive SN, meeting inclusion criteria and treated between </w:t>
      </w:r>
      <w:proofErr w:type="gramStart"/>
      <w:r w:rsidRPr="003E73CD">
        <w:rPr>
          <w:sz w:val="22"/>
          <w:szCs w:val="22"/>
        </w:rPr>
        <w:t>October,</w:t>
      </w:r>
      <w:proofErr w:type="gramEnd"/>
      <w:r w:rsidRPr="003E73CD">
        <w:rPr>
          <w:sz w:val="22"/>
          <w:szCs w:val="22"/>
        </w:rPr>
        <w:t xml:space="preserve"> 1992 and June, 2005, were identified from the Unit database.  Survival characteristics, potential predictors of survival and NSN status were assessed using the Kaplan-Meier method, Cox and logistic regression analyses respectively.  Classification tree analysis was performed to identify groups with distinctly different survival characteristics.</w:t>
      </w:r>
    </w:p>
    <w:p w14:paraId="38ECD819" w14:textId="77777777" w:rsidR="0061482C" w:rsidRPr="003E73CD" w:rsidRDefault="0061482C" w:rsidP="0061482C">
      <w:pPr>
        <w:spacing w:line="480" w:lineRule="auto"/>
        <w:rPr>
          <w:sz w:val="22"/>
          <w:szCs w:val="22"/>
        </w:rPr>
      </w:pPr>
    </w:p>
    <w:p w14:paraId="712B066E" w14:textId="77777777" w:rsidR="0061482C" w:rsidRPr="003E73CD" w:rsidRDefault="0061482C" w:rsidP="0061482C">
      <w:pPr>
        <w:spacing w:line="480" w:lineRule="auto"/>
        <w:rPr>
          <w:sz w:val="22"/>
          <w:szCs w:val="22"/>
        </w:rPr>
      </w:pPr>
      <w:r w:rsidRPr="003E73CD">
        <w:rPr>
          <w:sz w:val="22"/>
          <w:szCs w:val="22"/>
        </w:rPr>
        <w:t>RESULTS</w:t>
      </w:r>
    </w:p>
    <w:p w14:paraId="1AA29184" w14:textId="77777777" w:rsidR="0061482C" w:rsidRPr="003E73CD" w:rsidRDefault="0061482C" w:rsidP="0061482C">
      <w:pPr>
        <w:spacing w:line="480" w:lineRule="auto"/>
        <w:rPr>
          <w:sz w:val="22"/>
          <w:szCs w:val="22"/>
        </w:rPr>
      </w:pPr>
    </w:p>
    <w:p w14:paraId="69B529A0" w14:textId="77777777" w:rsidR="0061482C" w:rsidRPr="003E73CD" w:rsidRDefault="0061482C" w:rsidP="0061482C">
      <w:pPr>
        <w:spacing w:line="480" w:lineRule="auto"/>
        <w:rPr>
          <w:sz w:val="22"/>
          <w:szCs w:val="22"/>
        </w:rPr>
      </w:pPr>
      <w:r w:rsidRPr="003E73CD">
        <w:rPr>
          <w:sz w:val="22"/>
          <w:szCs w:val="22"/>
        </w:rPr>
        <w:t>323 SN positive melanoma patients met the inclusion criteria.  On multivariate analysis, age, gender, primary tumor thickness, mitotic rate, number of positive NSNs or total number of positive nodes were statistically significant predictors of survival.  NSN metastasis, found at CLND in 19% of patients, was only predicted to a statistically significant degree by ulceration.  Multivariate analyses demonstrated that survival was more closely related to number of positive NSNs than total number of positive nodes.  Classification tree analysis revealed 4 prognostically distinct survival groups.</w:t>
      </w:r>
    </w:p>
    <w:p w14:paraId="660AD390" w14:textId="77777777" w:rsidR="0061482C" w:rsidRPr="003E73CD" w:rsidRDefault="0061482C" w:rsidP="0061482C">
      <w:pPr>
        <w:spacing w:line="480" w:lineRule="auto"/>
        <w:rPr>
          <w:sz w:val="22"/>
          <w:szCs w:val="22"/>
        </w:rPr>
      </w:pPr>
    </w:p>
    <w:p w14:paraId="48631F7E" w14:textId="77777777" w:rsidR="0061482C" w:rsidRPr="003E73CD" w:rsidRDefault="0061482C" w:rsidP="0061482C">
      <w:pPr>
        <w:spacing w:line="480" w:lineRule="auto"/>
        <w:rPr>
          <w:sz w:val="22"/>
          <w:szCs w:val="22"/>
        </w:rPr>
      </w:pPr>
      <w:r w:rsidRPr="003E73CD">
        <w:rPr>
          <w:sz w:val="22"/>
          <w:szCs w:val="22"/>
        </w:rPr>
        <w:t>CONCLUSIONS</w:t>
      </w:r>
    </w:p>
    <w:p w14:paraId="1DBBF8FF" w14:textId="77777777" w:rsidR="0061482C" w:rsidRPr="003E73CD" w:rsidRDefault="0061482C" w:rsidP="0061482C">
      <w:pPr>
        <w:spacing w:line="480" w:lineRule="auto"/>
        <w:rPr>
          <w:sz w:val="22"/>
          <w:szCs w:val="22"/>
        </w:rPr>
      </w:pPr>
    </w:p>
    <w:p w14:paraId="4F4C0868" w14:textId="77777777" w:rsidR="0061482C" w:rsidRPr="003E73CD" w:rsidRDefault="0061482C" w:rsidP="0061482C">
      <w:pPr>
        <w:spacing w:line="480" w:lineRule="auto"/>
        <w:rPr>
          <w:sz w:val="22"/>
          <w:szCs w:val="22"/>
        </w:rPr>
      </w:pPr>
      <w:r w:rsidRPr="003E73CD">
        <w:rPr>
          <w:sz w:val="22"/>
          <w:szCs w:val="22"/>
        </w:rPr>
        <w:t>Patients with NSN metastases could not be reliably identified prior to CLND.    Prognosis following CLND was more closely related to number of positive NSNs than total number of positive nodes.  Classification tree analysis defined distinctly different survival groups more accurately than use of single factor analysis.</w:t>
      </w:r>
    </w:p>
    <w:p w14:paraId="32EB5958" w14:textId="77777777" w:rsidR="0061482C" w:rsidRPr="003E73CD" w:rsidRDefault="0061482C" w:rsidP="0061482C">
      <w:pPr>
        <w:spacing w:line="480" w:lineRule="auto"/>
        <w:rPr>
          <w:sz w:val="22"/>
          <w:szCs w:val="22"/>
        </w:rPr>
      </w:pPr>
    </w:p>
    <w:p w14:paraId="09CF5D76" w14:textId="77777777" w:rsidR="0061482C" w:rsidRPr="003E73CD" w:rsidRDefault="0061482C" w:rsidP="0061482C">
      <w:pPr>
        <w:spacing w:line="480" w:lineRule="auto"/>
        <w:rPr>
          <w:sz w:val="22"/>
          <w:szCs w:val="22"/>
        </w:rPr>
      </w:pPr>
      <w:r w:rsidRPr="003E73CD">
        <w:rPr>
          <w:sz w:val="22"/>
          <w:szCs w:val="22"/>
        </w:rPr>
        <w:t>KEYWORDS: Melanoma, non-sentinel, prognosis, survival.</w:t>
      </w:r>
    </w:p>
    <w:p w14:paraId="73413F32" w14:textId="77777777" w:rsidR="0061482C" w:rsidRPr="003E73CD" w:rsidRDefault="0061482C" w:rsidP="0061482C">
      <w:pPr>
        <w:spacing w:line="480" w:lineRule="auto"/>
        <w:rPr>
          <w:sz w:val="22"/>
          <w:szCs w:val="22"/>
        </w:rPr>
      </w:pPr>
    </w:p>
    <w:p w14:paraId="29225E5F" w14:textId="77777777" w:rsidR="0061482C" w:rsidRPr="003E73CD" w:rsidRDefault="0061482C" w:rsidP="0061482C">
      <w:pPr>
        <w:spacing w:line="480" w:lineRule="auto"/>
        <w:rPr>
          <w:sz w:val="22"/>
          <w:szCs w:val="22"/>
        </w:rPr>
      </w:pPr>
    </w:p>
    <w:p w14:paraId="268B2A12" w14:textId="77777777" w:rsidR="0061482C" w:rsidRPr="003E73CD" w:rsidRDefault="0061482C" w:rsidP="0061482C">
      <w:pPr>
        <w:spacing w:line="480" w:lineRule="auto"/>
        <w:rPr>
          <w:sz w:val="22"/>
          <w:szCs w:val="22"/>
        </w:rPr>
      </w:pPr>
    </w:p>
    <w:p w14:paraId="43D9B9EC" w14:textId="77777777" w:rsidR="0061482C" w:rsidRPr="003E73CD" w:rsidRDefault="0061482C" w:rsidP="0061482C">
      <w:pPr>
        <w:spacing w:line="480" w:lineRule="auto"/>
        <w:rPr>
          <w:sz w:val="22"/>
          <w:szCs w:val="22"/>
        </w:rPr>
      </w:pPr>
    </w:p>
    <w:p w14:paraId="12BE7438" w14:textId="77777777" w:rsidR="0061482C" w:rsidRPr="003E73CD" w:rsidRDefault="0061482C" w:rsidP="0061482C">
      <w:pPr>
        <w:spacing w:line="480" w:lineRule="auto"/>
        <w:rPr>
          <w:sz w:val="22"/>
          <w:szCs w:val="22"/>
        </w:rPr>
      </w:pPr>
    </w:p>
    <w:p w14:paraId="2F7D47E2" w14:textId="77777777" w:rsidR="0061482C" w:rsidRPr="003E73CD" w:rsidRDefault="0061482C" w:rsidP="0061482C">
      <w:pPr>
        <w:spacing w:line="480" w:lineRule="auto"/>
        <w:rPr>
          <w:sz w:val="22"/>
          <w:szCs w:val="22"/>
        </w:rPr>
      </w:pPr>
    </w:p>
    <w:p w14:paraId="743B8423" w14:textId="77777777" w:rsidR="0061482C" w:rsidRPr="003E73CD" w:rsidRDefault="0061482C" w:rsidP="0061482C">
      <w:pPr>
        <w:pStyle w:val="Heading2"/>
        <w:spacing w:line="480" w:lineRule="auto"/>
        <w:rPr>
          <w:rFonts w:ascii="Cambria" w:hAnsi="Cambria"/>
          <w:sz w:val="22"/>
          <w:szCs w:val="22"/>
        </w:rPr>
      </w:pPr>
      <w:r w:rsidRPr="003E73CD">
        <w:rPr>
          <w:rFonts w:ascii="Cambria" w:hAnsi="Cambria"/>
          <w:sz w:val="22"/>
          <w:szCs w:val="22"/>
        </w:rPr>
        <w:t>Synopsis</w:t>
      </w:r>
    </w:p>
    <w:p w14:paraId="2A492728" w14:textId="77777777" w:rsidR="0061482C" w:rsidRPr="003E73CD" w:rsidRDefault="0061482C" w:rsidP="0061482C">
      <w:pPr>
        <w:spacing w:line="480" w:lineRule="auto"/>
        <w:rPr>
          <w:b/>
          <w:sz w:val="22"/>
          <w:szCs w:val="22"/>
        </w:rPr>
      </w:pPr>
    </w:p>
    <w:p w14:paraId="536FE77F" w14:textId="77777777" w:rsidR="0061482C" w:rsidRPr="003E73CD" w:rsidRDefault="0061482C" w:rsidP="0061482C">
      <w:pPr>
        <w:spacing w:line="480" w:lineRule="auto"/>
        <w:rPr>
          <w:sz w:val="22"/>
          <w:szCs w:val="22"/>
        </w:rPr>
      </w:pPr>
    </w:p>
    <w:p w14:paraId="0710D54C" w14:textId="77777777" w:rsidR="0061482C" w:rsidRPr="003E73CD" w:rsidRDefault="0061482C" w:rsidP="0061482C">
      <w:pPr>
        <w:pStyle w:val="BodyText2"/>
        <w:rPr>
          <w:sz w:val="22"/>
          <w:szCs w:val="22"/>
        </w:rPr>
      </w:pPr>
      <w:r w:rsidRPr="003E73CD">
        <w:rPr>
          <w:sz w:val="22"/>
          <w:szCs w:val="22"/>
        </w:rPr>
        <w:t>Primary melanoma ulceration predicted non-sentinel node (non-SN) metastasis in 323 SN positive patients, and number of positive non-SNs was the most powerful predictor of survival. Classification tree analysis, using 5 variables, stratified this population into four distinct prognostic groups.</w:t>
      </w:r>
    </w:p>
    <w:p w14:paraId="2BD37623" w14:textId="77777777" w:rsidR="0061482C" w:rsidRPr="003E73CD" w:rsidRDefault="0061482C" w:rsidP="0061482C">
      <w:pPr>
        <w:spacing w:line="480" w:lineRule="auto"/>
        <w:rPr>
          <w:sz w:val="22"/>
          <w:szCs w:val="22"/>
        </w:rPr>
      </w:pPr>
    </w:p>
    <w:p w14:paraId="6A67F906" w14:textId="77777777" w:rsidR="0061482C" w:rsidRPr="003E73CD" w:rsidRDefault="0061482C" w:rsidP="0061482C">
      <w:pPr>
        <w:spacing w:line="480" w:lineRule="auto"/>
        <w:rPr>
          <w:sz w:val="22"/>
          <w:szCs w:val="22"/>
        </w:rPr>
      </w:pPr>
    </w:p>
    <w:p w14:paraId="31C952FE" w14:textId="77777777" w:rsidR="0061482C" w:rsidRPr="003E73CD" w:rsidRDefault="0061482C" w:rsidP="0061482C">
      <w:pPr>
        <w:spacing w:line="480" w:lineRule="auto"/>
        <w:rPr>
          <w:sz w:val="22"/>
          <w:szCs w:val="22"/>
        </w:rPr>
      </w:pPr>
    </w:p>
    <w:p w14:paraId="13819EC3" w14:textId="77777777" w:rsidR="0061482C" w:rsidRPr="003E73CD" w:rsidRDefault="0061482C" w:rsidP="0061482C">
      <w:pPr>
        <w:pStyle w:val="Heading2"/>
        <w:spacing w:line="480" w:lineRule="auto"/>
        <w:rPr>
          <w:rFonts w:ascii="Cambria" w:hAnsi="Cambria"/>
          <w:sz w:val="22"/>
          <w:szCs w:val="22"/>
        </w:rPr>
      </w:pPr>
      <w:r w:rsidRPr="003E73CD">
        <w:rPr>
          <w:rFonts w:ascii="Cambria" w:hAnsi="Cambria"/>
          <w:sz w:val="22"/>
          <w:szCs w:val="22"/>
        </w:rPr>
        <w:t>BACKGROUND</w:t>
      </w:r>
    </w:p>
    <w:p w14:paraId="6EB45310" w14:textId="04B09B21" w:rsidR="0061482C" w:rsidRPr="003E73CD" w:rsidRDefault="0061482C" w:rsidP="0061482C">
      <w:pPr>
        <w:spacing w:line="480" w:lineRule="auto"/>
        <w:ind w:firstLine="720"/>
        <w:rPr>
          <w:sz w:val="22"/>
          <w:szCs w:val="22"/>
        </w:rPr>
      </w:pPr>
      <w:r w:rsidRPr="003E73CD">
        <w:rPr>
          <w:sz w:val="22"/>
          <w:szCs w:val="22"/>
        </w:rPr>
        <w:t>When melanoma metastasis is not clinically apparent, certain patient and primary melanoma characteristics provide valuable prognostic information.</w:t>
      </w:r>
      <w:r w:rsidRPr="003E73CD">
        <w:rPr>
          <w:sz w:val="22"/>
          <w:szCs w:val="22"/>
        </w:rPr>
        <w:fldChar w:fldCharType="begin" w:fldLock="1"/>
      </w:r>
      <w:r w:rsidR="00217FAC">
        <w:rPr>
          <w:sz w:val="22"/>
          <w:szCs w:val="22"/>
        </w:rPr>
        <w:instrText>ADDIN CSL_CITATION { "citationItems" : [ { "id" : "ITEM-1", "itemData" : { "abstract" : "seminal article describing the Clark's levels Mentions 'radial growth' and 'vertical growth'", "author" : [ { "dropping-particle" : "", "family" : "Clark", "given" : "W", "non-dropping-particle" : "", "parse-names" : false, "suffix" : "" }, { "dropping-particle" : "", "family" : "From", "given" : "l", "non-dropping-particle" : "", "parse-names" : false, "suffix" : "" }, { "dropping-particle" : "", "family" : "Bernandino", "given" : "E", "non-dropping-particle" : "", "parse-names" : false, "suffix" : "" }, { "dropping-particle" : "", "family" : "Mihm", "given" : "M", "non-dropping-particle" : "", "parse-names" : false, "suffix" : "" } ], "container-title" : "Cancer Res", "id" : "ITEM-1", "issued" : { "date-parts" : [ [ "1969" ] ] }, "page" : "705-727", "title" : "The histogenesis and biologic behaviour of primary human malignant melanoma of the skin", "type" : "article-journal", "volume" : "29" }, "uris" : [ "http://www.mendeley.com/documents/?uuid=b7cc4849-0a36-4cfa-b94e-843f7b35d8f7" ] }, { "id" : "ITEM-2", "itemData" : { "ISSN" : "0003-4932", "PMID" : "5477666", "author" : [ { "dropping-particle" : "", "family" : "Breslow", "given" : "A", "non-dropping-particle" : "", "parse-names" : false, "suffix" : "" } ], "container-title" : "Annals of surgery", "id" : "ITEM-2", "issue" : "5", "issued" : { "date-parts" : [ [ "1970", "11" ] ] }, "page" : "902-8", "title" : "Thickness, cross-sectional areas and depth of invasion in the prognosis of cutaneous melanoma.", "type" : "article-journal", "volume" : "172" }, "uris" : [ "http://www.mendeley.com/documents/?uuid=b6a59b86-21da-43a8-828c-cfc0a44e1caa" ] }, { "id" : "ITEM-3", "itemData" : { "ISBN" : "0732-183X (Print)\\r0732-183X (Linking)", "ISSN" : "0732183X", "PMID" : "11504744", "abstract" : "PURPOSE: The American Joint Committee on Cancer (AJCC) recently proposed major revisions of the tumor-node-metastases (TNM) categories and stage groupings for cutaneous melanoma. Thirteen cancer centers and cancer cooperative groups contributed staging and survival data from a total of 30,450 melanoma patients from their databases in order to validate this staging proposal. PATIENTS AND METHODS: There were 17,600 melanoma patients with complete clinical, pathologic, and follow-up information. Factors predicting melanoma-specific survival rates were analyzed using the Cox proportional hazards regression model. Follow-up survival data for 5 years or longer were available for 73% of the patients. RESULTS: This analysis demonstrated that (1) in the T category, tumor thickness and ulceration were the most powerful predictors of survival, and the level of invasion had a significant impact only within the subgroup of thin (&lt; or = 1 mm) melanomas; (2) in the N category, the following three independent factors were identified: the number of metastatic nodes, whether nodal metastases were clinically occult or clinically apparent, and the presence or absence of primary tumor ulceration; and (3) in the M category, nonvisceral metastases was associated with a better survival compared with visceral metastases. A marked diversity in the natural history of pathologic stage III melanoma was demonstrated by five-fold differences in 5-year survival rates for defined subgroups. This analysis also demonstrated that large and complex data sets could be used effectively to examine prognosis and survival outcome in melanoma patients. CONCLUSION: The results of this evidence-based methodology were incorporated into the AJCC melanoma staging as described in the companion publication.", "author" : [ { "dropping-particle" : "", "family" : "Balch", "given" : "C. M.", "non-dropping-particle" : "", "parse-names" : false, "suffix" : "" }, { "dropping-particle" : "", "family" : "Soong", "given" : "S. J.", "non-dropping-particle" : "", "parse-names" : false, "suffix" : "" }, { "dropping-particle" : "", "family" : "Gershenwald", "given" : "J. E.", "non-dropping-particle" : "", "parse-names" : false, "suffix" : "" }, { "dropping-particle" : "", "family" : "Thompson", "given" : "J. F.", "non-dropping-particle" : "", "parse-names" : false, "suffix" : "" }, { "dropping-particle" : "", "family" : "Reintgen", "given" : "D. S.", "non-dropping-particle" : "", "parse-names" : false, "suffix" : "" }, { "dropping-particle" : "", "family" : "Cascinelli", "given" : "N.", "non-dropping-particle" : "", "parse-names" : false, "suffix" : "" }, { "dropping-particle" : "", "family" : "Urist", "given" : "M.", "non-dropping-particle" : "", "parse-names" : false, "suffix" : "" }, { "dropping-particle" : "", "family" : "McMasters", "given" : "K. M.", "non-dropping-particle" : "", "parse-names" : false, "suffix" : "" }, { "dropping-particle" : "", "family" : "Ross", "given" : "M. I.", "non-dropping-particle" : "", "parse-names" : false, "suffix" : "" }, { "dropping-particle" : "", "family" : "Kirkwood", "given" : "J. M.", "non-dropping-particle" : "", "parse-names" : false, "suffix" : "" }, { "dropping-particle" : "", "family" : "Atkins", "given" : "M. B.", "non-dropping-particle" : "", "parse-names" : false, "suffix" : "" }, { "dropping-particle" : "", "family" : "Thompson", "given" : "J. A.", "non-dropping-particle" : "", "parse-names" : false, "suffix" : "" }, { "dropping-particle" : "", "family" : "Coit", "given" : "D. G.", "non-dropping-particle" : "", "parse-names" : false, "suffix" : "" }, { "dropping-particle" : "", "family" : "Byrd", "given" : "D.", "non-dropping-particle" : "", "parse-names" : false, "suffix" : "" }, { "dropping-particle" : "", "family" : "Desmond", "given" : "R.", "non-dropping-particle" : "", "parse-names" : false, "suffix" : "" }, { "dropping-particle" : "", "family" : "Zhang", "given" : "Y.", "non-dropping-particle" : "", "parse-names" : false, "suffix" : "" }, { "dropping-particle" : "", "family" : "Liu", "given" : "P. Y.", "non-dropping-particle" : "", "parse-names" : false, "suffix" : "" }, { "dropping-particle" : "", "family" : "Lyman", "given" : "G. H.", "non-dropping-particle" : "", "parse-names" : false, "suffix" : "" }, { "dropping-particle" : "", "family" : "Morabito", "given" : "A.", "non-dropping-particle" : "", "parse-names" : false, "suffix" : "" } ], "container-title" : "Journal of Clinical Oncology", "id" : "ITEM-3", "issue" : "16", "issued" : { "date-parts" : [ [ "2001" ] ] }, "page" : "3622-3634", "title" : "Prognostic factors analysis of 17,600 melanoma patients: Validation of the American Joint Committee on Cancer melanoma staging system", "type" : "article-journal", "volume" : "19" }, "uris" : [ "http://www.mendeley.com/documents/?uuid=a1eeb010-de29-49d0-a0b8-a73d7424858d" ] }, { "id" : "ITEM-4", "itemData" : { "DOI" : "10.1002/cncr.11196", "ISBN" : "0008-543X (Print)\\r0008-543X (Linking)", "ISSN" : "0008543X", "PMID" : "12627514", "abstract" : "BACKGROUND: The current study was performed to determine whether tumor mitotic rate (TMR) is a useful, independent prognostic factor in patients with localized cutaneous melanoma. METHODS: From the Sydney Melanoma Unit database, 3661 patients with complete clinical information and details of primary tumor thickness, ulcerative state, and TMR were studied. TMR was expressed as mitoses per mm(2) in the dermal part of the tumor in which most mitoses were seen, as recommended in the 1982 revision of the 1972 Sydney classification of malignant melanoma. To determine which was the more prognostically useful method of grouping TMR, two separate methods (A and B) were used. Factors predicting melanoma-specific survival were analyzed using the Cox proportional hazards regression model. RESULTS: Patients with a TMR of 0 mitoses/mm(2) had a significantly better survival than those with 1 mitosis/mm(2) (P &lt; 0.0001) but no significant survival differences were recorded for the stepwise increases from 1-2, 2-3, 3-4, and 4-5/mm(2). Tumor thickness, ulceration, and TMR were closely correlated, whether TMR was grouped using Method A (0, 1-4, 5-10, and &gt;/= 11 mitoses/mm(2)) or Method B (0-1, 2-4, and &gt;/= 5 mitoses/mm(2)). However, Cox regression analysis indicated that the TMR was a highly significant independent prognostic factor, particularly when grouped according to Method A, in which it was second only to tumor thickness as the most powerful predictor of survival (P &lt; 0.0001). CONCLUSIONS: TMR is an important independent predictor of survival for melanoma patients. If confirmed by studies from other centers, it has the potential to further improve the accuracy of melanoma staging, as well as to define more rigidly the risk categories for patients entering clinical trials.", "author" : [ { "dropping-particle" : "", "family" : "Azzola", "given" : "Manuela F.", "non-dropping-particle" : "", "parse-names" : false, "suffix" : "" }, { "dropping-particle" : "", "family" : "Shaw", "given" : "Helen M.", "non-dropping-particle" : "", "parse-names" : false, "suffix" : "" }, { "dropping-particle" : "", "family" : "Thompson", "given" : "John F.", "non-dropping-particle" : "", "parse-names" : false, "suffix" : "" }, { "dropping-particle" : "", "family" : "Soong", "given" : "Seng jaw", "non-dropping-particle" : "", "parse-names" : false, "suffix" : "" }, { "dropping-particle" : "", "family" : "Scolyer", "given" : "Richard A.", "non-dropping-particle" : "", "parse-names" : false, "suffix" : "" }, { "dropping-particle" : "", "family" : "Watson", "given" : "Geoffrey F.", "non-dropping-particle" : "", "parse-names" : false, "suffix" : "" }, { "dropping-particle" : "", "family" : "Colman", "given" : "Marjorie H.", "non-dropping-particle" : "", "parse-names" : false, "suffix" : "" }, { "dropping-particle" : "", "family" : "Zhang", "given" : "Yuting", "non-dropping-particle" : "", "parse-names" : false, "suffix" : "" } ], "container-title" : "Cancer", "id" : "ITEM-4", "issue" : "6", "issued" : { "date-parts" : [ [ "2003" ] ] }, "page" : "1488-1498", "title" : "Tumor mitotic rate is a more powerful prognostic indicator than ulceration in patients with primary cutaneous melanoma: An analysis of 3661 patients from a single center", "type" : "article-journal", "volume" : "97" }, "uris" : [ "http://www.mendeley.com/documents/?uuid=70e67fdc-f282-474a-bafc-6f3023cd2308" ] }, { "id" : "ITEM-5", "itemData" : { "DOI" : "10.1097/01.sla.0000216771.81362.6b", "ISSN" : "0003-4932", "PMID" : "16633005", "abstract" : "OBJECTIVE: To better understand the factors associated with the well-established gender difference in survival for patients with melanoma.\n\nSUMMARY BACKGROUND DATA: Gender is an important factor in patients with cutaneous melanoma. Male patients have a worse outcome when compared with females. The reasons for this difference are poorly understood.\n\nMETHODS: This prospective multi-institutional study included patients aged 18 to 70 years with melanomas &gt; or =1.0 mm Breslow thickness. Wide excision and sentinel lymph node (SLN) biopsy was performed in all patients. Clinicopathologic factors, including gender, were assessed and correlated with disease-free survival (DFS), distant disease-free survival (DDFS), and overall survival (OS).\n\nRESULTS: A total of 3324 patients were included in the covariate analyses; 1829 patients had follow-up data available and were included in the survival analyses. Median follow-up was 30 months. On univariate analysis, men (n = 1906) were more likely than women to be older than 60 years (P &lt; 0.0001), have thicker melanomas (P &lt; 0.0001), have primary tumor regression (P = 0.0054), ulceration (P &lt; 0.0001), and axial primary tumor location (P &lt; 0.0001). On multivariate analysis, age (P = 0.0002), thickness (P &lt; 0.0001), ulceration (P = 0.015), and location (P &lt; 0.0001) remained significant in the model. There was no difference in the rate of SLN metastasis between men and women (P = 0.37) on multivariate analysis. When factors affecting survival were considered, the prognosis was worse for men as validated by lower DFS (P = 0.0005), DDFS (P &lt; 0.0001), and OS (P &lt; 0.0001).\n\nCONCLUSIONS: Male gender is associated with a greater incidence of unfavorable primary tumor characteristics without an increased risk for nodal metastasis. Nonetheless, gender is an independent factor affecting survival.", "author" : [ { "dropping-particle" : "", "family" : "Scoggins", "given" : "Charles R", "non-dropping-particle" : "", "parse-names" : false, "suffix" : "" }, { "dropping-particle" : "", "family" : "Ross", "given" : "Merrick I", "non-dropping-particle" : "", "parse-names" : false, "suffix" : "" }, { "dropping-particle" : "", "family" : "Reintgen", "given" : "Douglas S", "non-dropping-particle" : "", "parse-names" : false, "suffix" : "" }, { "dropping-particle" : "", "family" : "Noyes", "given" : "R Dirk", "non-dropping-particle" : "", "parse-names" : false, "suffix" : "" }, { "dropping-particle" : "", "family" : "Goydos", "given" : "James S", "non-dropping-particle" : "", "parse-names" : false, "suffix" : "" }, { "dropping-particle" : "", "family" : "Beitsch", "given" : "Peter D", "non-dropping-particle" : "", "parse-names" : false, "suffix" : "" }, { "dropping-particle" : "", "family" : "Urist", "given" : "Marshall M", "non-dropping-particle" : "", "parse-names" : false, "suffix" : "" }, { "dropping-particle" : "", "family" : "Ariyan", "given" : "Stephan", "non-dropping-particle" : "", "parse-names" : false, "suffix" : "" }, { "dropping-particle" : "", "family" : "Sussman", "given" : "Jeffrey J", "non-dropping-particle" : "", "parse-names" : false, "suffix" : "" }, { "dropping-particle" : "", "family" : "Edwards", "given" : "Michael J", "non-dropping-particle" : "", "parse-names" : false, "suffix" : "" }, { "dropping-particle" : "", "family" : "Chagpar", "given" : "Anees B", "non-dropping-particle" : "", "parse-names" : false, "suffix" : "" }, { "dropping-particle" : "", "family" : "Martin", "given" : "Robert C G", "non-dropping-particle" : "", "parse-names" : false, "suffix" : "" }, { "dropping-particle" : "", "family" : "Stromberg", "given" : "Arnold J", "non-dropping-particle" : "", "parse-names" : false, "suffix" : "" }, { "dropping-particle" : "", "family" : "Hagendoorn", "given" : "Lee", "non-dropping-particle" : "", "parse-names" : false, "suffix" : "" }, { "dropping-particle" : "", "family" : "McMasters", "given" : "Kelly M", "non-dropping-particle" : "", "parse-names" : false, "suffix" : "" } ], "container-title" : "Annals of surgery", "id" : "ITEM-5", "issue" : "5", "issued" : { "date-parts" : [ [ "2006", "5" ] ] }, "page" : "693-8; discussion 698-700", "title" : "Gender-related differences in outcome for melanoma patients.", "type" : "article-journal", "volume" : "243" }, "uris" : [ "http://www.mendeley.com/documents/?uuid=a44a1e42-6cdd-4031-9ac9-f8aac53be754" ] } ], "mendeley" : { "formattedCitation" : "&lt;sup&gt;18,19,21,22,119&lt;/sup&gt;", "plainTextFormattedCitation" : "18,19,21,22,119", "previouslyFormattedCitation" : "&lt;sup&gt;18,19,21,22,119&lt;/sup&gt;" }, "properties" : { "noteIndex" : 0 }, "schema" : "https://github.com/citation-style-language/schema/raw/master/csl-citation.json" }</w:instrText>
      </w:r>
      <w:r w:rsidRPr="003E73CD">
        <w:rPr>
          <w:sz w:val="22"/>
          <w:szCs w:val="22"/>
        </w:rPr>
        <w:fldChar w:fldCharType="separate"/>
      </w:r>
      <w:r w:rsidR="00CE2A17" w:rsidRPr="00CE2A17">
        <w:rPr>
          <w:noProof/>
          <w:sz w:val="22"/>
          <w:szCs w:val="22"/>
          <w:vertAlign w:val="superscript"/>
        </w:rPr>
        <w:t>18,19,21,22,119</w:t>
      </w:r>
      <w:r w:rsidRPr="003E73CD">
        <w:rPr>
          <w:sz w:val="22"/>
          <w:szCs w:val="22"/>
        </w:rPr>
        <w:fldChar w:fldCharType="end"/>
      </w:r>
      <w:proofErr w:type="gramStart"/>
      <w:r w:rsidRPr="003E73CD">
        <w:rPr>
          <w:sz w:val="22"/>
          <w:szCs w:val="22"/>
        </w:rPr>
        <w:t xml:space="preserve">  Some</w:t>
      </w:r>
      <w:proofErr w:type="gramEnd"/>
      <w:r w:rsidRPr="003E73CD">
        <w:rPr>
          <w:sz w:val="22"/>
          <w:szCs w:val="22"/>
        </w:rPr>
        <w:t xml:space="preserve"> of these characteristics also predict the likelihood of metastasis being present in a sentinel node (SN).</w:t>
      </w:r>
      <w:r w:rsidRPr="003E73CD">
        <w:rPr>
          <w:sz w:val="22"/>
          <w:szCs w:val="22"/>
        </w:rPr>
        <w:fldChar w:fldCharType="begin" w:fldLock="1"/>
      </w:r>
      <w:r w:rsidR="00217FAC">
        <w:rPr>
          <w:sz w:val="22"/>
          <w:szCs w:val="22"/>
        </w:rPr>
        <w:instrText>ADDIN CSL_CITATION { "citationItems" : [ { "id" : "ITEM-1", "itemData" : { "DOI" : "10.1067/msy.2001.115830", "ISSN" : "0039-6060", "PMID" : "11490343", "abstract" : "BACKGROUND: This analysis was performed to identify prognostic factors that are predictive of sentinel lymph node (SLN) metastasis in melanoma.\n\nMETHODS: Analysis was performed of a multi-institutional, prospective, randomized trial of SLN biopsy for melanoma. Eligibility criteria included age 18 to 70 years, Breslow thickness of 1.0 mm or more, and clinically negative regional lymph nodes. SLNs were evaluated by serial sectioning and immunohistochemistry for S100. Univariate chi-square and multivariate logistic regression analyses were performed to assess factors predictive of the presence of a positive SLN. Probability values of less than.05 were considered significant.\n\nRESULTS: SLNs were identified in 99.7% of patients. A total of 1058 patients were evaluated; 961 patients had complete data and were included in the statistical analysis. SLNs were positive for tumor in 208 of 961 patients (22%). Breslow thickness, Clark level, ulceration, and patient age were factors that were found to be independently predictive of the presence of SLN metastasis.\n\nCONCLUSIONS: Increasing Breslow thickness, Clark level of more than III, the presence of ulceration, and patient age of 60 years or less are the most important independent prognostic factors associated with the finding of positive SLN in patients with melanoma.", "author" : [ { "dropping-particle" : "", "family" : "McMasters", "given" : "K M", "non-dropping-particle" : "", "parse-names" : false, "suffix" : "" }, { "dropping-particle" : "", "family" : "Wong", "given" : "S L", "non-dropping-particle" : "", "parse-names" : false, "suffix" : "" }, { "dropping-particle" : "", "family" : "Edwards", "given" : "M J", "non-dropping-particle" : "", "parse-names" : false, "suffix" : "" }, { "dropping-particle" : "", "family" : "Ross", "given" : "M I", "non-dropping-particle" : "", "parse-names" : false, "suffix" : "" }, { "dropping-particle" : "", "family" : "Chao", "given" : "C", "non-dropping-particle" : "", "parse-names" : false, "suffix" : "" }, { "dropping-particle" : "", "family" : "Noyes", "given" : "R D", "non-dropping-particle" : "", "parse-names" : false, "suffix" : "" }, { "dropping-particle" : "", "family" : "Viar", "given" : "V", "non-dropping-particle" : "", "parse-names" : false, "suffix" : "" }, { "dropping-particle" : "", "family" : "Cerrito", "given" : "P B", "non-dropping-particle" : "", "parse-names" : false, "suffix" : "" }, { "dropping-particle" : "", "family" : "Reintgen", "given" : "D S", "non-dropping-particle" : "", "parse-names" : false, "suffix" : "" } ], "container-title" : "Surgery", "id" : "ITEM-1", "issue" : "2", "issued" : { "date-parts" : [ [ "2001", "8" ] ] }, "page" : "151-6", "title" : "Factors that predict the presence of sentinel lymph node metastasis in patients with melanoma.", "type" : "article-journal", "volume" : "130" }, "uris" : [ "http://www.mendeley.com/documents/?uuid=9aa133e3-7510-4a50-9717-ba347f513cea" ] }, { "id" : "ITEM-2", "itemData" : { "DOI" : "10.1002/cncr.22295", "ISSN" : "0008-543X", "PMID" : "17058288", "abstract" : "BACKGROUND: Sentinel lymph node (SLN) status is an important prognostic factor for survival for patients with primary cutaneous melanoma. To address the issue of selecting patients at high and low risk for a positive SLN, prognostic factors were sought that predict SLN involvement by examining characteristics of both the primary tumor and the patient within the context of a biological model of melanoma progression.\n\nMETHODS: The study included 682 patients with primary vertical growth phase (VGP) melanoma and no clinical evidence of metastatic disease who underwent SLN biopsy (1995-2003). Logistic regression and classification tree analyses were used to investigate the association between SLN positivity and Breslow thickness, Clark level, tumor infiltrating lymphocytes (TIL), ulceration, mitotic rate (MR), lesion site, gender, and age. RESULTS.: In all, 88 of the 682 patients had &gt; or =1 positive SLN (12.9%). In the multivariate analysis, MR, TIL, and thickness were found to be independent prognostic factors for SLN positivity. In the classification tree, four different risk groups were defined, ranging from minimal risk (2.1%) to high risk (40.4%). In lesions &lt; r =2.0 mm, MR was important in risk-stratifying patients, and in lesions &gt;2.0 mm TIL was important.\n\nCONCLUSIONS: By incorporating biologically based variables such as VGP, TIL, and MR along with thickness into a prognostic model, both patients at high risk and minimal risk for SLN positivity can be identified. If validated, this model can be used in patient management and trial design to select patients to undergo or be spared SLN biopsy.", "author" : [ { "dropping-particle" : "", "family" : "Kruper", "given" : "Laura L", "non-dropping-particle" : "", "parse-names" : false, "suffix" : "" }, { "dropping-particle" : "", "family" : "Spitz", "given" : "Francis R", "non-dropping-particle" : "", "parse-names" : false, "suffix" : "" }, { "dropping-particle" : "", "family" : "Czerniecki", "given" : "Brian J", "non-dropping-particle" : "", "parse-names" : false, "suffix" : "" }, { "dropping-particle" : "", "family" : "Fraker", "given" : "Douglas L", "non-dropping-particle" : "", "parse-names" : false, "suffix" : "" }, { "dropping-particle" : "", "family" : "Blackwood-Chirchir", "given" : "Anne", "non-dropping-particle" : "", "parse-names" : false, "suffix" : "" }, { "dropping-particle" : "", "family" : "Ming", "given" : "Michael E", "non-dropping-particle" : "", "parse-names" : false, "suffix" : "" }, { "dropping-particle" : "", "family" : "Elder", "given" : "David E", "non-dropping-particle" : "", "parse-names" : false, "suffix" : "" }, { "dropping-particle" : "", "family" : "Elenitsas", "given" : "Rosalie", "non-dropping-particle" : "", "parse-names" : false, "suffix" : "" }, { "dropping-particle" : "", "family" : "Guerry", "given" : "Dupont", "non-dropping-particle" : "", "parse-names" : false, "suffix" : "" }, { "dropping-particle" : "", "family" : "Gimotty", "given" : "Phyllis A", "non-dropping-particle" : "", "parse-names" : false, "suffix" : "" } ], "container-title" : "Cancer", "id" : "ITEM-2", "issue" : "10", "issued" : { "date-parts" : [ [ "2006", "11", "15" ] ] }, "page" : "2436-45", "title" : "Predicting sentinel node status in AJCC stage I/II primary cutaneous melanoma.", "type" : "article-journal", "volume" : "107" }, "uris" : [ "http://www.mendeley.com/documents/?uuid=b055ff9d-2d9d-47fd-a594-a14e60a0c942" ] }, { "id" : "ITEM-3", "itemData" : { "DOI" : "10.1002/cncr.22382", "ISSN" : "0008-543X", "PMID" : "17146784", "abstract" : "BACKGROUND: In addition to Breslow depth, the authors previously described how increasing mitotic rate and decreasing age predicted sentinel lymph node (SLN) metastases in patients with melanoma. The objectives of the current study were to verify those previous results and to create a prediction model for the better selection of which patients with melanoma should undergo SLN biopsy.\n\nMETHODS: The authors reviewed 1130 consecutive patients with melanoma in a prospective database who underwent successful SLN biopsy. After eliminating patients aged &lt;16 years and patients who had melanomas that measured &lt;1 mm, 910 remaining patients were reviewed for clinical and pathologic features and positive SLN status. Univariate association of patient and tumor characteristics with positive SLN status was explored by using standard logistic regression techniques, and the best multivariate model that predicted lymph node metastases was constructed by using a backward stepwise-elimination technique.\n\nRESULTS: The characteristics that were associated significantly with lymph node metastasis were angiolymphatic invasion, the absence of regression, increasing mitotic rate, satellitosis, ulceration, increasing Breslow depth, decreasing age, and location (trunk or lower extremity compared with upper extremity or head/neck). Previously reported interactions between mitotic rate and age and between Breslow depth and age were confirmed. The best multivariate model included patient age (linear), angiolymphatic invasion, the number of mitoses (linear), the interaction between patient age and the number of mitoses, Breslow depth (linear), the interaction between patient age and Breslow depth, and primary tumor location.\n\nCONCLUSIONS: Younger age, increasing mitotic rate (especially in younger patients), increasing Breslow depth (especially in older patients), angiolymphatic invasion, and trunk or lower extremity location of the primary tumor were associated with a greater likelihood of positive SLN status. The current results support the use of factors beyond Breslow depth to determine the risk of positive SLN status in patients with cutaneous melanoma.", "author" : [ { "dropping-particle" : "", "family" : "Paek", "given" : "Sandra C", "non-dropping-particle" : "", "parse-names" : false, "suffix" : "" }, { "dropping-particle" : "", "family" : "Griffith", "given" : "Kent A", "non-dropping-particle" : "", "parse-names" : false, "suffix" : "" }, { "dropping-particle" : "", "family" : "Johnson", "given" : "Timothy M", "non-dropping-particle" : "", "parse-names" : false, "suffix" : "" }, { "dropping-particle" : "", "family" : "Sondak", "given" : "Vernon K", "non-dropping-particle" : "", "parse-names" : false, "suffix" : "" }, { "dropping-particle" : "", "family" : "Wong", "given" : "Sandra L", "non-dropping-particle" : "", "parse-names" : false, "suffix" : "" }, { "dropping-particle" : "", "family" : "Chang", "given" : "Alfred E", "non-dropping-particle" : "", "parse-names" : false, "suffix" : "" }, { "dropping-particle" : "", "family" : "Cimmino", "given" : "Vincent M", "non-dropping-particle" : "", "parse-names" : false, "suffix" : "" }, { "dropping-particle" : "", "family" : "Lowe", "given" : "Lori", "non-dropping-particle" : "", "parse-names" : false, "suffix" : "" }, { "dropping-particle" : "", "family" : "Bradford", "given" : "Carol R", "non-dropping-particle" : "", "parse-names" : false, "suffix" : "" }, { "dropping-particle" : "", "family" : "Rees", "given" : "Riley S", "non-dropping-particle" : "", "parse-names" : false, "suffix" : "" }, { "dropping-particle" : "", "family" : "Sabel", "given" : "Michael S", "non-dropping-particle" : "", "parse-names" : false, "suffix" : "" } ], "container-title" : "Cancer", "id" : "ITEM-3", "issue" : "1", "issued" : { "date-parts" : [ [ "2007", "1", "1" ] ] }, "page" : "100-8", "title" : "The impact of factors beyond Breslow depth on predicting sentinel lymph node positivity in melanoma.", "type" : "article-journal", "volume" : "109" }, "uris" : [ "http://www.mendeley.com/documents/?uuid=b9bca096-022c-412a-a552-4de39797a286" ] } ], "mendeley" : { "formattedCitation" : "&lt;sup&gt;120\u2013122&lt;/sup&gt;", "plainTextFormattedCitation" : "120\u2013122", "previouslyFormattedCitation" : "&lt;sup&gt;120\u2013122&lt;/sup&gt;" }, "properties" : { "noteIndex" : 0 }, "schema" : "https://github.com/citation-style-language/schema/raw/master/csl-citation.json" }</w:instrText>
      </w:r>
      <w:r w:rsidRPr="003E73CD">
        <w:rPr>
          <w:sz w:val="22"/>
          <w:szCs w:val="22"/>
        </w:rPr>
        <w:fldChar w:fldCharType="separate"/>
      </w:r>
      <w:r w:rsidR="00CE2A17" w:rsidRPr="00CE2A17">
        <w:rPr>
          <w:noProof/>
          <w:sz w:val="22"/>
          <w:szCs w:val="22"/>
          <w:vertAlign w:val="superscript"/>
        </w:rPr>
        <w:t>120–122</w:t>
      </w:r>
      <w:r w:rsidRPr="003E73CD">
        <w:rPr>
          <w:sz w:val="22"/>
          <w:szCs w:val="22"/>
        </w:rPr>
        <w:fldChar w:fldCharType="end"/>
      </w:r>
      <w:proofErr w:type="gramStart"/>
      <w:r w:rsidRPr="003E73CD">
        <w:rPr>
          <w:sz w:val="22"/>
          <w:szCs w:val="22"/>
        </w:rPr>
        <w:t xml:space="preserve">  However</w:t>
      </w:r>
      <w:proofErr w:type="gramEnd"/>
      <w:r w:rsidRPr="003E73CD">
        <w:rPr>
          <w:sz w:val="22"/>
          <w:szCs w:val="22"/>
        </w:rPr>
        <w:t>, once sentinel node biopsy (SNB) has been performed, SN status becomes the most powerful predictor of survival.</w:t>
      </w:r>
      <w:r w:rsidRPr="003E73CD">
        <w:rPr>
          <w:sz w:val="22"/>
          <w:szCs w:val="22"/>
        </w:rPr>
        <w:fldChar w:fldCharType="begin" w:fldLock="1"/>
      </w:r>
      <w:r w:rsidR="00217FAC">
        <w:rPr>
          <w:sz w:val="22"/>
          <w:szCs w:val="22"/>
        </w:rPr>
        <w:instrText>ADDIN CSL_CITATION { "citationItems" : [ { "id" : "ITEM-1", "itemData" : { "DOI" : "10.1200/JCO.2007.15.4179", "ISSN" : "1527-7755", "PMID" : "18606982", "abstract" : "PURPOSE: We and others have demonstrated that additional positive lymph nodes (LNs) are identified in only 8% to 33% of patients with melanoma who have positive sentinel LNs (SLNs) and undergo complete therapeutic LN dissection (cTLND). We sought to determine predictors of additional regional LN involvement in patients with positive SLNs.\n\nPATIENTS AND METHODS: Patients with clinically node-negative melanoma who underwent SLN biopsy (1991 to 2003) and had positive SLNs were identified. Clinicopathologic factors, including extent of microscopic disease within SLNs, were evaluated as potential predictors of positive non-SLNs.\n\nRESULTS: Overall, 359 (16.3%) of the 2,203 patients identified had a positive SLN. Positive non-SLNs were identified in 48 (14.0%) of the 343 patients with positive SLNs who underwent cTLND. On univariate analysis, several measures of SLN microscopic tumor burden, one versus three or more SLNs harvested, tumor thickness more than 2 mm, age older than 50 years, and Clark level higher than III were predictive of positive non-SLNs; primary tumor ulceration and number of positive SLNs had no apparent impact. On multivariable logistic regression analysis, measures of SLN microscopic tumor burden were the most significant independent predictors of positive non-SLNs; tumor thickness more than 2 mm and number of SLNs harvested also predicted additional disease. A model was developed that stratified patients according to their risk for non-SLN involvement.\n\nCONCLUSION: In melanoma patients with positive SLNs, SLN tumor burden, primary tumor thickness, and number of SLNs harvested may be useful in identifying a group at low risk for positive non-SLNs and be spared the potential morbidity of a cTLND.", "author" : [ { "dropping-particle" : "", "family" : "Gershenwald", "given" : "Jeffrey E", "non-dropping-particle" : "", "parse-names" : false, "suffix" : "" }, { "dropping-particle" : "", "family" : "Andtbacka", "given" : "Robert H I", "non-dropping-particle" : "", "parse-names" : false, "suffix" : "" }, { "dropping-particle" : "", "family" : "Prieto", "given" : "Victor G", "non-dropping-particle" : "", "parse-names" : false, "suffix" : "" }, { "dropping-particle" : "", "family" : "Johnson", "given" : "Marcella M", "non-dropping-particle" : "", "parse-names" : false, "suffix" : "" }, { "dropping-particle" : "", "family" : "Diwan", "given" : "A Hafeez", "non-dropping-particle" : "", "parse-names" : false, "suffix" : "" }, { "dropping-particle" : "", "family" : "Lee", "given" : "Jeffrey E", "non-dropping-particle" : "", "parse-names" : false, "suffix" : "" }, { "dropping-particle" : "", "family" : "Mansfield", "given" : "Paul F", "non-dropping-particle" : "", "parse-names" : false, "suffix" : "" }, { "dropping-particle" : "", "family" : "Cormier", "given" : "Janice N", "non-dropping-particle" : "", "parse-names" : false, "suffix" : "" }, { "dropping-particle" : "", "family" : "Schacherer", "given" : "Christopher W", "non-dropping-particle" : "", "parse-names" : false, "suffix" : "" }, { "dropping-particle" : "", "family" : "Ross", "given" : "Merrick I", "non-dropping-particle" : "", "parse-names" : false, "suffix" : "" } ], "container-title" : "Journal of clinical oncology : official journal of the American Society of Clinical Oncology", "id" : "ITEM-1", "issue" : "26", "issued" : { "date-parts" : [ [ "2008", "9", "10" ] ] }, "page" : "4296-303", "title" : "Microscopic tumor burden in sentinel lymph nodes predicts synchronous nonsentinel lymph node involvement in patients with melanoma.", "type" : "article-journal", "volume" : "26" }, "uris" : [ "http://www.mendeley.com/documents/?uuid=123e0a9a-4b3c-4a5f-8e41-9b53cd07a69f" ] }, { "id" : "ITEM-2", "itemData" : { "ISBN" : "0732-183X (Print)\\r0732-183X (Linking)", "ISSN" : "0732183X", "PMID" : "11504744", "abstract" : "PURPOSE: The American Joint Committee on Cancer (AJCC) recently proposed major revisions of the tumor-node-metastases (TNM) categories and stage groupings for cutaneous melanoma. Thirteen cancer centers and cancer cooperative groups contributed staging and survival data from a total of 30,450 melanoma patients from their databases in order to validate this staging proposal. PATIENTS AND METHODS: There were 17,600 melanoma patients with complete clinical, pathologic, and follow-up information. Factors predicting melanoma-specific survival rates were analyzed using the Cox proportional hazards regression model. Follow-up survival data for 5 years or longer were available for 73% of the patients. RESULTS: This analysis demonstrated that (1) in the T category, tumor thickness and ulceration were the most powerful predictors of survival, and the level of invasion had a significant impact only within the subgroup of thin (&lt; or = 1 mm) melanomas; (2) in the N category, the following three independent factors were identified: the number of metastatic nodes, whether nodal metastases were clinically occult or clinically apparent, and the presence or absence of primary tumor ulceration; and (3) in the M category, nonvisceral metastases was associated with a better survival compared with visceral metastases. A marked diversity in the natural history of pathologic stage III melanoma was demonstrated by five-fold differences in 5-year survival rates for defined subgroups. This analysis also demonstrated that large and complex data sets could be used effectively to examine prognosis and survival outcome in melanoma patients. CONCLUSION: The results of this evidence-based methodology were incorporated into the AJCC melanoma staging as described in the companion publication.", "author" : [ { "dropping-particle" : "", "family" : "Balch", "given" : "C. M.", "non-dropping-particle" : "", "parse-names" : false, "suffix" : "" }, { "dropping-particle" : "", "family" : "Soong", "given" : "S. J.", "non-dropping-particle" : "", "parse-names" : false, "suffix" : "" }, { "dropping-particle" : "", "family" : "Gershenwald", "given" : "J. E.", "non-dropping-particle" : "", "parse-names" : false, "suffix" : "" }, { "dropping-particle" : "", "family" : "Thompson", "given" : "J. F.", "non-dropping-particle" : "", "parse-names" : false, "suffix" : "" }, { "dropping-particle" : "", "family" : "Reintgen", "given" : "D. S.", "non-dropping-particle" : "", "parse-names" : false, "suffix" : "" }, { "dropping-particle" : "", "family" : "Cascinelli", "given" : "N.", "non-dropping-particle" : "", "parse-names" : false, "suffix" : "" }, { "dropping-particle" : "", "family" : "Urist", "given" : "M.", "non-dropping-particle" : "", "parse-names" : false, "suffix" : "" }, { "dropping-particle" : "", "family" : "McMasters", "given" : "K. M.", "non-dropping-particle" : "", "parse-names" : false, "suffix" : "" }, { "dropping-particle" : "", "family" : "Ross", "given" : "M. I.", "non-dropping-particle" : "", "parse-names" : false, "suffix" : "" }, { "dropping-particle" : "", "family" : "Kirkwood", "given" : "J. M.", "non-dropping-particle" : "", "parse-names" : false, "suffix" : "" }, { "dropping-particle" : "", "family" : "Atkins", "given" : "M. B.", "non-dropping-particle" : "", "parse-names" : false, "suffix" : "" }, { "dropping-particle" : "", "family" : "Thompson", "given" : "J. A.", "non-dropping-particle" : "", "parse-names" : false, "suffix" : "" }, { "dropping-particle" : "", "family" : "Coit", "given" : "D. G.", "non-dropping-particle" : "", "parse-names" : false, "suffix" : "" }, { "dropping-particle" : "", "family" : "Byrd", "given" : "D.", "non-dropping-particle" : "", "parse-names" : false, "suffix" : "" }, { "dropping-particle" : "", "family" : "Desmond", "given" : "R.", "non-dropping-particle" : "", "parse-names" : false, "suffix" : "" }, { "dropping-particle" : "", "family" : "Zhang", "given" : "Y.", "non-dropping-particle" : "", "parse-names" : false, "suffix" : "" }, { "dropping-particle" : "", "family" : "Liu", "given" : "P. Y.", "non-dropping-particle" : "", "parse-names" : false, "suffix" : "" }, { "dropping-particle" : "", "family" : "Lyman", "given" : "G. H.", "non-dropping-particle" : "", "parse-names" : false, "suffix" : "" }, { "dropping-particle" : "", "family" : "Morabito", "given" : "A.", "non-dropping-particle" : "", "parse-names" : false, "suffix" : "" } ], "container-title" : "Journal of Clinical Oncology", "id" : "ITEM-2", "issue" : "16", "issued" : { "date-parts" : [ [ "2001" ] ] }, "page" : "3622-3634", "title" : "Prognostic factors analysis of 17,600 melanoma patients: Validation of the American Joint Committee on Cancer melanoma staging system", "type" : "article-journal", "volume" : "19" }, "uris" : [ "http://www.mendeley.com/documents/?uuid=a1eeb010-de29-49d0-a0b8-a73d7424858d" ] }, { "id" : "ITEM-3", "itemData" : { "DOI" : "10.1056/NEJMoa060992", "ISSN" : "1533-4406", "PMID" : "17005948", "abstract" : "BACKGROUND: We evaluated the contribution of sentinel-node biopsy to outcomes in patients with newly diagnosed melanoma.\n\nMETHODS: Patients with a primary cutaneous melanoma were randomly assigned to wide excision and postoperative observation of regional lymph nodes with lymphadenectomy if nodal relapse occurred, or to wide excision and sentinel-node biopsy with immediate lymphadenectomy if nodal micrometastases were detected on biopsy.\n\nRESULTS: Among 1269 patients with an intermediate-thickness primary melanoma, the mean (+/-SE) estimated 5-year disease-free survival rate for the population was 78.3+/-1.6% in the biopsy group and 73.1+/-2.1% in the observation group (hazard ratio for recurrence[corrected], 0.74; 95% confidence interval [CI], 0.59 to 0.93; P=0.009). Five-year melanoma-specific survival rates were similar in the two groups (87.1+/-1.3% and 86.6+/-1.6%, respectively). In the biopsy group, the presence of metastases in the sentinel node was the most important prognostic factor; the 5-year survival rate was 72.3+/-4.6% among patients with tumor-positive sentinel nodes and 90.2+/-1.3% among those with tumor-negative sentinel nodes (hazard ratio for death, 2.48; 95% CI, 1.54 to 3.98; P&lt;0.001). The incidence of sentinel-node micrometastases was 16.0% (122 of 764 patients), and the rate of nodal relapse in the observation group was 15.6% (78 of 500 patients). The corresponding mean number of tumor-involved nodes was 1.4 in the biopsy group and 3.3 in the observation group (P&lt;0.001), indicating disease progression during observation. Among patients with nodal metastases, the 5-year survival rate was higher among those who underwent immediate lymphadenectomy than among those in whom lymphadenectomy was delayed (72.3+/-4.6% vs. 52.4+/-5.9%; hazard ratio for death, 0.51; 95% CI, 0.32 to 0.81; P=0.004).\n\nCONCLUSIONS: The staging of intermediate-thickness (1.2 to 3.5 mm) primary melanomas according to the results of sentinel-node biopsy provides important prognostic information and identifies patients with nodal metastases whose survival can be prolonged by immediate lymphadenectomy. (ClinicalTrials.gov number, NCT00275496 [ClinicalTrials.gov].).", "author" : [ { "dropping-particle" : "", "family" : "Morton", "given" : "Donald L", "non-dropping-particle" : "", "parse-names" : false, "suffix" : "" }, { "dropping-particle" : "", "family" : "Thompson", "given" : "John F", "non-dropping-particle" : "", "parse-names" : false, "suffix" : "" }, { "dropping-particle" : "", "family" : "Cochran", "given" : "Alistair J", "non-dropping-particle" : "", "parse-names" : false, "suffix" : "" }, { "dropping-particle" : "", "family" : "Mozzillo", "given" : "Nicola", "non-dropping-particle" : "", "parse-names" : false, "suffix" : "" }, { "dropping-particle" : "", "family" : "Elashoff", "given" : "Robert", "non-dropping-particle" : "", "parse-names" : false, "suffix" : "" }, { "dropping-particle" : "", "family" : "Essner", "given" : "Richard", "non-dropping-particle" : "", "parse-names" : false, "suffix" : "" }, { "dropping-particle" : "", "family" : "Nieweg", "given" : "Omgo E", "non-dropping-particle" : "", "parse-names" : false, "suffix" : "" }, { "dropping-particle" : "", "family" : "Roses", "given" : "Daniel F", "non-dropping-particle" : "", "parse-names" : false, "suffix" : "" }, { "dropping-particle" : "", "family" : "Hoekstra", "given" : "Harald J", "non-dropping-particle" : "", "parse-names" : false, "suffix" : "" }, { "dropping-particle" : "", "family" : "Karakousis", "given" : "Constantine P", "non-dropping-particle" : "", "parse-names" : false, "suffix" : "" }, { "dropping-particle" : "", "family" : "Reintgen", "given" : "Douglas S", "non-dropping-particle" : "", "parse-names" : false, "suffix" : "" }, { "dropping-particle" : "", "family" : "Coventry", "given" : "Brendon J", "non-dropping-particle" : "", "parse-names" : false, "suffix" : "" }, { "dropping-particle" : "", "family" : "Glass", "given" : "Edwin C", "non-dropping-particle" : "", "parse-names" : false, "suffix" : "" }, { "dropping-particle" : "", "family" : "Wang", "given" : "He-Jing", "non-dropping-particle" : "", "parse-names" : false, "suffix" : "" } ], "container-title" : "The New England journal of medicine", "id" : "ITEM-3", "issue" : "13", "issued" : { "date-parts" : [ [ "2006", "9", "28" ] ] }, "page" : "1307-17", "title" : "Sentinel-node biopsy or nodal observation in melanoma.", "type" : "article-journal", "volume" : "355" }, "uris" : [ "http://www.mendeley.com/documents/?uuid=67a6140a-03c4-49a0-8a19-c5ddadc66872" ] } ], "mendeley" : { "formattedCitation" : "&lt;sup&gt;22,123,124&lt;/sup&gt;", "plainTextFormattedCitation" : "22,123,124", "previouslyFormattedCitation" : "&lt;sup&gt;22,123,124&lt;/sup&gt;" }, "properties" : { "noteIndex" : 0 }, "schema" : "https://github.com/citation-style-language/schema/raw/master/csl-citation.json" }</w:instrText>
      </w:r>
      <w:r w:rsidRPr="003E73CD">
        <w:rPr>
          <w:sz w:val="22"/>
          <w:szCs w:val="22"/>
        </w:rPr>
        <w:fldChar w:fldCharType="separate"/>
      </w:r>
      <w:r w:rsidR="00CE2A17" w:rsidRPr="00CE2A17">
        <w:rPr>
          <w:noProof/>
          <w:sz w:val="22"/>
          <w:szCs w:val="22"/>
          <w:vertAlign w:val="superscript"/>
        </w:rPr>
        <w:t>22,123,124</w:t>
      </w:r>
      <w:r w:rsidRPr="003E73CD">
        <w:rPr>
          <w:sz w:val="22"/>
          <w:szCs w:val="22"/>
        </w:rPr>
        <w:fldChar w:fldCharType="end"/>
      </w:r>
      <w:proofErr w:type="gramStart"/>
      <w:r w:rsidRPr="003E73CD">
        <w:rPr>
          <w:sz w:val="22"/>
          <w:szCs w:val="22"/>
        </w:rPr>
        <w:t xml:space="preserve">  The</w:t>
      </w:r>
      <w:proofErr w:type="gramEnd"/>
      <w:r w:rsidRPr="003E73CD">
        <w:rPr>
          <w:sz w:val="22"/>
          <w:szCs w:val="22"/>
        </w:rPr>
        <w:t xml:space="preserve"> five-year survival rate for SN positive patients is 72% versus 90% for their SN negative counterparts.</w:t>
      </w:r>
      <w:r w:rsidRPr="003E73CD">
        <w:rPr>
          <w:sz w:val="22"/>
          <w:szCs w:val="22"/>
        </w:rPr>
        <w:fldChar w:fldCharType="begin" w:fldLock="1"/>
      </w:r>
      <w:r w:rsidR="00217FAC">
        <w:rPr>
          <w:sz w:val="22"/>
          <w:szCs w:val="22"/>
        </w:rPr>
        <w:instrText>ADDIN CSL_CITATION { "citationItems" : [ { "id" : "ITEM-1", "itemData" : { "DOI" : "10.1056/NEJMoa060992", "ISSN" : "1533-4406", "PMID" : "17005948", "abstract" : "BACKGROUND: We evaluated the contribution of sentinel-node biopsy to outcomes in patients with newly diagnosed melanoma.\n\nMETHODS: Patients with a primary cutaneous melanoma were randomly assigned to wide excision and postoperative observation of regional lymph nodes with lymphadenectomy if nodal relapse occurred, or to wide excision and sentinel-node biopsy with immediate lymphadenectomy if nodal micrometastases were detected on biopsy.\n\nRESULTS: Among 1269 patients with an intermediate-thickness primary melanoma, the mean (+/-SE) estimated 5-year disease-free survival rate for the population was 78.3+/-1.6% in the biopsy group and 73.1+/-2.1% in the observation group (hazard ratio for recurrence[corrected], 0.74; 95% confidence interval [CI], 0.59 to 0.93; P=0.009). Five-year melanoma-specific survival rates were similar in the two groups (87.1+/-1.3% and 86.6+/-1.6%, respectively). In the biopsy group, the presence of metastases in the sentinel node was the most important prognostic factor; the 5-year survival rate was 72.3+/-4.6% among patients with tumor-positive sentinel nodes and 90.2+/-1.3% among those with tumor-negative sentinel nodes (hazard ratio for death, 2.48; 95% CI, 1.54 to 3.98; P&lt;0.001). The incidence of sentinel-node micrometastases was 16.0% (122 of 764 patients), and the rate of nodal relapse in the observation group was 15.6% (78 of 500 patients). The corresponding mean number of tumor-involved nodes was 1.4 in the biopsy group and 3.3 in the observation group (P&lt;0.001), indicating disease progression during observation. Among patients with nodal metastases, the 5-year survival rate was higher among those who underwent immediate lymphadenectomy than among those in whom lymphadenectomy was delayed (72.3+/-4.6% vs. 52.4+/-5.9%; hazard ratio for death, 0.51; 95% CI, 0.32 to 0.81; P=0.004).\n\nCONCLUSIONS: The staging of intermediate-thickness (1.2 to 3.5 mm) primary melanomas according to the results of sentinel-node biopsy provides important prognostic information and identifies patients with nodal metastases whose survival can be prolonged by immediate lymphadenectomy. (ClinicalTrials.gov number, NCT00275496 [ClinicalTrials.gov].).", "author" : [ { "dropping-particle" : "", "family" : "Morton", "given" : "Donald L", "non-dropping-particle" : "", "parse-names" : false, "suffix" : "" }, { "dropping-particle" : "", "family" : "Thompson", "given" : "John F", "non-dropping-particle" : "", "parse-names" : false, "suffix" : "" }, { "dropping-particle" : "", "family" : "Cochran", "given" : "Alistair J", "non-dropping-particle" : "", "parse-names" : false, "suffix" : "" }, { "dropping-particle" : "", "family" : "Mozzillo", "given" : "Nicola", "non-dropping-particle" : "", "parse-names" : false, "suffix" : "" }, { "dropping-particle" : "", "family" : "Elashoff", "given" : "Robert", "non-dropping-particle" : "", "parse-names" : false, "suffix" : "" }, { "dropping-particle" : "", "family" : "Essner", "given" : "Richard", "non-dropping-particle" : "", "parse-names" : false, "suffix" : "" }, { "dropping-particle" : "", "family" : "Nieweg", "given" : "Omgo E", "non-dropping-particle" : "", "parse-names" : false, "suffix" : "" }, { "dropping-particle" : "", "family" : "Roses", "given" : "Daniel F", "non-dropping-particle" : "", "parse-names" : false, "suffix" : "" }, { "dropping-particle" : "", "family" : "Hoekstra", "given" : "Harald J", "non-dropping-particle" : "", "parse-names" : false, "suffix" : "" }, { "dropping-particle" : "", "family" : "Karakousis", "given" : "Constantine P", "non-dropping-particle" : "", "parse-names" : false, "suffix" : "" }, { "dropping-particle" : "", "family" : "Reintgen", "given" : "Douglas S", "non-dropping-particle" : "", "parse-names" : false, "suffix" : "" }, { "dropping-particle" : "", "family" : "Coventry", "given" : "Brendon J", "non-dropping-particle" : "", "parse-names" : false, "suffix" : "" }, { "dropping-particle" : "", "family" : "Glass", "given" : "Edwin C", "non-dropping-particle" : "", "parse-names" : false, "suffix" : "" }, { "dropping-particle" : "", "family" : "Wang", "given" : "He-Jing", "non-dropping-particle" : "", "parse-names" : false, "suffix" : "" } ], "container-title" : "The New England journal of medicine", "id" : "ITEM-1", "issue" : "13", "issued" : { "date-parts" : [ [ "2006", "9", "28" ] ] }, "page" : "1307-17", "title" : "Sentinel-node biopsy or nodal observation in melanoma.", "type" : "article-journal", "volume" : "355" }, "uris" : [ "http://www.mendeley.com/documents/?uuid=67a6140a-03c4-49a0-8a19-c5ddadc66872" ] } ], "mendeley" : { "formattedCitation" : "&lt;sup&gt;124&lt;/sup&gt;", "plainTextFormattedCitation" : "124", "previouslyFormattedCitation" : "&lt;sup&gt;124&lt;/sup&gt;" }, "properties" : { "noteIndex" : 0 }, "schema" : "https://github.com/citation-style-language/schema/raw/master/csl-citation.json" }</w:instrText>
      </w:r>
      <w:r w:rsidRPr="003E73CD">
        <w:rPr>
          <w:sz w:val="22"/>
          <w:szCs w:val="22"/>
        </w:rPr>
        <w:fldChar w:fldCharType="separate"/>
      </w:r>
      <w:r w:rsidR="00CE2A17" w:rsidRPr="00CE2A17">
        <w:rPr>
          <w:noProof/>
          <w:sz w:val="22"/>
          <w:szCs w:val="22"/>
          <w:vertAlign w:val="superscript"/>
        </w:rPr>
        <w:t>124</w:t>
      </w:r>
      <w:r w:rsidRPr="003E73CD">
        <w:rPr>
          <w:sz w:val="22"/>
          <w:szCs w:val="22"/>
        </w:rPr>
        <w:fldChar w:fldCharType="end"/>
      </w:r>
      <w:proofErr w:type="gramStart"/>
      <w:r w:rsidRPr="003E73CD">
        <w:rPr>
          <w:sz w:val="22"/>
          <w:szCs w:val="22"/>
        </w:rPr>
        <w:t xml:space="preserve">  It</w:t>
      </w:r>
      <w:proofErr w:type="gramEnd"/>
      <w:r w:rsidRPr="003E73CD">
        <w:rPr>
          <w:sz w:val="22"/>
          <w:szCs w:val="22"/>
        </w:rPr>
        <w:t xml:space="preserve"> is clear, therefore, that the availability of effective treatment for SN positive patients could lead to substantially improved survival.  </w:t>
      </w:r>
    </w:p>
    <w:p w14:paraId="16E37DCF" w14:textId="51638335" w:rsidR="0061482C" w:rsidRPr="003E73CD" w:rsidRDefault="0061482C" w:rsidP="0061482C">
      <w:pPr>
        <w:spacing w:line="480" w:lineRule="auto"/>
        <w:ind w:firstLine="720"/>
        <w:rPr>
          <w:sz w:val="22"/>
          <w:szCs w:val="22"/>
        </w:rPr>
      </w:pPr>
      <w:r w:rsidRPr="003E73CD">
        <w:rPr>
          <w:sz w:val="22"/>
          <w:szCs w:val="22"/>
        </w:rPr>
        <w:t>The First Multicenter Selective Lymphadenectomy Trial (MSLT I) is being conducted for patients with intermediate thickness melanoma.</w:t>
      </w:r>
      <w:r w:rsidRPr="003E73CD">
        <w:rPr>
          <w:sz w:val="22"/>
          <w:szCs w:val="22"/>
        </w:rPr>
        <w:fldChar w:fldCharType="begin" w:fldLock="1"/>
      </w:r>
      <w:r w:rsidR="00217FAC">
        <w:rPr>
          <w:sz w:val="22"/>
          <w:szCs w:val="22"/>
        </w:rPr>
        <w:instrText>ADDIN CSL_CITATION { "citationItems" : [ { "id" : "ITEM-1", "itemData" : { "DOI" : "10.1056/NEJMoa060992", "ISSN" : "1533-4406", "PMID" : "17005948", "abstract" : "BACKGROUND: We evaluated the contribution of sentinel-node biopsy to outcomes in patients with newly diagnosed melanoma.\n\nMETHODS: Patients with a primary cutaneous melanoma were randomly assigned to wide excision and postoperative observation of regional lymph nodes with lymphadenectomy if nodal relapse occurred, or to wide excision and sentinel-node biopsy with immediate lymphadenectomy if nodal micrometastases were detected on biopsy.\n\nRESULTS: Among 1269 patients with an intermediate-thickness primary melanoma, the mean (+/-SE) estimated 5-year disease-free survival rate for the population was 78.3+/-1.6% in the biopsy group and 73.1+/-2.1% in the observation group (hazard ratio for recurrence[corrected], 0.74; 95% confidence interval [CI], 0.59 to 0.93; P=0.009). Five-year melanoma-specific survival rates were similar in the two groups (87.1+/-1.3% and 86.6+/-1.6%, respectively). In the biopsy group, the presence of metastases in the sentinel node was the most important prognostic factor; the 5-year survival rate was 72.3+/-4.6% among patients with tumor-positive sentinel nodes and 90.2+/-1.3% among those with tumor-negative sentinel nodes (hazard ratio for death, 2.48; 95% CI, 1.54 to 3.98; P&lt;0.001). The incidence of sentinel-node micrometastases was 16.0% (122 of 764 patients), and the rate of nodal relapse in the observation group was 15.6% (78 of 500 patients). The corresponding mean number of tumor-involved nodes was 1.4 in the biopsy group and 3.3 in the observation group (P&lt;0.001), indicating disease progression during observation. Among patients with nodal metastases, the 5-year survival rate was higher among those who underwent immediate lymphadenectomy than among those in whom lymphadenectomy was delayed (72.3+/-4.6% vs. 52.4+/-5.9%; hazard ratio for death, 0.51; 95% CI, 0.32 to 0.81; P=0.004).\n\nCONCLUSIONS: The staging of intermediate-thickness (1.2 to 3.5 mm) primary melanomas according to the results of sentinel-node biopsy provides important prognostic information and identifies patients with nodal metastases whose survival can be prolonged by immediate lymphadenectomy. (ClinicalTrials.gov number, NCT00275496 [ClinicalTrials.gov].).", "author" : [ { "dropping-particle" : "", "family" : "Morton", "given" : "Donald L", "non-dropping-particle" : "", "parse-names" : false, "suffix" : "" }, { "dropping-particle" : "", "family" : "Thompson", "given" : "John F", "non-dropping-particle" : "", "parse-names" : false, "suffix" : "" }, { "dropping-particle" : "", "family" : "Cochran", "given" : "Alistair J", "non-dropping-particle" : "", "parse-names" : false, "suffix" : "" }, { "dropping-particle" : "", "family" : "Mozzillo", "given" : "Nicola", "non-dropping-particle" : "", "parse-names" : false, "suffix" : "" }, { "dropping-particle" : "", "family" : "Elashoff", "given" : "Robert", "non-dropping-particle" : "", "parse-names" : false, "suffix" : "" }, { "dropping-particle" : "", "family" : "Essner", "given" : "Richard", "non-dropping-particle" : "", "parse-names" : false, "suffix" : "" }, { "dropping-particle" : "", "family" : "Nieweg", "given" : "Omgo E", "non-dropping-particle" : "", "parse-names" : false, "suffix" : "" }, { "dropping-particle" : "", "family" : "Roses", "given" : "Daniel F", "non-dropping-particle" : "", "parse-names" : false, "suffix" : "" }, { "dropping-particle" : "", "family" : "Hoekstra", "given" : "Harald J", "non-dropping-particle" : "", "parse-names" : false, "suffix" : "" }, { "dropping-particle" : "", "family" : "Karakousis", "given" : "Constantine P", "non-dropping-particle" : "", "parse-names" : false, "suffix" : "" }, { "dropping-particle" : "", "family" : "Reintgen", "given" : "Douglas S", "non-dropping-particle" : "", "parse-names" : false, "suffix" : "" }, { "dropping-particle" : "", "family" : "Coventry", "given" : "Brendon J", "non-dropping-particle" : "", "parse-names" : false, "suffix" : "" }, { "dropping-particle" : "", "family" : "Glass", "given" : "Edwin C", "non-dropping-particle" : "", "parse-names" : false, "suffix" : "" }, { "dropping-particle" : "", "family" : "Wang", "given" : "He-Jing", "non-dropping-particle" : "", "parse-names" : false, "suffix" : "" } ], "container-title" : "The New England journal of medicine", "id" : "ITEM-1", "issue" : "13", "issued" : { "date-parts" : [ [ "2006", "9", "28" ] ] }, "page" : "1307-17", "title" : "Sentinel-node biopsy or nodal observation in melanoma.", "type" : "article-journal", "volume" : "355" }, "uris" : [ "http://www.mendeley.com/documents/?uuid=67a6140a-03c4-49a0-8a19-c5ddadc66872" ] } ], "mendeley" : { "formattedCitation" : "&lt;sup&gt;124&lt;/sup&gt;", "plainTextFormattedCitation" : "124", "previouslyFormattedCitation" : "&lt;sup&gt;124&lt;/sup&gt;" }, "properties" : { "noteIndex" : 0 }, "schema" : "https://github.com/citation-style-language/schema/raw/master/csl-citation.json" }</w:instrText>
      </w:r>
      <w:r w:rsidRPr="003E73CD">
        <w:rPr>
          <w:sz w:val="22"/>
          <w:szCs w:val="22"/>
        </w:rPr>
        <w:fldChar w:fldCharType="separate"/>
      </w:r>
      <w:r w:rsidR="00CE2A17" w:rsidRPr="00CE2A17">
        <w:rPr>
          <w:noProof/>
          <w:sz w:val="22"/>
          <w:szCs w:val="22"/>
          <w:vertAlign w:val="superscript"/>
        </w:rPr>
        <w:t>124</w:t>
      </w:r>
      <w:r w:rsidRPr="003E73CD">
        <w:rPr>
          <w:sz w:val="22"/>
          <w:szCs w:val="22"/>
        </w:rPr>
        <w:fldChar w:fldCharType="end"/>
      </w:r>
      <w:proofErr w:type="gramStart"/>
      <w:r w:rsidRPr="003E73CD">
        <w:rPr>
          <w:sz w:val="22"/>
          <w:szCs w:val="22"/>
        </w:rPr>
        <w:t xml:space="preserve">  Results</w:t>
      </w:r>
      <w:proofErr w:type="gramEnd"/>
      <w:r w:rsidRPr="003E73CD">
        <w:rPr>
          <w:sz w:val="22"/>
          <w:szCs w:val="22"/>
        </w:rPr>
        <w:t xml:space="preserve"> from the third of five interim analyses demonstrated that, for patients with clinically-occult nodal metastasis, disease-free survival was improved by performing SNB and immediate completion lymph node dissection (CLND), rather than clinical observation and therapeutic lymph node dissection (TLND) when metastases became clinically detectable.</w:t>
      </w:r>
      <w:r w:rsidRPr="003E73CD">
        <w:rPr>
          <w:sz w:val="22"/>
          <w:szCs w:val="22"/>
        </w:rPr>
        <w:fldChar w:fldCharType="begin" w:fldLock="1"/>
      </w:r>
      <w:r w:rsidR="00217FAC">
        <w:rPr>
          <w:sz w:val="22"/>
          <w:szCs w:val="22"/>
        </w:rPr>
        <w:instrText>ADDIN CSL_CITATION { "citationItems" : [ { "id" : "ITEM-1", "itemData" : { "DOI" : "10.1056/NEJMoa060992", "ISSN" : "1533-4406", "PMID" : "17005948", "abstract" : "BACKGROUND: We evaluated the contribution of sentinel-node biopsy to outcomes in patients with newly diagnosed melanoma.\n\nMETHODS: Patients with a primary cutaneous melanoma were randomly assigned to wide excision and postoperative observation of regional lymph nodes with lymphadenectomy if nodal relapse occurred, or to wide excision and sentinel-node biopsy with immediate lymphadenectomy if nodal micrometastases were detected on biopsy.\n\nRESULTS: Among 1269 patients with an intermediate-thickness primary melanoma, the mean (+/-SE) estimated 5-year disease-free survival rate for the population was 78.3+/-1.6% in the biopsy group and 73.1+/-2.1% in the observation group (hazard ratio for recurrence[corrected], 0.74; 95% confidence interval [CI], 0.59 to 0.93; P=0.009). Five-year melanoma-specific survival rates were similar in the two groups (87.1+/-1.3% and 86.6+/-1.6%, respectively). In the biopsy group, the presence of metastases in the sentinel node was the most important prognostic factor; the 5-year survival rate was 72.3+/-4.6% among patients with tumor-positive sentinel nodes and 90.2+/-1.3% among those with tumor-negative sentinel nodes (hazard ratio for death, 2.48; 95% CI, 1.54 to 3.98; P&lt;0.001). The incidence of sentinel-node micrometastases was 16.0% (122 of 764 patients), and the rate of nodal relapse in the observation group was 15.6% (78 of 500 patients). The corresponding mean number of tumor-involved nodes was 1.4 in the biopsy group and 3.3 in the observation group (P&lt;0.001), indicating disease progression during observation. Among patients with nodal metastases, the 5-year survival rate was higher among those who underwent immediate lymphadenectomy than among those in whom lymphadenectomy was delayed (72.3+/-4.6% vs. 52.4+/-5.9%; hazard ratio for death, 0.51; 95% CI, 0.32 to 0.81; P=0.004).\n\nCONCLUSIONS: The staging of intermediate-thickness (1.2 to 3.5 mm) primary melanomas according to the results of sentinel-node biopsy provides important prognostic information and identifies patients with nodal metastases whose survival can be prolonged by immediate lymphadenectomy. (ClinicalTrials.gov number, NCT00275496 [ClinicalTrials.gov].).", "author" : [ { "dropping-particle" : "", "family" : "Morton", "given" : "Donald L", "non-dropping-particle" : "", "parse-names" : false, "suffix" : "" }, { "dropping-particle" : "", "family" : "Thompson", "given" : "John F", "non-dropping-particle" : "", "parse-names" : false, "suffix" : "" }, { "dropping-particle" : "", "family" : "Cochran", "given" : "Alistair J", "non-dropping-particle" : "", "parse-names" : false, "suffix" : "" }, { "dropping-particle" : "", "family" : "Mozzillo", "given" : "Nicola", "non-dropping-particle" : "", "parse-names" : false, "suffix" : "" }, { "dropping-particle" : "", "family" : "Elashoff", "given" : "Robert", "non-dropping-particle" : "", "parse-names" : false, "suffix" : "" }, { "dropping-particle" : "", "family" : "Essner", "given" : "Richard", "non-dropping-particle" : "", "parse-names" : false, "suffix" : "" }, { "dropping-particle" : "", "family" : "Nieweg", "given" : "Omgo E", "non-dropping-particle" : "", "parse-names" : false, "suffix" : "" }, { "dropping-particle" : "", "family" : "Roses", "given" : "Daniel F", "non-dropping-particle" : "", "parse-names" : false, "suffix" : "" }, { "dropping-particle" : "", "family" : "Hoekstra", "given" : "Harald J", "non-dropping-particle" : "", "parse-names" : false, "suffix" : "" }, { "dropping-particle" : "", "family" : "Karakousis", "given" : "Constantine P", "non-dropping-particle" : "", "parse-names" : false, "suffix" : "" }, { "dropping-particle" : "", "family" : "Reintgen", "given" : "Douglas S", "non-dropping-particle" : "", "parse-names" : false, "suffix" : "" }, { "dropping-particle" : "", "family" : "Coventry", "given" : "Brendon J", "non-dropping-particle" : "", "parse-names" : false, "suffix" : "" }, { "dropping-particle" : "", "family" : "Glass", "given" : "Edwin C", "non-dropping-particle" : "", "parse-names" : false, "suffix" : "" }, { "dropping-particle" : "", "family" : "Wang", "given" : "He-Jing", "non-dropping-particle" : "", "parse-names" : false, "suffix" : "" } ], "container-title" : "The New England journal of medicine", "id" : "ITEM-1", "issue" : "13", "issued" : { "date-parts" : [ [ "2006", "9", "28" ] ] }, "page" : "1307-17", "title" : "Sentinel-node biopsy or nodal observation in melanoma.", "type" : "article-journal", "volume" : "355" }, "uris" : [ "http://www.mendeley.com/documents/?uuid=67a6140a-03c4-49a0-8a19-c5ddadc66872" ] } ], "mendeley" : { "formattedCitation" : "&lt;sup&gt;124&lt;/sup&gt;", "plainTextFormattedCitation" : "124", "previouslyFormattedCitation" : "&lt;sup&gt;124&lt;/sup&gt;" }, "properties" : { "noteIndex" : 0 }, "schema" : "https://github.com/citation-style-language/schema/raw/master/csl-citation.json" }</w:instrText>
      </w:r>
      <w:r w:rsidRPr="003E73CD">
        <w:rPr>
          <w:sz w:val="22"/>
          <w:szCs w:val="22"/>
        </w:rPr>
        <w:fldChar w:fldCharType="separate"/>
      </w:r>
      <w:r w:rsidR="00CE2A17" w:rsidRPr="00CE2A17">
        <w:rPr>
          <w:noProof/>
          <w:sz w:val="22"/>
          <w:szCs w:val="22"/>
          <w:vertAlign w:val="superscript"/>
        </w:rPr>
        <w:t>124</w:t>
      </w:r>
      <w:r w:rsidRPr="003E73CD">
        <w:rPr>
          <w:sz w:val="22"/>
          <w:szCs w:val="22"/>
        </w:rPr>
        <w:fldChar w:fldCharType="end"/>
      </w:r>
      <w:proofErr w:type="gramStart"/>
      <w:r w:rsidRPr="003E73CD">
        <w:rPr>
          <w:sz w:val="22"/>
          <w:szCs w:val="22"/>
        </w:rPr>
        <w:t xml:space="preserve">  However</w:t>
      </w:r>
      <w:proofErr w:type="gramEnd"/>
      <w:r w:rsidRPr="003E73CD">
        <w:rPr>
          <w:sz w:val="22"/>
          <w:szCs w:val="22"/>
        </w:rPr>
        <w:t>, heterogeneity exists amongst SN positive patients, with additional metastases in NSNs found at CLND in 7-33% of cases.</w:t>
      </w:r>
      <w:r w:rsidRPr="003E73CD">
        <w:rPr>
          <w:sz w:val="22"/>
          <w:szCs w:val="22"/>
        </w:rPr>
        <w:fldChar w:fldCharType="begin" w:fldLock="1"/>
      </w:r>
      <w:r w:rsidR="00217FAC">
        <w:rPr>
          <w:sz w:val="22"/>
          <w:szCs w:val="22"/>
        </w:rPr>
        <w:instrText>ADDIN CSL_CITATION { "citationItems" : [ { "id" : "ITEM-1", "itemData" : { "ISSN" : "0008-543X", "PMID" : "10918179", "abstract" : "BACKGROUND: The selection of patients for sentinel lymph node biopsy (SNB) and selective lymphadenectomy for histologically positive sentinel lymph nodes (SLND) are areas of debate. The authors of the current study attempted to identify predictors of metastases to the sentinel and residual nonsentinel lymph nodes in patients with melanoma.\n\nMETHODS: The Indiana University Interdisciplinary Melanoma Program computerized database was queried to identify all patients who underwent SNB for clinically localized cutaneous melanoma. Demographic, surgical, and histopathologic data were recorded. Univariate and multivariate logistic regression analyses were performed to identify associations with SNB and nonsentinel lymph node positivity. Classification tree and logistic procedures were performed to identify the ideal tumor thickness cutpoint at which to perform SNB.\n\nRESULTS: Two hundred seventy-five SNB procedures were performed to stage 348 regional lymph node basins for occult metastases from melanoma. Of the 275 melanomas, 54 (19.6%) had a positive SNB, as did 58 of 348 basins (16.7%). Classification and logistic regression analysis identified a Breslow depth of 1.25 mm to be the most significant cutpoint for SNB positivity (odds ratio 8. 8:1; P = 0.0001). By multivariate analyses, a Breslow thickness cutpoint &gt;/= 1.25 mm (P = 0.0002), ulceration (P = 0.005), and high mitotic index (&gt; 5 mitoses/high-power field; P = 0.04) were significant predictors of SNB results. SLND was performed in 53 SNB positive patients, 15 of whom (28.3%) had at least 1 additional positive lymph node. SLND positivity was noted across a wide range of primary tumor characteristics and was associated significantly with multiple positive SN, but not with any other variable. SNB result correlated significantly with disease free and overall survival.\n\nCONCLUSIONS: Patients with a Breslow tumor thickness &gt;/= 1. 25 mm, ulceration, and high mitotic index are most likely to have positive SNB results. SLND is recommended for all patients after positive SNB because it is difficult to identify patients with residual lymph node disease.", "author" : [ { "dropping-particle" : "", "family" : "Wagner", "given" : "J D", "non-dropping-particle" : "", "parse-names" : false, "suffix" : "" }, { "dropping-particle" : "", "family" : "Gordon", "given" : "M S", "non-dropping-particle" : "", "parse-names" : false, "suffix" : "" }, { "dropping-particle" : "", "family" : "Chuang", "given" : "T Y", "non-dropping-particle" : "", "parse-names" : false, "suffix" : "" }, { "dropping-particle" : "", "family" : "Coleman", "given" : "J J", "non-dropping-particle" : "", "parse-names" : false, "suffix" : "" }, { "dropping-particle" : "", "family" : "Hayes", "given" : "J T", "non-dropping-particle" : "", "parse-names" : false, "suffix" : "" }, { "dropping-particle" : "", "family" : "Jung", "given" : "S H", "non-dropping-particle" : "", "parse-names" : false, "suffix" : "" }, { "dropping-particle" : "", "family" : "Love", "given" : "C", "non-dropping-particle" : "", "parse-names" : false, "suffix" : "" } ], "container-title" : "Cancer", "id" : "ITEM-1", "issue" : "2", "issued" : { "date-parts" : [ [ "2000", "7", "15" ] ] }, "page" : "453-62", "title" : "Predicting sentinel and residual lymph node basin disease after sentinel lymph node biopsy for melanoma.", "type" : "article-journal", "volume" : "89" }, "uris" : [ "http://www.mendeley.com/documents/?uuid=ed565e24-aaa1-45dc-a6b5-8cd38080200d" ] }, { "id" : "ITEM-2", "itemData" : { "ISSN" : "1068-9265", "PMID" : "11888869", "abstract" : "BACKGROUND: Completion lymph node dissection (CLND) may not be necessary for some patients because nodal metastasis is rarely detected beyond the sentinel lymph nodes (SLNs). This analysis was performed to determine, among patients with positive SLNs, the rate of nodal metastasis found in nonsentinel nodes (NSNs).\n\nMETHODS: This analysis includes patients with positive sentinel nodes, detected by hematoxylin and eosin (H&amp;E) staining or immunohistochemistry (IHC), who then underwent CLND.\n\nRESULTS: This analysis included 274 patients with at least one positive SLN who underwent CLND of 282 involved regional nodal basins. Of the 282 SLN-positive nodal basins, 45 (16%) were found to have positive NSNs in the CLND specimen. Breslow thickness, Clark level, presence of ulceration, histological subtype, presence of vertical growth phase, evidence of regression, presence of lymphovascular invasion, number of positive SLNs, age, sex, and presence of multiple draining nodal basins were not predictive of positive nodes in the CLND specimen. Patients with SLN metastases detected only by IHC had an equal likelihood of having positive NSNs as those patients with positive SLNs on H&amp;E examination.\n\nCONCLUSIONS: No patient population could be identified with minimal risk of non-SLN metastasis. When a positive SLN is identified on either H&amp;E staining or IHC, CLND should be performed routinely.", "author" : [ { "dropping-particle" : "", "family" : "McMasters", "given" : "Kelly M", "non-dropping-particle" : "", "parse-names" : false, "suffix" : "" }, { "dropping-particle" : "", "family" : "Wong", "given" : "Sandra L", "non-dropping-particle" : "", "parse-names" : false, "suffix" : "" }, { "dropping-particle" : "", "family" : "Edwards", "given" : "Michael J", "non-dropping-particle" : "", "parse-names" : false, "suffix" : "" }, { "dropping-particle" : "", "family" : "Chao", "given" : "Celia", "non-dropping-particle" : "", "parse-names" : false, "suffix" : "" }, { "dropping-particle" : "", "family" : "Ross", "given" : "Merrick I", "non-dropping-particle" : "", "parse-names" : false, "suffix" : "" }, { "dropping-particle" : "", "family" : "Noyes", "given" : "R Dirk", "non-dropping-particle" : "", "parse-names" : false, "suffix" : "" }, { "dropping-particle" : "", "family" : "Viar", "given" : "Vicki", "non-dropping-particle" : "", "parse-names" : false, "suffix" : "" }, { "dropping-particle" : "", "family" : "Cerrito", "given" : "Patricia B", "non-dropping-particle" : "", "parse-names" : false, "suffix" : "" }, { "dropping-particle" : "", "family" : "Reintgen", "given" : "Douglas S", "non-dropping-particle" : "", "parse-names" : false, "suffix" : "" } ], "container-title" : "Annals of surgical oncology", "id" : "ITEM-2", "issue" : "2", "issued" : { "date-parts" : [ [ "2002", "3" ] ] }, "page" : "137-41", "title" : "Frequency of nonsentinel lymph node metastasis in melanoma.", "type" : "article-journal", "volume" : "9" }, "uris" : [ "http://www.mendeley.com/documents/?uuid=b500c2b9-f2c6-482b-840c-42fe86a3becc" ] }, { "id" : "ITEM-3", "itemData" : { "ISSN" : "0002-9610", "PMID" : "12885597", "abstract" : "BACKGROUND: The incidence of residual occult disease in nonsentinel lymph nodes (NSLN) after a positive sentinel lymph node (SLN) biopsy in patients with melanoma is relatively low. The purpose of this study is to identify factors that may be predictive of occult NSLN metastases after positive SLN biopsy.\n\nMETHODS: Fifty-six consecutive melanoma patients with positive sentinel nodes who subsequently underwent complete lymph node dissection (CLND) were evaluated.\n\nRESULTS: Only the number of positive SLN predicted the status on NSLN by univariate (P = 0.008) and multivariate (P = 0.028) analyses. None of the other variables (characteristics of SLN metastases, number of draining nodal basins, age, sex, thickness, Clark level, ulceration, number of mitoses/mm(2), histological subtype, and location of the primary) significantly predicted CLND results.\n\nCONCLUSIONS: Identifying patients with residual lymph node basin disease remains difficult. Thus, lymph node dissection should be performed in all patients after positive sentinel node biopsy.", "author" : [ { "dropping-particle" : "", "family" : "Salti", "given" : "George I", "non-dropping-particle" : "", "parse-names" : false, "suffix" : "" }, { "dropping-particle" : "", "family" : "Gupta", "given" : "Tapas K", "non-dropping-particle" : "Das", "parse-names" : false, "suffix" : "" } ], "container-title" : "American journal of surgery", "id" : "ITEM-3", "issue" : "2", "issued" : { "date-parts" : [ [ "2003", "8" ] ] }, "page" : "98-101", "title" : "Predicting residual lymph node basin disease in melanoma patients with sentinel lymph node metastases.", "type" : "article-journal", "volume" : "186" }, "uris" : [ "http://www.mendeley.com/documents/?uuid=cd89c604-45f2-4f9d-ac9c-d81ed5254b9f" ] }, { "id" : "ITEM-4", "itemData" : { "ISSN" : "1068-9265", "PMID" : "12513956", "abstract" : "BACKGROUND: Most melanoma patients with a positive sentinel lymph node dissection (SLND) undergo a completion lymph node dissection (CLND) that does not yield additional positive nonsentinel lymph nodes (NSLN). This study was designed to determine if NSLN status can be predicted using patient, primary tumor, and sentinel lymph node (SLN) characteristics. METHODS: The study population includes melanoma patients who had a positive SLND and subsequently underwent CLND retrieved from our prospective institutional melanoma database. The primary tumor and SLN pathologies were prospectively determined. An Size/Ulceration (SU) score was derived by assigning 1 point for primary tumor ulceration and 1 point for SLN tumor size &gt;2 mm. RESULTS: Ninety-eight patients had a positive SLND and underwent CLND. Sixteen of these patients had a positive NSLN. On univariate analysis, primary tumor characteristics (thickness, ulceration, no regression), SLN metastasis characteristics (size &gt;2 mm, location nonsubcapsular), and SU score were all significantly associated with positive NSLN status. However, on multivariate analysis, only the SU score was a significant independent predictor of NSLN status. No patient with an SU score of 0 had a positive NSLN. CONCLUSIONS: The SU score is predictive of NSLN status in patients with a positive SLND. Patients with an SU score of 0 are very unlikely to have positive NSLNs at CLND.", "author" : [ { "dropping-particle" : "", "family" : "Reeves", "given" : "Mark E", "non-dropping-particle" : "", "parse-names" : false, "suffix" : "" }, { "dropping-particle" : "", "family" : "Delgado", "given" : "Ruby", "non-dropping-particle" : "", "parse-names" : false, "suffix" : "" }, { "dropping-particle" : "", "family" : "Busam", "given" : "Klaus J", "non-dropping-particle" : "", "parse-names" : false, "suffix" : "" }, { "dropping-particle" : "", "family" : "Brady", "given" : "Mary S", "non-dropping-particle" : "", "parse-names" : false, "suffix" : "" }, { "dropping-particle" : "", "family" : "Coit", "given" : "Daniel G", "non-dropping-particle" : "", "parse-names" : false, "suffix" : "" } ], "container-title" : "Annals of surgical oncology", "id" : "ITEM-4", "issue" : "1", "issued" : { "date-parts" : [ [ "2003", "1" ] ] }, "page" : "27-31", "title" : "Prediction of nonsentinel lymph node status in melanoma.", "type" : "article-journal", "volume" : "10" }, "uris" : [ "http://www.mendeley.com/documents/?uuid=dd075209-8de4-4cf7-82ea-21bc5154931f" ] }, { "id" : "ITEM-5", "itemData" : { "DOI" : "10.1038/modpathol.3800117", "ISSN" : "0893-3952", "PMID" : "15098011", "abstract" : "Lymphatic mapping and sentinel node biopsy are well-established techniques for staging and managing patients with melanoma, breast cancer and other malignancies that spread initially to the regional lymph nodes. Identification of tumor in the sentinel node is the most precise staging technique currently available. The sentinel node is the site of metastatic melanoma in approximately 20% of melanoma patients and if tumor is present in the sentinel node it is customary to perform a complete dissection of the lymph nodes of the affected nodal basin. This may be overtreatment for some patients as tumor is identified in the nonsentinel nodes of only one-third of sentinel node-positive melanoma patients treated by completion lymphadenectomy. If it were possible accurately to identify the minority of patients with tumor in the nonsentinel nodes, the patients most likely to benefit from lymphadenectomy, the remaining patients could be spared a potentially morbid operation that is unlikely to confer clinical advantage. In 90 patients with a melanoma-positive sentinel node, who subsequently had a completion lymphadenectomy, we evaluated and compared the capacity of characteristics of the primary melanoma and of the sentinel node to predict individuals likely to have tumor in nonsentinel nodes. We assessed the Breslow thickness of the primary, the amount of tumor in the sentinel node (relative tumor area) and, as an index of immune modulation of the sentinel node, the density of dendritic leukocytes in the nodal paracortex. The relative area of tumor in the sentinel node and Breslow thickness of the primary melanoma most accurately predicted the presence of tumor in the nonsentinel nodes (P=0.0001 in both cases-Wilcoxon rank sums). The presence of melanoma in the nonsentinel nodes was also predicted by the density of dendritic leukocytes in the paracortex (P=0.008-Wilcoxon rank sums). These three observations assessed alone and in combination predict the presence of tumor in the nonsentinel nodes with high accuracy. The same characteristics also significantly correlated with tumor recurrence (tumor burden, P=0.0001, Breslow, P=0.0001 and dendritic cell density, P=0.0007) and death from melanoma (tumor burden, P=0.0001, Breslow, P=0.0001 and dendritic cell density, P=0.0026).", "author" : [ { "dropping-particle" : "", "family" : "Cochran", "given" : "Alistair J", "non-dropping-particle" : "", "parse-names" : false, "suffix" : "" }, { "dropping-particle" : "", "family" : "Wen", "given" : "Duan-Ren", "non-dropping-particle" : "", "parse-names" : false, "suffix" : "" }, { "dropping-particle" : "", "family" : "Huang", "given" : "Rong-Rong", "non-dropping-particle" : "", "parse-names" : false, "suffix" : "" }, { "dropping-particle" : "", "family" : "Wang", "given" : "Hei-Jing", "non-dropping-particle" : "", "parse-names" : false, "suffix" : "" }, { "dropping-particle" : "", "family" : "Elashoff", "given" : "Robert", "non-dropping-particle" : "", "parse-names" : false, "suffix" : "" }, { "dropping-particle" : "", "family" : "Morton", "given" : "Donald L", "non-dropping-particle" : "", "parse-names" : false, "suffix" : "" } ], "container-title" : "Modern pathology : an official journal of the United States and Canadian Academy of Pathology, Inc", "id" : "ITEM-5", "issue" : "7", "issued" : { "date-parts" : [ [ "2004", "7" ] ] }, "page" : "747-55", "title" : "Prediction of metastatic melanoma in nonsentinel nodes and clinical outcome based on the primary melanoma and the sentinel node.", "type" : "article-journal", "volume" : "17" }, "uris" : [ "http://www.mendeley.com/documents/?uuid=d0752a8e-70d4-4d94-987d-117669bd61d2" ] }, { "id" : "ITEM-6", "itemData" : { "DOI" : "10.1200/JCO.2004.01.012", "ISSN" : "0732-183X", "PMID" : "15365064", "abstract" : "PURPOSE: Approximately 20% of sentinel node (SN) positive melanoma patients have additional non-SN (NSN) metastasis. The rationale for this study was to identify the factors associated with additional nodal disease, as a method to determine which patients may most benefit from completion lymph node dissection (CLND).\n\nPATIENTS AND METHODS: During 1990 to 2002, 1,599 patients have undergone SN biopsy at our institute. 19.5% underwent CLND for tumor-positive SN. One hundred ninety-one of these patients had clinicopathologic information available for review. Univariate analyses used chi2 test, Wilcoxson rank sum test, and chi2 test for trend. Multivariate analyses used logistic regression and Wald test.\n\nRESULTS: Forty-six (24%) patients had tumor-positive NSN. Univariate analyses showed that primary thickness (Breslow and Clark), primary site, SN tumor size, and number of tumor-positive SNs were significantly associated with tumor-positive NSN. Multivariate analysis (167 patients), confirmed that Breslow and SN tumor size were independently predictive. Sex, histology, ulceration, mitotic index, and SN basin location were not predictive. Risk stratification by the number of prognostic factors present (Breslow &gt; or = 3 mm and SN tumor size &gt; or = 2 mm) showed that probability of finding tumor-positive NSN was 12.3% in the low-risk group (0 factors), 30.9% in the intermediate-risk group (1 factor), and 41.9% in the high-risk group (2 factors).\n\nCONCLUSION: Thicker primary and larger SN tumor size are factors that correlate best with tumor-positive NSN. Although none of these factors are absolutely predictive of residual nodal disease, these factors must be strongly considered if the SN contains metastasis, as they provide enhanced risk assessment for NSN tumor-positivity.", "author" : [ { "dropping-particle" : "", "family" : "Lee", "given" : "J. H.", "non-dropping-particle" : "", "parse-names" : false, "suffix" : "" } ], "container-title" : "Journal of Clinical Oncology", "id" : "ITEM-6", "issue" : "18", "issued" : { "date-parts" : [ [ "2004", "8", "9" ] ] }, "page" : "3677-3684", "title" : "Factors Predictive of Tumor-Positive Nonsentinel Lymph Nodes After Tumor-Positive Sentinel Lymph Node Dissection for Melanoma", "type" : "article-journal", "volume" : "22" }, "uris" : [ "http://www.mendeley.com/documents/?uuid=143cecc4-6e2c-4cf1-b264-d26ab3e23368" ] }, { "id" : "ITEM-7", "itemData" : { "DOI" : "10.1309/TDWJ-TR15-TDM1-TG7Q", "ISSN" : "0002-9173", "PMID" : "15487450", "abstract" : "The aim of the present study was to determine whether micromorphometric features of positive sentinel lymph nodes (SLNs) from patients with melanoma are useful for predicting further nodal involvement in completion lymph node dissection (CLND) specimens. Of 986 patients with melanoma undergoing SLN biopsy between March 1992 and February 2001, 175 (17.7%) had at least 1 positive SLN and 140 had subsequent CLND specimens available for review. Further nodal involvement in CLND specimens was present in 24 (17.1%) of 140 patients. Of 8 micromorphometric features of the SLNs that were assessed, the presence of metastases in CLND specimens was correlated significantly with a tumor penetrative depth (maximum distance of melanoma cells from the inner margin of the SLN capsule) of more than 2 mm (P &lt; .05), a deposit size of more than 10 mm2 (P &lt; .01), the presence of melanoma cells in perinodal lymphatic vessels (P &lt; .01), and the effacement of nodal architecture by metastatic melanoma cells (P &lt; .05). Our results indicate that some morphologic features of melanoma metastases in SLNs predict the likelihood of further nodal involvement in CLND specimens.", "author" : [ { "dropping-particle" : "", "family" : "Scolyer", "given" : "Richard A.", "non-dropping-particle" : "", "parse-names" : false, "suffix" : "" }, { "dropping-particle" : "", "family" : "Li", "given" : "Ling-Xi L.", "non-dropping-particle" : "", "parse-names" : false, "suffix" : "" }, { "dropping-particle" : "", "family" : "McCarthy", "given" : "Stanley W.", "non-dropping-particle" : "", "parse-names" : false, "suffix" : "" }, { "dropping-particle" : "", "family" : "Shaw", "given" : "Helen M.", "non-dropping-particle" : "", "parse-names" : false, "suffix" : "" }, { "dropping-particle" : "", "family" : "Stretch", "given" : "Jonathan R.", "non-dropping-particle" : "", "parse-names" : false, "suffix" : "" }, { "dropping-particle" : "", "family" : "Sharma", "given" : "Raghwa", "non-dropping-particle" : "", "parse-names" : false, "suffix" : "" }, { "dropping-particle" : "", "family" : "Thompson", "given" : "John F.", "non-dropping-particle" : "", "parse-names" : false, "suffix" : "" } ], "container-title" : "American Journal of Clinical Pathology", "id" : "ITEM-7", "issue" : "4", "issued" : { "date-parts" : [ [ "2004", "1", "1" ] ] }, "page" : "532-539", "title" : "Micromorphometric Features of Positive Sentinel Lymph Nodes Predict Involvement of Nonsentinel Nodes in Patients With Melanoma", "type" : "article-journal", "volume" : "122" }, "uris" : [ "http://www.mendeley.com/documents/?uuid=01d47762-5d11-4c90-8aea-5d384b9c7a56" ] }, { "id" : "ITEM-8", "itemData" : { "ISSN" : "1068-9265", "PMID" : "15023745", "abstract" : "The most successful strategies in the management of melanoma have always been based on early diagnosis and timely surgical removal. Sentinel lymphonodectomy (SLNE) is the most reliable technique for the detection of melanoma micrometastases in regional lymph nodes. The micromorphometric S-classification, a routinely determinable surrogate of tumor burden in the sentinel lymph node (SLN), has high prognostic relevance. SIII metastases, defined by a depth of invasion (d) greater than 1 mm below the capsular level, imply a risk of more than 50% for the presence of nonsentinel lymph node metastases in the same basin and for the emergence of distant metastases within 5 years of follow-up. Corresponding risks with SI metastases (d &lt;/= 0.3 mm) and SII metastases (0.3 mm &lt; d &lt;/= 1 mm) do not exceed 15%. The survival curve for patients with SIII metastases approaches that of patients in the pre-SLNE era who underwent delayed lymph node dissection for subsequently detected nodal macrometastases. The survival of patients with initially removed SI and SII metastases is much better, similar to that of patients with S0 metastases. This explains the significant survival benefit of SLN-guided surgery in the entire population of patients with melanomas thicker than 0.75 mm, although the outcome of the subgroup without nodal metastases is not influenced by SLNE.", "author" : [ { "dropping-particle" : "", "family" : "Starz", "given" : "Hans", "non-dropping-particle" : "", "parse-names" : false, "suffix" : "" }, { "dropping-particle" : "", "family" : "Siedlecki", "given" : "Katharina", "non-dropping-particle" : "", "parse-names" : false, "suffix" : "" }, { "dropping-particle" : "", "family" : "Balda", "given" : "Bernd-R\u00fcdiger", "non-dropping-particle" : "", "parse-names" : false, "suffix" : "" } ], "container-title" : "Annals of surgical oncology", "id" : "ITEM-8", "issue" : "3 Suppl", "issued" : { "date-parts" : [ [ "2004", "3" ] ] }, "page" : "162S-8S", "title" : "Sentinel lymphonodectomy and s-classification: a successful strategy for better prediction and improvement of outcome of melanoma.", "type" : "article-journal", "volume" : "11" }, "uris" : [ "http://www.mendeley.com/documents/?uuid=a13a8b9a-f140-4674-8fb0-453c2e6a863a" ] }, { "id" : "ITEM-9", "itemData" : { "DOI" : "10.1200/JCO.2004.12.177", "ISSN" : "0732-183X", "PMID" : "15310779", "abstract" : "PURPOSE: Sentinel node biopsy is now widely accepted as the most accurate prognostic indicator in melanoma, and is important in guiding management of patients with clinical stage I or II disease. Patients with a positive sentinel node have conventionally undergone completion lymphadenectomy (CLND) of the involved basin, but only 20% have involvement beyond the sentinel node, suggesting that CLND may be unnecessary for the other 80% of patients. This study seeks to identify criteria that might be used to be more restrictive in selecting those who should undergo CLND.\n\nMETHODS: A total of 146 patients were identified who had had a positive sentinel node biopsy for malignant melanoma. Their sentinel nodes and lymphadenectomy specimens were re-evaluated pathologically. The metastatic melanoma in each sentinel node was assessed according to its microanatomic location within the node (subcapsular, combined subcapsular and parenchymal, parenchymal, multifocal, or extensive), and this was correlated with the presence of involved nonsentinel nodes in the CLND. The depth of the metastases from the sentinel node capsule was also recorded.\n\nRESULTS: The metastatic deposits in the sentinel node were subcapsular in 26.0% of patients. None of these patients had any nonsentinel nodes involved on CLND. In the patients whose sentinel node metastases had a different microanatomic location, the rate of nonsentinel node involvement was 22.2% overall.\n\nCONCLUSION: The microanatomic location of metastases within sentinel nodes predicts nonsentinel lymph node involvement. In patients with only subcapsular deposits in the sentinel node, it is possible that CLND could safely be avoided.", "author" : [ { "dropping-particle" : "", "family" : "Dewar", "given" : "D J", "non-dropping-particle" : "", "parse-names" : false, "suffix" : "" }, { "dropping-particle" : "", "family" : "Newell", "given" : "B", "non-dropping-particle" : "", "parse-names" : false, "suffix" : "" }, { "dropping-particle" : "", "family" : "Green", "given" : "M A", "non-dropping-particle" : "", "parse-names" : false, "suffix" : "" }, { "dropping-particle" : "", "family" : "Topping", "given" : "A P", "non-dropping-particle" : "", "parse-names" : false, "suffix" : "" }, { "dropping-particle" : "", "family" : "Powell", "given" : "B W E M", "non-dropping-particle" : "", "parse-names" : false, "suffix" : "" }, { "dropping-particle" : "", "family" : "Cook", "given" : "M G", "non-dropping-particle" : "", "parse-names" : false, "suffix" : "" } ], "container-title" : "Journal of clinical oncology : official journal of the American Society of Clinical Oncology", "id" : "ITEM-9", "issue" : "16", "issued" : { "date-parts" : [ [ "2004", "8", "15" ] ] }, "page" : "3345-9", "title" : "The microanatomic location of metastatic melanoma in sentinel lymph nodes predicts nonsentinel lymph node involvement.", "type" : "article-journal", "volume" : "22" }, "uris" : [ "http://www.mendeley.com/documents/?uuid=4506cae2-267b-47ed-99e3-fa46fed76ab8" ] }, { "id" : "ITEM-10", "itemData" : { "ISSN" : "0960-8931", "PMID" : "16034304", "abstract" : "The purpose of this study was to identify melanoma patients with positive sentinel lymph nodes (SLNs) at increased risk for further metastases in this specific lymph node basin. A series of consecutive patients with primary malignant melanoma stage I and II were evaluated retrospectively. The results of SLN biopsy in 26 patients with positive SLNs were compared with those of complete regional lymph node dissection (RLND) using the recently published S-classification of SLNs. The results of S-classification of SLNs were correlated with the outcome of complete RLND. There was a significant correlation between the S stage of positive SLNs and the results of complete RLND (P=0.02). Only patients with SIII stage (n=4) SLNs were found to have further metastases in the residual lymph node basin. The present study indicates that patients with SI stage and SII stage SLNs rarely have further metastases in the specific lymph node basin.", "author" : [ { "dropping-particle" : "", "family" : "Fink", "given" : "Astrid M", "non-dropping-particle" : "", "parse-names" : false, "suffix" : "" }, { "dropping-particle" : "", "family" : "Weihsengruber", "given" : "Felix", "non-dropping-particle" : "", "parse-names" : false, "suffix" : "" }, { "dropping-particle" : "", "family" : "Spangl", "given" : "Bernhard", "non-dropping-particle" : "", "parse-names" : false, "suffix" : "" }, { "dropping-particle" : "", "family" : "Feichtinger", "given" : "Hans", "non-dropping-particle" : "", "parse-names" : false, "suffix" : "" }, { "dropping-particle" : "", "family" : "Lilgenau", "given" : "Nikolaus", "non-dropping-particle" : "", "parse-names" : false, "suffix" : "" }, { "dropping-particle" : "", "family" : "Rappersberger", "given" : "Klemens", "non-dropping-particle" : "", "parse-names" : false, "suffix" : "" }, { "dropping-particle" : "", "family" : "Jurecka", "given" : "Wolfgang", "non-dropping-particle" : "", "parse-names" : false, "suffix" : "" }, { "dropping-particle" : "", "family" : "Steiner", "given" : "Andreas", "non-dropping-particle" : "", "parse-names" : false, "suffix" : "" } ], "container-title" : "Melanoma research", "id" : "ITEM-10", "issue" : "4", "issued" : { "date-parts" : [ [ "2005", "8" ] ] }, "page" : "267-71", "title" : "S-classification of sentinel lymph node biopsy predicts the results of complete regional lymph node dissection.", "type" : "article-journal", "volume" : "15" }, "uris" : [ "http://www.mendeley.com/documents/?uuid=06d1b817-430a-43de-bb2e-a318041dcac1" ] }, { "id" : "ITEM-11", "itemData" : { "abstract" : "BACKGROUND: Patients found to harbor melanoma micrometastases in the sentinel lymph node (SLN) are recommended to proceed to complete lymph node dissection (CLND), although the majority of patients will have no additional disease identified in the nonsentinel lymph nodes (NSLNs). We sought to assess predictive factors associated with finding positive NSLNs, and identify a subset of patients with low likelihood of finding additional disease on CLND. STUDY DESIGN: We queried our prospective melanoma database for patients from January 1996 to August 2003 with a positive SLN. Univariable logistic regression models were fit for multiple factors and a positive NSLN. To derive a probabilistic model for occurrence of one or more positive NSLN(s), a multivariable logistic model was fit using a stepwise variable selection method. RESULTS: Of 980 patients who underwent SLN biopsy for cutaneous melanoma, 232 (24%) had a positive SLN; 221 (23%) followed by CLND. Of these patients, 34 (15%) had one or more positive NSLN(s). In multivariable analysis, male gender (odds ratio [OR] 3.6 [95% CI 1.33, 9.71]; p = 0.01), Breslow thickness (OR 4.58 [95% CI 1.28, 16.36]; p = 0.019), extranodal extension (OR 3.2 [95% CI 1.0, 10.5]; p = 0.05), and three or more positive sentinel nodes (OR 65.81 [95% CI 5.2, 825.7]; p = 0.001) were all associated with the likelihood of finding additional positive nodes on CLND. Of 47 patients with minimal tumor burden in the SLN, only 1 (2%) had additional disease in the NSLN. CONCLUSIONS: These results provide additional data to plan clinical trials to answer the question of who can safely avoid CLND after a positive SLN. Patients with minimal tumor burden in the SLN might be the most likely group, although defining \"minimal tumor burden\" must be standardized. Serial sectioning and immunohistochemistry on the NSLN in any \"low-risk\" group must be performed in a clinical trial to confirm that residual disease is unlikely before avoiding CLND can be recommended. \u00a9 2005 by the American College of Surgeons.", "author" : [ { "dropping-particle" : "", "family" : "Sabel", "given" : "Michael S.", "non-dropping-particle" : "", "parse-names" : false, "suffix" : "" }, { "dropping-particle" : "", "family" : "Griffith", "given" : "Kent", "non-dropping-particle" : "", "parse-names" : false, "suffix" : "" }, { "dropping-particle" : "", "family" : "Sondak", "given" : "Vernon K.", "non-dropping-particle" : "", "parse-names" : false, "suffix" : "" }, { "dropping-particle" : "", "family" : "Lowe", "given" : "Lori", "non-dropping-particle" : "", "parse-names" : false, "suffix" : "" }, { "dropping-particle" : "", "family" : "Schwartz", "given" : "Jennifer L.", "non-dropping-particle" : "", "parse-names" : false, "suffix" : "" }, { "dropping-particle" : "", "family" : "Cimmino", "given" : "Vincent M.", "non-dropping-particle" : "", "parse-names" : false, "suffix" : "" }, { "dropping-particle" : "", "family" : "Chang", "given" : "Alfred E.", "non-dropping-particle" : "", "parse-names" : false, "suffix" : "" }, { "dropping-particle" : "", "family" : "Rees", "given" : "Riley S.", "non-dropping-particle" : "", "parse-names" : false, "suffix" : "" }, { "dropping-particle" : "", "family" : "Bradford", "given" : "Carol R.", "non-dropping-particle" : "", "parse-names" : false, "suffix" : "" }, { "dropping-particle" : "", "family" : "Johnson", "given" : "Timothy M.", "non-dropping-particle" : "", "parse-names" : false, "suffix" : "" } ], "container-title" : "Journal of the American College of Surgeons", "id" : "ITEM-11", "issue" : "1", "issued" : { "date-parts" : [ [ "2005" ] ] }, "page" : "37-47", "title" : "Predictors of nonsentinel lymph node positivity in patients with a positive sentinel node for melanoma", "type" : "article-journal", "volume" : "201" }, "uris" : [ "http://www.mendeley.com/documents/?uuid=ba42c37e-0beb-4757-b901-754a60fc6450" ] }, { "id" : "ITEM-12", "itemData" : { "DOI" : "10.1245/ASO.2005.06.013", "ISSN" : "1068-9265", "PMID" : "15864481", "abstract" : "BACKGROUND: Even though 60% to 80% of melanoma patients with a positive sentinel lymph node (SLN) have no positive additional lymph nodes (ALNs), all these patients are subjected to an ALN dissection (ALND) with its associated morbidity. The aim of this study was to predict the absence of ALN metastases in patients with a positive SLN by using features of the primary melanoma and SLN tumor load.\n\nMETHODS: Of 71 SLN-positive patients, 52 had metastasis limited to the SLN (group 1), and 19 had &gt; or =1 positive ALN after ALND (group 2). The tumor load of the SLN was assessed by measuring the total surface area by computerized morphometry. Breslow thickness, ulceration and lymphatic invasion of the primary tumor, and total SLN metastatic area were tested as covariates predicting the absence of positive ALNs.\n\nRESULTS: The mean SLN metastatic area was 1.18 mm(2) (group 1) and 3.39 mm(2) (group 2) (P = .003) and was the only significant and independent factor after multivariate analysis (P = .02). None of the patients with both a Breslow thickness &lt;2.5 mm and an SLN metastatic area &lt;.3 mm(2) had a positive ALN.\n\nCONCLUSIONS: SLN metastatic area can be used to predict the absence of positive ALNs in melanoma patients. In this study, patients with a Breslow thickness &lt;2.5 mm and an SLN tumor load &lt;.3 mm(2 )seemed to have no positive ALN and had excellent survival. We hypothesize that this subgroup might not benefit from ALND. Prospective larger trials, using this model and randomizing between ALND and no ALND, should confirm this hypothesis.", "author" : [ { "dropping-particle" : "", "family" : "Vuylsteke", "given" : "Ronald J C L M", "non-dropping-particle" : "", "parse-names" : false, "suffix" : "" }, { "dropping-particle" : "", "family" : "Borgstein", "given" : "Paul J", "non-dropping-particle" : "", "parse-names" : false, "suffix" : "" }, { "dropping-particle" : "", "family" : "Leeuwen", "given" : "Paul A M", "non-dropping-particle" : "van", "parse-names" : false, "suffix" : "" }, { "dropping-particle" : "", "family" : "Gietema", "given" : "Hester A", "non-dropping-particle" : "", "parse-names" : false, "suffix" : "" }, { "dropping-particle" : "", "family" : "Molenkamp", "given" : "Barbara G", "non-dropping-particle" : "", "parse-names" : false, "suffix" : "" }, { "dropping-particle" : "", "family" : "Statius Muller", "given" : "Markwin G", "non-dropping-particle" : "", "parse-names" : false, "suffix" : "" }, { "dropping-particle" : "", "family" : "Diest", "given" : "Paul J", "non-dropping-particle" : "van", "parse-names" : false, "suffix" : "" }, { "dropping-particle" : "", "family" : "Sijp", "given" : "Joost R M", "non-dropping-particle" : "van der", "parse-names" : false, "suffix" : "" }, { "dropping-particle" : "", "family" : "Meijer", "given" : "Sybren", "non-dropping-particle" : "", "parse-names" : false, "suffix" : "" } ], "container-title" : "Annals of surgical oncology", "id" : "ITEM-12", "issue" : "6", "issued" : { "date-parts" : [ [ "2005", "6" ] ] }, "page" : "440-8", "title" : "Sentinel lymph node tumor load: an independent predictor of additional lymph node involvement and survival in melanoma.", "type" : "article-journal", "volume" : "12" }, "uris" : [ "http://www.mendeley.com/documents/?uuid=f4008c8d-246b-45be-954c-bbd5d8af0390" ] }, { "id" : "ITEM-13", "itemData" : { "DOI" : "10.1016/j.amjsurg.2006.08.062", "ISSN" : "1879-1883", "PMID" : "17161112", "abstract" : "BACKGROUND: A positive sentinel lymph node (SLN) biopsy is an indication for completion lymph node dissection (CLND) in malignant melanoma; however, most CLNDs are negative. We hypothesized SLN metastatic size of &lt; or =2 mm would predict CLND status and prognosis.\n\nMETHODS: We evaluated 80 consecutive patients undergoing CLND for positive SLNs over a 10-year period. Incidence of positive nonsentinel nodes and survival were compared for patients with SLN metastases &lt; or =2 mm and &gt;2 mm.\n\nRESULTS: Of 504 patients undergoing SLN biopsy, 49 patients had SLN deposits &lt; or =2 mm and a 6% incidence of positive CLNDs. Five-year survival was 85%, essentially the same as negative SLN biopsies. In contrast, 31 had SLN metastases &gt;2 mm, a 45% incidence of addition disease at CLND, and 5-year survival of 47% (P &lt; .0001).\n\nCONCLUSION: An SLN metastatic cut point of 2 mm is an efficient predictor of CLND status and survival in malignant melanoma.", "author" : [ { "dropping-particle" : "", "family" : "Pearlman", "given" : "Nathan W", "non-dropping-particle" : "", "parse-names" : false, "suffix" : "" }, { "dropping-particle" : "", "family" : "McCarter", "given" : "Martin D", "non-dropping-particle" : "", "parse-names" : false, "suffix" : "" }, { "dropping-particle" : "", "family" : "Frank", "given" : "Matthew", "non-dropping-particle" : "", "parse-names" : false, "suffix" : "" }, { "dropping-particle" : "", "family" : "Hurtubis", "given" : "Cheryl", "non-dropping-particle" : "", "parse-names" : false, "suffix" : "" }, { "dropping-particle" : "", "family" : "Merkow", "given" : "Ryan P", "non-dropping-particle" : "", "parse-names" : false, "suffix" : "" }, { "dropping-particle" : "", "family" : "Franklin", "given" : "Wilbur A", "non-dropping-particle" : "", "parse-names" : false, "suffix" : "" }, { "dropping-particle" : "", "family" : "Gonzalez", "given" : "Rene", "non-dropping-particle" : "", "parse-names" : false, "suffix" : "" }, { "dropping-particle" : "", "family" : "Lewis", "given" : "Karl", "non-dropping-particle" : "", "parse-names" : false, "suffix" : "" }, { "dropping-particle" : "", "family" : "Roaten", "given" : "J Brent", "non-dropping-particle" : "", "parse-names" : false, "suffix" : "" }, { "dropping-particle" : "", "family" : "Robinson", "given" : "William A", "non-dropping-particle" : "", "parse-names" : false, "suffix" : "" } ], "container-title" : "American journal of surgery", "id" : "ITEM-13", "issue" : "6", "issued" : { "date-parts" : [ [ "2006", "12" ] ] }, "page" : "878-81", "title" : "Size of sentinel node metastases predicts other nodal disease and survival in malignant melanoma.", "type" : "article-journal", "volume" : "192" }, "uris" : [ "http://www.mendeley.com/documents/?uuid=8b561a6b-e631-4cc0-9a77-6864402b5a97" ] }, { "id" : "ITEM-14", "itemData" : { "DOI" : "10.1200/JCO.2006.06.3198", "ISSN" : "1527-7755", "PMID" : "16983115", "abstract" : "PURPOSE: To evaluate the prognostic significance of sentinel node biopsy in the management of stage IB and II melanoma patients, and to evaluate the status of nonsentinel nodes as a \"second step key factor\" to assess the prognosis of these patients.\n\nPATIENTS AND METHODS: We conducted an analysis of data collected in a prospective database.\n\nRESULTS: From February 1994 to June 2005, 1,108 consecutive patients with stage IB and II melanoma were submitted to sentinel node biopsy; 176 patients (15.9%) had occult node metastases. The frequency of positive nodes increased with increasing Breslow's thickness. The largest diameter of metastatic foci and their localization within the lymph node were associated with the risk of nonsentinel node metastases only. The 5-year survival of patients with positive sentinel nodes was 81.4% in patients with one positive node and 39.6% in patients with two positive nodes (P = .056). Multivariate analysis indicated that status of sentinel nodes is a key factor and that sex and Breslow's thickness maintain statistically significant relevance. Ulceration, which was associated with survival when considered as single factor (P &lt; .001) had no impact on survival in the multivariate analysis (P = .10). To evaluate the relevance of metastases to nonsentinel nodes, we identified four groups of patients.\n\nCONCLUSION: Evaluation of the sentinel node is a useful procedure to identify patients to be submitted for complete lymph node dissection. The procedure makes it possible to assess the best prognosis of patients.", "author" : [ { "dropping-particle" : "", "family" : "Cascinelli", "given" : "Natale", "non-dropping-particle" : "", "parse-names" : false, "suffix" : "" }, { "dropping-particle" : "", "family" : "Bombardieri", "given" : "Emilio", "non-dropping-particle" : "", "parse-names" : false, "suffix" : "" }, { "dropping-particle" : "", "family" : "Bufalino", "given" : "Rosaria", "non-dropping-particle" : "", "parse-names" : false, "suffix" : "" }, { "dropping-particle" : "", "family" : "Camerini", "given" : "Tiziana", "non-dropping-particle" : "", "parse-names" : false, "suffix" : "" }, { "dropping-particle" : "", "family" : "Carbone", "given" : "Antonino", "non-dropping-particle" : "", "parse-names" : false, "suffix" : "" }, { "dropping-particle" : "", "family" : "Clemente", "given" : "Claudio", "non-dropping-particle" : "", "parse-names" : false, "suffix" : "" }, { "dropping-particle" : "", "family" : "Lenisa", "given" : "Leonardo", "non-dropping-particle" : "", "parse-names" : false, "suffix" : "" }, { "dropping-particle" : "", "family" : "Mascheroni", "given" : "Luigi", "non-dropping-particle" : "", "parse-names" : false, "suffix" : "" }, { "dropping-particle" : "", "family" : "Maurichi", "given" : "Andrea", "non-dropping-particle" : "", "parse-names" : false, "suffix" : "" }, { "dropping-particle" : "", "family" : "Pennacchioli", "given" : "Elisabetta", "non-dropping-particle" : "", "parse-names" : false, "suffix" : "" }, { "dropping-particle" : "", "family" : "Patuzzo", "given" : "Roberto", "non-dropping-particle" : "", "parse-names" : false, "suffix" : "" }, { "dropping-particle" : "", "family" : "Santinami", "given" : "Mario", "non-dropping-particle" : "", "parse-names" : false, "suffix" : "" }, { "dropping-particle" : "", "family" : "Tragni", "given" : "Gabrina", "non-dropping-particle" : "", "parse-names" : false, "suffix" : "" } ], "container-title" : "Journal of clinical oncology : official journal of the American Society of Clinical Oncology", "id" : "ITEM-14", "issue" : "27", "issued" : { "date-parts" : [ [ "2006", "9", "20" ] ] }, "page" : "4464-71", "title" : "Sentinel and nonsentinel node status in stage IB and II melanoma patients: two-step prognostic indicators of survival.", "type" : "article-journal", "volume" : "24" }, "uris" : [ "http://www.mendeley.com/documents/?uuid=87a2810c-0f27-4812-8c91-b5fcb57b53ff" ] }, { "id" : "ITEM-15", "itemData" : { "DOI" : "10.1111/j.1365-2133.2007.07937.x", "ISSN" : "0007-0963", "PMID" : "17501957", "abstract" : "BACKGROUND: Sentinel lymph node (SLN) positivity has been found to be strongly associated with a poor prognosis in melanoma.\n\nOBJECTIVES: This large referral centre study was conducted: (i) to confirm the powerful prognostic value of SLN biopsy (SLNB); (ii) to correlate patient prognosis to the micromorphometric features of SLN metastasis in SLN-positive patients; and (iii) to correlate these micromorphometric features to the likelihood of positive completion lymph node dissection (CLND).\n\nPATIENTS AND METHODS: SLNB was performed in 455 cases of primary melanoma between January 1999 and December 2004; for patients with positive SLN, the following micromorphometric features were registered: size of the largest metastasis (two diameters), depth of metastasis, number of millimetric slices involved, maximum number of metastases on a single section, presence of intracapsular lymphatic invasion and extracapsular spread. Kaplan-Meier survival curves were compared with the log-rank test; multivariate analysis was performed using a Cox regression model. Dependence of CLND status on micromorphometric features of SLN was assessed by the chi(2) test and predictive values of the different features were evaluated by multivariate analysis using a logistic regression model.\n\nRESULTS: A positive SLN was identified in 98 of our 455 cases. Survival was significantly shorter in SLN-positive patients than in SLN-negative patients. Extracapsular invasion was found to be an independent prognostic factor of disease-free survival; ulceration of the primary and the maximum diameter of the largest metastasis were identified as independent predictive factors of disease-specific survival. Age and the lowest diameter of the largest metastasis were identified as independent predictive criteria of positive CLND, whereas depth of metastasis was not. Positivity of CLND was not significantly associated with a worse prognosis.\n\nCONCLUSIONS: Our study confirms the previously demonstrated strong prognostic value of SLNB. It also confirms the relationship between tumour burden in the SLN (evaluated by the maximum diameter of the largest metastasis) and clinical outcome. We point out a new micromorphometric feature of SLN, which seems to be predictive of CLND status: the lowest diameter of the largest metastasis.", "author" : [ { "dropping-particle" : "", "family" : "Debarbieux", "given" : "S", "non-dropping-particle" : "", "parse-names" : false, "suffix" : "" }, { "dropping-particle" : "", "family" : "Duru", "given" : "G", "non-dropping-particle" : "", "parse-names" : false, "suffix" : "" }, { "dropping-particle" : "", "family" : "Dalle", "given" : "S", "non-dropping-particle" : "", "parse-names" : false, "suffix" : "" }, { "dropping-particle" : "", "family" : "B\u00e9atrix", "given" : "O", "non-dropping-particle" : "", "parse-names" : false, "suffix" : "" }, { "dropping-particle" : "", "family" : "Balme", "given" : "B", "non-dropping-particle" : "", "parse-names" : false, "suffix" : "" }, { "dropping-particle" : "", "family" : "Thomas", "given" : "L", "non-dropping-particle" : "", "parse-names" : false, "suffix" : "" } ], "container-title" : "The British journal of dermatology", "id" : "ITEM-15", "issue" : "1", "issued" : { "date-parts" : [ [ "2007", "7" ] ] }, "page" : "58-67", "title" : "Sentinel lymph node biopsy in melanoma: a micromorphometric study relating to prognosis and completion lymph node dissection.", "type" : "article-journal", "volume" : "157" }, "uris" : [ "http://www.mendeley.com/documents/?uuid=21e3987a-d610-454e-98d8-9ef8eb629ad1" ] }, { "id" : "ITEM-16", "itemData" : { "ISSN" : "0003-1348", "PMID" : "17674939", "abstract" : "Completion lymph node dissection (CLND) is routinely performed after metastatic melanoma is detected at sentinel lymph node (SLN) biopsy. Nonsentinel lymph node (NSLN) involvement is found in less than one-third of the cases. Possible predictors of NSLN involvement are examined. A retrospective review of 70 patients with a positive SLN biopsy for melanoma and drainage to one lymphatic basin was performed. The size of metastatic deposits was defined as macrometastases (&gt;2 mm), micrometastases (&lt; or =2 mm), a cluster of cells (10-30 grouped cells) in the subcapsular space or interfollicular zone, or isolated melanoma cells (1-20 or more individual cells) in subcapsular sinuses. Tumor stage, ulceration, SLN tumor burden, mitoses, number of positive SLNs, and total number of lymph nodes removed were examined as predictors of NSLN involvement after CLND. Two additional models based on SLN tumor burden and the number of nodes biopsied were designed. Nineteen patients (24.3%) were found to have NSLN metastases after CLND. Tumor stage, ulceration, SLN tumor burden, mitoses, number of positive SLN, and number of lymph nodes removed were not statistically significant. Residual disease at CLND stratified by SLN tumor burden was: isolated melanoma cells, 0; cluster of cells, 8 (38.1%); &lt; or =2 mm, 5 (20.8%); and &gt;2 mm, 6 (27.3%). A comparison of the means for the models was not predictive of NSLN involvement. None of the risk factors or models examined could predict nonsentinel lymph node involvement with melanoma. The SLN sample and minimal SLN metastatic disease when defined as isolated clusters of cells warrant further study as a potential indicator against CLND after positive SLN.", "author" : [ { "dropping-particle" : "", "family" : "Page", "given" : "Andrew J", "non-dropping-particle" : "", "parse-names" : false, "suffix" : "" }, { "dropping-particle" : "", "family" : "Carlson", "given" : "Grant W", "non-dropping-particle" : "", "parse-names" : false, "suffix" : "" }, { "dropping-particle" : "", "family" : "Delman", "given" : "Keith A", "non-dropping-particle" : "", "parse-names" : false, "suffix" : "" }, { "dropping-particle" : "", "family" : "Murray", "given" : "Douglas", "non-dropping-particle" : "", "parse-names" : false, "suffix" : "" }, { "dropping-particle" : "", "family" : "Hestley", "given" : "Andrea", "non-dropping-particle" : "", "parse-names" : false, "suffix" : "" }, { "dropping-particle" : "", "family" : "Cohen", "given" : "Cynthia", "non-dropping-particle" : "", "parse-names" : false, "suffix" : "" } ], "container-title" : "The American surgeon", "id" : "ITEM-16", "issue" : "7", "issued" : { "date-parts" : [ [ "2007", "7" ] ] }, "page" : "674-8; discussion 678-9", "title" : "Prediction of nonsentinel lymph node involvement in patients with a positive sentinel lymph node in malignant melanoma.", "type" : "article-journal", "volume" : "73" }, "uris" : [ "http://www.mendeley.com/documents/?uuid=fbc4895b-4b30-4cf2-93e9-c881a9f56cd1" ] }, { "id" : "ITEM-17", "itemData" : { "DOI" : "10.1245/s10434-007-9734-8", "ISSN" : "1534-4681", "PMID" : "18165880", "abstract" : "BACKGROUND: Identification of melanoma patients who need completion lymphadenectomy and adjuvant treatment after positive sentinel lymph node (SLN) biopsy would be a fundamental step forward toward personalized medicine. This study tested the hypothesis that the microscopic features of metastatic SLNs might predict not only nonsentinel lymph node (NSLN) status, but also patients' clinical outcomes.\n\nMETHODS: A retrospective analysis was performed on 96 consecutive melanoma patients who underwent completion lymphadenectomy after positive SLN biopsy. Patients' age and sex, primary tumor Breslow thickness, number of positive SLNs, the largest diameter and depth of invasion of metastatic deposits in the SLN, S stage, and pattern of nodal involvement were correlated with the presence of metastatic disease in NSLNs as well as with the likelihood of tumor recurrence and patient death.\n\nRESULTS: At pathological examination, 20 patients (20.8%) had metastatic melanoma in the NSLN. Pattern of nodal involvement, depth of invasion of SLN by metastatic disease, and S stage were statistically significantly associated with the presence of metastatic disease in NSLN. Multivariate analysis revealed that only the SLN depth of invasion was an independent predictor of NSLN status (P = .0035). This parameter was also significantly associated with disease-free and overall survival, both by univariate (P &lt; .0001 and P = .0006, respectively) and multivariate (P &lt; .0001 and P = .0013, respectively) survival analysis.\n\nCONCLUSIONS: These findings support further investigation of SLN depth of invasion as a predictive factor of potential clinical use to select patients as candidates for completion lymphadenectomy and adjuvant treatment.", "author" : [ { "dropping-particle" : "", "family" : "Rossi", "given" : "Carlo Riccardo", "non-dropping-particle" : "", "parse-names" : false, "suffix" : "" }, { "dropping-particle" : "", "family" : "Salvo", "given" : "Gian Luca", "non-dropping-particle" : "De", "parse-names" : false, "suffix" : "" }, { "dropping-particle" : "", "family" : "Bonandini", "given" : "Elena", "non-dropping-particle" : "", "parse-names" : false, "suffix" : "" }, { "dropping-particle" : "", "family" : "Mocellin", "given" : "Simone", "non-dropping-particle" : "", "parse-names" : false, "suffix" : "" }, { "dropping-particle" : "", "family" : "Foletto", "given" : "Mirto", "non-dropping-particle" : "", "parse-names" : false, "suffix" : "" }, { "dropping-particle" : "", "family" : "Pasquali", "given" : "Sandro", "non-dropping-particle" : "", "parse-names" : false, "suffix" : "" }, { "dropping-particle" : "", "family" : "Pilati", "given" : "Pierluigi", "non-dropping-particle" : "", "parse-names" : false, "suffix" : "" }, { "dropping-particle" : "", "family" : "Lise", "given" : "Mario", "non-dropping-particle" : "", "parse-names" : false, "suffix" : "" }, { "dropping-particle" : "", "family" : "Nitti", "given" : "Donato", "non-dropping-particle" : "", "parse-names" : false, "suffix" : "" }, { "dropping-particle" : "", "family" : "Rizzo", "given" : "Elisa", "non-dropping-particle" : "", "parse-names" : false, "suffix" : "" }, { "dropping-particle" : "", "family" : "Montesco", "given" : "Maria Cristina", "non-dropping-particle" : "", "parse-names" : false, "suffix" : "" } ], "container-title" : "Annals of surgical oncology", "id" : "ITEM-17", "issue" : "4", "issued" : { "date-parts" : [ [ "2008", "4" ] ] }, "page" : "1202-10", "title" : "Factors predictive of nonsentinel lymph node involvement and clinical outcome in melanoma patients with metastatic sentinel lymph node.", "type" : "article-journal", "volume" : "15" }, "uris" : [ "http://www.mendeley.com/documents/?uuid=1eae11c2-e4cc-4656-8016-e49758758783" ] }, { "id" : "ITEM-18", "itemData" : { "DOI" : "10.1245/s10434-008-9888-z", "ISSN" : "1534-4681", "PMID" : "18389323", "abstract" : "BACKGROUND: Previous studies described various criteria in sentinel lymph nodes (SLN) of melanoma patients that predict the involvement of further, nonsentinel lymph nodes (NSLN). Such criteria may facilitate the selection of patients who might benefit from a completion lymph node dissection (CLND). However, it is currently unclear which parameters are most important.\n\nMETHODS: A total of 180 melanoma patients with positive SLNB and subsequent CLND were investigated. Histopathologic parameters in the SLN were systematically evaluated and compared with regard to NSLN positivity. Twenty-eight of these patients (16.0%) had positive NSLN.\n\nRESULTS: By univariate analysis several criteria with regard to tumor burden and location of melanoma cells in the SLN correlated with NSLN involvement, such as positivity by hematoxylin-eosin (H&amp;E) staining (P &lt; .001), largest diameter of clusters (P &lt; .001), capsular involvement (P = .001), extranodal extension (P &lt; .001), and tumor penetrative depth (P &lt; .001). Multivariate analysis revealed three independent parameters: (1) positivity of the SLN by H&amp;E staining (versus by immunohistochemistry alone), (2) relative tumor burden &gt; 10% of total lymph node tissue, and (3) perinodal intralymphatic tumor. In 23 of 28 patients with positive NSLN the SLN was positive by H&amp;E staining, in 15 of 28 patients the relative tumor burden was &gt; 10%, and 13 of 28 showed perinodal intralymphatic tumor. In 5 of 28 patients with NSLN involvement, these three parameters were negative.\n\nCONCLUSIONS: Histopathologic examination of the SLN can identify patients at risk for NSLN positivity.", "author" : [ { "dropping-particle" : "", "family" : "Satzger", "given" : "Imke", "non-dropping-particle" : "", "parse-names" : false, "suffix" : "" }, { "dropping-particle" : "", "family" : "V\u00f6lker", "given" : "Bernward", "non-dropping-particle" : "", "parse-names" : false, "suffix" : "" }, { "dropping-particle" : "", "family" : "Meier", "given" : "Andre", "non-dropping-particle" : "", "parse-names" : false, "suffix" : "" }, { "dropping-particle" : "", "family" : "Kapp", "given" : "Alexander", "non-dropping-particle" : "", "parse-names" : false, "suffix" : "" }, { "dropping-particle" : "", "family" : "Gutzmer", "given" : "Ralf", "non-dropping-particle" : "", "parse-names" : false, "suffix" : "" } ], "container-title" : "Annals of surgical oncology", "id" : "ITEM-18", "issue" : "6", "issued" : { "date-parts" : [ [ "2008", "6" ] ] }, "page" : "1723-32", "title" : "Criteria in sentinel lymph nodes of melanoma patients that predict involvement of nonsentinel lymph nodes.", "type" : "article-journal", "volume" : "15" }, "uris" : [ "http://www.mendeley.com/documents/?uuid=a8f6bd8b-14f6-4b65-a100-7171b12ba9ba" ] }, { "id" : "ITEM-19", "itemData" : { "DOI" : "10.1200/JCO.2007.15.4179", "ISSN" : "1527-7755", "PMID" : "18606982", "abstract" : "PURPOSE: We and others have demonstrated that additional positive lymph nodes (LNs) are identified in only 8% to 33% of patients with melanoma who have positive sentinel LNs (SLNs) and undergo complete therapeutic LN dissection (cTLND). We sought to determine predictors of additional regional LN involvement in patients with positive SLNs.\n\nPATIENTS AND METHODS: Patients with clinically node-negative melanoma who underwent SLN biopsy (1991 to 2003) and had positive SLNs were identified. Clinicopathologic factors, including extent of microscopic disease within SLNs, were evaluated as potential predictors of positive non-SLNs.\n\nRESULTS: Overall, 359 (16.3%) of the 2,203 patients identified had a positive SLN. Positive non-SLNs were identified in 48 (14.0%) of the 343 patients with positive SLNs who underwent cTLND. On univariate analysis, several measures of SLN microscopic tumor burden, one versus three or more SLNs harvested, tumor thickness more than 2 mm, age older than 50 years, and Clark level higher than III were predictive of positive non-SLNs; primary tumor ulceration and number of positive SLNs had no apparent impact. On multivariable logistic regression analysis, measures of SLN microscopic tumor burden were the most significant independent predictors of positive non-SLNs; tumor thickness more than 2 mm and number of SLNs harvested also predicted additional disease. A model was developed that stratified patients according to their risk for non-SLN involvement.\n\nCONCLUSION: In melanoma patients with positive SLNs, SLN tumor burden, primary tumor thickness, and number of SLNs harvested may be useful in identifying a group at low risk for positive non-SLNs and be spared the potential morbidity of a cTLND.", "author" : [ { "dropping-particle" : "", "family" : "Gershenwald", "given" : "Jeffrey E", "non-dropping-particle" : "", "parse-names" : false, "suffix" : "" }, { "dropping-particle" : "", "family" : "Andtbacka", "given" : "Robert H I", "non-dropping-particle" : "", "parse-names" : false, "suffix" : "" }, { "dropping-particle" : "", "family" : "Prieto", "given" : "Victor G", "non-dropping-particle" : "", "parse-names" : false, "suffix" : "" }, { "dropping-particle" : "", "family" : "Johnson", "given" : "Marcella M", "non-dropping-particle" : "", "parse-names" : false, "suffix" : "" }, { "dropping-particle" : "", "family" : "Diwan", "given" : "A Hafeez", "non-dropping-particle" : "", "parse-names" : false, "suffix" : "" }, { "dropping-particle" : "", "family" : "Lee", "given" : "Jeffrey E", "non-dropping-particle" : "", "parse-names" : false, "suffix" : "" }, { "dropping-particle" : "", "family" : "Mansfield", "given" : "Paul F", "non-dropping-particle" : "", "parse-names" : false, "suffix" : "" }, { "dropping-particle" : "", "family" : "Cormier", "given" : "Janice N", "non-dropping-particle" : "", "parse-names" : false, "suffix" : "" }, { "dropping-particle" : "", "family" : "Schacherer", "given" : "Christopher W", "non-dropping-particle" : "", "parse-names" : false, "suffix" : "" }, { "dropping-particle" : "", "family" : "Ross", "given" : "Merrick I", "non-dropping-particle" : "", "parse-names" : false, "suffix" : "" } ], "container-title" : "Journal of clinical oncology : official journal of the American Society of Clinical Oncology", "id" : "ITEM-19", "issue" : "26", "issued" : { "date-parts" : [ [ "2008", "9", "10" ] ] }, "page" : "4296-303", "title" : "Microscopic tumor burden in sentinel lymph nodes predicts synchronous nonsentinel lymph node involvement in patients with melanoma.", "type" : "article-journal", "volume" : "26" }, "uris" : [ "http://www.mendeley.com/documents/?uuid=123e0a9a-4b3c-4a5f-8e41-9b53cd07a69f" ] }, { "id" : "ITEM-20", "itemData" : { "DOI" : "10.1093/annonc/mdl176", "ISSN" : "0923-7534", "PMID" : "16968875", "abstract" : "As only about 20% of sentinel node (SN) positive melanoma patients have additional non-SN lymph node involvement in the Completion Lymph Node Dissection (CLND) specimen, we tried to identify a SN positive patient group, which can be spared CLND. Micro anatomic analyses of metastatic SNs were performed to identify patient/tumor and/or SN factors predicting additional non-SN positivity as well as disease-free and overall survival. SN positivity was found in 77 of 262 stage I/II patients, included into a prospective database (10/97-5/04). Of 74 patients pathology material was available for re-evaluation. Micro anatomic analyses categorized topography of SN-metastases, Starz classification and amount of SN tumor burden. Additional non-SN positivity, DFS, OS and was calculated for all analyses. Mean Breslow thickness was 3.5 mm (0.8-12.0); mean FU was 35 (6-81) months. There was no additional non-SN positivity for SN-micrometastases &lt;0.1 mm. Topography of SN involvement had no impact on OS. Estimated 5-year OS rates for the different groups of &lt;0.1 mm, 0.1-1.0 mm and &gt;1.0 mm SN tumor burden were 100%, 63% and 35% respectively. Distant metastases were exceedingly rare (1/16 = 6.3%) in &lt;0.1 mm SN-positive patients. On multivariate analysis the SN tumor burden was the most important prognostic factor for DFS (P = 0.005) and OS (P = 0.03). Distant metastasis-free survival was identical (91%) to the 5-yr OS of SN negative patients, the estimated 5-yr OS was 100% for these patients and additional non-SN positivity was not observed. Therefore, our data suggest that patients with sub-micrometastases (&lt;0.1 mm) in the SN may be judged as SN negative, as non-stage III, and are highly unlikely to benefit from CLND, which we no longer recommend.", "author" : [ { "dropping-particle" : "", "family" : "Akkooi", "given" : "A C J", "non-dropping-particle" : "van", "parse-names" : false, "suffix" : "" }, { "dropping-particle" : "", "family" : "Wilt", "given" : "J H W", "non-dropping-particle" : "de", "parse-names" : false, "suffix" : "" }, { "dropping-particle" : "", "family" : "Verhoef", "given" : "C", "non-dropping-particle" : "", "parse-names" : false, "suffix" : "" }, { "dropping-particle" : "", "family" : "Schmitz", "given" : "P I M", "non-dropping-particle" : "", "parse-names" : false, "suffix" : "" }, { "dropping-particle" : "", "family" : "Geel", "given" : "A N", "non-dropping-particle" : "van", "parse-names" : false, "suffix" : "" }, { "dropping-particle" : "", "family" : "Eggermont", "given" : "A M M", "non-dropping-particle" : "", "parse-names" : false, "suffix" : "" }, { "dropping-particle" : "", "family" : "Kliffen", "given" : "M", "non-dropping-particle" : "", "parse-names" : false, "suffix" : "" } ], "container-title" : "Annals of oncology : official journal of the European Society for Medical Oncology / ESMO", "id" : "ITEM-20", "issue" : "10", "issued" : { "date-parts" : [ [ "2006", "10" ] ] }, "page" : "1578-85", "title" : "Clinical relevance of melanoma micrometastases (&lt;0.1 mm) in sentinel nodes: are these nodes to be considered negative?", "type" : "article-journal", "volume" : "17" }, "uris" : [ "http://www.mendeley.com/documents/?uuid=e3711798-85d5-422c-b79d-c94fe0973202" ] }, { "id" : "ITEM-21", "itemData" : { "abstract" : "Aims: Sentinel lymph node (SLN) -positive melanoma patients are usually recommended completion lymph node dissection (CLND) with the aim to provide regional disease control and improve survival. Nevertheless, only 20% these patients have additional metastases in non-sentinel lymph nodes (NSLN), indicating that CLND may be unnecessary in the majority of patients. In this retrospective study, we (i) sought to identify clinico-pathological features predicting NSLN status, as well as disease-free (DFS) and -specific (DSS) survival and (ii) evaluated the applicability of previously published algorithms, which were able to define a group of patients at zero-risk for NSLN-metastasis. Methods: This analysis included 504 consecutive melanoma patients stage I and II who underwent successful SLN-biopsy (SLNB) at our institute between 1998 and 2005. Metastatic SLN were re-evaluated for tumor burden and categorized according to two different micro-anatomic classifications and the S/U-score (Size of the sentinel node metastasis &gt;2 mm/Ulceration of the primary melanoma) was assessed. DFS and DSS were calculated for all analyses. Results: Out of 504 melanoma patients stage I or II, 85 (17%) were SLN-positive and 18 of 85 (21%) were found with positive NSLN in the CLND specimen. Median follow-up was 31 months. Neither primary tumor characteristics (age, gender, Clark level, Breslow thickness, ulceration of the primary melanoma, site and histological subtype of the primary melanoma), nor features of the sentinel node tumor (number and site of draining lymph node basins, number of positive sentinel nodes and size of sentinel node tumor (&lt;2 mm vs. \u22652 mm) were able to predict additional positive lymph nodes in the CLND specimen. Likewise the implementation of published algorithms was not able to identify patients at negligible risk for harboring NSLN metastases. Upon univariate analysis, disease-free survival in SLN-positive patients was correlated with Breslow thickness, sentinel node tumor size &gt;2 mm and S/U score. In respect to disease-specific survival the significant prognostic parameters were Breslow thickness, ulceration, sentinel node tumor size &gt;2 mm and the S/U score. After a median follow-up of 31 months recurrence rates (37% vs. 78%, p = 0.02) and death from disease (24% vs. 50%, p &lt; 0.01) were significantly different in patients with SLN-metastasis only as compared to patients with NSLN-metastasis. Conclusion: NSLN status cannot be predicted in this data analys\u2026", "author" : [ { "dropping-particle" : "", "family" : "Roka", "given" : "F.", "non-dropping-particle" : "", "parse-names" : false, "suffix" : "" }, { "dropping-particle" : "", "family" : "Mastan", "given" : "P.", "non-dropping-particle" : "", "parse-names" : false, "suffix" : "" }, { "dropping-particle" : "", "family" : "Binder", "given" : "M.", "non-dropping-particle" : "", "parse-names" : false, "suffix" : "" }, { "dropping-particle" : "", "family" : "Okamoto", "given" : "I.", "non-dropping-particle" : "", "parse-names" : false, "suffix" : "" }, { "dropping-particle" : "", "family" : "Mittlboeck", "given" : "M.", "non-dropping-particle" : "", "parse-names" : false, "suffix" : "" }, { "dropping-particle" : "", "family" : "Horvat", "given" : "R.", "non-dropping-particle" : "", "parse-names" : false, "suffix" : "" }, { "dropping-particle" : "", "family" : "Pehamberger", "given" : "H.", "non-dropping-particle" : "", "parse-names" : false, "suffix" : "" }, { "dropping-particle" : "", "family" : "Diem", "given" : "E.", "non-dropping-particle" : "", "parse-names" : false, "suffix" : "" } ], "container-title" : "European Journal of Surgical Oncology", "id" : "ITEM-21", "issue" : "1", "issued" : { "date-parts" : [ [ "2008" ] ] }, "page" : "82-88", "title" : "Prediction of non-sentinel node status and outcome in sentinel node-positive melanoma patients", "type" : "article-journal", "volume" : "34" }, "uris" : [ "http://www.mendeley.com/documents/?uuid=d5930a2d-7bb7-4c4a-a437-72ecc437a08e" ] } ], "mendeley" : { "formattedCitation" : "&lt;sup&gt;123,136\u2013155&lt;/sup&gt;", "plainTextFormattedCitation" : "123,136\u2013155", "previouslyFormattedCitation" : "&lt;sup&gt;123,136\u2013155&lt;/sup&gt;" }, "properties" : { "noteIndex" : 0 }, "schema" : "https://github.com/citation-style-language/schema/raw/master/csl-citation.json" }</w:instrText>
      </w:r>
      <w:r w:rsidRPr="003E73CD">
        <w:rPr>
          <w:sz w:val="22"/>
          <w:szCs w:val="22"/>
        </w:rPr>
        <w:fldChar w:fldCharType="separate"/>
      </w:r>
      <w:r w:rsidR="00CE2A17" w:rsidRPr="00CE2A17">
        <w:rPr>
          <w:noProof/>
          <w:sz w:val="22"/>
          <w:szCs w:val="22"/>
          <w:vertAlign w:val="superscript"/>
        </w:rPr>
        <w:t>123,136–155</w:t>
      </w:r>
      <w:r w:rsidRPr="003E73CD">
        <w:rPr>
          <w:sz w:val="22"/>
          <w:szCs w:val="22"/>
        </w:rPr>
        <w:fldChar w:fldCharType="end"/>
      </w:r>
      <w:proofErr w:type="gramStart"/>
      <w:r w:rsidRPr="003E73CD">
        <w:rPr>
          <w:sz w:val="22"/>
          <w:szCs w:val="22"/>
        </w:rPr>
        <w:t xml:space="preserve">  In</w:t>
      </w:r>
      <w:proofErr w:type="gramEnd"/>
      <w:r w:rsidRPr="003E73CD">
        <w:rPr>
          <w:sz w:val="22"/>
          <w:szCs w:val="22"/>
        </w:rPr>
        <w:t xml:space="preserve"> addition, CLND is a major surgical procedure that carries a significant risk of subsequent morbidity when compared with SNB alone.</w:t>
      </w:r>
      <w:r w:rsidRPr="003E73CD">
        <w:rPr>
          <w:sz w:val="22"/>
          <w:szCs w:val="22"/>
        </w:rPr>
        <w:fldChar w:fldCharType="begin" w:fldLock="1"/>
      </w:r>
      <w:r w:rsidR="00217FAC">
        <w:rPr>
          <w:sz w:val="22"/>
          <w:szCs w:val="22"/>
        </w:rPr>
        <w:instrText>ADDIN CSL_CITATION { "citationItems" : [ { "id" : "ITEM-1", "itemData" : { "ISSN" : "1068-9265", "PMID" : "12839853", "abstract" : "BACKGROUND: Sentinel lymph node (SLN) biopsy has become widely accepted as a method of staging the regional lymph nodes for patients with melanoma. Although it is often stated that SLN biopsy is a minimally invasive procedure associated with few complications, a paucity of data exists to specifically determine the morbidity associated with this procedure. This analysis was performed to evaluate the morbidity associated with SLN biopsy compared with completion lymph node dissection (CLND).\n\nMETHODS: Patients were enrolled in the Sunbelt Melanoma Trial, a prospective multi-institutional study of SLN biopsy for melanoma. Patients underwent SLN biopsy and were prospectively followed up for the development of complications associated with this technique. Patients who had evidence of nodal metastasis in the SLN underwent CLND. Complications associated with SLN biopsy alone were compared with those associated with SLN biopsy plus CLND.\n\nRESULTS: A total of 2120 patients were evaluated, with a median follow-up of 16 months. Overall, 96 (4.6%) of 2120 patients developed major or minor complications associated with SLN biopsy, whereas 103 (23.2%) of 444 patients experienced complications associated with SLN biopsy plus CLND. There were no deaths associated with either procedure.\n\nCONCLUSIONS: SLN biopsy alone is associated with significantly less morbidity compared with SLN biopsy plus CLND.", "author" : [ { "dropping-particle" : "", "family" : "Wrightson", "given" : "William R", "non-dropping-particle" : "", "parse-names" : false, "suffix" : "" }, { "dropping-particle" : "", "family" : "Wong", "given" : "Sandra L", "non-dropping-particle" : "", "parse-names" : false, "suffix" : "" }, { "dropping-particle" : "", "family" : "Edwards", "given" : "Michael J", "non-dropping-particle" : "", "parse-names" : false, "suffix" : "" }, { "dropping-particle" : "", "family" : "Chao", "given" : "Celia", "non-dropping-particle" : "", "parse-names" : false, "suffix" : "" }, { "dropping-particle" : "", "family" : "Reintgen", "given" : "Douglas S", "non-dropping-particle" : "", "parse-names" : false, "suffix" : "" }, { "dropping-particle" : "", "family" : "Ross", "given" : "Merrick I", "non-dropping-particle" : "", "parse-names" : false, "suffix" : "" }, { "dropping-particle" : "", "family" : "Noyes", "given" : "R Dirk", "non-dropping-particle" : "", "parse-names" : false, "suffix" : "" }, { "dropping-particle" : "", "family" : "Viar", "given" : "Vicki", "non-dropping-particle" : "", "parse-names" : false, "suffix" : "" }, { "dropping-particle" : "", "family" : "Cerrito", "given" : "Patricia B", "non-dropping-particle" : "", "parse-names" : false, "suffix" : "" }, { "dropping-particle" : "", "family" : "McMasters", "given" : "Kelly M", "non-dropping-particle" : "", "parse-names" : false, "suffix" : "" } ], "container-title" : "Annals of surgical oncology", "id" : "ITEM-1", "issue" : "6", "issued" : { "date-parts" : [ [ "2003", "7" ] ] }, "page" : "676-80", "title" : "Complications associated with sentinel lymph node biopsy for melanoma.", "type" : "article-journal", "volume" : "10" }, "uris" : [ "http://www.mendeley.com/documents/?uuid=83f5748f-d4ab-4593-95e1-37b237bc7c41" ] }, { "id" : "ITEM-2", "itemData" : { "ISSN" : "0003-4932", "PMID" : "16135917", "abstract" : "OBJECTIVE: The objective of this study was to evaluate, in an international multicenter phase III trial, the accuracy, use, and morbidity of intraoperative lymphatic mapping and sentinel node biopsy (LM/SNB) for staging the regional nodal basin of patients with early-stage melanoma.\n\nSUMMARY BACKGROUND DATA: Since our introduction of LM/SNB in 1990, this technique has been widely adopted and has become part of the American Joint Committee on Cancer (AJCC) staging system. Eleven years ago, the authors began the international Multicenter Selective Lymphadenectomy Trial (MSLT-I) to compare 2 treatment approaches: wide excision (WE) plus LM/SNB with immediate complete lymphadenectomy (CLND) for sentinel node (SN) metastases, and WE plus postoperative observation with CLND delayed until the subsequent development of clinically evident nodal metastases.\n\nMETHODS: After each center achieved 85% accuracy of SN identification during a 30-case learning phase, patients with primary cutaneous melanoma (&gt; or =1 mm with Clark level &gt; or =III, or any thickness with Clark level &gt; or =IV) were randomly assigned in a 4:6 ratio to WE plus observation (WEO) with delayed CLND for nodal recurrence, or to WE plus LM/SNB with immediate CLND for SN metastasis. The accuracy of LM/SNB was determined by comparing the rates of SN identification and the incidence of SN metastases in the LM/SNB group versus the subsequent development of nodal metastases in the regional nodal basin of those patients with tumor-negative SNs. Early morbidity of LM/SNB was evaluated by comparing complication rates between the 2 treatment groups. Trial accrual was completed on March 31, 2002, after enrollment of 2001 patients.\n\nRESULTS: Initial SN identification rate was 95.3% overall: 99.3% for the groin, 95.3% for the axilla, and 84.5% for the neck basins. The rate of false-negative LM/SNB during the trial phase, as measured by nodal recurrence in a tumor-negative dissected SN basin, decreased with increasing case volume at each center: 10.3% for the first 25 cases versus 5.2% after 25 cases. There were no operative mortalities. The low (10.1%) complication rate after LM/SNB increased to 37.2% with the addition of CLND; CLND also increased the severity of complications.\n\nCONCLUSIONS: LM/SNB is a safe, low-morbidity procedure for staging the regional nodal basin in early melanoma. Even after a 30-case learning phase and 25 additional LM/SNB cases, the accuracy of LM/SNB continues to increase with a cente\u2026", "author" : [ { "dropping-particle" : "", "family" : "Morton", "given" : "Donald L", "non-dropping-particle" : "", "parse-names" : false, "suffix" : "" }, { "dropping-particle" : "", "family" : "Cochran", "given" : "Alistair J", "non-dropping-particle" : "", "parse-names" : false, "suffix" : "" }, { "dropping-particle" : "", "family" : "Thompson", "given" : "John F", "non-dropping-particle" : "", "parse-names" : false, "suffix" : "" }, { "dropping-particle" : "", "family" : "Elashoff", "given" : "Robert", "non-dropping-particle" : "", "parse-names" : false, "suffix" : "" }, { "dropping-particle" : "", "family" : "Essner", "given" : "Richard", "non-dropping-particle" : "", "parse-names" : false, "suffix" : "" }, { "dropping-particle" : "", "family" : "Glass", "given" : "Edwin C", "non-dropping-particle" : "", "parse-names" : false, "suffix" : "" }, { "dropping-particle" : "", "family" : "Mozzillo", "given" : "Nicola", "non-dropping-particle" : "", "parse-names" : false, "suffix" : "" }, { "dropping-particle" : "", "family" : "Nieweg", "given" : "Omgo E", "non-dropping-particle" : "", "parse-names" : false, "suffix" : "" }, { "dropping-particle" : "", "family" : "Roses", "given" : "Daniel F", "non-dropping-particle" : "", "parse-names" : false, "suffix" : "" }, { "dropping-particle" : "", "family" : "Hoekstra", "given" : "Harald J", "non-dropping-particle" : "", "parse-names" : false, "suffix" : "" }, { "dropping-particle" : "", "family" : "Karakousis", "given" : "Constantine P", "non-dropping-particle" : "", "parse-names" : false, "suffix" : "" }, { "dropping-particle" : "", "family" : "Reintgen", "given" : "Douglas S", "non-dropping-particle" : "", "parse-names" : false, "suffix" : "" }, { "dropping-particle" : "", "family" : "Coventry", "given" : "Brendon J", "non-dropping-particle" : "", "parse-names" : false, "suffix" : "" }, { "dropping-particle" : "", "family" : "Wang", "given" : "He-jing", "non-dropping-particle" : "", "parse-names" : false, "suffix" : "" } ], "container-title" : "Annals of surgery", "id" : "ITEM-2", "issue" : "3", "issued" : { "date-parts" : [ [ "2005", "9" ] ] }, "page" : "302-11; discussion 311-3", "title" : "Sentinel node biopsy for early-stage melanoma: accuracy and morbidity in MSLT-I, an international multicenter trial.", "type" : "article-journal", "volume" : "242" }, "uris" : [ "http://www.mendeley.com/documents/?uuid=d90aa4b1-5a30-4e2d-8433-22b2b1fc2291" ] }, { "id" : "ITEM-3", "itemData" : { "DOI" : "10.1016/j.ejso.2006.05.003", "ISSN" : "0748-7983", "PMID" : "16806794", "abstract" : "BACKGROUND: Aim of the study was to assess the short-term and long-term morbidity after inguinal sentinel lymph node biopsy (SLNB) with or without completion groin dissection (GD) in patients with cutaneous melanoma.\n\nMETHODS: Between 1995 and 2003, 127 inguinal SLNBs were performed for cutaneous melanoma. Sixty-six patients, median age 50 (18-77) years, met the inclusion criteria and were studied. Short-term complications were analysed retrospectively, while long-term complications were evaluated using volume measurement and range of motion measurement of the lower extremities.\n\nRESULTS: Fifty-two patients underwent SLNB alone (SLNB group) and 14 patients underwent completion groin dissection after tumour-positive SLNB (SLNB/GD group). Morbidity after SLNB alone: wound infections (n=1), seroma (n=1), postoperative bleeding (n=1), erysipelas (n=1), and slight lymphedema 6% (n=3). Morbidity after SLNB/GD: wound infections (n=4), seroma (n=1), wound necrosis (n=1), postoperative bleeding (n=1), and slight lymphedema 64% (n=9). There were differences between the two groups in the total number of short-term complications (p&lt;0.001), volume difference (p&lt;0.001), flexion (p=0.009), and abduction (p=0.011) limitation of the hip joint.\n\nCONCLUSION: Inguinal SLNB is accompanied with a low complication rate. However, SLNB followed by groin dissection is associated with an increased risk of wound infection and slight lymphedema.", "author" : [ { "dropping-particle" : "", "family" : "Vries", "given" : "M", "non-dropping-particle" : "de", "parse-names" : false, "suffix" : "" }, { "dropping-particle" : "", "family" : "Vonkeman", "given" : "W G", "non-dropping-particle" : "", "parse-names" : false, "suffix" : "" }, { "dropping-particle" : "", "family" : "Ginkel", "given" : "R J", "non-dropping-particle" : "van", "parse-names" : false, "suffix" : "" }, { "dropping-particle" : "", "family" : "Hoekstra", "given" : "H J", "non-dropping-particle" : "", "parse-names" : false, "suffix" : "" } ], "container-title" : "European journal of surgical oncology : the journal of the European Society of Surgical Oncology and the British Association of Surgical Oncology", "id" : "ITEM-3", "issue" : "7", "issued" : { "date-parts" : [ [ "2006", "9" ] ] }, "page" : "785-9", "title" : "Morbidity after inguinal sentinel lymph node biopsy and completion lymph node dissection in patients with cutaneous melanoma.", "type" : "article-journal", "volume" : "32" }, "uris" : [ "http://www.mendeley.com/documents/?uuid=8bb514de-93b2-4fff-bc9f-497eaf7b9291" ] } ], "mendeley" : { "formattedCitation" : "&lt;sup&gt;156\u2013158&lt;/sup&gt;", "plainTextFormattedCitation" : "156\u2013158", "previouslyFormattedCitation" : "&lt;sup&gt;156\u2013158&lt;/sup&gt;" }, "properties" : { "noteIndex" : 0 }, "schema" : "https://github.com/citation-style-language/schema/raw/master/csl-citation.json" }</w:instrText>
      </w:r>
      <w:r w:rsidRPr="003E73CD">
        <w:rPr>
          <w:sz w:val="22"/>
          <w:szCs w:val="22"/>
        </w:rPr>
        <w:fldChar w:fldCharType="separate"/>
      </w:r>
      <w:r w:rsidR="00CE2A17" w:rsidRPr="00CE2A17">
        <w:rPr>
          <w:noProof/>
          <w:sz w:val="22"/>
          <w:szCs w:val="22"/>
          <w:vertAlign w:val="superscript"/>
        </w:rPr>
        <w:t>156–158</w:t>
      </w:r>
      <w:r w:rsidRPr="003E73CD">
        <w:rPr>
          <w:sz w:val="22"/>
          <w:szCs w:val="22"/>
        </w:rPr>
        <w:fldChar w:fldCharType="end"/>
      </w:r>
      <w:proofErr w:type="gramStart"/>
      <w:r w:rsidRPr="003E73CD">
        <w:rPr>
          <w:sz w:val="22"/>
          <w:szCs w:val="22"/>
        </w:rPr>
        <w:t xml:space="preserve">  It</w:t>
      </w:r>
      <w:proofErr w:type="gramEnd"/>
      <w:r w:rsidRPr="003E73CD">
        <w:rPr>
          <w:sz w:val="22"/>
          <w:szCs w:val="22"/>
        </w:rPr>
        <w:t xml:space="preserve"> is usually assumed, although not proven, that the patients found to have additional nodal metastases at CLND are the only ones who could benefit from the procedure.  Following from this assumption, there have been considerable efforts to identify predictors of NSN status with a view to avoiding CLND in those predicted to be NSN negative.</w:t>
      </w:r>
      <w:r w:rsidRPr="003E73CD">
        <w:rPr>
          <w:sz w:val="22"/>
          <w:szCs w:val="22"/>
        </w:rPr>
        <w:fldChar w:fldCharType="begin" w:fldLock="1"/>
      </w:r>
      <w:r w:rsidR="00217FAC">
        <w:rPr>
          <w:sz w:val="22"/>
          <w:szCs w:val="22"/>
        </w:rPr>
        <w:instrText>ADDIN CSL_CITATION { "citationItems" : [ { "id" : "ITEM-1", "itemData" : { "ISSN" : "0008-543X", "PMID" : "10918179", "abstract" : "BACKGROUND: The selection of patients for sentinel lymph node biopsy (SNB) and selective lymphadenectomy for histologically positive sentinel lymph nodes (SLND) are areas of debate. The authors of the current study attempted to identify predictors of metastases to the sentinel and residual nonsentinel lymph nodes in patients with melanoma.\n\nMETHODS: The Indiana University Interdisciplinary Melanoma Program computerized database was queried to identify all patients who underwent SNB for clinically localized cutaneous melanoma. Demographic, surgical, and histopathologic data were recorded. Univariate and multivariate logistic regression analyses were performed to identify associations with SNB and nonsentinel lymph node positivity. Classification tree and logistic procedures were performed to identify the ideal tumor thickness cutpoint at which to perform SNB.\n\nRESULTS: Two hundred seventy-five SNB procedures were performed to stage 348 regional lymph node basins for occult metastases from melanoma. Of the 275 melanomas, 54 (19.6%) had a positive SNB, as did 58 of 348 basins (16.7%). Classification and logistic regression analysis identified a Breslow depth of 1.25 mm to be the most significant cutpoint for SNB positivity (odds ratio 8. 8:1; P = 0.0001). By multivariate analyses, a Breslow thickness cutpoint &gt;/= 1.25 mm (P = 0.0002), ulceration (P = 0.005), and high mitotic index (&gt; 5 mitoses/high-power field; P = 0.04) were significant predictors of SNB results. SLND was performed in 53 SNB positive patients, 15 of whom (28.3%) had at least 1 additional positive lymph node. SLND positivity was noted across a wide range of primary tumor characteristics and was associated significantly with multiple positive SN, but not with any other variable. SNB result correlated significantly with disease free and overall survival.\n\nCONCLUSIONS: Patients with a Breslow tumor thickness &gt;/= 1. 25 mm, ulceration, and high mitotic index are most likely to have positive SNB results. SLND is recommended for all patients after positive SNB because it is difficult to identify patients with residual lymph node disease.", "author" : [ { "dropping-particle" : "", "family" : "Wagner", "given" : "J D", "non-dropping-particle" : "", "parse-names" : false, "suffix" : "" }, { "dropping-particle" : "", "family" : "Gordon", "given" : "M S", "non-dropping-particle" : "", "parse-names" : false, "suffix" : "" }, { "dropping-particle" : "", "family" : "Chuang", "given" : "T Y", "non-dropping-particle" : "", "parse-names" : false, "suffix" : "" }, { "dropping-particle" : "", "family" : "Coleman", "given" : "J J", "non-dropping-particle" : "", "parse-names" : false, "suffix" : "" }, { "dropping-particle" : "", "family" : "Hayes", "given" : "J T", "non-dropping-particle" : "", "parse-names" : false, "suffix" : "" }, { "dropping-particle" : "", "family" : "Jung", "given" : "S H", "non-dropping-particle" : "", "parse-names" : false, "suffix" : "" }, { "dropping-particle" : "", "family" : "Love", "given" : "C", "non-dropping-particle" : "", "parse-names" : false, "suffix" : "" } ], "container-title" : "Cancer", "id" : "ITEM-1", "issue" : "2", "issued" : { "date-parts" : [ [ "2000", "7", "15" ] ] }, "page" : "453-62", "title" : "Predicting sentinel and residual lymph node basin disease after sentinel lymph node biopsy for melanoma.", "type" : "article-journal", "volume" : "89" }, "uris" : [ "http://www.mendeley.com/documents/?uuid=ed565e24-aaa1-45dc-a6b5-8cd38080200d" ] }, { "id" : "ITEM-2", "itemData" : { "ISSN" : "1068-9265", "PMID" : "11888869", "abstract" : "BACKGROUND: Completion lymph node dissection (CLND) may not be necessary for some patients because nodal metastasis is rarely detected beyond the sentinel lymph nodes (SLNs). This analysis was performed to determine, among patients with positive SLNs, the rate of nodal metastasis found in nonsentinel nodes (NSNs).\n\nMETHODS: This analysis includes patients with positive sentinel nodes, detected by hematoxylin and eosin (H&amp;E) staining or immunohistochemistry (IHC), who then underwent CLND.\n\nRESULTS: This analysis included 274 patients with at least one positive SLN who underwent CLND of 282 involved regional nodal basins. Of the 282 SLN-positive nodal basins, 45 (16%) were found to have positive NSNs in the CLND specimen. Breslow thickness, Clark level, presence of ulceration, histological subtype, presence of vertical growth phase, evidence of regression, presence of lymphovascular invasion, number of positive SLNs, age, sex, and presence of multiple draining nodal basins were not predictive of positive nodes in the CLND specimen. Patients with SLN metastases detected only by IHC had an equal likelihood of having positive NSNs as those patients with positive SLNs on H&amp;E examination.\n\nCONCLUSIONS: No patient population could be identified with minimal risk of non-SLN metastasis. When a positive SLN is identified on either H&amp;E staining or IHC, CLND should be performed routinely.", "author" : [ { "dropping-particle" : "", "family" : "McMasters", "given" : "Kelly M", "non-dropping-particle" : "", "parse-names" : false, "suffix" : "" }, { "dropping-particle" : "", "family" : "Wong", "given" : "Sandra L", "non-dropping-particle" : "", "parse-names" : false, "suffix" : "" }, { "dropping-particle" : "", "family" : "Edwards", "given" : "Michael J", "non-dropping-particle" : "", "parse-names" : false, "suffix" : "" }, { "dropping-particle" : "", "family" : "Chao", "given" : "Celia", "non-dropping-particle" : "", "parse-names" : false, "suffix" : "" }, { "dropping-particle" : "", "family" : "Ross", "given" : "Merrick I", "non-dropping-particle" : "", "parse-names" : false, "suffix" : "" }, { "dropping-particle" : "", "family" : "Noyes", "given" : "R Dirk", "non-dropping-particle" : "", "parse-names" : false, "suffix" : "" }, { "dropping-particle" : "", "family" : "Viar", "given" : "Vicki", "non-dropping-particle" : "", "parse-names" : false, "suffix" : "" }, { "dropping-particle" : "", "family" : "Cerrito", "given" : "Patricia B", "non-dropping-particle" : "", "parse-names" : false, "suffix" : "" }, { "dropping-particle" : "", "family" : "Reintgen", "given" : "Douglas S", "non-dropping-particle" : "", "parse-names" : false, "suffix" : "" } ], "container-title" : "Annals of surgical oncology", "id" : "ITEM-2", "issue" : "2", "issued" : { "date-parts" : [ [ "2002", "3" ] ] }, "page" : "137-41", "title" : "Frequency of nonsentinel lymph node metastasis in melanoma.", "type" : "article-journal", "volume" : "9" }, "uris" : [ "http://www.mendeley.com/documents/?uuid=b500c2b9-f2c6-482b-840c-42fe86a3becc" ] }, { "id" : "ITEM-3", "itemData" : { "ISSN" : "0002-9610", "PMID" : "12885597", "abstract" : "BACKGROUND: The incidence of residual occult disease in nonsentinel lymph nodes (NSLN) after a positive sentinel lymph node (SLN) biopsy in patients with melanoma is relatively low. The purpose of this study is to identify factors that may be predictive of occult NSLN metastases after positive SLN biopsy.\n\nMETHODS: Fifty-six consecutive melanoma patients with positive sentinel nodes who subsequently underwent complete lymph node dissection (CLND) were evaluated.\n\nRESULTS: Only the number of positive SLN predicted the status on NSLN by univariate (P = 0.008) and multivariate (P = 0.028) analyses. None of the other variables (characteristics of SLN metastases, number of draining nodal basins, age, sex, thickness, Clark level, ulceration, number of mitoses/mm(2), histological subtype, and location of the primary) significantly predicted CLND results.\n\nCONCLUSIONS: Identifying patients with residual lymph node basin disease remains difficult. Thus, lymph node dissection should be performed in all patients after positive sentinel node biopsy.", "author" : [ { "dropping-particle" : "", "family" : "Salti", "given" : "George I", "non-dropping-particle" : "", "parse-names" : false, "suffix" : "" }, { "dropping-particle" : "", "family" : "Gupta", "given" : "Tapas K", "non-dropping-particle" : "Das", "parse-names" : false, "suffix" : "" } ], "container-title" : "American journal of surgery", "id" : "ITEM-3", "issue" : "2", "issued" : { "date-parts" : [ [ "2003", "8" ] ] }, "page" : "98-101", "title" : "Predicting residual lymph node basin disease in melanoma patients with sentinel lymph node metastases.", "type" : "article-journal", "volume" : "186" }, "uris" : [ "http://www.mendeley.com/documents/?uuid=cd89c604-45f2-4f9d-ac9c-d81ed5254b9f" ] }, { "id" : "ITEM-4", "itemData" : { "ISSN" : "1068-9265", "PMID" : "12513956", "abstract" : "BACKGROUND: Most melanoma patients with a positive sentinel lymph node dissection (SLND) undergo a completion lymph node dissection (CLND) that does not yield additional positive nonsentinel lymph nodes (NSLN). This study was designed to determine if NSLN status can be predicted using patient, primary tumor, and sentinel lymph node (SLN) characteristics. METHODS: The study population includes melanoma patients who had a positive SLND and subsequently underwent CLND retrieved from our prospective institutional melanoma database. The primary tumor and SLN pathologies were prospectively determined. An Size/Ulceration (SU) score was derived by assigning 1 point for primary tumor ulceration and 1 point for SLN tumor size &gt;2 mm. RESULTS: Ninety-eight patients had a positive SLND and underwent CLND. Sixteen of these patients had a positive NSLN. On univariate analysis, primary tumor characteristics (thickness, ulceration, no regression), SLN metastasis characteristics (size &gt;2 mm, location nonsubcapsular), and SU score were all significantly associated with positive NSLN status. However, on multivariate analysis, only the SU score was a significant independent predictor of NSLN status. No patient with an SU score of 0 had a positive NSLN. CONCLUSIONS: The SU score is predictive of NSLN status in patients with a positive SLND. Patients with an SU score of 0 are very unlikely to have positive NSLNs at CLND.", "author" : [ { "dropping-particle" : "", "family" : "Reeves", "given" : "Mark E", "non-dropping-particle" : "", "parse-names" : false, "suffix" : "" }, { "dropping-particle" : "", "family" : "Delgado", "given" : "Ruby", "non-dropping-particle" : "", "parse-names" : false, "suffix" : "" }, { "dropping-particle" : "", "family" : "Busam", "given" : "Klaus J", "non-dropping-particle" : "", "parse-names" : false, "suffix" : "" }, { "dropping-particle" : "", "family" : "Brady", "given" : "Mary S", "non-dropping-particle" : "", "parse-names" : false, "suffix" : "" }, { "dropping-particle" : "", "family" : "Coit", "given" : "Daniel G", "non-dropping-particle" : "", "parse-names" : false, "suffix" : "" } ], "container-title" : "Annals of surgical oncology", "id" : "ITEM-4", "issue" : "1", "issued" : { "date-parts" : [ [ "2003", "1" ] ] }, "page" : "27-31", "title" : "Prediction of nonsentinel lymph node status in melanoma.", "type" : "article-journal", "volume" : "10" }, "uris" : [ "http://www.mendeley.com/documents/?uuid=dd075209-8de4-4cf7-82ea-21bc5154931f" ] }, { "id" : "ITEM-5", "itemData" : { "DOI" : "10.1038/modpathol.3800117", "ISSN" : "0893-3952", "PMID" : "15098011", "abstract" : "Lymphatic mapping and sentinel node biopsy are well-established techniques for staging and managing patients with melanoma, breast cancer and other malignancies that spread initially to the regional lymph nodes. Identification of tumor in the sentinel node is the most precise staging technique currently available. The sentinel node is the site of metastatic melanoma in approximately 20% of melanoma patients and if tumor is present in the sentinel node it is customary to perform a complete dissection of the lymph nodes of the affected nodal basin. This may be overtreatment for some patients as tumor is identified in the nonsentinel nodes of only one-third of sentinel node-positive melanoma patients treated by completion lymphadenectomy. If it were possible accurately to identify the minority of patients with tumor in the nonsentinel nodes, the patients most likely to benefit from lymphadenectomy, the remaining patients could be spared a potentially morbid operation that is unlikely to confer clinical advantage. In 90 patients with a melanoma-positive sentinel node, who subsequently had a completion lymphadenectomy, we evaluated and compared the capacity of characteristics of the primary melanoma and of the sentinel node to predict individuals likely to have tumor in nonsentinel nodes. We assessed the Breslow thickness of the primary, the amount of tumor in the sentinel node (relative tumor area) and, as an index of immune modulation of the sentinel node, the density of dendritic leukocytes in the nodal paracortex. The relative area of tumor in the sentinel node and Breslow thickness of the primary melanoma most accurately predicted the presence of tumor in the nonsentinel nodes (P=0.0001 in both cases-Wilcoxon rank sums). The presence of melanoma in the nonsentinel nodes was also predicted by the density of dendritic leukocytes in the paracortex (P=0.008-Wilcoxon rank sums). These three observations assessed alone and in combination predict the presence of tumor in the nonsentinel nodes with high accuracy. The same characteristics also significantly correlated with tumor recurrence (tumor burden, P=0.0001, Breslow, P=0.0001 and dendritic cell density, P=0.0007) and death from melanoma (tumor burden, P=0.0001, Breslow, P=0.0001 and dendritic cell density, P=0.0026).", "author" : [ { "dropping-particle" : "", "family" : "Cochran", "given" : "Alistair J", "non-dropping-particle" : "", "parse-names" : false, "suffix" : "" }, { "dropping-particle" : "", "family" : "Wen", "given" : "Duan-Ren", "non-dropping-particle" : "", "parse-names" : false, "suffix" : "" }, { "dropping-particle" : "", "family" : "Huang", "given" : "Rong-Rong", "non-dropping-particle" : "", "parse-names" : false, "suffix" : "" }, { "dropping-particle" : "", "family" : "Wang", "given" : "Hei-Jing", "non-dropping-particle" : "", "parse-names" : false, "suffix" : "" }, { "dropping-particle" : "", "family" : "Elashoff", "given" : "Robert", "non-dropping-particle" : "", "parse-names" : false, "suffix" : "" }, { "dropping-particle" : "", "family" : "Morton", "given" : "Donald L", "non-dropping-particle" : "", "parse-names" : false, "suffix" : "" } ], "container-title" : "Modern pathology : an official journal of the United States and Canadian Academy of Pathology, Inc", "id" : "ITEM-5", "issue" : "7", "issued" : { "date-parts" : [ [ "2004", "7" ] ] }, "page" : "747-55", "title" : "Prediction of metastatic melanoma in nonsentinel nodes and clinical outcome based on the primary melanoma and the sentinel node.", "type" : "article-journal", "volume" : "17" }, "uris" : [ "http://www.mendeley.com/documents/?uuid=d0752a8e-70d4-4d94-987d-117669bd61d2" ] }, { "id" : "ITEM-6", "itemData" : { "DOI" : "10.1200/JCO.2004.01.012", "ISSN" : "0732-183X", "PMID" : "15365064", "abstract" : "PURPOSE: Approximately 20% of sentinel node (SN) positive melanoma patients have additional non-SN (NSN) metastasis. The rationale for this study was to identify the factors associated with additional nodal disease, as a method to determine which patients may most benefit from completion lymph node dissection (CLND).\n\nPATIENTS AND METHODS: During 1990 to 2002, 1,599 patients have undergone SN biopsy at our institute. 19.5% underwent CLND for tumor-positive SN. One hundred ninety-one of these patients had clinicopathologic information available for review. Univariate analyses used chi2 test, Wilcoxson rank sum test, and chi2 test for trend. Multivariate analyses used logistic regression and Wald test.\n\nRESULTS: Forty-six (24%) patients had tumor-positive NSN. Univariate analyses showed that primary thickness (Breslow and Clark), primary site, SN tumor size, and number of tumor-positive SNs were significantly associated with tumor-positive NSN. Multivariate analysis (167 patients), confirmed that Breslow and SN tumor size were independently predictive. Sex, histology, ulceration, mitotic index, and SN basin location were not predictive. Risk stratification by the number of prognostic factors present (Breslow &gt; or = 3 mm and SN tumor size &gt; or = 2 mm) showed that probability of finding tumor-positive NSN was 12.3% in the low-risk group (0 factors), 30.9% in the intermediate-risk group (1 factor), and 41.9% in the high-risk group (2 factors).\n\nCONCLUSION: Thicker primary and larger SN tumor size are factors that correlate best with tumor-positive NSN. Although none of these factors are absolutely predictive of residual nodal disease, these factors must be strongly considered if the SN contains metastasis, as they provide enhanced risk assessment for NSN tumor-positivity.", "author" : [ { "dropping-particle" : "", "family" : "Lee", "given" : "J. H.", "non-dropping-particle" : "", "parse-names" : false, "suffix" : "" } ], "container-title" : "Journal of Clinical Oncology", "id" : "ITEM-6", "issue" : "18", "issued" : { "date-parts" : [ [ "2004", "8", "9" ] ] }, "page" : "3677-3684", "title" : "Factors Predictive of Tumor-Positive Nonsentinel Lymph Nodes After Tumor-Positive Sentinel Lymph Node Dissection for Melanoma", "type" : "article-journal", "volume" : "22" }, "uris" : [ "http://www.mendeley.com/documents/?uuid=143cecc4-6e2c-4cf1-b264-d26ab3e23368" ] }, { "id" : "ITEM-7", "itemData" : { "DOI" : "10.1309/TDWJ-TR15-TDM1-TG7Q", "ISSN" : "0002-9173", "PMID" : "15487450", "abstract" : "The aim of the present study was to determine whether micromorphometric features of positive sentinel lymph nodes (SLNs) from patients with melanoma are useful for predicting further nodal involvement in completion lymph node dissection (CLND) specimens. Of 986 patients with melanoma undergoing SLN biopsy between March 1992 and February 2001, 175 (17.7%) had at least 1 positive SLN and 140 had subsequent CLND specimens available for review. Further nodal involvement in CLND specimens was present in 24 (17.1%) of 140 patients. Of 8 micromorphometric features of the SLNs that were assessed, the presence of metastases in CLND specimens was correlated significantly with a tumor penetrative depth (maximum distance of melanoma cells from the inner margin of the SLN capsule) of more than 2 mm (P &lt; .05), a deposit size of more than 10 mm2 (P &lt; .01), the presence of melanoma cells in perinodal lymphatic vessels (P &lt; .01), and the effacement of nodal architecture by metastatic melanoma cells (P &lt; .05). Our results indicate that some morphologic features of melanoma metastases in SLNs predict the likelihood of further nodal involvement in CLND specimens.", "author" : [ { "dropping-particle" : "", "family" : "Scolyer", "given" : "Richard A.", "non-dropping-particle" : "", "parse-names" : false, "suffix" : "" }, { "dropping-particle" : "", "family" : "Li", "given" : "Ling-Xi L.", "non-dropping-particle" : "", "parse-names" : false, "suffix" : "" }, { "dropping-particle" : "", "family" : "McCarthy", "given" : "Stanley W.", "non-dropping-particle" : "", "parse-names" : false, "suffix" : "" }, { "dropping-particle" : "", "family" : "Shaw", "given" : "Helen M.", "non-dropping-particle" : "", "parse-names" : false, "suffix" : "" }, { "dropping-particle" : "", "family" : "Stretch", "given" : "Jonathan R.", "non-dropping-particle" : "", "parse-names" : false, "suffix" : "" }, { "dropping-particle" : "", "family" : "Sharma", "given" : "Raghwa", "non-dropping-particle" : "", "parse-names" : false, "suffix" : "" }, { "dropping-particle" : "", "family" : "Thompson", "given" : "John F.", "non-dropping-particle" : "", "parse-names" : false, "suffix" : "" } ], "container-title" : "American Journal of Clinical Pathology", "id" : "ITEM-7", "issue" : "4", "issued" : { "date-parts" : [ [ "2004", "1", "1" ] ] }, "page" : "532-539", "title" : "Micromorphometric Features of Positive Sentinel Lymph Nodes Predict Involvement of Nonsentinel Nodes in Patients With Melanoma", "type" : "article-journal", "volume" : "122" }, "uris" : [ "http://www.mendeley.com/documents/?uuid=01d47762-5d11-4c90-8aea-5d384b9c7a56" ] }, { "id" : "ITEM-8", "itemData" : { "ISSN" : "1068-9265", "PMID" : "15023745", "abstract" : "The most successful strategies in the management of melanoma have always been based on early diagnosis and timely surgical removal. Sentinel lymphonodectomy (SLNE) is the most reliable technique for the detection of melanoma micrometastases in regional lymph nodes. The micromorphometric S-classification, a routinely determinable surrogate of tumor burden in the sentinel lymph node (SLN), has high prognostic relevance. SIII metastases, defined by a depth of invasion (d) greater than 1 mm below the capsular level, imply a risk of more than 50% for the presence of nonsentinel lymph node metastases in the same basin and for the emergence of distant metastases within 5 years of follow-up. Corresponding risks with SI metastases (d &lt;/= 0.3 mm) and SII metastases (0.3 mm &lt; d &lt;/= 1 mm) do not exceed 15%. The survival curve for patients with SIII metastases approaches that of patients in the pre-SLNE era who underwent delayed lymph node dissection for subsequently detected nodal macrometastases. The survival of patients with initially removed SI and SII metastases is much better, similar to that of patients with S0 metastases. This explains the significant survival benefit of SLN-guided surgery in the entire population of patients with melanomas thicker than 0.75 mm, although the outcome of the subgroup without nodal metastases is not influenced by SLNE.", "author" : [ { "dropping-particle" : "", "family" : "Starz", "given" : "Hans", "non-dropping-particle" : "", "parse-names" : false, "suffix" : "" }, { "dropping-particle" : "", "family" : "Siedlecki", "given" : "Katharina", "non-dropping-particle" : "", "parse-names" : false, "suffix" : "" }, { "dropping-particle" : "", "family" : "Balda", "given" : "Bernd-R\u00fcdiger", "non-dropping-particle" : "", "parse-names" : false, "suffix" : "" } ], "container-title" : "Annals of surgical oncology", "id" : "ITEM-8", "issue" : "3 Suppl", "issued" : { "date-parts" : [ [ "2004", "3" ] ] }, "page" : "162S-8S", "title" : "Sentinel lymphonodectomy and s-classification: a successful strategy for better prediction and improvement of outcome of melanoma.", "type" : "article-journal", "volume" : "11" }, "uris" : [ "http://www.mendeley.com/documents/?uuid=a13a8b9a-f140-4674-8fb0-453c2e6a863a" ] }, { "id" : "ITEM-9", "itemData" : { "DOI" : "10.1200/JCO.2004.12.177", "ISSN" : "0732-183X", "PMID" : "15310779", "abstract" : "PURPOSE: Sentinel node biopsy is now widely accepted as the most accurate prognostic indicator in melanoma, and is important in guiding management of patients with clinical stage I or II disease. Patients with a positive sentinel node have conventionally undergone completion lymphadenectomy (CLND) of the involved basin, but only 20% have involvement beyond the sentinel node, suggesting that CLND may be unnecessary for the other 80% of patients. This study seeks to identify criteria that might be used to be more restrictive in selecting those who should undergo CLND.\n\nMETHODS: A total of 146 patients were identified who had had a positive sentinel node biopsy for malignant melanoma. Their sentinel nodes and lymphadenectomy specimens were re-evaluated pathologically. The metastatic melanoma in each sentinel node was assessed according to its microanatomic location within the node (subcapsular, combined subcapsular and parenchymal, parenchymal, multifocal, or extensive), and this was correlated with the presence of involved nonsentinel nodes in the CLND. The depth of the metastases from the sentinel node capsule was also recorded.\n\nRESULTS: The metastatic deposits in the sentinel node were subcapsular in 26.0% of patients. None of these patients had any nonsentinel nodes involved on CLND. In the patients whose sentinel node metastases had a different microanatomic location, the rate of nonsentinel node involvement was 22.2% overall.\n\nCONCLUSION: The microanatomic location of metastases within sentinel nodes predicts nonsentinel lymph node involvement. In patients with only subcapsular deposits in the sentinel node, it is possible that CLND could safely be avoided.", "author" : [ { "dropping-particle" : "", "family" : "Dewar", "given" : "D J", "non-dropping-particle" : "", "parse-names" : false, "suffix" : "" }, { "dropping-particle" : "", "family" : "Newell", "given" : "B", "non-dropping-particle" : "", "parse-names" : false, "suffix" : "" }, { "dropping-particle" : "", "family" : "Green", "given" : "M A", "non-dropping-particle" : "", "parse-names" : false, "suffix" : "" }, { "dropping-particle" : "", "family" : "Topping", "given" : "A P", "non-dropping-particle" : "", "parse-names" : false, "suffix" : "" }, { "dropping-particle" : "", "family" : "Powell", "given" : "B W E M", "non-dropping-particle" : "", "parse-names" : false, "suffix" : "" }, { "dropping-particle" : "", "family" : "Cook", "given" : "M G", "non-dropping-particle" : "", "parse-names" : false, "suffix" : "" } ], "container-title" : "Journal of clinical oncology : official journal of the American Society of Clinical Oncology", "id" : "ITEM-9", "issue" : "16", "issued" : { "date-parts" : [ [ "2004", "8", "15" ] ] }, "page" : "3345-9", "title" : "The microanatomic location of metastatic melanoma in sentinel lymph nodes predicts nonsentinel lymph node involvement.", "type" : "article-journal", "volume" : "22" }, "uris" : [ "http://www.mendeley.com/documents/?uuid=4506cae2-267b-47ed-99e3-fa46fed76ab8" ] }, { "id" : "ITEM-10", "itemData" : { "ISSN" : "0960-8931", "PMID" : "16034304", "abstract" : "The purpose of this study was to identify melanoma patients with positive sentinel lymph nodes (SLNs) at increased risk for further metastases in this specific lymph node basin. A series of consecutive patients with primary malignant melanoma stage I and II were evaluated retrospectively. The results of SLN biopsy in 26 patients with positive SLNs were compared with those of complete regional lymph node dissection (RLND) using the recently published S-classification of SLNs. The results of S-classification of SLNs were correlated with the outcome of complete RLND. There was a significant correlation between the S stage of positive SLNs and the results of complete RLND (P=0.02). Only patients with SIII stage (n=4) SLNs were found to have further metastases in the residual lymph node basin. The present study indicates that patients with SI stage and SII stage SLNs rarely have further metastases in the specific lymph node basin.", "author" : [ { "dropping-particle" : "", "family" : "Fink", "given" : "Astrid M", "non-dropping-particle" : "", "parse-names" : false, "suffix" : "" }, { "dropping-particle" : "", "family" : "Weihsengruber", "given" : "Felix", "non-dropping-particle" : "", "parse-names" : false, "suffix" : "" }, { "dropping-particle" : "", "family" : "Spangl", "given" : "Bernhard", "non-dropping-particle" : "", "parse-names" : false, "suffix" : "" }, { "dropping-particle" : "", "family" : "Feichtinger", "given" : "Hans", "non-dropping-particle" : "", "parse-names" : false, "suffix" : "" }, { "dropping-particle" : "", "family" : "Lilgenau", "given" : "Nikolaus", "non-dropping-particle" : "", "parse-names" : false, "suffix" : "" }, { "dropping-particle" : "", "family" : "Rappersberger", "given" : "Klemens", "non-dropping-particle" : "", "parse-names" : false, "suffix" : "" }, { "dropping-particle" : "", "family" : "Jurecka", "given" : "Wolfgang", "non-dropping-particle" : "", "parse-names" : false, "suffix" : "" }, { "dropping-particle" : "", "family" : "Steiner", "given" : "Andreas", "non-dropping-particle" : "", "parse-names" : false, "suffix" : "" } ], "container-title" : "Melanoma research", "id" : "ITEM-10", "issue" : "4", "issued" : { "date-parts" : [ [ "2005", "8" ] ] }, "page" : "267-71", "title" : "S-classification of sentinel lymph node biopsy predicts the results of complete regional lymph node dissection.", "type" : "article-journal", "volume" : "15" }, "uris" : [ "http://www.mendeley.com/documents/?uuid=06d1b817-430a-43de-bb2e-a318041dcac1" ] }, { "id" : "ITEM-11", "itemData" : { "abstract" : "BACKGROUND: Patients found to harbor melanoma micrometastases in the sentinel lymph node (SLN) are recommended to proceed to complete lymph node dissection (CLND), although the majority of patients will have no additional disease identified in the nonsentinel lymph nodes (NSLNs). We sought to assess predictive factors associated with finding positive NSLNs, and identify a subset of patients with low likelihood of finding additional disease on CLND. STUDY DESIGN: We queried our prospective melanoma database for patients from January 1996 to August 2003 with a positive SLN. Univariable logistic regression models were fit for multiple factors and a positive NSLN. To derive a probabilistic model for occurrence of one or more positive NSLN(s), a multivariable logistic model was fit using a stepwise variable selection method. RESULTS: Of 980 patients who underwent SLN biopsy for cutaneous melanoma, 232 (24%) had a positive SLN; 221 (23%) followed by CLND. Of these patients, 34 (15%) had one or more positive NSLN(s). In multivariable analysis, male gender (odds ratio [OR] 3.6 [95% CI 1.33, 9.71]; p = 0.01), Breslow thickness (OR 4.58 [95% CI 1.28, 16.36]; p = 0.019), extranodal extension (OR 3.2 [95% CI 1.0, 10.5]; p = 0.05), and three or more positive sentinel nodes (OR 65.81 [95% CI 5.2, 825.7]; p = 0.001) were all associated with the likelihood of finding additional positive nodes on CLND. Of 47 patients with minimal tumor burden in the SLN, only 1 (2%) had additional disease in the NSLN. CONCLUSIONS: These results provide additional data to plan clinical trials to answer the question of who can safely avoid CLND after a positive SLN. Patients with minimal tumor burden in the SLN might be the most likely group, although defining \"minimal tumor burden\" must be standardized. Serial sectioning and immunohistochemistry on the NSLN in any \"low-risk\" group must be performed in a clinical trial to confirm that residual disease is unlikely before avoiding CLND can be recommended. \u00a9 2005 by the American College of Surgeons.", "author" : [ { "dropping-particle" : "", "family" : "Sabel", "given" : "Michael S.", "non-dropping-particle" : "", "parse-names" : false, "suffix" : "" }, { "dropping-particle" : "", "family" : "Griffith", "given" : "Kent", "non-dropping-particle" : "", "parse-names" : false, "suffix" : "" }, { "dropping-particle" : "", "family" : "Sondak", "given" : "Vernon K.", "non-dropping-particle" : "", "parse-names" : false, "suffix" : "" }, { "dropping-particle" : "", "family" : "Lowe", "given" : "Lori", "non-dropping-particle" : "", "parse-names" : false, "suffix" : "" }, { "dropping-particle" : "", "family" : "Schwartz", "given" : "Jennifer L.", "non-dropping-particle" : "", "parse-names" : false, "suffix" : "" }, { "dropping-particle" : "", "family" : "Cimmino", "given" : "Vincent M.", "non-dropping-particle" : "", "parse-names" : false, "suffix" : "" }, { "dropping-particle" : "", "family" : "Chang", "given" : "Alfred E.", "non-dropping-particle" : "", "parse-names" : false, "suffix" : "" }, { "dropping-particle" : "", "family" : "Rees", "given" : "Riley S.", "non-dropping-particle" : "", "parse-names" : false, "suffix" : "" }, { "dropping-particle" : "", "family" : "Bradford", "given" : "Carol R.", "non-dropping-particle" : "", "parse-names" : false, "suffix" : "" }, { "dropping-particle" : "", "family" : "Johnson", "given" : "Timothy M.", "non-dropping-particle" : "", "parse-names" : false, "suffix" : "" } ], "container-title" : "Journal of the American College of Surgeons", "id" : "ITEM-11", "issue" : "1", "issued" : { "date-parts" : [ [ "2005" ] ] }, "page" : "37-47", "title" : "Predictors of nonsentinel lymph node positivity in patients with a positive sentinel node for melanoma", "type" : "article-journal", "volume" : "201" }, "uris" : [ "http://www.mendeley.com/documents/?uuid=ba42c37e-0beb-4757-b901-754a60fc6450" ] }, { "id" : "ITEM-12", "itemData" : { "DOI" : "10.1245/ASO.2005.06.013", "ISSN" : "1068-9265", "PMID" : "15864481", "abstract" : "BACKGROUND: Even though 60% to 80% of melanoma patients with a positive sentinel lymph node (SLN) have no positive additional lymph nodes (ALNs), all these patients are subjected to an ALN dissection (ALND) with its associated morbidity. The aim of this study was to predict the absence of ALN metastases in patients with a positive SLN by using features of the primary melanoma and SLN tumor load.\n\nMETHODS: Of 71 SLN-positive patients, 52 had metastasis limited to the SLN (group 1), and 19 had &gt; or =1 positive ALN after ALND (group 2). The tumor load of the SLN was assessed by measuring the total surface area by computerized morphometry. Breslow thickness, ulceration and lymphatic invasion of the primary tumor, and total SLN metastatic area were tested as covariates predicting the absence of positive ALNs.\n\nRESULTS: The mean SLN metastatic area was 1.18 mm(2) (group 1) and 3.39 mm(2) (group 2) (P = .003) and was the only significant and independent factor after multivariate analysis (P = .02). None of the patients with both a Breslow thickness &lt;2.5 mm and an SLN metastatic area &lt;.3 mm(2) had a positive ALN.\n\nCONCLUSIONS: SLN metastatic area can be used to predict the absence of positive ALNs in melanoma patients. In this study, patients with a Breslow thickness &lt;2.5 mm and an SLN tumor load &lt;.3 mm(2 )seemed to have no positive ALN and had excellent survival. We hypothesize that this subgroup might not benefit from ALND. Prospective larger trials, using this model and randomizing between ALND and no ALND, should confirm this hypothesis.", "author" : [ { "dropping-particle" : "", "family" : "Vuylsteke", "given" : "Ronald J C L M", "non-dropping-particle" : "", "parse-names" : false, "suffix" : "" }, { "dropping-particle" : "", "family" : "Borgstein", "given" : "Paul J", "non-dropping-particle" : "", "parse-names" : false, "suffix" : "" }, { "dropping-particle" : "", "family" : "Leeuwen", "given" : "Paul A M", "non-dropping-particle" : "van", "parse-names" : false, "suffix" : "" }, { "dropping-particle" : "", "family" : "Gietema", "given" : "Hester A", "non-dropping-particle" : "", "parse-names" : false, "suffix" : "" }, { "dropping-particle" : "", "family" : "Molenkamp", "given" : "Barbara G", "non-dropping-particle" : "", "parse-names" : false, "suffix" : "" }, { "dropping-particle" : "", "family" : "Statius Muller", "given" : "Markwin G", "non-dropping-particle" : "", "parse-names" : false, "suffix" : "" }, { "dropping-particle" : "", "family" : "Diest", "given" : "Paul J", "non-dropping-particle" : "van", "parse-names" : false, "suffix" : "" }, { "dropping-particle" : "", "family" : "Sijp", "given" : "Joost R M", "non-dropping-particle" : "van der", "parse-names" : false, "suffix" : "" }, { "dropping-particle" : "", "family" : "Meijer", "given" : "Sybren", "non-dropping-particle" : "", "parse-names" : false, "suffix" : "" } ], "container-title" : "Annals of surgical oncology", "id" : "ITEM-12", "issue" : "6", "issued" : { "date-parts" : [ [ "2005", "6" ] ] }, "page" : "440-8", "title" : "Sentinel lymph node tumor load: an independent predictor of additional lymph node involvement and survival in melanoma.", "type" : "article-journal", "volume" : "12" }, "uris" : [ "http://www.mendeley.com/documents/?uuid=f4008c8d-246b-45be-954c-bbd5d8af0390" ] }, { "id" : "ITEM-13", "itemData" : { "DOI" : "10.1016/j.amjsurg.2006.08.062", "ISSN" : "1879-1883", "PMID" : "17161112", "abstract" : "BACKGROUND: A positive sentinel lymph node (SLN) biopsy is an indication for completion lymph node dissection (CLND) in malignant melanoma; however, most CLNDs are negative. We hypothesized SLN metastatic size of &lt; or =2 mm would predict CLND status and prognosis.\n\nMETHODS: We evaluated 80 consecutive patients undergoing CLND for positive SLNs over a 10-year period. Incidence of positive nonsentinel nodes and survival were compared for patients with SLN metastases &lt; or =2 mm and &gt;2 mm.\n\nRESULTS: Of 504 patients undergoing SLN biopsy, 49 patients had SLN deposits &lt; or =2 mm and a 6% incidence of positive CLNDs. Five-year survival was 85%, essentially the same as negative SLN biopsies. In contrast, 31 had SLN metastases &gt;2 mm, a 45% incidence of addition disease at CLND, and 5-year survival of 47% (P &lt; .0001).\n\nCONCLUSION: An SLN metastatic cut point of 2 mm is an efficient predictor of CLND status and survival in malignant melanoma.", "author" : [ { "dropping-particle" : "", "family" : "Pearlman", "given" : "Nathan W", "non-dropping-particle" : "", "parse-names" : false, "suffix" : "" }, { "dropping-particle" : "", "family" : "McCarter", "given" : "Martin D", "non-dropping-particle" : "", "parse-names" : false, "suffix" : "" }, { "dropping-particle" : "", "family" : "Frank", "given" : "Matthew", "non-dropping-particle" : "", "parse-names" : false, "suffix" : "" }, { "dropping-particle" : "", "family" : "Hurtubis", "given" : "Cheryl", "non-dropping-particle" : "", "parse-names" : false, "suffix" : "" }, { "dropping-particle" : "", "family" : "Merkow", "given" : "Ryan P", "non-dropping-particle" : "", "parse-names" : false, "suffix" : "" }, { "dropping-particle" : "", "family" : "Franklin", "given" : "Wilbur A", "non-dropping-particle" : "", "parse-names" : false, "suffix" : "" }, { "dropping-particle" : "", "family" : "Gonzalez", "given" : "Rene", "non-dropping-particle" : "", "parse-names" : false, "suffix" : "" }, { "dropping-particle" : "", "family" : "Lewis", "given" : "Karl", "non-dropping-particle" : "", "parse-names" : false, "suffix" : "" }, { "dropping-particle" : "", "family" : "Roaten", "given" : "J Brent", "non-dropping-particle" : "", "parse-names" : false, "suffix" : "" }, { "dropping-particle" : "", "family" : "Robinson", "given" : "William A", "non-dropping-particle" : "", "parse-names" : false, "suffix" : "" } ], "container-title" : "American journal of surgery", "id" : "ITEM-13", "issue" : "6", "issued" : { "date-parts" : [ [ "2006", "12" ] ] }, "page" : "878-81", "title" : "Size of sentinel node metastases predicts other nodal disease and survival in malignant melanoma.", "type" : "article-journal", "volume" : "192" }, "uris" : [ "http://www.mendeley.com/documents/?uuid=8b561a6b-e631-4cc0-9a77-6864402b5a97" ] }, { "id" : "ITEM-14", "itemData" : { "DOI" : "10.1200/JCO.2006.06.3198", "ISSN" : "1527-7755", "PMID" : "16983115", "abstract" : "PURPOSE: To evaluate the prognostic significance of sentinel node biopsy in the management of stage IB and II melanoma patients, and to evaluate the status of nonsentinel nodes as a \"second step key factor\" to assess the prognosis of these patients.\n\nPATIENTS AND METHODS: We conducted an analysis of data collected in a prospective database.\n\nRESULTS: From February 1994 to June 2005, 1,108 consecutive patients with stage IB and II melanoma were submitted to sentinel node biopsy; 176 patients (15.9%) had occult node metastases. The frequency of positive nodes increased with increasing Breslow's thickness. The largest diameter of metastatic foci and their localization within the lymph node were associated with the risk of nonsentinel node metastases only. The 5-year survival of patients with positive sentinel nodes was 81.4% in patients with one positive node and 39.6% in patients with two positive nodes (P = .056). Multivariate analysis indicated that status of sentinel nodes is a key factor and that sex and Breslow's thickness maintain statistically significant relevance. Ulceration, which was associated with survival when considered as single factor (P &lt; .001) had no impact on survival in the multivariate analysis (P = .10). To evaluate the relevance of metastases to nonsentinel nodes, we identified four groups of patients.\n\nCONCLUSION: Evaluation of the sentinel node is a useful procedure to identify patients to be submitted for complete lymph node dissection. The procedure makes it possible to assess the best prognosis of patients.", "author" : [ { "dropping-particle" : "", "family" : "Cascinelli", "given" : "Natale", "non-dropping-particle" : "", "parse-names" : false, "suffix" : "" }, { "dropping-particle" : "", "family" : "Bombardieri", "given" : "Emilio", "non-dropping-particle" : "", "parse-names" : false, "suffix" : "" }, { "dropping-particle" : "", "family" : "Bufalino", "given" : "Rosaria", "non-dropping-particle" : "", "parse-names" : false, "suffix" : "" }, { "dropping-particle" : "", "family" : "Camerini", "given" : "Tiziana", "non-dropping-particle" : "", "parse-names" : false, "suffix" : "" }, { "dropping-particle" : "", "family" : "Carbone", "given" : "Antonino", "non-dropping-particle" : "", "parse-names" : false, "suffix" : "" }, { "dropping-particle" : "", "family" : "Clemente", "given" : "Claudio", "non-dropping-particle" : "", "parse-names" : false, "suffix" : "" }, { "dropping-particle" : "", "family" : "Lenisa", "given" : "Leonardo", "non-dropping-particle" : "", "parse-names" : false, "suffix" : "" }, { "dropping-particle" : "", "family" : "Mascheroni", "given" : "Luigi", "non-dropping-particle" : "", "parse-names" : false, "suffix" : "" }, { "dropping-particle" : "", "family" : "Maurichi", "given" : "Andrea", "non-dropping-particle" : "", "parse-names" : false, "suffix" : "" }, { "dropping-particle" : "", "family" : "Pennacchioli", "given" : "Elisabetta", "non-dropping-particle" : "", "parse-names" : false, "suffix" : "" }, { "dropping-particle" : "", "family" : "Patuzzo", "given" : "Roberto", "non-dropping-particle" : "", "parse-names" : false, "suffix" : "" }, { "dropping-particle" : "", "family" : "Santinami", "given" : "Mario", "non-dropping-particle" : "", "parse-names" : false, "suffix" : "" }, { "dropping-particle" : "", "family" : "Tragni", "given" : "Gabrina", "non-dropping-particle" : "", "parse-names" : false, "suffix" : "" } ], "container-title" : "Journal of clinical oncology : official journal of the American Society of Clinical Oncology", "id" : "ITEM-14", "issue" : "27", "issued" : { "date-parts" : [ [ "2006", "9", "20" ] ] }, "page" : "4464-71", "title" : "Sentinel and nonsentinel node status in stage IB and II melanoma patients: two-step prognostic indicators of survival.", "type" : "article-journal", "volume" : "24" }, "uris" : [ "http://www.mendeley.com/documents/?uuid=87a2810c-0f27-4812-8c91-b5fcb57b53ff" ] }, { "id" : "ITEM-15", "itemData" : { "DOI" : "10.1111/j.1365-2133.2007.07937.x", "ISSN" : "0007-0963", "PMID" : "17501957", "abstract" : "BACKGROUND: Sentinel lymph node (SLN) positivity has been found to be strongly associated with a poor prognosis in melanoma.\n\nOBJECTIVES: This large referral centre study was conducted: (i) to confirm the powerful prognostic value of SLN biopsy (SLNB); (ii) to correlate patient prognosis to the micromorphometric features of SLN metastasis in SLN-positive patients; and (iii) to correlate these micromorphometric features to the likelihood of positive completion lymph node dissection (CLND).\n\nPATIENTS AND METHODS: SLNB was performed in 455 cases of primary melanoma between January 1999 and December 2004; for patients with positive SLN, the following micromorphometric features were registered: size of the largest metastasis (two diameters), depth of metastasis, number of millimetric slices involved, maximum number of metastases on a single section, presence of intracapsular lymphatic invasion and extracapsular spread. Kaplan-Meier survival curves were compared with the log-rank test; multivariate analysis was performed using a Cox regression model. Dependence of CLND status on micromorphometric features of SLN was assessed by the chi(2) test and predictive values of the different features were evaluated by multivariate analysis using a logistic regression model.\n\nRESULTS: A positive SLN was identified in 98 of our 455 cases. Survival was significantly shorter in SLN-positive patients than in SLN-negative patients. Extracapsular invasion was found to be an independent prognostic factor of disease-free survival; ulceration of the primary and the maximum diameter of the largest metastasis were identified as independent predictive factors of disease-specific survival. Age and the lowest diameter of the largest metastasis were identified as independent predictive criteria of positive CLND, whereas depth of metastasis was not. Positivity of CLND was not significantly associated with a worse prognosis.\n\nCONCLUSIONS: Our study confirms the previously demonstrated strong prognostic value of SLNB. It also confirms the relationship between tumour burden in the SLN (evaluated by the maximum diameter of the largest metastasis) and clinical outcome. We point out a new micromorphometric feature of SLN, which seems to be predictive of CLND status: the lowest diameter of the largest metastasis.", "author" : [ { "dropping-particle" : "", "family" : "Debarbieux", "given" : "S", "non-dropping-particle" : "", "parse-names" : false, "suffix" : "" }, { "dropping-particle" : "", "family" : "Duru", "given" : "G", "non-dropping-particle" : "", "parse-names" : false, "suffix" : "" }, { "dropping-particle" : "", "family" : "Dalle", "given" : "S", "non-dropping-particle" : "", "parse-names" : false, "suffix" : "" }, { "dropping-particle" : "", "family" : "B\u00e9atrix", "given" : "O", "non-dropping-particle" : "", "parse-names" : false, "suffix" : "" }, { "dropping-particle" : "", "family" : "Balme", "given" : "B", "non-dropping-particle" : "", "parse-names" : false, "suffix" : "" }, { "dropping-particle" : "", "family" : "Thomas", "given" : "L", "non-dropping-particle" : "", "parse-names" : false, "suffix" : "" } ], "container-title" : "The British journal of dermatology", "id" : "ITEM-15", "issue" : "1", "issued" : { "date-parts" : [ [ "2007", "7" ] ] }, "page" : "58-67", "title" : "Sentinel lymph node biopsy in melanoma: a micromorphometric study relating to prognosis and completion lymph node dissection.", "type" : "article-journal", "volume" : "157" }, "uris" : [ "http://www.mendeley.com/documents/?uuid=21e3987a-d610-454e-98d8-9ef8eb629ad1" ] }, { "id" : "ITEM-16", "itemData" : { "ISSN" : "0003-1348", "PMID" : "17674939", "abstract" : "Completion lymph node dissection (CLND) is routinely performed after metastatic melanoma is detected at sentinel lymph node (SLN) biopsy. Nonsentinel lymph node (NSLN) involvement is found in less than one-third of the cases. Possible predictors of NSLN involvement are examined. A retrospective review of 70 patients with a positive SLN biopsy for melanoma and drainage to one lymphatic basin was performed. The size of metastatic deposits was defined as macrometastases (&gt;2 mm), micrometastases (&lt; or =2 mm), a cluster of cells (10-30 grouped cells) in the subcapsular space or interfollicular zone, or isolated melanoma cells (1-20 or more individual cells) in subcapsular sinuses. Tumor stage, ulceration, SLN tumor burden, mitoses, number of positive SLNs, and total number of lymph nodes removed were examined as predictors of NSLN involvement after CLND. Two additional models based on SLN tumor burden and the number of nodes biopsied were designed. Nineteen patients (24.3%) were found to have NSLN metastases after CLND. Tumor stage, ulceration, SLN tumor burden, mitoses, number of positive SLN, and number of lymph nodes removed were not statistically significant. Residual disease at CLND stratified by SLN tumor burden was: isolated melanoma cells, 0; cluster of cells, 8 (38.1%); &lt; or =2 mm, 5 (20.8%); and &gt;2 mm, 6 (27.3%). A comparison of the means for the models was not predictive of NSLN involvement. None of the risk factors or models examined could predict nonsentinel lymph node involvement with melanoma. The SLN sample and minimal SLN metastatic disease when defined as isolated clusters of cells warrant further study as a potential indicator against CLND after positive SLN.", "author" : [ { "dropping-particle" : "", "family" : "Page", "given" : "Andrew J", "non-dropping-particle" : "", "parse-names" : false, "suffix" : "" }, { "dropping-particle" : "", "family" : "Carlson", "given" : "Grant W", "non-dropping-particle" : "", "parse-names" : false, "suffix" : "" }, { "dropping-particle" : "", "family" : "Delman", "given" : "Keith A", "non-dropping-particle" : "", "parse-names" : false, "suffix" : "" }, { "dropping-particle" : "", "family" : "Murray", "given" : "Douglas", "non-dropping-particle" : "", "parse-names" : false, "suffix" : "" }, { "dropping-particle" : "", "family" : "Hestley", "given" : "Andrea", "non-dropping-particle" : "", "parse-names" : false, "suffix" : "" }, { "dropping-particle" : "", "family" : "Cohen", "given" : "Cynthia", "non-dropping-particle" : "", "parse-names" : false, "suffix" : "" } ], "container-title" : "The American surgeon", "id" : "ITEM-16", "issue" : "7", "issued" : { "date-parts" : [ [ "2007", "7" ] ] }, "page" : "674-8; discussion 678-9", "title" : "Prediction of nonsentinel lymph node involvement in patients with a positive sentinel lymph node in malignant melanoma.", "type" : "article-journal", "volume" : "73" }, "uris" : [ "http://www.mendeley.com/documents/?uuid=fbc4895b-4b30-4cf2-93e9-c881a9f56cd1" ] }, { "id" : "ITEM-17", "itemData" : { "DOI" : "10.1245/s10434-007-9734-8", "ISSN" : "1534-4681", "PMID" : "18165880", "abstract" : "BACKGROUND: Identification of melanoma patients who need completion lymphadenectomy and adjuvant treatment after positive sentinel lymph node (SLN) biopsy would be a fundamental step forward toward personalized medicine. This study tested the hypothesis that the microscopic features of metastatic SLNs might predict not only nonsentinel lymph node (NSLN) status, but also patients' clinical outcomes.\n\nMETHODS: A retrospective analysis was performed on 96 consecutive melanoma patients who underwent completion lymphadenectomy after positive SLN biopsy. Patients' age and sex, primary tumor Breslow thickness, number of positive SLNs, the largest diameter and depth of invasion of metastatic deposits in the SLN, S stage, and pattern of nodal involvement were correlated with the presence of metastatic disease in NSLNs as well as with the likelihood of tumor recurrence and patient death.\n\nRESULTS: At pathological examination, 20 patients (20.8%) had metastatic melanoma in the NSLN. Pattern of nodal involvement, depth of invasion of SLN by metastatic disease, and S stage were statistically significantly associated with the presence of metastatic disease in NSLN. Multivariate analysis revealed that only the SLN depth of invasion was an independent predictor of NSLN status (P = .0035). This parameter was also significantly associated with disease-free and overall survival, both by univariate (P &lt; .0001 and P = .0006, respectively) and multivariate (P &lt; .0001 and P = .0013, respectively) survival analysis.\n\nCONCLUSIONS: These findings support further investigation of SLN depth of invasion as a predictive factor of potential clinical use to select patients as candidates for completion lymphadenectomy and adjuvant treatment.", "author" : [ { "dropping-particle" : "", "family" : "Rossi", "given" : "Carlo Riccardo", "non-dropping-particle" : "", "parse-names" : false, "suffix" : "" }, { "dropping-particle" : "", "family" : "Salvo", "given" : "Gian Luca", "non-dropping-particle" : "De", "parse-names" : false, "suffix" : "" }, { "dropping-particle" : "", "family" : "Bonandini", "given" : "Elena", "non-dropping-particle" : "", "parse-names" : false, "suffix" : "" }, { "dropping-particle" : "", "family" : "Mocellin", "given" : "Simone", "non-dropping-particle" : "", "parse-names" : false, "suffix" : "" }, { "dropping-particle" : "", "family" : "Foletto", "given" : "Mirto", "non-dropping-particle" : "", "parse-names" : false, "suffix" : "" }, { "dropping-particle" : "", "family" : "Pasquali", "given" : "Sandro", "non-dropping-particle" : "", "parse-names" : false, "suffix" : "" }, { "dropping-particle" : "", "family" : "Pilati", "given" : "Pierluigi", "non-dropping-particle" : "", "parse-names" : false, "suffix" : "" }, { "dropping-particle" : "", "family" : "Lise", "given" : "Mario", "non-dropping-particle" : "", "parse-names" : false, "suffix" : "" }, { "dropping-particle" : "", "family" : "Nitti", "given" : "Donato", "non-dropping-particle" : "", "parse-names" : false, "suffix" : "" }, { "dropping-particle" : "", "family" : "Rizzo", "given" : "Elisa", "non-dropping-particle" : "", "parse-names" : false, "suffix" : "" }, { "dropping-particle" : "", "family" : "Montesco", "given" : "Maria Cristina", "non-dropping-particle" : "", "parse-names" : false, "suffix" : "" } ], "container-title" : "Annals of surgical oncology", "id" : "ITEM-17", "issue" : "4", "issued" : { "date-parts" : [ [ "2008", "4" ] ] }, "page" : "1202-10", "title" : "Factors predictive of nonsentinel lymph node involvement and clinical outcome in melanoma patients with metastatic sentinel lymph node.", "type" : "article-journal", "volume" : "15" }, "uris" : [ "http://www.mendeley.com/documents/?uuid=1eae11c2-e4cc-4656-8016-e49758758783" ] }, { "id" : "ITEM-18", "itemData" : { "DOI" : "10.1245/s10434-008-9888-z", "ISSN" : "1534-4681", "PMID" : "18389323", "abstract" : "BACKGROUND: Previous studies described various criteria in sentinel lymph nodes (SLN) of melanoma patients that predict the involvement of further, nonsentinel lymph nodes (NSLN). Such criteria may facilitate the selection of patients who might benefit from a completion lymph node dissection (CLND). However, it is currently unclear which parameters are most important.\n\nMETHODS: A total of 180 melanoma patients with positive SLNB and subsequent CLND were investigated. Histopathologic parameters in the SLN were systematically evaluated and compared with regard to NSLN positivity. Twenty-eight of these patients (16.0%) had positive NSLN.\n\nRESULTS: By univariate analysis several criteria with regard to tumor burden and location of melanoma cells in the SLN correlated with NSLN involvement, such as positivity by hematoxylin-eosin (H&amp;E) staining (P &lt; .001), largest diameter of clusters (P &lt; .001), capsular involvement (P = .001), extranodal extension (P &lt; .001), and tumor penetrative depth (P &lt; .001). Multivariate analysis revealed three independent parameters: (1) positivity of the SLN by H&amp;E staining (versus by immunohistochemistry alone), (2) relative tumor burden &gt; 10% of total lymph node tissue, and (3) perinodal intralymphatic tumor. In 23 of 28 patients with positive NSLN the SLN was positive by H&amp;E staining, in 15 of 28 patients the relative tumor burden was &gt; 10%, and 13 of 28 showed perinodal intralymphatic tumor. In 5 of 28 patients with NSLN involvement, these three parameters were negative.\n\nCONCLUSIONS: Histopathologic examination of the SLN can identify patients at risk for NSLN positivity.", "author" : [ { "dropping-particle" : "", "family" : "Satzger", "given" : "Imke", "non-dropping-particle" : "", "parse-names" : false, "suffix" : "" }, { "dropping-particle" : "", "family" : "V\u00f6lker", "given" : "Bernward", "non-dropping-particle" : "", "parse-names" : false, "suffix" : "" }, { "dropping-particle" : "", "family" : "Meier", "given" : "Andre", "non-dropping-particle" : "", "parse-names" : false, "suffix" : "" }, { "dropping-particle" : "", "family" : "Kapp", "given" : "Alexander", "non-dropping-particle" : "", "parse-names" : false, "suffix" : "" }, { "dropping-particle" : "", "family" : "Gutzmer", "given" : "Ralf", "non-dropping-particle" : "", "parse-names" : false, "suffix" : "" } ], "container-title" : "Annals of surgical oncology", "id" : "ITEM-18", "issue" : "6", "issued" : { "date-parts" : [ [ "2008", "6" ] ] }, "page" : "1723-32", "title" : "Criteria in sentinel lymph nodes of melanoma patients that predict involvement of nonsentinel lymph nodes.", "type" : "article-journal", "volume" : "15" }, "uris" : [ "http://www.mendeley.com/documents/?uuid=a8f6bd8b-14f6-4b65-a100-7171b12ba9ba" ] }, { "id" : "ITEM-19", "itemData" : { "DOI" : "10.1200/JCO.2007.15.4179", "ISSN" : "1527-7755", "PMID" : "18606982", "abstract" : "PURPOSE: We and others have demonstrated that additional positive lymph nodes (LNs) are identified in only 8% to 33% of patients with melanoma who have positive sentinel LNs (SLNs) and undergo complete therapeutic LN dissection (cTLND). We sought to determine predictors of additional regional LN involvement in patients with positive SLNs.\n\nPATIENTS AND METHODS: Patients with clinically node-negative melanoma who underwent SLN biopsy (1991 to 2003) and had positive SLNs were identified. Clinicopathologic factors, including extent of microscopic disease within SLNs, were evaluated as potential predictors of positive non-SLNs.\n\nRESULTS: Overall, 359 (16.3%) of the 2,203 patients identified had a positive SLN. Positive non-SLNs were identified in 48 (14.0%) of the 343 patients with positive SLNs who underwent cTLND. On univariate analysis, several measures of SLN microscopic tumor burden, one versus three or more SLNs harvested, tumor thickness more than 2 mm, age older than 50 years, and Clark level higher than III were predictive of positive non-SLNs; primary tumor ulceration and number of positive SLNs had no apparent impact. On multivariable logistic regression analysis, measures of SLN microscopic tumor burden were the most significant independent predictors of positive non-SLNs; tumor thickness more than 2 mm and number of SLNs harvested also predicted additional disease. A model was developed that stratified patients according to their risk for non-SLN involvement.\n\nCONCLUSION: In melanoma patients with positive SLNs, SLN tumor burden, primary tumor thickness, and number of SLNs harvested may be useful in identifying a group at low risk for positive non-SLNs and be spared the potential morbidity of a cTLND.", "author" : [ { "dropping-particle" : "", "family" : "Gershenwald", "given" : "Jeffrey E", "non-dropping-particle" : "", "parse-names" : false, "suffix" : "" }, { "dropping-particle" : "", "family" : "Andtbacka", "given" : "Robert H I", "non-dropping-particle" : "", "parse-names" : false, "suffix" : "" }, { "dropping-particle" : "", "family" : "Prieto", "given" : "Victor G", "non-dropping-particle" : "", "parse-names" : false, "suffix" : "" }, { "dropping-particle" : "", "family" : "Johnson", "given" : "Marcella M", "non-dropping-particle" : "", "parse-names" : false, "suffix" : "" }, { "dropping-particle" : "", "family" : "Diwan", "given" : "A Hafeez", "non-dropping-particle" : "", "parse-names" : false, "suffix" : "" }, { "dropping-particle" : "", "family" : "Lee", "given" : "Jeffrey E", "non-dropping-particle" : "", "parse-names" : false, "suffix" : "" }, { "dropping-particle" : "", "family" : "Mansfield", "given" : "Paul F", "non-dropping-particle" : "", "parse-names" : false, "suffix" : "" }, { "dropping-particle" : "", "family" : "Cormier", "given" : "Janice N", "non-dropping-particle" : "", "parse-names" : false, "suffix" : "" }, { "dropping-particle" : "", "family" : "Schacherer", "given" : "Christopher W", "non-dropping-particle" : "", "parse-names" : false, "suffix" : "" }, { "dropping-particle" : "", "family" : "Ross", "given" : "Merrick I", "non-dropping-particle" : "", "parse-names" : false, "suffix" : "" } ], "container-title" : "Journal of clinical oncology : official journal of the American Society of Clinical Oncology", "id" : "ITEM-19", "issue" : "26", "issued" : { "date-parts" : [ [ "2008", "9", "10" ] ] }, "page" : "4296-303", "title" : "Microscopic tumor burden in sentinel lymph nodes predicts synchronous nonsentinel lymph node involvement in patients with melanoma.", "type" : "article-journal", "volume" : "26" }, "uris" : [ "http://www.mendeley.com/documents/?uuid=123e0a9a-4b3c-4a5f-8e41-9b53cd07a69f" ] }, { "id" : "ITEM-20", "itemData" : { "DOI" : "10.1093/annonc/mdl176", "ISSN" : "0923-7534", "PMID" : "16968875", "abstract" : "As only about 20% of sentinel node (SN) positive melanoma patients have additional non-SN lymph node involvement in the Completion Lymph Node Dissection (CLND) specimen, we tried to identify a SN positive patient group, which can be spared CLND. Micro anatomic analyses of metastatic SNs were performed to identify patient/tumor and/or SN factors predicting additional non-SN positivity as well as disease-free and overall survival. SN positivity was found in 77 of 262 stage I/II patients, included into a prospective database (10/97-5/04). Of 74 patients pathology material was available for re-evaluation. Micro anatomic analyses categorized topography of SN-metastases, Starz classification and amount of SN tumor burden. Additional non-SN positivity, DFS, OS and was calculated for all analyses. Mean Breslow thickness was 3.5 mm (0.8-12.0); mean FU was 35 (6-81) months. There was no additional non-SN positivity for SN-micrometastases &lt;0.1 mm. Topography of SN involvement had no impact on OS. Estimated 5-year OS rates for the different groups of &lt;0.1 mm, 0.1-1.0 mm and &gt;1.0 mm SN tumor burden were 100%, 63% and 35% respectively. Distant metastases were exceedingly rare (1/16 = 6.3%) in &lt;0.1 mm SN-positive patients. On multivariate analysis the SN tumor burden was the most important prognostic factor for DFS (P = 0.005) and OS (P = 0.03). Distant metastasis-free survival was identical (91%) to the 5-yr OS of SN negative patients, the estimated 5-yr OS was 100% for these patients and additional non-SN positivity was not observed. Therefore, our data suggest that patients with sub-micrometastases (&lt;0.1 mm) in the SN may be judged as SN negative, as non-stage III, and are highly unlikely to benefit from CLND, which we no longer recommend.", "author" : [ { "dropping-particle" : "", "family" : "Akkooi", "given" : "A C J", "non-dropping-particle" : "van", "parse-names" : false, "suffix" : "" }, { "dropping-particle" : "", "family" : "Wilt", "given" : "J H W", "non-dropping-particle" : "de", "parse-names" : false, "suffix" : "" }, { "dropping-particle" : "", "family" : "Verhoef", "given" : "C", "non-dropping-particle" : "", "parse-names" : false, "suffix" : "" }, { "dropping-particle" : "", "family" : "Schmitz", "given" : "P I M", "non-dropping-particle" : "", "parse-names" : false, "suffix" : "" }, { "dropping-particle" : "", "family" : "Geel", "given" : "A N", "non-dropping-particle" : "van", "parse-names" : false, "suffix" : "" }, { "dropping-particle" : "", "family" : "Eggermont", "given" : "A M M", "non-dropping-particle" : "", "parse-names" : false, "suffix" : "" }, { "dropping-particle" : "", "family" : "Kliffen", "given" : "M", "non-dropping-particle" : "", "parse-names" : false, "suffix" : "" } ], "container-title" : "Annals of oncology : official journal of the European Society for Medical Oncology / ESMO", "id" : "ITEM-20", "issue" : "10", "issued" : { "date-parts" : [ [ "2006", "10" ] ] }, "page" : "1578-85", "title" : "Clinical relevance of melanoma micrometastases (&lt;0.1 mm) in sentinel nodes: are these nodes to be considered negative?", "type" : "article-journal", "volume" : "17" }, "uris" : [ "http://www.mendeley.com/documents/?uuid=e3711798-85d5-422c-b79d-c94fe0973202" ] }, { "id" : "ITEM-21", "itemData" : { "abstract" : "Aims: Sentinel lymph node (SLN) -positive melanoma patients are usually recommended completion lymph node dissection (CLND) with the aim to provide regional disease control and improve survival. Nevertheless, only 20% these patients have additional metastases in non-sentinel lymph nodes (NSLN), indicating that CLND may be unnecessary in the majority of patients. In this retrospective study, we (i) sought to identify clinico-pathological features predicting NSLN status, as well as disease-free (DFS) and -specific (DSS) survival and (ii) evaluated the applicability of previously published algorithms, which were able to define a group of patients at zero-risk for NSLN-metastasis. Methods: This analysis included 504 consecutive melanoma patients stage I and II who underwent successful SLN-biopsy (SLNB) at our institute between 1998 and 2005. Metastatic SLN were re-evaluated for tumor burden and categorized according to two different micro-anatomic classifications and the S/U-score (Size of the sentinel node metastasis &gt;2 mm/Ulceration of the primary melanoma) was assessed. DFS and DSS were calculated for all analyses. Results: Out of 504 melanoma patients stage I or II, 85 (17%) were SLN-positive and 18 of 85 (21%) were found with positive NSLN in the CLND specimen. Median follow-up was 31 months. Neither primary tumor characteristics (age, gender, Clark level, Breslow thickness, ulceration of the primary melanoma, site and histological subtype of the primary melanoma), nor features of the sentinel node tumor (number and site of draining lymph node basins, number of positive sentinel nodes and size of sentinel node tumor (&lt;2 mm vs. \u22652 mm) were able to predict additional positive lymph nodes in the CLND specimen. Likewise the implementation of published algorithms was not able to identify patients at negligible risk for harboring NSLN metastases. Upon univariate analysis, disease-free survival in SLN-positive patients was correlated with Breslow thickness, sentinel node tumor size &gt;2 mm and S/U score. In respect to disease-specific survival the significant prognostic parameters were Breslow thickness, ulceration, sentinel node tumor size &gt;2 mm and the S/U score. After a median follow-up of 31 months recurrence rates (37% vs. 78%, p = 0.02) and death from disease (24% vs. 50%, p &lt; 0.01) were significantly different in patients with SLN-metastasis only as compared to patients with NSLN-metastasis. Conclusion: NSLN status cannot be predicted in this data analys\u2026", "author" : [ { "dropping-particle" : "", "family" : "Roka", "given" : "F.", "non-dropping-particle" : "", "parse-names" : false, "suffix" : "" }, { "dropping-particle" : "", "family" : "Mastan", "given" : "P.", "non-dropping-particle" : "", "parse-names" : false, "suffix" : "" }, { "dropping-particle" : "", "family" : "Binder", "given" : "M.", "non-dropping-particle" : "", "parse-names" : false, "suffix" : "" }, { "dropping-particle" : "", "family" : "Okamoto", "given" : "I.", "non-dropping-particle" : "", "parse-names" : false, "suffix" : "" }, { "dropping-particle" : "", "family" : "Mittlboeck", "given" : "M.", "non-dropping-particle" : "", "parse-names" : false, "suffix" : "" }, { "dropping-particle" : "", "family" : "Horvat", "given" : "R.", "non-dropping-particle" : "", "parse-names" : false, "suffix" : "" }, { "dropping-particle" : "", "family" : "Pehamberger", "given" : "H.", "non-dropping-particle" : "", "parse-names" : false, "suffix" : "" }, { "dropping-particle" : "", "family" : "Diem", "given" : "E.", "non-dropping-particle" : "", "parse-names" : false, "suffix" : "" } ], "container-title" : "European Journal of Surgical Oncology", "id" : "ITEM-21", "issue" : "1", "issued" : { "date-parts" : [ [ "2008" ] ] }, "page" : "82-88", "title" : "Prediction of non-sentinel node status and outcome in sentinel node-positive melanoma patients", "type" : "article-journal", "volume" : "34" }, "uris" : [ "http://www.mendeley.com/documents/?uuid=d5930a2d-7bb7-4c4a-a437-72ecc437a08e" ] } ], "mendeley" : { "formattedCitation" : "&lt;sup&gt;123,136\u2013155&lt;/sup&gt;", "plainTextFormattedCitation" : "123,136\u2013155", "previouslyFormattedCitation" : "&lt;sup&gt;123,136\u2013155&lt;/sup&gt;" }, "properties" : { "noteIndex" : 0 }, "schema" : "https://github.com/citation-style-language/schema/raw/master/csl-citation.json" }</w:instrText>
      </w:r>
      <w:r w:rsidRPr="003E73CD">
        <w:rPr>
          <w:sz w:val="22"/>
          <w:szCs w:val="22"/>
        </w:rPr>
        <w:fldChar w:fldCharType="separate"/>
      </w:r>
      <w:r w:rsidR="00CE2A17" w:rsidRPr="00CE2A17">
        <w:rPr>
          <w:noProof/>
          <w:sz w:val="22"/>
          <w:szCs w:val="22"/>
          <w:vertAlign w:val="superscript"/>
        </w:rPr>
        <w:t>123,136–155</w:t>
      </w:r>
      <w:r w:rsidRPr="003E73CD">
        <w:rPr>
          <w:sz w:val="22"/>
          <w:szCs w:val="22"/>
        </w:rPr>
        <w:fldChar w:fldCharType="end"/>
      </w:r>
      <w:proofErr w:type="gramStart"/>
      <w:r w:rsidRPr="003E73CD">
        <w:rPr>
          <w:sz w:val="22"/>
          <w:szCs w:val="22"/>
        </w:rPr>
        <w:t xml:space="preserve">  The</w:t>
      </w:r>
      <w:proofErr w:type="gramEnd"/>
      <w:r w:rsidRPr="003E73CD">
        <w:rPr>
          <w:sz w:val="22"/>
          <w:szCs w:val="22"/>
        </w:rPr>
        <w:t xml:space="preserve"> actual significance of NSN status has not been fully determined.  The Second Multicenter Selective Lymphadenectomy Trial (MSLT II) is currently under way to determine whether, for SN positive patients, immediate CLND confers any survival advantage over high-resolution ultrasound monitoring and delayed TLND as required.</w:t>
      </w:r>
      <w:r w:rsidRPr="003E73CD">
        <w:rPr>
          <w:sz w:val="22"/>
          <w:szCs w:val="22"/>
        </w:rPr>
        <w:fldChar w:fldCharType="begin" w:fldLock="1"/>
      </w:r>
      <w:r w:rsidR="00217FAC">
        <w:rPr>
          <w:sz w:val="22"/>
          <w:szCs w:val="22"/>
        </w:rPr>
        <w:instrText>ADDIN CSL_CITATION { "citationItems" : [ { "id" : "ITEM-1", "itemData" : { "ISSN" : "1068-9265", "PMID" : "15023740", "author" : [ { "dropping-particle" : "", "family" : "Morton", "given" : "Donald L", "non-dropping-particle" : "", "parse-names" : false, "suffix" : "" } ], "container-title" : "Annals of surgical oncology", "id" : "ITEM-1", "issue" : "3 Suppl", "issued" : { "date-parts" : [ [ "2004", "3" ] ] }, "page" : "137S-43S", "title" : "Sentinel node mapping and an International Sentinel Node Society: current issues and future directions.", "type" : "article-journal", "volume" : "11" }, "uris" : [ "http://www.mendeley.com/documents/?uuid=ee2ad31d-b686-44d3-8ad0-dccbc246b048" ] } ], "mendeley" : { "formattedCitation" : "&lt;sup&gt;159&lt;/sup&gt;", "plainTextFormattedCitation" : "159", "previouslyFormattedCitation" : "&lt;sup&gt;159&lt;/sup&gt;" }, "properties" : { "noteIndex" : 0 }, "schema" : "https://github.com/citation-style-language/schema/raw/master/csl-citation.json" }</w:instrText>
      </w:r>
      <w:r w:rsidRPr="003E73CD">
        <w:rPr>
          <w:sz w:val="22"/>
          <w:szCs w:val="22"/>
        </w:rPr>
        <w:fldChar w:fldCharType="separate"/>
      </w:r>
      <w:r w:rsidR="00CE2A17" w:rsidRPr="00CE2A17">
        <w:rPr>
          <w:noProof/>
          <w:sz w:val="22"/>
          <w:szCs w:val="22"/>
          <w:vertAlign w:val="superscript"/>
        </w:rPr>
        <w:t>159</w:t>
      </w:r>
      <w:r w:rsidRPr="003E73CD">
        <w:rPr>
          <w:sz w:val="22"/>
          <w:szCs w:val="22"/>
        </w:rPr>
        <w:fldChar w:fldCharType="end"/>
      </w:r>
      <w:proofErr w:type="gramStart"/>
      <w:r w:rsidRPr="003E73CD">
        <w:rPr>
          <w:sz w:val="22"/>
          <w:szCs w:val="22"/>
        </w:rPr>
        <w:t xml:space="preserve">  However</w:t>
      </w:r>
      <w:proofErr w:type="gramEnd"/>
      <w:r w:rsidRPr="003E73CD">
        <w:rPr>
          <w:sz w:val="22"/>
          <w:szCs w:val="22"/>
        </w:rPr>
        <w:t>, it is possible that a survival advantage from immediate CLND in a subset of this heterogeneous group may go undetected.  For example, at the time of CLND, patients who have metastases confined to nodes that would all be excised at CLND, and have no distant metastases, could be cured by the procedure.  Using ultrasound monitoring these nodal metastases would remain within the patient and retain the potential to metastasize to distant sites.</w:t>
      </w:r>
    </w:p>
    <w:p w14:paraId="305E1E61" w14:textId="77777777" w:rsidR="0061482C" w:rsidRPr="003E73CD" w:rsidRDefault="0061482C" w:rsidP="0061482C">
      <w:pPr>
        <w:spacing w:line="480" w:lineRule="auto"/>
        <w:ind w:firstLine="720"/>
        <w:rPr>
          <w:sz w:val="22"/>
          <w:szCs w:val="22"/>
        </w:rPr>
      </w:pPr>
      <w:r w:rsidRPr="003E73CD">
        <w:rPr>
          <w:sz w:val="22"/>
          <w:szCs w:val="22"/>
        </w:rPr>
        <w:t>Thus, the present study was undertaken to further define and characterize the SN positive population.  Specific aims were first to determine the prognostic significance of NSN status.  Second, to examine patient and primary tumor characteristics for factors predictive of NSN metastasis.  Third, to develop a classification system for SN positive patients that delineates groups with distinctly different survival, and could be useful for selecting patients for clinical trials.</w:t>
      </w:r>
    </w:p>
    <w:p w14:paraId="25C04136" w14:textId="77777777" w:rsidR="0061482C" w:rsidRPr="003E73CD" w:rsidRDefault="0061482C" w:rsidP="0061482C">
      <w:pPr>
        <w:spacing w:line="480" w:lineRule="auto"/>
        <w:rPr>
          <w:sz w:val="22"/>
          <w:szCs w:val="22"/>
        </w:rPr>
      </w:pPr>
    </w:p>
    <w:p w14:paraId="5B928384" w14:textId="77777777" w:rsidR="0061482C" w:rsidRPr="003E73CD" w:rsidRDefault="0061482C" w:rsidP="0061482C">
      <w:pPr>
        <w:spacing w:line="480" w:lineRule="auto"/>
        <w:rPr>
          <w:sz w:val="22"/>
          <w:szCs w:val="22"/>
        </w:rPr>
      </w:pPr>
      <w:r w:rsidRPr="003E73CD">
        <w:rPr>
          <w:sz w:val="22"/>
          <w:szCs w:val="22"/>
        </w:rPr>
        <w:t>METHODS</w:t>
      </w:r>
    </w:p>
    <w:p w14:paraId="1ECC430F" w14:textId="77777777" w:rsidR="0061482C" w:rsidRPr="003E73CD" w:rsidRDefault="0061482C" w:rsidP="0061482C">
      <w:pPr>
        <w:spacing w:line="480" w:lineRule="auto"/>
        <w:rPr>
          <w:sz w:val="22"/>
          <w:szCs w:val="22"/>
        </w:rPr>
      </w:pPr>
    </w:p>
    <w:p w14:paraId="1D3563B4" w14:textId="77777777" w:rsidR="0061482C" w:rsidRPr="003E73CD" w:rsidRDefault="0061482C" w:rsidP="0061482C">
      <w:pPr>
        <w:pStyle w:val="BodyText2"/>
        <w:rPr>
          <w:sz w:val="22"/>
          <w:szCs w:val="22"/>
          <w:u w:val="single"/>
        </w:rPr>
      </w:pPr>
      <w:r w:rsidRPr="003E73CD">
        <w:rPr>
          <w:sz w:val="22"/>
          <w:szCs w:val="22"/>
          <w:u w:val="single"/>
        </w:rPr>
        <w:t>Data acquisition</w:t>
      </w:r>
    </w:p>
    <w:p w14:paraId="243EAE49" w14:textId="45B02271" w:rsidR="0061482C" w:rsidRPr="003E73CD" w:rsidRDefault="0061482C" w:rsidP="0061482C">
      <w:pPr>
        <w:pStyle w:val="BodyText2"/>
        <w:ind w:firstLine="720"/>
        <w:rPr>
          <w:sz w:val="22"/>
          <w:szCs w:val="22"/>
        </w:rPr>
      </w:pPr>
      <w:r w:rsidRPr="003E73CD">
        <w:rPr>
          <w:sz w:val="22"/>
          <w:szCs w:val="22"/>
        </w:rPr>
        <w:t>Data were retrieved from the prospectively collected Sydney Melanoma Unit (SMU) database for all SNB positive patients treated between October 1992 and June 2005.  The exc</w:t>
      </w:r>
      <w:r w:rsidR="00155C61">
        <w:rPr>
          <w:sz w:val="22"/>
          <w:szCs w:val="22"/>
        </w:rPr>
        <w:t>lusion criteria shown in Table 3.2.1</w:t>
      </w:r>
      <w:r w:rsidRPr="003E73CD">
        <w:rPr>
          <w:sz w:val="22"/>
          <w:szCs w:val="22"/>
        </w:rPr>
        <w:t xml:space="preserve"> were then applied.  In order to obtain information regarding NSNs, only patients who proceeded to have a CLND were included.  Patients with SNs in more than one lymph node basin were excluded because it was not known whether the finding of 2 positive SNs in the same lymph node basin carries the same prognostic implications as 1 positive SN in two different lymph node basins.  Similarly, patients with positive interval nodes were </w:t>
      </w:r>
      <w:proofErr w:type="gramStart"/>
      <w:r w:rsidRPr="003E73CD">
        <w:rPr>
          <w:sz w:val="22"/>
          <w:szCs w:val="22"/>
        </w:rPr>
        <w:t>excluded</w:t>
      </w:r>
      <w:proofErr w:type="gramEnd"/>
      <w:r w:rsidRPr="003E73CD">
        <w:rPr>
          <w:sz w:val="22"/>
          <w:szCs w:val="22"/>
        </w:rPr>
        <w:t xml:space="preserve"> as their prognostic significance compared to standard nodes is unknown.  </w:t>
      </w:r>
    </w:p>
    <w:p w14:paraId="13B0DB59" w14:textId="77777777" w:rsidR="0061482C" w:rsidRPr="003E73CD" w:rsidRDefault="0061482C" w:rsidP="0061482C">
      <w:pPr>
        <w:spacing w:line="480" w:lineRule="auto"/>
        <w:ind w:firstLine="720"/>
        <w:rPr>
          <w:sz w:val="22"/>
          <w:szCs w:val="22"/>
        </w:rPr>
      </w:pPr>
      <w:r w:rsidRPr="003E73CD">
        <w:rPr>
          <w:sz w:val="22"/>
          <w:szCs w:val="22"/>
        </w:rPr>
        <w:t>For each patient, the number of actual SNs removed at operation was confirmed by correlating the number and location of SNs detected by lymphoscintigraphy with the number and location of nodes detected by blue dye and/or a hand-held gamma probe, and excised at SNB.  The histopathology reports were reviewed to ensure that all specimens labeled as lymph nodes actually contained nodal tissue.  Nodes removed at CLND and those removed at SNB but identified as non-sentinel were classified as NSNs.  For each patient the numbers of positive SNs and NSNs were recorded, and survival rates were determined.</w:t>
      </w:r>
    </w:p>
    <w:p w14:paraId="02DB9AFC" w14:textId="77777777" w:rsidR="0061482C" w:rsidRPr="003E73CD" w:rsidRDefault="0061482C" w:rsidP="0061482C">
      <w:pPr>
        <w:spacing w:line="480" w:lineRule="auto"/>
        <w:ind w:firstLine="720"/>
        <w:rPr>
          <w:sz w:val="22"/>
          <w:szCs w:val="22"/>
        </w:rPr>
      </w:pPr>
    </w:p>
    <w:p w14:paraId="3DD56B1F" w14:textId="77777777" w:rsidR="0061482C" w:rsidRPr="003E73CD" w:rsidRDefault="0061482C" w:rsidP="0061482C">
      <w:pPr>
        <w:spacing w:line="480" w:lineRule="auto"/>
        <w:rPr>
          <w:sz w:val="22"/>
          <w:szCs w:val="22"/>
          <w:u w:val="single"/>
        </w:rPr>
      </w:pPr>
      <w:r w:rsidRPr="003E73CD">
        <w:rPr>
          <w:sz w:val="22"/>
          <w:szCs w:val="22"/>
          <w:u w:val="single"/>
        </w:rPr>
        <w:t>Technical details of procedures</w:t>
      </w:r>
    </w:p>
    <w:p w14:paraId="3F7B593C" w14:textId="06D9874D" w:rsidR="0061482C" w:rsidRPr="003E73CD" w:rsidRDefault="0061482C" w:rsidP="0061482C">
      <w:pPr>
        <w:spacing w:line="480" w:lineRule="auto"/>
        <w:ind w:firstLine="720"/>
        <w:rPr>
          <w:sz w:val="22"/>
          <w:szCs w:val="22"/>
        </w:rPr>
      </w:pPr>
      <w:r w:rsidRPr="003E73CD">
        <w:rPr>
          <w:sz w:val="22"/>
          <w:szCs w:val="22"/>
        </w:rPr>
        <w:t>The techniques of lymphatic mapping and SNB at the SMU have been described previously.</w:t>
      </w:r>
      <w:r w:rsidRPr="003E73CD">
        <w:rPr>
          <w:sz w:val="22"/>
          <w:szCs w:val="22"/>
        </w:rPr>
        <w:fldChar w:fldCharType="begin" w:fldLock="1"/>
      </w:r>
      <w:r w:rsidR="005676A9">
        <w:rPr>
          <w:sz w:val="22"/>
          <w:szCs w:val="22"/>
        </w:rPr>
        <w:instrText>ADDIN CSL_CITATION { "citationItems" : [ { "id" : "ITEM-1", "itemData" : { "ISSN" : "0093-7754", "PMID" : "15190492", "abstract" : "If incorrect or misleading information is obtained from a sentinel node (SN) biopsy procedure for melanoma, inappropriate management decisions may be made, and the patient's outcome compromised as a result. As well, misleading prognostic indications may be provided to the patient. It is therefore important to correctly identify all SNs in every patient and to remove them all for examination. To reduce the likelihood of error, a high-quality preoperative lymphoscintigraphy (LSG) is the first prerequisite. The surgical procedure must then be undertaken with great care to remove all of the SNs that have been identified by the LSG. This will involve both blue dye mapping and use of a gamma probe. A thorough knowledge and understanding of common and uncommon sites at which SNs can be located, as outlined here, will not only make the surgery simpler and quicker, but will reduce the possibility of error by diminishing the risk of overlooking possible locations at which SNs may be found.", "author" : [ { "dropping-particle" : "", "family" : "Thompson", "given" : "John F", "non-dropping-particle" : "", "parse-names" : false, "suffix" : "" }, { "dropping-particle" : "", "family" : "Uren", "given" : "Roger F", "non-dropping-particle" : "", "parse-names" : false, "suffix" : "" } ], "container-title" : "Seminars in oncology", "id" : "ITEM-1", "issue" : "3", "issued" : { "date-parts" : [ [ "2004", "6" ] ] }, "page" : "349-56", "title" : "Teaching points on lymphatic mapping for melanoma from the Sydney Melanoma Unit.", "type" : "article-journal", "volume" : "31" }, "uris" : [ "http://www.mendeley.com/documents/?uuid=2626193f-3019-4260-9fe2-bbfacfc9abfe" ] }, { "id" : "ITEM-2", "itemData" : { "ISSN" : "0147-5185", "PMID" : "12960803", "abstract" : "A sentinel lymph node (SLN) that is melanoma negative by pathologic examination implies absence of melanoma metastasis to that regional lymph node field. However, a small proportion of patients develop regional node field recurrence after a negative SLN biopsy. In this study, we reviewed the histopathology of negative SLNs from such patients to determine whether occult melanoma cells were present in the SLNs, to characterize the pathologic features of false-negative SLNs, and to provide recommendations for the histopathologic examination of these specimens. Between March 1992 and June 2001, of 1152 patients who had undergone SLN biopsy for primary melanomas at the Sydney Melanoma Unit, 976 were diagnosed with negative SLNs by initial pathologic examination (using 2 hematoxylin and eosin stained sections, and 2 immunostained sections for S-100 protein and HMB45), and follow-up was available in 957. Of these, 26 (2.7%) developed regional lymph node recurrence during a median follow-up period of 35.7 months. For 22 of them, the original slides and tissue blocks were available for reexamination. The original slides of each block were reviewed. Multiple further sections were cut from each block and stained with hematoxylin and eosin, for S-100, HMB45, and Melan A. Deposits of occult melanoma cells were detected in 7 of the 22 cases (31.8%). In 5 of the 7 cases, deposits of melanoma cells were present only in the recut sections. There were no significant differences in clinical and pathologic variables for those patients in whom occult melanoma cells were found by pathologic reexamination of their SLNs, compared with those in whom no melanoma cells were detected. The detection of melanoma cell deposits in only 7 of 22 false-negative SLNs suggests that mechanisms other than failure of histopathologic examination may contribute to the failure of the SLN biopsy technique in some patients. The failure rate for melanoma detection in SLNs by our routine pathologic examination, using the current protocol at our institution, was &lt;1% (7 of 957 patients). Routinely performing more intensive histopathologic examination of SLNs is difficult to justify from a cost benefit perspective; we therefore recommend examining two hematoxylin and eosin stained sections and two immunostained sections (for S-100 and HMB45) routinely on SLNs from melanoma patients.", "author" : [ { "dropping-particle" : "", "family" : "Li", "given" : "Ling-Xi L", "non-dropping-particle" : "", "parse-names" : false, "suffix" : "" }, { "dropping-particle" : "", "family" : "Scolyer", "given" : "Richard A", "non-dropping-particle" : "", "parse-names" : false, "suffix" : "" }, { "dropping-particle" : "", "family" : "Ka", "given" : "Vivian S K", "non-dropping-particle" : "", "parse-names" : false, "suffix" : "" }, { "dropping-particle" : "", "family" : "McKinnon", "given" : "J Gregory", "non-dropping-particle" : "", "parse-names" : false, "suffix" : "" }, { "dropping-particle" : "", "family" : "Shaw", "given" : "Helen M", "non-dropping-particle" : "", "parse-names" : false, "suffix" : "" }, { "dropping-particle" : "", "family" : "McCarthy", "given" : "Stanley W", "non-dropping-particle" : "", "parse-names" : false, "suffix" : "" }, { "dropping-particle" : "", "family" : "Thompson", "given" : "John F", "non-dropping-particle" : "", "parse-names" : false, "suffix" : "" } ], "container-title" : "The American journal of surgical pathology", "id" : "ITEM-2", "issue" : "9", "issued" : { "date-parts" : [ [ "2003", "9" ] ] }, "page" : "1197-202", "title" : "Pathologic review of negative sentinel lymph nodes in melanoma patients with regional recurrence: a clinicopathologic study of 1152 patients undergoing sentinel lymph node biopsy.", "type" : "article-journal", "volume" : "27" }, "uris" : [ "http://www.mendeley.com/documents/?uuid=ebd34ec8-3ef3-4fdf-9910-21ca9d6c2a10" ] } ], "mendeley" : { "formattedCitation" : "&lt;sup&gt;182,224&lt;/sup&gt;", "plainTextFormattedCitation" : "182,224", "previouslyFormattedCitation" : "&lt;sup&gt;182,224&lt;/sup&gt;" }, "properties" : { "noteIndex" : 0 }, "schema" : "https://github.com/citation-style-language/schema/raw/master/csl-citation.json" }</w:instrText>
      </w:r>
      <w:r w:rsidRPr="003E73CD">
        <w:rPr>
          <w:sz w:val="22"/>
          <w:szCs w:val="22"/>
        </w:rPr>
        <w:fldChar w:fldCharType="separate"/>
      </w:r>
      <w:r w:rsidR="00217FAC" w:rsidRPr="00217FAC">
        <w:rPr>
          <w:noProof/>
          <w:sz w:val="22"/>
          <w:szCs w:val="22"/>
          <w:vertAlign w:val="superscript"/>
        </w:rPr>
        <w:t>182,224</w:t>
      </w:r>
      <w:r w:rsidRPr="003E73CD">
        <w:rPr>
          <w:sz w:val="22"/>
          <w:szCs w:val="22"/>
        </w:rPr>
        <w:fldChar w:fldCharType="end"/>
      </w:r>
      <w:proofErr w:type="gramStart"/>
      <w:r w:rsidRPr="003E73CD">
        <w:rPr>
          <w:sz w:val="22"/>
          <w:szCs w:val="22"/>
        </w:rPr>
        <w:t xml:space="preserve">  Lymph</w:t>
      </w:r>
      <w:proofErr w:type="gramEnd"/>
      <w:r w:rsidRPr="003E73CD">
        <w:rPr>
          <w:sz w:val="22"/>
          <w:szCs w:val="22"/>
        </w:rPr>
        <w:t xml:space="preserve"> nodes from CLND specimens and those labeled “non-sentinel” at the time of SNB were stained with H&amp;E only.</w:t>
      </w:r>
      <w:r w:rsidRPr="003E73CD">
        <w:rPr>
          <w:sz w:val="22"/>
          <w:szCs w:val="22"/>
        </w:rPr>
        <w:fldChar w:fldCharType="begin" w:fldLock="1"/>
      </w:r>
      <w:r w:rsidR="005676A9">
        <w:rPr>
          <w:sz w:val="22"/>
          <w:szCs w:val="22"/>
        </w:rPr>
        <w:instrText>ADDIN CSL_CITATION { "citationItems" : [ { "id" : "ITEM-1", "itemData" : { "ISSN" : "0960-8931", "PMID" : "15305156", "abstract" : "In melanoma patients, examination of tissue sections stained for immunohistochemical markers as an adjunct to examination of haematoxylin and eosin (H&amp;E)-stained sections has been shown to increase the detection rate of micrometastatic disease in sentinel lymph nodes (SLNs). However, immunohistochemical stains are not routinely performed on completion regional lymph node dissection (CLND) specimens in most centres and it is not known whether their use would increase the detection of micrometastatic disease in these specimens. This study was performed to determine whether the application of immunohistochemical stains for S100 and HMB45 (in addition to H&amp;E stains) increases the detection of micrometastatic disease in CLND specimens of melanoma patients and whether their use would be cost-effective in routine pathological practice. Forty-nine CLND specimens from patients with a prior positive SLN biopsy were examined by performing H&amp;E stains and immunohistochemical stains for S100 protein and HMB-45 on each node, and the detection rate of melanoma metastases using H&amp;E-stained sections was compared with that using immunohistochemically stained sections. The number of nodes in the CLND specimens ranged from 4 to 37 (median 14, mean 14.7). Nodal deposits of melanoma cells were detected in 12 of 49 cases (24%). Among these 12 positive cases, the mean number of positive nodes per CLND specimen was 2.2 (range, 1-14). The total number of positive nodes in the 12 CLND specimens was 27, accounting for 3.8% of the 720 nodes removed in the study group of 49 cases. Melanoma cells in all 27 positive nodes were identified both on the H&amp;E-stained slides and the slides stained immunohistochemically for S100. The melanoma cells were positive for HMB45 in 24 of the 27 lymph nodes that contained metastatic melanoma (the metastatic melanoma cells were negative for HMB45 in three positive nodes from one specimen). No further positive lymph nodes were detected with the immunostains that had not been identified on the H&amp;E-stained sections. This study suggests that the use of immunostains does not increase the detection rate of metastatic melanoma in CLND specimens, and that their routine use would not be cost-effective. We therefore recommend only H&amp;E staining on sections of all lymph nodes in CLND specimens from melanoma patients.", "author" : [ { "dropping-particle" : "", "family" : "Scolyer", "given" : "Richard A", "non-dropping-particle" : "", "parse-names" : false, "suffix" : "" }, { "dropping-particle" : "", "family" : "Li", "given" : "Ling-Xi L", "non-dropping-particle" : "", "parse-names" : false, "suffix" : "" }, { "dropping-particle" : "", "family" : "McCarthy", "given" : "Stanley W", "non-dropping-particle" : "", "parse-names" : false, "suffix" : "" }, { "dropping-particle" : "", "family" : "Shaw", "given" : "Helen M", "non-dropping-particle" : "", "parse-names" : false, "suffix" : "" }, { "dropping-particle" : "", "family" : "Stretch", "given" : "Jonathan R", "non-dropping-particle" : "", "parse-names" : false, "suffix" : "" }, { "dropping-particle" : "", "family" : "Sharma", "given" : "Raghwa", "non-dropping-particle" : "", "parse-names" : false, "suffix" : "" }, { "dropping-particle" : "", "family" : "Thompson", "given" : "John F", "non-dropping-particle" : "", "parse-names" : false, "suffix" : "" } ], "container-title" : "Melanoma research", "id" : "ITEM-1", "issue" : "4", "issued" : { "date-parts" : [ [ "2004", "8" ] ] }, "page" : "263-8", "title" : "Immunohistochemical stains fail to increase the detection rate of micrometastatic melanoma in completion regional lymph node dissection specimens.", "type" : "article-journal", "volume" : "14" }, "uris" : [ "http://www.mendeley.com/documents/?uuid=8a14f4ad-ffa1-4bc3-bc32-83ea8611a664" ] } ], "mendeley" : { "formattedCitation" : "&lt;sup&gt;225&lt;/sup&gt;", "plainTextFormattedCitation" : "225", "previouslyFormattedCitation" : "&lt;sup&gt;225&lt;/sup&gt;" }, "properties" : { "noteIndex" : 0 }, "schema" : "https://github.com/citation-style-language/schema/raw/master/csl-citation.json" }</w:instrText>
      </w:r>
      <w:r w:rsidRPr="003E73CD">
        <w:rPr>
          <w:sz w:val="22"/>
          <w:szCs w:val="22"/>
        </w:rPr>
        <w:fldChar w:fldCharType="separate"/>
      </w:r>
      <w:r w:rsidR="00217FAC" w:rsidRPr="00217FAC">
        <w:rPr>
          <w:noProof/>
          <w:sz w:val="22"/>
          <w:szCs w:val="22"/>
          <w:vertAlign w:val="superscript"/>
        </w:rPr>
        <w:t>225</w:t>
      </w:r>
      <w:r w:rsidRPr="003E73CD">
        <w:rPr>
          <w:sz w:val="22"/>
          <w:szCs w:val="22"/>
        </w:rPr>
        <w:fldChar w:fldCharType="end"/>
      </w:r>
      <w:proofErr w:type="gramStart"/>
      <w:r w:rsidRPr="003E73CD">
        <w:rPr>
          <w:sz w:val="22"/>
          <w:szCs w:val="22"/>
        </w:rPr>
        <w:t xml:space="preserve">  For</w:t>
      </w:r>
      <w:proofErr w:type="gramEnd"/>
      <w:r w:rsidRPr="003E73CD">
        <w:rPr>
          <w:sz w:val="22"/>
          <w:szCs w:val="22"/>
        </w:rPr>
        <w:t xml:space="preserve"> the primary tumors, Breslow thickness (mm), mitotic rate (mitoses/mm</w:t>
      </w:r>
      <w:r w:rsidRPr="003E73CD">
        <w:rPr>
          <w:sz w:val="22"/>
          <w:szCs w:val="22"/>
          <w:vertAlign w:val="superscript"/>
        </w:rPr>
        <w:t>2</w:t>
      </w:r>
      <w:r w:rsidRPr="003E73CD">
        <w:rPr>
          <w:sz w:val="22"/>
          <w:szCs w:val="22"/>
        </w:rPr>
        <w:t>) and presence or absence of ulceration were assessed and recorded, the latter two according to criteria previously described.</w:t>
      </w:r>
      <w:r w:rsidRPr="003E73CD">
        <w:rPr>
          <w:sz w:val="22"/>
          <w:szCs w:val="22"/>
        </w:rPr>
        <w:fldChar w:fldCharType="begin" w:fldLock="1"/>
      </w:r>
      <w:r w:rsidRPr="003E73CD">
        <w:rPr>
          <w:sz w:val="22"/>
          <w:szCs w:val="22"/>
        </w:rPr>
        <w:instrText>ADDIN CSL_CITATION { "citationItems" : [ { "id" : "ITEM-1", "itemData" : { "DOI" : "10.1002/cncr.11196", "ISBN" : "0008-543X (Print)\\r0008-543X (Linking)", "ISSN" : "0008543X", "PMID" : "12627514", "abstract" : "BACKGROUND: The current study was performed to determine whether tumor mitotic rate (TMR) is a useful, independent prognostic factor in patients with localized cutaneous melanoma. METHODS: From the Sydney Melanoma Unit database, 3661 patients with complete clinical information and details of primary tumor thickness, ulcerative state, and TMR were studied. TMR was expressed as mitoses per mm(2) in the dermal part of the tumor in which most mitoses were seen, as recommended in the 1982 revision of the 1972 Sydney classification of malignant melanoma. To determine which was the more prognostically useful method of grouping TMR, two separate methods (A and B) were used. Factors predicting melanoma-specific survival were analyzed using the Cox proportional hazards regression model. RESULTS: Patients with a TMR of 0 mitoses/mm(2) had a significantly better survival than those with 1 mitosis/mm(2) (P &lt; 0.0001) but no significant survival differences were recorded for the stepwise increases from 1-2, 2-3, 3-4, and 4-5/mm(2). Tumor thickness, ulceration, and TMR were closely correlated, whether TMR was grouped using Method A (0, 1-4, 5-10, and &gt;/= 11 mitoses/mm(2)) or Method B (0-1, 2-4, and &gt;/= 5 mitoses/mm(2)). However, Cox regression analysis indicated that the TMR was a highly significant independent prognostic factor, particularly when grouped according to Method A, in which it was second only to tumor thickness as the most powerful predictor of survival (P &lt; 0.0001). CONCLUSIONS: TMR is an important independent predictor of survival for melanoma patients. If confirmed by studies from other centers, it has the potential to further improve the accuracy of melanoma staging, as well as to define more rigidly the risk categories for patients entering clinical trials.", "author" : [ { "dropping-particle" : "", "family" : "Azzola", "given" : "Manuela F.", "non-dropping-particle" : "", "parse-names" : false, "suffix" : "" }, { "dropping-particle" : "", "family" : "Shaw", "given" : "Helen M.", "non-dropping-particle" : "", "parse-names" : false, "suffix" : "" }, { "dropping-particle" : "", "family" : "Thompson", "given" : "John F.", "non-dropping-particle" : "", "parse-names" : false, "suffix" : "" }, { "dropping-particle" : "", "family" : "Soong", "given" : "Seng jaw", "non-dropping-particle" : "", "parse-names" : false, "suffix" : "" }, { "dropping-particle" : "", "family" : "Scolyer", "given" : "Richard A.", "non-dropping-particle" : "", "parse-names" : false, "suffix" : "" }, { "dropping-particle" : "", "family" : "Watson", "given" : "Geoffrey F.", "non-dropping-particle" : "", "parse-names" : false, "suffix" : "" }, { "dropping-particle" : "", "family" : "Colman", "given" : "Marjorie H.", "non-dropping-particle" : "", "parse-names" : false, "suffix" : "" }, { "dropping-particle" : "", "family" : "Zhang", "given" : "Yuting", "non-dropping-particle" : "", "parse-names" : false, "suffix" : "" } ], "container-title" : "Cancer", "id" : "ITEM-1", "issue" : "6", "issued" : { "date-parts" : [ [ "2003" ] ] }, "page" : "1488-1498", "title" : "Tumor mitotic rate is a more powerful prognostic indicator than ulceration in patients with primary cutaneous melanoma: An analysis of 3661 patients from a single center", "type" : "article-journal", "volume" : "97" }, "uris" : [ "http://www.mendeley.com/documents/?uuid=70e67fdc-f282-474a-bafc-6f3023cd2308" ] } ], "mendeley" : { "formattedCitation" : "&lt;sup&gt;21&lt;/sup&gt;", "plainTextFormattedCitation" : "21", "previouslyFormattedCitation" : "&lt;sup&gt;21&lt;/sup&gt;" }, "properties" : { "noteIndex" : 0 }, "schema" : "https://github.com/citation-style-language/schema/raw/master/csl-citation.json" }</w:instrText>
      </w:r>
      <w:r w:rsidRPr="003E73CD">
        <w:rPr>
          <w:sz w:val="22"/>
          <w:szCs w:val="22"/>
        </w:rPr>
        <w:fldChar w:fldCharType="separate"/>
      </w:r>
      <w:r w:rsidRPr="003E73CD">
        <w:rPr>
          <w:noProof/>
          <w:sz w:val="22"/>
          <w:szCs w:val="22"/>
          <w:vertAlign w:val="superscript"/>
        </w:rPr>
        <w:t>21</w:t>
      </w:r>
      <w:r w:rsidRPr="003E73CD">
        <w:rPr>
          <w:sz w:val="22"/>
          <w:szCs w:val="22"/>
        </w:rPr>
        <w:fldChar w:fldCharType="end"/>
      </w:r>
    </w:p>
    <w:p w14:paraId="7A1B1C86" w14:textId="77777777" w:rsidR="0061482C" w:rsidRPr="003E73CD" w:rsidRDefault="0061482C" w:rsidP="0061482C">
      <w:pPr>
        <w:spacing w:line="480" w:lineRule="auto"/>
        <w:rPr>
          <w:sz w:val="22"/>
          <w:szCs w:val="22"/>
        </w:rPr>
      </w:pPr>
    </w:p>
    <w:p w14:paraId="7D2236B0" w14:textId="77777777" w:rsidR="0061482C" w:rsidRPr="003E73CD" w:rsidRDefault="0061482C" w:rsidP="0061482C">
      <w:pPr>
        <w:pStyle w:val="Heading3"/>
        <w:spacing w:line="480" w:lineRule="auto"/>
        <w:rPr>
          <w:rFonts w:ascii="Cambria" w:hAnsi="Cambria"/>
          <w:sz w:val="22"/>
          <w:szCs w:val="22"/>
        </w:rPr>
      </w:pPr>
      <w:r w:rsidRPr="003E73CD">
        <w:rPr>
          <w:rFonts w:ascii="Cambria" w:hAnsi="Cambria"/>
          <w:sz w:val="22"/>
          <w:szCs w:val="22"/>
        </w:rPr>
        <w:t>Statistical analysis</w:t>
      </w:r>
    </w:p>
    <w:p w14:paraId="24990170" w14:textId="6B7AC539" w:rsidR="0061482C" w:rsidRPr="003E73CD" w:rsidRDefault="0061482C" w:rsidP="0061482C">
      <w:pPr>
        <w:adjustRightInd w:val="0"/>
        <w:spacing w:line="480" w:lineRule="auto"/>
        <w:ind w:firstLine="720"/>
        <w:rPr>
          <w:sz w:val="22"/>
          <w:szCs w:val="22"/>
        </w:rPr>
      </w:pPr>
      <w:r w:rsidRPr="003E73CD">
        <w:rPr>
          <w:sz w:val="22"/>
          <w:szCs w:val="22"/>
        </w:rPr>
        <w:t>Patients’ demographics and cancer clinical characteristics were summarized using descriptive statistics.  For continuous variables, mean and standard deviations (SD) were calculated.  For categorical variables, frequency and percentages were listed.  Analysis of disease-specific survival was performed according to the Kaplan-Meier method and the log-rank test was applied to test group differences.</w:t>
      </w:r>
      <w:r w:rsidRPr="003E73CD">
        <w:rPr>
          <w:sz w:val="22"/>
          <w:szCs w:val="22"/>
        </w:rPr>
        <w:fldChar w:fldCharType="begin" w:fldLock="1"/>
      </w:r>
      <w:r w:rsidR="005676A9">
        <w:rPr>
          <w:sz w:val="22"/>
          <w:szCs w:val="22"/>
        </w:rPr>
        <w:instrText>ADDIN CSL_CITATION { "citationItems" : [ { "id" : "ITEM-1", "itemData" : { "abstract" : "Abstract In lifetesting, medical follow-up, and other fields the observation of the time of occurrence of the event of interest (called a death) may be prevented for some of the items of the sample by the previous occurrence of some other event (called a loss). Losses may be either accidental or controlled, the latter resulting from a decision to terminate certain observations. In either case it is usually assumed in this paper that the lifetime (age at death) is independent of the potential loss time; in practice this assumption deserves careful scrutiny. Despite the resulting incompleteness of the data, it is desired to estimate the proportion P(t) of items in the population whose lifetimes would exceed t (in the absence of such losses), without making any assumption about the form of the function P(t). The observation for each item of a suitable initial event, marking the beginning of its lifetime, is presupposed. For random samples of size N the product-limit (PL) estimate can be defined as follows: L...", "author" : [ { "dropping-particle" : "", "family" : "Kaplan", "given" : "E. L.", "non-dropping-particle" : "", "parse-names" : false, "suffix" : "" }, { "dropping-particle" : "", "family" : "Meier", "given" : "Paul", "non-dropping-particle" : "", "parse-names" : false, "suffix" : "" } ], "container-title" : "Journal of the American Statistical Association", "id" : "ITEM-1", "issue" : "282", "issued" : { "date-parts" : [ [ "1958", "4", "12" ] ] }, "language" : "en", "page" : "457-481", "publisher" : "Taylor &amp; Francis Group", "title" : "Nonparametric Estimation from Incomplete Observations", "type" : "article-journal", "volume" : "53" }, "uris" : [ "http://www.mendeley.com/documents/?uuid=2e6d40e2-3ade-42af-adbf-89c1fb97d299" ] } ], "mendeley" : { "formattedCitation" : "&lt;sup&gt;226&lt;/sup&gt;", "plainTextFormattedCitation" : "226", "previouslyFormattedCitation" : "&lt;sup&gt;226&lt;/sup&gt;" }, "properties" : { "noteIndex" : 0 }, "schema" : "https://github.com/citation-style-language/schema/raw/master/csl-citation.json" }</w:instrText>
      </w:r>
      <w:r w:rsidRPr="003E73CD">
        <w:rPr>
          <w:sz w:val="22"/>
          <w:szCs w:val="22"/>
        </w:rPr>
        <w:fldChar w:fldCharType="separate"/>
      </w:r>
      <w:r w:rsidR="00217FAC" w:rsidRPr="00217FAC">
        <w:rPr>
          <w:noProof/>
          <w:sz w:val="22"/>
          <w:szCs w:val="22"/>
          <w:vertAlign w:val="superscript"/>
        </w:rPr>
        <w:t>226</w:t>
      </w:r>
      <w:r w:rsidRPr="003E73CD">
        <w:rPr>
          <w:sz w:val="22"/>
          <w:szCs w:val="22"/>
        </w:rPr>
        <w:fldChar w:fldCharType="end"/>
      </w:r>
      <w:proofErr w:type="gramStart"/>
      <w:r w:rsidRPr="003E73CD">
        <w:rPr>
          <w:sz w:val="22"/>
          <w:szCs w:val="22"/>
        </w:rPr>
        <w:t xml:space="preserve">  The</w:t>
      </w:r>
      <w:proofErr w:type="gramEnd"/>
      <w:r w:rsidRPr="003E73CD">
        <w:rPr>
          <w:sz w:val="22"/>
          <w:szCs w:val="22"/>
        </w:rPr>
        <w:t xml:space="preserve"> potential predictors of survival in SN positive patients were assessed by the Cox regression model.</w:t>
      </w:r>
      <w:r w:rsidRPr="003E73CD">
        <w:rPr>
          <w:sz w:val="22"/>
          <w:szCs w:val="22"/>
        </w:rPr>
        <w:fldChar w:fldCharType="begin" w:fldLock="1"/>
      </w:r>
      <w:r w:rsidR="005676A9">
        <w:rPr>
          <w:sz w:val="22"/>
          <w:szCs w:val="22"/>
        </w:rPr>
        <w:instrText>ADDIN CSL_CITATION { "citationItems" : [ { "id" : "ITEM-1", "itemData" : { "abstract" : "The analysis of censored failure times is considered. It is assumed that on each individual are available values of one or more explanatory variables. The hazard function (age-specific failure rate) is taken to be a function of the explanatory variables and unknown regression coefficients multiplied by an arbitrary and unknown function of time. A conditional likelihood is obtained, leading to inferences about the unknown regression coefficients. Some generalizations are outlined.", "author" : [ { "dropping-particle" : "", "family" : "Cox", "given" : "DR", "non-dropping-particle" : "", "parse-names" : false, "suffix" : "" } ], "container-title" : "Journal of the Royal Statistical Society. Series B", "id" : "ITEM-1", "issued" : { "date-parts" : [ [ "1972" ] ] }, "page" : "187-220", "title" : "Regression models and life-tables", "type" : "article-journal", "volume" : "34" }, "uris" : [ "http://www.mendeley.com/documents/?uuid=ede09e97-38a6-4c95-a220-c2564b67e2b8" ] } ], "mendeley" : { "formattedCitation" : "&lt;sup&gt;227&lt;/sup&gt;", "plainTextFormattedCitation" : "227", "previouslyFormattedCitation" : "&lt;sup&gt;227&lt;/sup&gt;" }, "properties" : { "noteIndex" : 0 }, "schema" : "https://github.com/citation-style-language/schema/raw/master/csl-citation.json" }</w:instrText>
      </w:r>
      <w:r w:rsidRPr="003E73CD">
        <w:rPr>
          <w:sz w:val="22"/>
          <w:szCs w:val="22"/>
        </w:rPr>
        <w:fldChar w:fldCharType="separate"/>
      </w:r>
      <w:r w:rsidR="00217FAC" w:rsidRPr="00217FAC">
        <w:rPr>
          <w:noProof/>
          <w:sz w:val="22"/>
          <w:szCs w:val="22"/>
          <w:vertAlign w:val="superscript"/>
        </w:rPr>
        <w:t>227</w:t>
      </w:r>
      <w:r w:rsidRPr="003E73CD">
        <w:rPr>
          <w:sz w:val="22"/>
          <w:szCs w:val="22"/>
        </w:rPr>
        <w:fldChar w:fldCharType="end"/>
      </w:r>
      <w:proofErr w:type="gramStart"/>
      <w:r w:rsidRPr="003E73CD">
        <w:rPr>
          <w:sz w:val="22"/>
          <w:szCs w:val="22"/>
        </w:rPr>
        <w:t xml:space="preserve">  A</w:t>
      </w:r>
      <w:proofErr w:type="gramEnd"/>
      <w:r w:rsidRPr="003E73CD">
        <w:rPr>
          <w:sz w:val="22"/>
          <w:szCs w:val="22"/>
        </w:rPr>
        <w:t xml:space="preserve"> logistic regression model was used to assess potential predictors of positive NSNs.  In order to evaluate which factors could be used to obtain groups with distinct survival functions the survival tree analysis proposed by LeBlanc and Clowley (1992) was performed.</w:t>
      </w:r>
      <w:r w:rsidRPr="003E73CD">
        <w:rPr>
          <w:sz w:val="22"/>
          <w:szCs w:val="22"/>
        </w:rPr>
        <w:fldChar w:fldCharType="begin" w:fldLock="1"/>
      </w:r>
      <w:r w:rsidR="005676A9">
        <w:rPr>
          <w:sz w:val="22"/>
          <w:szCs w:val="22"/>
        </w:rPr>
        <w:instrText>ADDIN CSL_CITATION { "citationItems" : [ { "id" : "ITEM-1", "itemData" : { "ISSN" : "0006-341X", "PMID" : "1637970", "abstract" : "A method is developed for obtaining tree-structured relative risk estimates for censored survival data. The first step of a full likelihood estimation procedure is used in a recursive partitioning algorithm that adopts most aspects of the widely used Classification and Regression Tree (CART) algorithm of Breiman et al. (1984, Classification and Regression Trees, Belmont, California: Wadsworth). The performance of the technique is investigated through stimulation and compared to the tree-structured survival methods proposed by Davis and Anderson (1989, Statistics in Medicine 8, 947-961) and Therneau, Grambsch, and Fleming (1990, Biometrika 77, 147-160).", "author" : [ { "dropping-particle" : "", "family" : "LeBlanc", "given" : "M", "non-dropping-particle" : "", "parse-names" : false, "suffix" : "" }, { "dropping-particle" : "", "family" : "Crowley", "given" : "J", "non-dropping-particle" : "", "parse-names" : false, "suffix" : "" } ], "container-title" : "Biometrics", "id" : "ITEM-1", "issue" : "2", "issued" : { "date-parts" : [ [ "1992", "6" ] ] }, "page" : "411-25", "title" : "Relative risk trees for censored survival data.", "type" : "article-journal", "volume" : "48" }, "uris" : [ "http://www.mendeley.com/documents/?uuid=88ae24fb-d828-478e-98ce-27e016406396" ] } ], "mendeley" : { "formattedCitation" : "&lt;sup&gt;228&lt;/sup&gt;", "plainTextFormattedCitation" : "228", "previouslyFormattedCitation" : "&lt;sup&gt;228&lt;/sup&gt;" }, "properties" : { "noteIndex" : 0 }, "schema" : "https://github.com/citation-style-language/schema/raw/master/csl-citation.json" }</w:instrText>
      </w:r>
      <w:r w:rsidRPr="003E73CD">
        <w:rPr>
          <w:sz w:val="22"/>
          <w:szCs w:val="22"/>
        </w:rPr>
        <w:fldChar w:fldCharType="separate"/>
      </w:r>
      <w:r w:rsidR="00217FAC" w:rsidRPr="00217FAC">
        <w:rPr>
          <w:noProof/>
          <w:sz w:val="22"/>
          <w:szCs w:val="22"/>
          <w:vertAlign w:val="superscript"/>
        </w:rPr>
        <w:t>228</w:t>
      </w:r>
      <w:r w:rsidRPr="003E73CD">
        <w:rPr>
          <w:sz w:val="22"/>
          <w:szCs w:val="22"/>
        </w:rPr>
        <w:fldChar w:fldCharType="end"/>
      </w:r>
      <w:proofErr w:type="gramStart"/>
      <w:r w:rsidRPr="003E73CD">
        <w:rPr>
          <w:sz w:val="22"/>
          <w:szCs w:val="22"/>
        </w:rPr>
        <w:t xml:space="preserve">  This</w:t>
      </w:r>
      <w:proofErr w:type="gramEnd"/>
      <w:r w:rsidRPr="003E73CD">
        <w:rPr>
          <w:sz w:val="22"/>
          <w:szCs w:val="22"/>
        </w:rPr>
        <w:t xml:space="preserve"> method, an extension of recursive partitioning for censored survival data, uses a full likelihood estimation procedure to successively split the covariate space into regions and the dataset into increasingly homogeneous groups, until it is infeasible to continue according to a stopping rule. At each stage, all covariates are examined and the split points of the covariates that give the best separation are chosen. In this study, the stopping rule was based on a split failing to improve the homogeneity by at least 0.3%. The survival tree model has been applied to an AJCC localized melanoma dataset and has shown improvement over the current AJCC melanoma staging system.</w:t>
      </w:r>
      <w:r w:rsidRPr="003E73CD">
        <w:rPr>
          <w:sz w:val="22"/>
          <w:szCs w:val="22"/>
        </w:rPr>
        <w:fldChar w:fldCharType="begin" w:fldLock="1"/>
      </w:r>
      <w:r w:rsidR="005676A9">
        <w:rPr>
          <w:sz w:val="22"/>
          <w:szCs w:val="22"/>
        </w:rPr>
        <w:instrText>ADDIN CSL_CITATION { "citationItems" : [ { "id" : "ITEM-1", "itemData" : { "DOI" : "10.1080/10543400701199585", "ISSN" : "1054-3406", "PMID" : "17479393", "abstract" : "We propose an integrated tree-based approach for prognostic grouping of localized melanoma patients. This approach incorporates the survival tree model with the agglomerative hierarchical clustering to group terminal subgroups with similar prognoses together. The Brier score is used to evaluate the goodness of fit and the k-fold cross-validation test is used to evaluate the reproducibility of the scheme for prediction. The proposed approach is applied to an American Joint Committee on Cancer (AJCC) localized melanoma data set and compared with the current AJCC staging system. This approach performs more efficiently than the standard tree methods and has made improvement over the current AJCC melanoma staging system.", "author" : [ { "dropping-particle" : "", "family" : "Tsai", "given" : "Chen-An", "non-dropping-particle" : "", "parse-names" : false, "suffix" : "" }, { "dropping-particle" : "", "family" : "Chen", "given" : "Dung-Tsa", "non-dropping-particle" : "", "parse-names" : false, "suffix" : "" }, { "dropping-particle" : "", "family" : "Chen", "given" : "James J", "non-dropping-particle" : "", "parse-names" : false, "suffix" : "" }, { "dropping-particle" : "", "family" : "Balch", "given" : "Charles M", "non-dropping-particle" : "", "parse-names" : false, "suffix" : "" }, { "dropping-particle" : "", "family" : "Thompson", "given" : "John F", "non-dropping-particle" : "", "parse-names" : false, "suffix" : "" }, { "dropping-particle" : "", "family" : "Soong", "given" : "Seng-Jaw", "non-dropping-particle" : "", "parse-names" : false, "suffix" : "" } ], "container-title" : "Journal of biopharmaceutical statistics", "id" : "ITEM-1", "issue" : "3", "issued" : { "date-parts" : [ [ "2007", "1" ] ] }, "page" : "445-60", "title" : "An integrated tree-based classification approach to prognostic grouping with application to localized melanoma patients.", "type" : "article-journal", "volume" : "17" }, "uris" : [ "http://www.mendeley.com/documents/?uuid=66921e91-351f-46e1-a8f5-97bdb5b74112" ] } ], "mendeley" : { "formattedCitation" : "&lt;sup&gt;229&lt;/sup&gt;", "plainTextFormattedCitation" : "229", "previouslyFormattedCitation" : "&lt;sup&gt;229&lt;/sup&gt;" }, "properties" : { "noteIndex" : 0 }, "schema" : "https://github.com/citation-style-language/schema/raw/master/csl-citation.json" }</w:instrText>
      </w:r>
      <w:r w:rsidRPr="003E73CD">
        <w:rPr>
          <w:sz w:val="22"/>
          <w:szCs w:val="22"/>
        </w:rPr>
        <w:fldChar w:fldCharType="separate"/>
      </w:r>
      <w:r w:rsidR="00217FAC" w:rsidRPr="00217FAC">
        <w:rPr>
          <w:noProof/>
          <w:sz w:val="22"/>
          <w:szCs w:val="22"/>
          <w:vertAlign w:val="superscript"/>
        </w:rPr>
        <w:t>229</w:t>
      </w:r>
      <w:r w:rsidRPr="003E73CD">
        <w:rPr>
          <w:sz w:val="22"/>
          <w:szCs w:val="22"/>
        </w:rPr>
        <w:fldChar w:fldCharType="end"/>
      </w:r>
      <w:r w:rsidRPr="003E73CD">
        <w:rPr>
          <w:sz w:val="22"/>
          <w:szCs w:val="22"/>
        </w:rPr>
        <w:t xml:space="preserve"> The candidate variables for the survival tree analysis included variables that were significantly associated with survival and three variables of interest: age at SNB (≤65/&gt;65), tumor thickness (≤2/&gt;2 mm), m</w:t>
      </w:r>
      <w:r w:rsidRPr="003E73CD">
        <w:rPr>
          <w:sz w:val="22"/>
          <w:szCs w:val="22"/>
          <w:lang w:val="en-AU"/>
        </w:rPr>
        <w:t>itotic rate (</w:t>
      </w:r>
      <w:r w:rsidRPr="003E73CD">
        <w:rPr>
          <w:sz w:val="22"/>
          <w:szCs w:val="22"/>
        </w:rPr>
        <w:t xml:space="preserve">≤10/&gt;10 </w:t>
      </w:r>
      <w:r w:rsidRPr="003E73CD">
        <w:rPr>
          <w:sz w:val="22"/>
          <w:szCs w:val="22"/>
          <w:lang w:val="en-AU"/>
        </w:rPr>
        <w:t>mitoses/mm</w:t>
      </w:r>
      <w:r w:rsidRPr="003E73CD">
        <w:rPr>
          <w:sz w:val="22"/>
          <w:szCs w:val="22"/>
          <w:vertAlign w:val="superscript"/>
          <w:lang w:val="en-AU"/>
        </w:rPr>
        <w:t>2</w:t>
      </w:r>
      <w:r w:rsidRPr="003E73CD">
        <w:rPr>
          <w:sz w:val="22"/>
          <w:szCs w:val="22"/>
        </w:rPr>
        <w:t xml:space="preserve">), total number of positive nodes (1, 2-3, &gt;3), number of positive sentinel nodes (1/≥2) and NSN status (negative/positive). Logistic regression models and Cox proportional hazard models were performed using SAS 9.1 and the survival tree model was conducted using the </w:t>
      </w:r>
      <w:r w:rsidRPr="003E73CD">
        <w:rPr>
          <w:i/>
          <w:sz w:val="22"/>
          <w:szCs w:val="22"/>
        </w:rPr>
        <w:t>rpart</w:t>
      </w:r>
      <w:r w:rsidRPr="003E73CD">
        <w:rPr>
          <w:sz w:val="22"/>
          <w:szCs w:val="22"/>
        </w:rPr>
        <w:t xml:space="preserve"> package in R statistical computing environment.  In all cases a p value &lt; 0.05 was regarded as statistically significant.</w:t>
      </w:r>
    </w:p>
    <w:p w14:paraId="1CD8F723" w14:textId="77777777" w:rsidR="0061482C" w:rsidRPr="003E73CD" w:rsidRDefault="0061482C" w:rsidP="0061482C">
      <w:pPr>
        <w:spacing w:line="480" w:lineRule="auto"/>
        <w:rPr>
          <w:sz w:val="22"/>
          <w:szCs w:val="22"/>
        </w:rPr>
      </w:pPr>
    </w:p>
    <w:p w14:paraId="4A8DBE33" w14:textId="77777777" w:rsidR="0061482C" w:rsidRPr="003E73CD" w:rsidRDefault="0061482C" w:rsidP="0061482C">
      <w:pPr>
        <w:spacing w:line="480" w:lineRule="auto"/>
        <w:rPr>
          <w:sz w:val="22"/>
          <w:szCs w:val="22"/>
        </w:rPr>
      </w:pPr>
      <w:r w:rsidRPr="003E73CD">
        <w:rPr>
          <w:sz w:val="22"/>
          <w:szCs w:val="22"/>
        </w:rPr>
        <w:t>RESULTS</w:t>
      </w:r>
    </w:p>
    <w:p w14:paraId="3AC6851E" w14:textId="4909809A" w:rsidR="0061482C" w:rsidRPr="003E73CD" w:rsidRDefault="0061482C" w:rsidP="0061482C">
      <w:pPr>
        <w:spacing w:line="480" w:lineRule="auto"/>
        <w:ind w:firstLine="720"/>
        <w:rPr>
          <w:sz w:val="22"/>
          <w:szCs w:val="22"/>
        </w:rPr>
      </w:pPr>
      <w:r w:rsidRPr="003E73CD">
        <w:rPr>
          <w:sz w:val="22"/>
          <w:szCs w:val="22"/>
        </w:rPr>
        <w:t xml:space="preserve">Between October 1992 and June 2005, 501 SMU patients undergoing lymphatic mapping and SNB for melanoma had at least one positive SN.  After the exclusion criteria listed in Table </w:t>
      </w:r>
      <w:r w:rsidR="00155C61">
        <w:rPr>
          <w:sz w:val="22"/>
          <w:szCs w:val="22"/>
        </w:rPr>
        <w:t>3.2</w:t>
      </w:r>
      <w:r w:rsidR="00A234AB" w:rsidRPr="003E73CD">
        <w:rPr>
          <w:sz w:val="22"/>
          <w:szCs w:val="22"/>
        </w:rPr>
        <w:t>.</w:t>
      </w:r>
      <w:r w:rsidRPr="003E73CD">
        <w:rPr>
          <w:sz w:val="22"/>
          <w:szCs w:val="22"/>
        </w:rPr>
        <w:t xml:space="preserve">1 were applied, 323 patients were available for analysis.  The commonest reason for exclusion was that CLND was not performed, mainly due to recruitment of patients into MSLT II.  The characteristics of the 323 patients included in the study are shown in Table </w:t>
      </w:r>
      <w:r w:rsidR="00155C61">
        <w:rPr>
          <w:sz w:val="22"/>
          <w:szCs w:val="22"/>
        </w:rPr>
        <w:t>3.2</w:t>
      </w:r>
      <w:r w:rsidR="00A234AB" w:rsidRPr="003E73CD">
        <w:rPr>
          <w:sz w:val="22"/>
          <w:szCs w:val="22"/>
        </w:rPr>
        <w:t>.</w:t>
      </w:r>
      <w:r w:rsidRPr="003E73CD">
        <w:rPr>
          <w:sz w:val="22"/>
          <w:szCs w:val="22"/>
        </w:rPr>
        <w:t xml:space="preserve">2.  Data regarding tumor thickness, presence/absence of ulceration and mitotic rate were unavailable in 4, 18 and 9 cases respectively, with 301 patients having complete data.  The distribution of positive SNs and NSNs within the population is shown in Table </w:t>
      </w:r>
      <w:r w:rsidR="00155C61">
        <w:rPr>
          <w:sz w:val="22"/>
          <w:szCs w:val="22"/>
        </w:rPr>
        <w:t>3.2</w:t>
      </w:r>
      <w:r w:rsidR="00A234AB" w:rsidRPr="003E73CD">
        <w:rPr>
          <w:sz w:val="22"/>
          <w:szCs w:val="22"/>
        </w:rPr>
        <w:t>.</w:t>
      </w:r>
      <w:r w:rsidRPr="003E73CD">
        <w:rPr>
          <w:sz w:val="22"/>
          <w:szCs w:val="22"/>
        </w:rPr>
        <w:t>3.  The median follow-up was 40 months (range 4.4 to 160 months)</w:t>
      </w:r>
      <w:r w:rsidR="0043114D">
        <w:rPr>
          <w:sz w:val="22"/>
          <w:szCs w:val="22"/>
        </w:rPr>
        <w:t xml:space="preserve"> with the last date of follow-up in January 2007</w:t>
      </w:r>
      <w:r w:rsidRPr="003E73CD">
        <w:rPr>
          <w:sz w:val="22"/>
          <w:szCs w:val="22"/>
        </w:rPr>
        <w:t xml:space="preserve">.  Analysis of the study population showed that patients with &gt;3 positive nodes were unlikely to be NSN negative (p=0.005).  </w:t>
      </w:r>
    </w:p>
    <w:p w14:paraId="6CED9A86" w14:textId="77777777" w:rsidR="0061482C" w:rsidRPr="003E73CD" w:rsidRDefault="0061482C" w:rsidP="0061482C">
      <w:pPr>
        <w:rPr>
          <w:sz w:val="22"/>
          <w:szCs w:val="22"/>
        </w:rPr>
      </w:pPr>
    </w:p>
    <w:p w14:paraId="29706CAB" w14:textId="0C976339" w:rsidR="00693128" w:rsidRPr="003E73CD" w:rsidRDefault="00693128">
      <w:pPr>
        <w:rPr>
          <w:sz w:val="22"/>
        </w:rPr>
      </w:pPr>
    </w:p>
    <w:p w14:paraId="35EC638A" w14:textId="0203E685" w:rsidR="0061482C" w:rsidRPr="003E73CD" w:rsidRDefault="0061482C" w:rsidP="0061482C">
      <w:pPr>
        <w:rPr>
          <w:sz w:val="22"/>
        </w:rPr>
      </w:pPr>
      <w:r w:rsidRPr="003E73CD">
        <w:rPr>
          <w:sz w:val="22"/>
        </w:rPr>
        <w:t xml:space="preserve">Table </w:t>
      </w:r>
      <w:r w:rsidR="00155C61">
        <w:rPr>
          <w:sz w:val="22"/>
        </w:rPr>
        <w:t>3.2</w:t>
      </w:r>
      <w:r w:rsidR="00A234AB" w:rsidRPr="003E73CD">
        <w:rPr>
          <w:sz w:val="22"/>
        </w:rPr>
        <w:t>.</w:t>
      </w:r>
      <w:r w:rsidRPr="003E73CD">
        <w:rPr>
          <w:sz w:val="22"/>
        </w:rPr>
        <w:t>1.  Exclusion criteria and numbers excluded</w:t>
      </w:r>
    </w:p>
    <w:p w14:paraId="48B37B13" w14:textId="77777777" w:rsidR="0061482C" w:rsidRPr="003E73CD" w:rsidRDefault="0061482C" w:rsidP="0061482C"/>
    <w:tbl>
      <w:tblPr>
        <w:tblW w:w="8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428"/>
        <w:gridCol w:w="3902"/>
      </w:tblGrid>
      <w:tr w:rsidR="0061482C" w:rsidRPr="003E73CD" w14:paraId="249BF3EC" w14:textId="77777777" w:rsidTr="001A1CED">
        <w:tc>
          <w:tcPr>
            <w:tcW w:w="4428" w:type="dxa"/>
            <w:tcBorders>
              <w:top w:val="single" w:sz="4" w:space="0" w:color="auto"/>
              <w:left w:val="single" w:sz="4" w:space="0" w:color="auto"/>
              <w:bottom w:val="single" w:sz="4" w:space="0" w:color="auto"/>
              <w:right w:val="single" w:sz="4" w:space="0" w:color="auto"/>
            </w:tcBorders>
          </w:tcPr>
          <w:p w14:paraId="28856EDB" w14:textId="77777777" w:rsidR="0061482C" w:rsidRPr="003E73CD" w:rsidRDefault="0061482C" w:rsidP="00717272">
            <w:pPr>
              <w:spacing w:line="480" w:lineRule="auto"/>
              <w:rPr>
                <w:sz w:val="22"/>
              </w:rPr>
            </w:pPr>
            <w:r w:rsidRPr="003E73CD">
              <w:rPr>
                <w:sz w:val="22"/>
              </w:rPr>
              <w:t>Exclusion criteria</w:t>
            </w:r>
          </w:p>
        </w:tc>
        <w:tc>
          <w:tcPr>
            <w:tcW w:w="3902" w:type="dxa"/>
            <w:tcBorders>
              <w:top w:val="single" w:sz="4" w:space="0" w:color="auto"/>
              <w:left w:val="single" w:sz="4" w:space="0" w:color="auto"/>
              <w:bottom w:val="single" w:sz="4" w:space="0" w:color="auto"/>
              <w:right w:val="single" w:sz="4" w:space="0" w:color="auto"/>
            </w:tcBorders>
          </w:tcPr>
          <w:p w14:paraId="21FA9111" w14:textId="77777777" w:rsidR="0061482C" w:rsidRPr="003E73CD" w:rsidRDefault="0061482C" w:rsidP="00717272">
            <w:pPr>
              <w:spacing w:line="480" w:lineRule="auto"/>
              <w:rPr>
                <w:sz w:val="22"/>
              </w:rPr>
            </w:pPr>
            <w:r w:rsidRPr="003E73CD">
              <w:rPr>
                <w:sz w:val="22"/>
              </w:rPr>
              <w:t>Excluded from 501 eligible patients (n)</w:t>
            </w:r>
          </w:p>
        </w:tc>
      </w:tr>
      <w:tr w:rsidR="0061482C" w:rsidRPr="003E73CD" w14:paraId="7FAAB687" w14:textId="77777777" w:rsidTr="001A1CED">
        <w:tc>
          <w:tcPr>
            <w:tcW w:w="4428" w:type="dxa"/>
            <w:tcBorders>
              <w:top w:val="single" w:sz="4" w:space="0" w:color="auto"/>
              <w:left w:val="single" w:sz="4" w:space="0" w:color="auto"/>
              <w:bottom w:val="single" w:sz="4" w:space="0" w:color="auto"/>
              <w:right w:val="single" w:sz="4" w:space="0" w:color="auto"/>
            </w:tcBorders>
          </w:tcPr>
          <w:p w14:paraId="0DE967CC" w14:textId="77777777" w:rsidR="0061482C" w:rsidRPr="003E73CD" w:rsidRDefault="0061482C" w:rsidP="00717272">
            <w:pPr>
              <w:spacing w:line="480" w:lineRule="auto"/>
              <w:rPr>
                <w:sz w:val="22"/>
              </w:rPr>
            </w:pPr>
            <w:r w:rsidRPr="003E73CD">
              <w:rPr>
                <w:sz w:val="22"/>
              </w:rPr>
              <w:t>&gt;1 invasive primary melanoma (previous or subsequent melanoma-in-situ not excluded)</w:t>
            </w:r>
          </w:p>
        </w:tc>
        <w:tc>
          <w:tcPr>
            <w:tcW w:w="3902" w:type="dxa"/>
            <w:tcBorders>
              <w:top w:val="single" w:sz="4" w:space="0" w:color="auto"/>
              <w:left w:val="single" w:sz="4" w:space="0" w:color="auto"/>
              <w:bottom w:val="single" w:sz="4" w:space="0" w:color="auto"/>
              <w:right w:val="single" w:sz="4" w:space="0" w:color="auto"/>
            </w:tcBorders>
          </w:tcPr>
          <w:p w14:paraId="4E3FC664" w14:textId="77777777" w:rsidR="0061482C" w:rsidRPr="003E73CD" w:rsidRDefault="0061482C" w:rsidP="00717272">
            <w:pPr>
              <w:spacing w:line="480" w:lineRule="auto"/>
              <w:jc w:val="center"/>
              <w:rPr>
                <w:sz w:val="22"/>
              </w:rPr>
            </w:pPr>
            <w:r w:rsidRPr="003E73CD">
              <w:rPr>
                <w:sz w:val="22"/>
              </w:rPr>
              <w:t>40</w:t>
            </w:r>
          </w:p>
        </w:tc>
      </w:tr>
      <w:tr w:rsidR="0061482C" w:rsidRPr="003E73CD" w14:paraId="18F4A38A" w14:textId="77777777" w:rsidTr="001A1CED">
        <w:tc>
          <w:tcPr>
            <w:tcW w:w="4428" w:type="dxa"/>
            <w:tcBorders>
              <w:top w:val="single" w:sz="4" w:space="0" w:color="auto"/>
              <w:left w:val="single" w:sz="4" w:space="0" w:color="auto"/>
              <w:bottom w:val="single" w:sz="4" w:space="0" w:color="auto"/>
              <w:right w:val="single" w:sz="4" w:space="0" w:color="auto"/>
            </w:tcBorders>
          </w:tcPr>
          <w:p w14:paraId="53294ED4" w14:textId="77777777" w:rsidR="0061482C" w:rsidRPr="003E73CD" w:rsidRDefault="0061482C" w:rsidP="00717272">
            <w:pPr>
              <w:spacing w:line="480" w:lineRule="auto"/>
              <w:rPr>
                <w:sz w:val="22"/>
              </w:rPr>
            </w:pPr>
            <w:r w:rsidRPr="003E73CD">
              <w:rPr>
                <w:sz w:val="22"/>
              </w:rPr>
              <w:t>SNB</w:t>
            </w:r>
            <w:r w:rsidRPr="003E73CD">
              <w:rPr>
                <w:sz w:val="22"/>
                <w:vertAlign w:val="superscript"/>
              </w:rPr>
              <w:t>1</w:t>
            </w:r>
            <w:r w:rsidRPr="003E73CD">
              <w:rPr>
                <w:sz w:val="22"/>
              </w:rPr>
              <w:t xml:space="preserve"> performed for recurrence</w:t>
            </w:r>
          </w:p>
        </w:tc>
        <w:tc>
          <w:tcPr>
            <w:tcW w:w="3902" w:type="dxa"/>
            <w:tcBorders>
              <w:top w:val="single" w:sz="4" w:space="0" w:color="auto"/>
              <w:left w:val="single" w:sz="4" w:space="0" w:color="auto"/>
              <w:bottom w:val="single" w:sz="4" w:space="0" w:color="auto"/>
              <w:right w:val="single" w:sz="4" w:space="0" w:color="auto"/>
            </w:tcBorders>
          </w:tcPr>
          <w:p w14:paraId="72C20988" w14:textId="77777777" w:rsidR="0061482C" w:rsidRPr="003E73CD" w:rsidRDefault="0061482C" w:rsidP="00717272">
            <w:pPr>
              <w:spacing w:line="480" w:lineRule="auto"/>
              <w:jc w:val="center"/>
              <w:rPr>
                <w:sz w:val="22"/>
              </w:rPr>
            </w:pPr>
            <w:r w:rsidRPr="003E73CD">
              <w:rPr>
                <w:sz w:val="22"/>
              </w:rPr>
              <w:t>20</w:t>
            </w:r>
          </w:p>
        </w:tc>
      </w:tr>
      <w:tr w:rsidR="0061482C" w:rsidRPr="003E73CD" w14:paraId="6D065843" w14:textId="77777777" w:rsidTr="001A1CED">
        <w:tc>
          <w:tcPr>
            <w:tcW w:w="4428" w:type="dxa"/>
            <w:tcBorders>
              <w:top w:val="single" w:sz="4" w:space="0" w:color="auto"/>
              <w:left w:val="single" w:sz="4" w:space="0" w:color="auto"/>
              <w:bottom w:val="single" w:sz="4" w:space="0" w:color="auto"/>
              <w:right w:val="single" w:sz="4" w:space="0" w:color="auto"/>
            </w:tcBorders>
          </w:tcPr>
          <w:p w14:paraId="7C32A5CB" w14:textId="77777777" w:rsidR="0061482C" w:rsidRPr="003E73CD" w:rsidRDefault="0061482C" w:rsidP="00717272">
            <w:pPr>
              <w:spacing w:line="480" w:lineRule="auto"/>
              <w:rPr>
                <w:sz w:val="22"/>
              </w:rPr>
            </w:pPr>
            <w:r w:rsidRPr="003E73CD">
              <w:rPr>
                <w:sz w:val="22"/>
              </w:rPr>
              <w:t>Positive interval SN (eg popliteal, epitrochlear, triangular intermuscular space)</w:t>
            </w:r>
          </w:p>
        </w:tc>
        <w:tc>
          <w:tcPr>
            <w:tcW w:w="3902" w:type="dxa"/>
            <w:tcBorders>
              <w:top w:val="single" w:sz="4" w:space="0" w:color="auto"/>
              <w:left w:val="single" w:sz="4" w:space="0" w:color="auto"/>
              <w:bottom w:val="single" w:sz="4" w:space="0" w:color="auto"/>
              <w:right w:val="single" w:sz="4" w:space="0" w:color="auto"/>
            </w:tcBorders>
          </w:tcPr>
          <w:p w14:paraId="3E0F5395" w14:textId="77777777" w:rsidR="0061482C" w:rsidRPr="003E73CD" w:rsidRDefault="0061482C" w:rsidP="00717272">
            <w:pPr>
              <w:spacing w:line="480" w:lineRule="auto"/>
              <w:jc w:val="center"/>
              <w:rPr>
                <w:sz w:val="22"/>
              </w:rPr>
            </w:pPr>
            <w:r w:rsidRPr="003E73CD">
              <w:rPr>
                <w:sz w:val="22"/>
              </w:rPr>
              <w:t>26</w:t>
            </w:r>
          </w:p>
        </w:tc>
      </w:tr>
      <w:tr w:rsidR="0061482C" w:rsidRPr="003E73CD" w14:paraId="233A2D1C" w14:textId="77777777" w:rsidTr="001A1CED">
        <w:tc>
          <w:tcPr>
            <w:tcW w:w="4428" w:type="dxa"/>
            <w:tcBorders>
              <w:top w:val="single" w:sz="4" w:space="0" w:color="auto"/>
              <w:left w:val="single" w:sz="4" w:space="0" w:color="auto"/>
              <w:bottom w:val="single" w:sz="4" w:space="0" w:color="auto"/>
              <w:right w:val="single" w:sz="4" w:space="0" w:color="auto"/>
            </w:tcBorders>
          </w:tcPr>
          <w:p w14:paraId="2774FA14" w14:textId="77777777" w:rsidR="0061482C" w:rsidRPr="003E73CD" w:rsidRDefault="0061482C" w:rsidP="00717272">
            <w:pPr>
              <w:spacing w:line="480" w:lineRule="auto"/>
              <w:rPr>
                <w:sz w:val="22"/>
              </w:rPr>
            </w:pPr>
            <w:r w:rsidRPr="003E73CD">
              <w:rPr>
                <w:sz w:val="22"/>
              </w:rPr>
              <w:t>Positive SN in &gt;1 nodal field</w:t>
            </w:r>
          </w:p>
        </w:tc>
        <w:tc>
          <w:tcPr>
            <w:tcW w:w="3902" w:type="dxa"/>
            <w:tcBorders>
              <w:top w:val="single" w:sz="4" w:space="0" w:color="auto"/>
              <w:left w:val="single" w:sz="4" w:space="0" w:color="auto"/>
              <w:bottom w:val="single" w:sz="4" w:space="0" w:color="auto"/>
              <w:right w:val="single" w:sz="4" w:space="0" w:color="auto"/>
            </w:tcBorders>
          </w:tcPr>
          <w:p w14:paraId="4DAA8EEE" w14:textId="77777777" w:rsidR="0061482C" w:rsidRPr="003E73CD" w:rsidRDefault="0061482C" w:rsidP="00717272">
            <w:pPr>
              <w:spacing w:line="480" w:lineRule="auto"/>
              <w:jc w:val="center"/>
              <w:rPr>
                <w:sz w:val="22"/>
              </w:rPr>
            </w:pPr>
            <w:r w:rsidRPr="003E73CD">
              <w:rPr>
                <w:sz w:val="22"/>
              </w:rPr>
              <w:t>13</w:t>
            </w:r>
          </w:p>
        </w:tc>
      </w:tr>
      <w:tr w:rsidR="0061482C" w:rsidRPr="003E73CD" w14:paraId="702589FF" w14:textId="77777777" w:rsidTr="001A1CED">
        <w:tc>
          <w:tcPr>
            <w:tcW w:w="4428" w:type="dxa"/>
            <w:tcBorders>
              <w:top w:val="single" w:sz="4" w:space="0" w:color="auto"/>
              <w:left w:val="single" w:sz="4" w:space="0" w:color="auto"/>
              <w:bottom w:val="single" w:sz="4" w:space="0" w:color="auto"/>
              <w:right w:val="single" w:sz="4" w:space="0" w:color="auto"/>
            </w:tcBorders>
          </w:tcPr>
          <w:p w14:paraId="09E14D30" w14:textId="77777777" w:rsidR="0061482C" w:rsidRPr="003E73CD" w:rsidRDefault="0061482C" w:rsidP="00717272">
            <w:pPr>
              <w:spacing w:line="480" w:lineRule="auto"/>
              <w:rPr>
                <w:sz w:val="22"/>
              </w:rPr>
            </w:pPr>
            <w:r w:rsidRPr="003E73CD">
              <w:rPr>
                <w:sz w:val="22"/>
              </w:rPr>
              <w:t>CLND</w:t>
            </w:r>
            <w:r w:rsidRPr="003E73CD">
              <w:rPr>
                <w:sz w:val="22"/>
                <w:vertAlign w:val="superscript"/>
              </w:rPr>
              <w:t>2</w:t>
            </w:r>
            <w:r w:rsidRPr="003E73CD">
              <w:rPr>
                <w:sz w:val="22"/>
              </w:rPr>
              <w:t xml:space="preserve"> not performed</w:t>
            </w:r>
          </w:p>
        </w:tc>
        <w:tc>
          <w:tcPr>
            <w:tcW w:w="3902" w:type="dxa"/>
            <w:tcBorders>
              <w:top w:val="single" w:sz="4" w:space="0" w:color="auto"/>
              <w:left w:val="single" w:sz="4" w:space="0" w:color="auto"/>
              <w:bottom w:val="single" w:sz="4" w:space="0" w:color="auto"/>
              <w:right w:val="single" w:sz="4" w:space="0" w:color="auto"/>
            </w:tcBorders>
          </w:tcPr>
          <w:p w14:paraId="235ADEE4" w14:textId="77777777" w:rsidR="0061482C" w:rsidRPr="003E73CD" w:rsidRDefault="0061482C" w:rsidP="00717272">
            <w:pPr>
              <w:spacing w:line="480" w:lineRule="auto"/>
              <w:jc w:val="center"/>
              <w:rPr>
                <w:sz w:val="22"/>
              </w:rPr>
            </w:pPr>
            <w:r w:rsidRPr="003E73CD">
              <w:rPr>
                <w:sz w:val="22"/>
              </w:rPr>
              <w:t>43</w:t>
            </w:r>
          </w:p>
        </w:tc>
      </w:tr>
      <w:tr w:rsidR="0061482C" w:rsidRPr="003E73CD" w14:paraId="053D505B" w14:textId="77777777" w:rsidTr="001A1CED">
        <w:tc>
          <w:tcPr>
            <w:tcW w:w="4428" w:type="dxa"/>
            <w:tcBorders>
              <w:top w:val="single" w:sz="4" w:space="0" w:color="auto"/>
              <w:left w:val="single" w:sz="4" w:space="0" w:color="auto"/>
              <w:bottom w:val="single" w:sz="4" w:space="0" w:color="auto"/>
              <w:right w:val="single" w:sz="4" w:space="0" w:color="auto"/>
            </w:tcBorders>
          </w:tcPr>
          <w:p w14:paraId="6B2BEC2D" w14:textId="77777777" w:rsidR="0061482C" w:rsidRPr="003E73CD" w:rsidRDefault="0061482C" w:rsidP="00717272">
            <w:pPr>
              <w:spacing w:line="480" w:lineRule="auto"/>
              <w:rPr>
                <w:sz w:val="22"/>
              </w:rPr>
            </w:pPr>
            <w:r w:rsidRPr="003E73CD">
              <w:rPr>
                <w:sz w:val="22"/>
              </w:rPr>
              <w:t>Time from SNB to CLND &gt; 12 weeks</w:t>
            </w:r>
          </w:p>
        </w:tc>
        <w:tc>
          <w:tcPr>
            <w:tcW w:w="3902" w:type="dxa"/>
            <w:tcBorders>
              <w:top w:val="single" w:sz="4" w:space="0" w:color="auto"/>
              <w:left w:val="single" w:sz="4" w:space="0" w:color="auto"/>
              <w:bottom w:val="single" w:sz="4" w:space="0" w:color="auto"/>
              <w:right w:val="single" w:sz="4" w:space="0" w:color="auto"/>
            </w:tcBorders>
          </w:tcPr>
          <w:p w14:paraId="0F1073F6" w14:textId="77777777" w:rsidR="0061482C" w:rsidRPr="003E73CD" w:rsidRDefault="0061482C" w:rsidP="00717272">
            <w:pPr>
              <w:spacing w:line="480" w:lineRule="auto"/>
              <w:jc w:val="center"/>
              <w:rPr>
                <w:sz w:val="22"/>
              </w:rPr>
            </w:pPr>
            <w:r w:rsidRPr="003E73CD">
              <w:rPr>
                <w:sz w:val="22"/>
              </w:rPr>
              <w:t>6</w:t>
            </w:r>
          </w:p>
        </w:tc>
      </w:tr>
      <w:tr w:rsidR="0061482C" w:rsidRPr="003E73CD" w14:paraId="1A395E8B" w14:textId="77777777" w:rsidTr="001A1CED">
        <w:tc>
          <w:tcPr>
            <w:tcW w:w="4428" w:type="dxa"/>
            <w:tcBorders>
              <w:top w:val="single" w:sz="4" w:space="0" w:color="auto"/>
              <w:left w:val="single" w:sz="4" w:space="0" w:color="auto"/>
              <w:bottom w:val="single" w:sz="4" w:space="0" w:color="auto"/>
              <w:right w:val="single" w:sz="4" w:space="0" w:color="auto"/>
            </w:tcBorders>
          </w:tcPr>
          <w:p w14:paraId="1C405813" w14:textId="77777777" w:rsidR="0061482C" w:rsidRPr="003E73CD" w:rsidRDefault="0061482C" w:rsidP="00717272">
            <w:pPr>
              <w:spacing w:line="480" w:lineRule="auto"/>
              <w:rPr>
                <w:sz w:val="22"/>
              </w:rPr>
            </w:pPr>
            <w:r w:rsidRPr="003E73CD">
              <w:rPr>
                <w:sz w:val="22"/>
              </w:rPr>
              <w:t>False negative SNB (late recurrence in SN field)</w:t>
            </w:r>
          </w:p>
        </w:tc>
        <w:tc>
          <w:tcPr>
            <w:tcW w:w="3902" w:type="dxa"/>
            <w:tcBorders>
              <w:top w:val="single" w:sz="4" w:space="0" w:color="auto"/>
              <w:left w:val="single" w:sz="4" w:space="0" w:color="auto"/>
              <w:bottom w:val="single" w:sz="4" w:space="0" w:color="auto"/>
              <w:right w:val="single" w:sz="4" w:space="0" w:color="auto"/>
            </w:tcBorders>
          </w:tcPr>
          <w:p w14:paraId="6B7FA066" w14:textId="77777777" w:rsidR="0061482C" w:rsidRPr="003E73CD" w:rsidRDefault="0061482C" w:rsidP="00717272">
            <w:pPr>
              <w:spacing w:line="480" w:lineRule="auto"/>
              <w:jc w:val="center"/>
              <w:rPr>
                <w:sz w:val="22"/>
              </w:rPr>
            </w:pPr>
            <w:r w:rsidRPr="003E73CD">
              <w:rPr>
                <w:sz w:val="22"/>
              </w:rPr>
              <w:t>8</w:t>
            </w:r>
          </w:p>
        </w:tc>
      </w:tr>
      <w:tr w:rsidR="0061482C" w:rsidRPr="003E73CD" w14:paraId="354D0CE5" w14:textId="77777777" w:rsidTr="001A1CED">
        <w:tc>
          <w:tcPr>
            <w:tcW w:w="4428" w:type="dxa"/>
            <w:tcBorders>
              <w:top w:val="single" w:sz="4" w:space="0" w:color="auto"/>
              <w:left w:val="single" w:sz="4" w:space="0" w:color="auto"/>
              <w:bottom w:val="single" w:sz="4" w:space="0" w:color="auto"/>
              <w:right w:val="single" w:sz="4" w:space="0" w:color="auto"/>
            </w:tcBorders>
          </w:tcPr>
          <w:p w14:paraId="25ECCD25" w14:textId="77777777" w:rsidR="0061482C" w:rsidRPr="003E73CD" w:rsidRDefault="0061482C" w:rsidP="00717272">
            <w:pPr>
              <w:spacing w:line="480" w:lineRule="auto"/>
              <w:rPr>
                <w:sz w:val="22"/>
              </w:rPr>
            </w:pPr>
            <w:r w:rsidRPr="003E73CD">
              <w:rPr>
                <w:sz w:val="22"/>
              </w:rPr>
              <w:t>Primary tumor histology unable to be reviewed by SMU</w:t>
            </w:r>
            <w:r w:rsidRPr="003E73CD">
              <w:rPr>
                <w:sz w:val="22"/>
                <w:vertAlign w:val="superscript"/>
              </w:rPr>
              <w:t>3</w:t>
            </w:r>
            <w:r w:rsidRPr="003E73CD">
              <w:rPr>
                <w:sz w:val="22"/>
              </w:rPr>
              <w:t xml:space="preserve"> histopathologist</w:t>
            </w:r>
          </w:p>
        </w:tc>
        <w:tc>
          <w:tcPr>
            <w:tcW w:w="3902" w:type="dxa"/>
            <w:tcBorders>
              <w:top w:val="single" w:sz="4" w:space="0" w:color="auto"/>
              <w:left w:val="single" w:sz="4" w:space="0" w:color="auto"/>
              <w:bottom w:val="single" w:sz="4" w:space="0" w:color="auto"/>
              <w:right w:val="single" w:sz="4" w:space="0" w:color="auto"/>
            </w:tcBorders>
          </w:tcPr>
          <w:p w14:paraId="0886C555" w14:textId="77777777" w:rsidR="0061482C" w:rsidRPr="003E73CD" w:rsidRDefault="0061482C" w:rsidP="00717272">
            <w:pPr>
              <w:spacing w:line="480" w:lineRule="auto"/>
              <w:jc w:val="center"/>
              <w:rPr>
                <w:sz w:val="22"/>
              </w:rPr>
            </w:pPr>
            <w:r w:rsidRPr="003E73CD">
              <w:rPr>
                <w:sz w:val="22"/>
              </w:rPr>
              <w:t>8</w:t>
            </w:r>
          </w:p>
        </w:tc>
      </w:tr>
      <w:tr w:rsidR="0061482C" w:rsidRPr="003E73CD" w14:paraId="67A6999A" w14:textId="77777777" w:rsidTr="001A1CED">
        <w:tc>
          <w:tcPr>
            <w:tcW w:w="4428" w:type="dxa"/>
            <w:tcBorders>
              <w:top w:val="single" w:sz="4" w:space="0" w:color="auto"/>
              <w:left w:val="single" w:sz="4" w:space="0" w:color="auto"/>
              <w:bottom w:val="single" w:sz="4" w:space="0" w:color="auto"/>
              <w:right w:val="single" w:sz="4" w:space="0" w:color="auto"/>
            </w:tcBorders>
          </w:tcPr>
          <w:p w14:paraId="67F47DD0" w14:textId="77777777" w:rsidR="0061482C" w:rsidRPr="003E73CD" w:rsidRDefault="0061482C" w:rsidP="00717272">
            <w:pPr>
              <w:spacing w:line="480" w:lineRule="auto"/>
              <w:rPr>
                <w:sz w:val="22"/>
              </w:rPr>
            </w:pPr>
            <w:r w:rsidRPr="003E73CD">
              <w:rPr>
                <w:sz w:val="22"/>
              </w:rPr>
              <w:t>SNB or CLND performed by non-SMU surgeon</w:t>
            </w:r>
          </w:p>
        </w:tc>
        <w:tc>
          <w:tcPr>
            <w:tcW w:w="3902" w:type="dxa"/>
            <w:tcBorders>
              <w:top w:val="single" w:sz="4" w:space="0" w:color="auto"/>
              <w:left w:val="single" w:sz="4" w:space="0" w:color="auto"/>
              <w:bottom w:val="single" w:sz="4" w:space="0" w:color="auto"/>
              <w:right w:val="single" w:sz="4" w:space="0" w:color="auto"/>
            </w:tcBorders>
          </w:tcPr>
          <w:p w14:paraId="298B7F7D" w14:textId="77777777" w:rsidR="0061482C" w:rsidRPr="003E73CD" w:rsidRDefault="0061482C" w:rsidP="00717272">
            <w:pPr>
              <w:spacing w:line="480" w:lineRule="auto"/>
              <w:jc w:val="center"/>
              <w:rPr>
                <w:sz w:val="22"/>
              </w:rPr>
            </w:pPr>
            <w:r w:rsidRPr="003E73CD">
              <w:rPr>
                <w:sz w:val="22"/>
              </w:rPr>
              <w:t>14</w:t>
            </w:r>
          </w:p>
        </w:tc>
      </w:tr>
      <w:tr w:rsidR="0061482C" w:rsidRPr="003E73CD" w14:paraId="3434B1EB" w14:textId="77777777" w:rsidTr="001A1CED">
        <w:tc>
          <w:tcPr>
            <w:tcW w:w="4428" w:type="dxa"/>
            <w:tcBorders>
              <w:top w:val="single" w:sz="4" w:space="0" w:color="auto"/>
              <w:left w:val="single" w:sz="4" w:space="0" w:color="auto"/>
              <w:bottom w:val="single" w:sz="4" w:space="0" w:color="auto"/>
              <w:right w:val="single" w:sz="4" w:space="0" w:color="auto"/>
            </w:tcBorders>
          </w:tcPr>
          <w:p w14:paraId="7D5F95D0" w14:textId="77777777" w:rsidR="0061482C" w:rsidRPr="003E73CD" w:rsidRDefault="0061482C" w:rsidP="00717272">
            <w:pPr>
              <w:spacing w:line="480" w:lineRule="auto"/>
              <w:rPr>
                <w:sz w:val="22"/>
              </w:rPr>
            </w:pPr>
            <w:r w:rsidRPr="003E73CD">
              <w:rPr>
                <w:sz w:val="22"/>
              </w:rPr>
              <w:t>TOTAL EXCLUDED</w:t>
            </w:r>
          </w:p>
        </w:tc>
        <w:tc>
          <w:tcPr>
            <w:tcW w:w="3902" w:type="dxa"/>
            <w:tcBorders>
              <w:top w:val="single" w:sz="4" w:space="0" w:color="auto"/>
              <w:left w:val="single" w:sz="4" w:space="0" w:color="auto"/>
              <w:bottom w:val="single" w:sz="4" w:space="0" w:color="auto"/>
              <w:right w:val="single" w:sz="4" w:space="0" w:color="auto"/>
            </w:tcBorders>
          </w:tcPr>
          <w:p w14:paraId="570349D7" w14:textId="77777777" w:rsidR="0061482C" w:rsidRPr="003E73CD" w:rsidRDefault="0061482C" w:rsidP="00717272">
            <w:pPr>
              <w:spacing w:line="480" w:lineRule="auto"/>
              <w:jc w:val="center"/>
              <w:rPr>
                <w:sz w:val="22"/>
              </w:rPr>
            </w:pPr>
            <w:r w:rsidRPr="003E73CD">
              <w:rPr>
                <w:sz w:val="22"/>
              </w:rPr>
              <w:t>178</w:t>
            </w:r>
          </w:p>
        </w:tc>
      </w:tr>
    </w:tbl>
    <w:p w14:paraId="649A6507" w14:textId="77777777" w:rsidR="0061482C" w:rsidRPr="003E73CD" w:rsidRDefault="0061482C" w:rsidP="0061482C">
      <w:pPr>
        <w:rPr>
          <w:sz w:val="22"/>
        </w:rPr>
      </w:pPr>
      <w:r w:rsidRPr="003E73CD">
        <w:rPr>
          <w:sz w:val="22"/>
          <w:vertAlign w:val="superscript"/>
        </w:rPr>
        <w:t>1</w:t>
      </w:r>
      <w:r w:rsidRPr="003E73CD">
        <w:rPr>
          <w:sz w:val="22"/>
        </w:rPr>
        <w:t>SNB=sentinel node biopsy</w:t>
      </w:r>
    </w:p>
    <w:p w14:paraId="1222A386" w14:textId="77777777" w:rsidR="0061482C" w:rsidRPr="003E73CD" w:rsidRDefault="0061482C" w:rsidP="0061482C">
      <w:pPr>
        <w:pStyle w:val="Footer"/>
        <w:tabs>
          <w:tab w:val="clear" w:pos="4320"/>
          <w:tab w:val="clear" w:pos="8640"/>
        </w:tabs>
        <w:rPr>
          <w:sz w:val="22"/>
        </w:rPr>
      </w:pPr>
      <w:r w:rsidRPr="003E73CD">
        <w:rPr>
          <w:sz w:val="22"/>
          <w:vertAlign w:val="superscript"/>
        </w:rPr>
        <w:t>2</w:t>
      </w:r>
      <w:r w:rsidRPr="003E73CD">
        <w:rPr>
          <w:sz w:val="22"/>
        </w:rPr>
        <w:t>CLND=completion lymph node dissection</w:t>
      </w:r>
    </w:p>
    <w:p w14:paraId="55E80752" w14:textId="77777777" w:rsidR="0061482C" w:rsidRPr="003E73CD" w:rsidRDefault="0061482C" w:rsidP="0061482C">
      <w:pPr>
        <w:rPr>
          <w:sz w:val="22"/>
        </w:rPr>
      </w:pPr>
      <w:r w:rsidRPr="003E73CD">
        <w:rPr>
          <w:sz w:val="22"/>
          <w:vertAlign w:val="superscript"/>
        </w:rPr>
        <w:t>3</w:t>
      </w:r>
      <w:r w:rsidRPr="003E73CD">
        <w:rPr>
          <w:sz w:val="22"/>
        </w:rPr>
        <w:t>SMU=Sydney Melanoma Unit</w:t>
      </w:r>
    </w:p>
    <w:p w14:paraId="416DC51B" w14:textId="77777777" w:rsidR="0061482C" w:rsidRPr="003E73CD" w:rsidRDefault="0061482C" w:rsidP="0061482C">
      <w:pPr>
        <w:spacing w:line="480" w:lineRule="auto"/>
        <w:rPr>
          <w:sz w:val="22"/>
          <w:szCs w:val="22"/>
        </w:rPr>
      </w:pPr>
    </w:p>
    <w:p w14:paraId="2B2F815D" w14:textId="77777777" w:rsidR="0061482C" w:rsidRPr="003E73CD" w:rsidRDefault="0061482C" w:rsidP="0061482C">
      <w:pPr>
        <w:spacing w:line="480" w:lineRule="auto"/>
        <w:rPr>
          <w:sz w:val="22"/>
          <w:szCs w:val="22"/>
        </w:rPr>
      </w:pPr>
    </w:p>
    <w:p w14:paraId="58829D7B" w14:textId="77777777" w:rsidR="0061482C" w:rsidRPr="003E73CD" w:rsidRDefault="0061482C" w:rsidP="0061482C">
      <w:pPr>
        <w:spacing w:line="480" w:lineRule="auto"/>
        <w:rPr>
          <w:sz w:val="22"/>
          <w:szCs w:val="22"/>
        </w:rPr>
      </w:pPr>
    </w:p>
    <w:p w14:paraId="25E06994" w14:textId="77777777" w:rsidR="0061482C" w:rsidRPr="003E73CD" w:rsidRDefault="0061482C" w:rsidP="0061482C">
      <w:pPr>
        <w:spacing w:line="480" w:lineRule="auto"/>
        <w:rPr>
          <w:sz w:val="22"/>
          <w:szCs w:val="22"/>
        </w:rPr>
      </w:pPr>
    </w:p>
    <w:p w14:paraId="2D3F09D7" w14:textId="77777777" w:rsidR="0061482C" w:rsidRPr="003E73CD" w:rsidRDefault="0061482C" w:rsidP="0061482C">
      <w:pPr>
        <w:spacing w:line="480" w:lineRule="auto"/>
        <w:rPr>
          <w:sz w:val="22"/>
          <w:szCs w:val="22"/>
        </w:rPr>
      </w:pPr>
    </w:p>
    <w:p w14:paraId="666943FC" w14:textId="77777777" w:rsidR="0061482C" w:rsidRPr="003E73CD" w:rsidRDefault="0061482C" w:rsidP="0061482C">
      <w:pPr>
        <w:spacing w:line="480" w:lineRule="auto"/>
        <w:rPr>
          <w:sz w:val="22"/>
          <w:szCs w:val="22"/>
        </w:rPr>
      </w:pPr>
    </w:p>
    <w:p w14:paraId="6F62144E" w14:textId="77777777" w:rsidR="0061482C" w:rsidRPr="003E73CD" w:rsidRDefault="0061482C" w:rsidP="0061482C">
      <w:pPr>
        <w:spacing w:line="480" w:lineRule="auto"/>
        <w:rPr>
          <w:sz w:val="22"/>
          <w:szCs w:val="22"/>
        </w:rPr>
      </w:pPr>
    </w:p>
    <w:p w14:paraId="20B1D48C" w14:textId="77777777" w:rsidR="0061482C" w:rsidRPr="003E73CD" w:rsidRDefault="0061482C" w:rsidP="0061482C">
      <w:pPr>
        <w:spacing w:line="480" w:lineRule="auto"/>
        <w:rPr>
          <w:sz w:val="22"/>
          <w:szCs w:val="22"/>
        </w:rPr>
      </w:pPr>
    </w:p>
    <w:p w14:paraId="6133BB06" w14:textId="5F1F6107" w:rsidR="0061482C" w:rsidRPr="003E73CD" w:rsidRDefault="0061482C" w:rsidP="0061482C">
      <w:pPr>
        <w:rPr>
          <w:sz w:val="22"/>
        </w:rPr>
      </w:pPr>
      <w:r w:rsidRPr="003E73CD">
        <w:rPr>
          <w:sz w:val="22"/>
        </w:rPr>
        <w:t xml:space="preserve">Table </w:t>
      </w:r>
      <w:r w:rsidR="00155C61">
        <w:rPr>
          <w:sz w:val="22"/>
        </w:rPr>
        <w:t>3.2</w:t>
      </w:r>
      <w:r w:rsidR="00A234AB" w:rsidRPr="003E73CD">
        <w:rPr>
          <w:sz w:val="22"/>
        </w:rPr>
        <w:t>.</w:t>
      </w:r>
      <w:r w:rsidRPr="003E73CD">
        <w:rPr>
          <w:sz w:val="22"/>
        </w:rPr>
        <w:t>2. Characteristics of study patients (n=323)</w:t>
      </w:r>
    </w:p>
    <w:p w14:paraId="47A19863" w14:textId="77777777" w:rsidR="00693128" w:rsidRPr="003E73CD" w:rsidRDefault="00693128" w:rsidP="0061482C">
      <w:pPr>
        <w:rPr>
          <w:sz w:val="22"/>
        </w:rPr>
      </w:pPr>
    </w:p>
    <w:tbl>
      <w:tblPr>
        <w:tblW w:w="0" w:type="auto"/>
        <w:tblBorders>
          <w:bottom w:val="single" w:sz="4" w:space="0" w:color="auto"/>
        </w:tblBorders>
        <w:tblLayout w:type="fixed"/>
        <w:tblLook w:val="0000" w:firstRow="0" w:lastRow="0" w:firstColumn="0" w:lastColumn="0" w:noHBand="0" w:noVBand="0"/>
      </w:tblPr>
      <w:tblGrid>
        <w:gridCol w:w="4068"/>
        <w:gridCol w:w="2259"/>
      </w:tblGrid>
      <w:tr w:rsidR="0061482C" w:rsidRPr="003E73CD" w14:paraId="22F93ECE" w14:textId="77777777" w:rsidTr="00717272">
        <w:tc>
          <w:tcPr>
            <w:tcW w:w="4068" w:type="dxa"/>
            <w:tcBorders>
              <w:top w:val="single" w:sz="4" w:space="0" w:color="auto"/>
              <w:left w:val="nil"/>
              <w:bottom w:val="single" w:sz="4" w:space="0" w:color="auto"/>
              <w:right w:val="nil"/>
            </w:tcBorders>
          </w:tcPr>
          <w:p w14:paraId="189ACFEA" w14:textId="77777777" w:rsidR="0061482C" w:rsidRPr="003E73CD" w:rsidRDefault="0061482C" w:rsidP="00717272">
            <w:pPr>
              <w:rPr>
                <w:sz w:val="22"/>
              </w:rPr>
            </w:pPr>
            <w:r w:rsidRPr="003E73CD">
              <w:rPr>
                <w:sz w:val="22"/>
              </w:rPr>
              <w:t>Characteristic</w:t>
            </w:r>
          </w:p>
        </w:tc>
        <w:tc>
          <w:tcPr>
            <w:tcW w:w="2259" w:type="dxa"/>
            <w:tcBorders>
              <w:top w:val="single" w:sz="4" w:space="0" w:color="auto"/>
              <w:left w:val="nil"/>
              <w:bottom w:val="single" w:sz="4" w:space="0" w:color="auto"/>
              <w:right w:val="nil"/>
            </w:tcBorders>
          </w:tcPr>
          <w:p w14:paraId="06270BB8" w14:textId="77777777" w:rsidR="0061482C" w:rsidRPr="003E73CD" w:rsidRDefault="0061482C" w:rsidP="00717272">
            <w:pPr>
              <w:jc w:val="center"/>
              <w:rPr>
                <w:sz w:val="22"/>
              </w:rPr>
            </w:pPr>
            <w:r w:rsidRPr="003E73CD">
              <w:rPr>
                <w:sz w:val="22"/>
              </w:rPr>
              <w:t xml:space="preserve">  Mean ± SD or n (%)</w:t>
            </w:r>
          </w:p>
        </w:tc>
      </w:tr>
      <w:tr w:rsidR="0061482C" w:rsidRPr="003E73CD" w14:paraId="3B50B38B" w14:textId="77777777" w:rsidTr="00717272">
        <w:tc>
          <w:tcPr>
            <w:tcW w:w="4068" w:type="dxa"/>
            <w:tcBorders>
              <w:top w:val="single" w:sz="4" w:space="0" w:color="auto"/>
              <w:left w:val="nil"/>
              <w:bottom w:val="nil"/>
              <w:right w:val="nil"/>
            </w:tcBorders>
          </w:tcPr>
          <w:p w14:paraId="4EEB17B6" w14:textId="77777777" w:rsidR="0061482C" w:rsidRPr="003E73CD" w:rsidRDefault="0061482C" w:rsidP="00717272">
            <w:pPr>
              <w:rPr>
                <w:sz w:val="22"/>
                <w:vertAlign w:val="superscript"/>
              </w:rPr>
            </w:pPr>
            <w:r w:rsidRPr="003E73CD">
              <w:rPr>
                <w:sz w:val="22"/>
              </w:rPr>
              <w:t>Age at SNB</w:t>
            </w:r>
            <w:r w:rsidRPr="003E73CD">
              <w:rPr>
                <w:sz w:val="22"/>
                <w:vertAlign w:val="superscript"/>
              </w:rPr>
              <w:t>1</w:t>
            </w:r>
          </w:p>
          <w:p w14:paraId="2BF987C5" w14:textId="77777777" w:rsidR="0061482C" w:rsidRPr="003E73CD" w:rsidRDefault="0061482C" w:rsidP="00717272">
            <w:pPr>
              <w:rPr>
                <w:sz w:val="22"/>
              </w:rPr>
            </w:pPr>
          </w:p>
        </w:tc>
        <w:tc>
          <w:tcPr>
            <w:tcW w:w="2259" w:type="dxa"/>
            <w:tcBorders>
              <w:top w:val="single" w:sz="4" w:space="0" w:color="auto"/>
              <w:left w:val="nil"/>
              <w:bottom w:val="nil"/>
              <w:right w:val="nil"/>
            </w:tcBorders>
          </w:tcPr>
          <w:p w14:paraId="1EDA6490" w14:textId="77777777" w:rsidR="0061482C" w:rsidRPr="003E73CD" w:rsidRDefault="0061482C" w:rsidP="00717272">
            <w:pPr>
              <w:jc w:val="right"/>
              <w:rPr>
                <w:sz w:val="22"/>
              </w:rPr>
            </w:pPr>
            <w:r w:rsidRPr="003E73CD">
              <w:rPr>
                <w:sz w:val="22"/>
              </w:rPr>
              <w:t>52.3 ± 16.9</w:t>
            </w:r>
          </w:p>
        </w:tc>
      </w:tr>
      <w:tr w:rsidR="0061482C" w:rsidRPr="003E73CD" w14:paraId="77B82643" w14:textId="77777777" w:rsidTr="00717272">
        <w:tc>
          <w:tcPr>
            <w:tcW w:w="4068" w:type="dxa"/>
            <w:tcBorders>
              <w:top w:val="nil"/>
              <w:left w:val="nil"/>
              <w:bottom w:val="nil"/>
              <w:right w:val="nil"/>
            </w:tcBorders>
          </w:tcPr>
          <w:p w14:paraId="22049D0F" w14:textId="77777777" w:rsidR="0061482C" w:rsidRPr="003E73CD" w:rsidRDefault="0061482C" w:rsidP="00717272">
            <w:pPr>
              <w:rPr>
                <w:sz w:val="22"/>
              </w:rPr>
            </w:pPr>
            <w:r w:rsidRPr="003E73CD">
              <w:rPr>
                <w:sz w:val="22"/>
              </w:rPr>
              <w:t>Gender</w:t>
            </w:r>
          </w:p>
          <w:p w14:paraId="260A1FD1" w14:textId="77777777" w:rsidR="0061482C" w:rsidRPr="003E73CD" w:rsidRDefault="0061482C" w:rsidP="00717272">
            <w:pPr>
              <w:pStyle w:val="Footer"/>
              <w:tabs>
                <w:tab w:val="clear" w:pos="4320"/>
                <w:tab w:val="clear" w:pos="8640"/>
              </w:tabs>
              <w:rPr>
                <w:sz w:val="22"/>
              </w:rPr>
            </w:pPr>
            <w:r w:rsidRPr="003E73CD">
              <w:rPr>
                <w:sz w:val="22"/>
              </w:rPr>
              <w:t xml:space="preserve">  Male</w:t>
            </w:r>
          </w:p>
          <w:p w14:paraId="6D7366D2" w14:textId="77777777" w:rsidR="0061482C" w:rsidRPr="003E73CD" w:rsidRDefault="0061482C" w:rsidP="00717272">
            <w:pPr>
              <w:rPr>
                <w:sz w:val="22"/>
              </w:rPr>
            </w:pPr>
            <w:r w:rsidRPr="003E73CD">
              <w:rPr>
                <w:sz w:val="22"/>
              </w:rPr>
              <w:t xml:space="preserve">  Female</w:t>
            </w:r>
          </w:p>
          <w:p w14:paraId="7F3C7494" w14:textId="77777777" w:rsidR="0061482C" w:rsidRPr="003E73CD" w:rsidRDefault="0061482C" w:rsidP="00717272">
            <w:pPr>
              <w:rPr>
                <w:sz w:val="22"/>
              </w:rPr>
            </w:pPr>
          </w:p>
        </w:tc>
        <w:tc>
          <w:tcPr>
            <w:tcW w:w="2259" w:type="dxa"/>
            <w:tcBorders>
              <w:top w:val="nil"/>
              <w:left w:val="nil"/>
              <w:bottom w:val="nil"/>
              <w:right w:val="nil"/>
            </w:tcBorders>
          </w:tcPr>
          <w:p w14:paraId="4D51605B" w14:textId="77777777" w:rsidR="0061482C" w:rsidRPr="003E73CD" w:rsidRDefault="0061482C" w:rsidP="00717272">
            <w:pPr>
              <w:jc w:val="right"/>
              <w:rPr>
                <w:sz w:val="22"/>
              </w:rPr>
            </w:pPr>
          </w:p>
          <w:p w14:paraId="45EA5003" w14:textId="77777777" w:rsidR="0061482C" w:rsidRPr="003E73CD" w:rsidRDefault="0061482C" w:rsidP="00717272">
            <w:pPr>
              <w:jc w:val="right"/>
              <w:rPr>
                <w:sz w:val="22"/>
              </w:rPr>
            </w:pPr>
            <w:r w:rsidRPr="003E73CD">
              <w:rPr>
                <w:sz w:val="22"/>
              </w:rPr>
              <w:t>198 (61.3)</w:t>
            </w:r>
          </w:p>
          <w:p w14:paraId="490C4B78" w14:textId="77777777" w:rsidR="0061482C" w:rsidRPr="003E73CD" w:rsidRDefault="0061482C" w:rsidP="00717272">
            <w:pPr>
              <w:jc w:val="right"/>
              <w:rPr>
                <w:sz w:val="22"/>
              </w:rPr>
            </w:pPr>
            <w:r w:rsidRPr="003E73CD">
              <w:rPr>
                <w:sz w:val="22"/>
              </w:rPr>
              <w:t>125 (38.7)</w:t>
            </w:r>
          </w:p>
        </w:tc>
      </w:tr>
      <w:tr w:rsidR="0061482C" w:rsidRPr="003E73CD" w14:paraId="5883DFA3" w14:textId="77777777" w:rsidTr="00717272">
        <w:tc>
          <w:tcPr>
            <w:tcW w:w="4068" w:type="dxa"/>
            <w:tcBorders>
              <w:top w:val="nil"/>
              <w:left w:val="nil"/>
              <w:bottom w:val="nil"/>
              <w:right w:val="nil"/>
            </w:tcBorders>
          </w:tcPr>
          <w:p w14:paraId="6EA0D937" w14:textId="77777777" w:rsidR="0061482C" w:rsidRPr="003E73CD" w:rsidRDefault="0061482C" w:rsidP="00717272">
            <w:pPr>
              <w:rPr>
                <w:sz w:val="22"/>
              </w:rPr>
            </w:pPr>
            <w:r w:rsidRPr="003E73CD">
              <w:rPr>
                <w:sz w:val="22"/>
              </w:rPr>
              <w:t>Tumor thickness (mm)</w:t>
            </w:r>
          </w:p>
          <w:p w14:paraId="2BB9FD01" w14:textId="77777777" w:rsidR="0061482C" w:rsidRPr="003E73CD" w:rsidRDefault="0061482C" w:rsidP="00717272">
            <w:pPr>
              <w:rPr>
                <w:sz w:val="22"/>
              </w:rPr>
            </w:pPr>
            <w:r w:rsidRPr="003E73CD">
              <w:rPr>
                <w:sz w:val="22"/>
              </w:rPr>
              <w:t xml:space="preserve">  ≤2.0 </w:t>
            </w:r>
          </w:p>
          <w:p w14:paraId="192BEA1B" w14:textId="77777777" w:rsidR="0061482C" w:rsidRPr="003E73CD" w:rsidRDefault="0061482C" w:rsidP="00717272">
            <w:pPr>
              <w:rPr>
                <w:sz w:val="22"/>
              </w:rPr>
            </w:pPr>
            <w:r w:rsidRPr="003E73CD">
              <w:rPr>
                <w:sz w:val="22"/>
              </w:rPr>
              <w:t xml:space="preserve">  2.1-4.0</w:t>
            </w:r>
          </w:p>
          <w:p w14:paraId="44C0C003" w14:textId="77777777" w:rsidR="0061482C" w:rsidRPr="003E73CD" w:rsidRDefault="0061482C" w:rsidP="00717272">
            <w:pPr>
              <w:rPr>
                <w:sz w:val="22"/>
              </w:rPr>
            </w:pPr>
            <w:r w:rsidRPr="003E73CD">
              <w:rPr>
                <w:sz w:val="22"/>
              </w:rPr>
              <w:t xml:space="preserve">  &gt;4.0</w:t>
            </w:r>
          </w:p>
          <w:p w14:paraId="31930164" w14:textId="77777777" w:rsidR="0061482C" w:rsidRPr="003E73CD" w:rsidRDefault="0061482C" w:rsidP="00717272">
            <w:pPr>
              <w:rPr>
                <w:sz w:val="22"/>
              </w:rPr>
            </w:pPr>
          </w:p>
        </w:tc>
        <w:tc>
          <w:tcPr>
            <w:tcW w:w="2259" w:type="dxa"/>
            <w:tcBorders>
              <w:top w:val="nil"/>
              <w:left w:val="nil"/>
              <w:bottom w:val="nil"/>
              <w:right w:val="nil"/>
            </w:tcBorders>
          </w:tcPr>
          <w:p w14:paraId="6FA92C0C" w14:textId="77777777" w:rsidR="0061482C" w:rsidRPr="003E73CD" w:rsidRDefault="0061482C" w:rsidP="00717272">
            <w:pPr>
              <w:jc w:val="right"/>
              <w:rPr>
                <w:sz w:val="22"/>
              </w:rPr>
            </w:pPr>
          </w:p>
          <w:p w14:paraId="480BB694" w14:textId="77777777" w:rsidR="0061482C" w:rsidRPr="003E73CD" w:rsidRDefault="0061482C" w:rsidP="00717272">
            <w:pPr>
              <w:jc w:val="right"/>
              <w:rPr>
                <w:sz w:val="22"/>
              </w:rPr>
            </w:pPr>
            <w:r w:rsidRPr="003E73CD">
              <w:rPr>
                <w:sz w:val="22"/>
              </w:rPr>
              <w:t>96 (30.0)</w:t>
            </w:r>
          </w:p>
          <w:p w14:paraId="04682D1A" w14:textId="77777777" w:rsidR="0061482C" w:rsidRPr="003E73CD" w:rsidRDefault="0061482C" w:rsidP="00717272">
            <w:pPr>
              <w:jc w:val="right"/>
              <w:rPr>
                <w:sz w:val="22"/>
              </w:rPr>
            </w:pPr>
            <w:r w:rsidRPr="003E73CD">
              <w:rPr>
                <w:sz w:val="22"/>
              </w:rPr>
              <w:t>133 (41.7)</w:t>
            </w:r>
          </w:p>
          <w:p w14:paraId="2B96F00D" w14:textId="77777777" w:rsidR="0061482C" w:rsidRPr="003E73CD" w:rsidRDefault="0061482C" w:rsidP="00717272">
            <w:pPr>
              <w:jc w:val="right"/>
              <w:rPr>
                <w:sz w:val="22"/>
              </w:rPr>
            </w:pPr>
            <w:r w:rsidRPr="003E73CD">
              <w:rPr>
                <w:sz w:val="22"/>
              </w:rPr>
              <w:t xml:space="preserve">90 (28.2) </w:t>
            </w:r>
          </w:p>
        </w:tc>
      </w:tr>
      <w:tr w:rsidR="0061482C" w:rsidRPr="003E73CD" w14:paraId="78239D2C" w14:textId="77777777" w:rsidTr="00717272">
        <w:tc>
          <w:tcPr>
            <w:tcW w:w="4068" w:type="dxa"/>
            <w:tcBorders>
              <w:top w:val="nil"/>
              <w:left w:val="nil"/>
              <w:bottom w:val="nil"/>
              <w:right w:val="nil"/>
            </w:tcBorders>
          </w:tcPr>
          <w:p w14:paraId="562763E7" w14:textId="77777777" w:rsidR="0061482C" w:rsidRPr="003E73CD" w:rsidRDefault="0061482C" w:rsidP="00717272">
            <w:pPr>
              <w:rPr>
                <w:sz w:val="22"/>
                <w:lang w:val="en-AU"/>
              </w:rPr>
            </w:pPr>
            <w:r w:rsidRPr="003E73CD">
              <w:rPr>
                <w:sz w:val="22"/>
                <w:lang w:val="en-AU"/>
              </w:rPr>
              <w:t xml:space="preserve">Ulceration </w:t>
            </w:r>
          </w:p>
          <w:p w14:paraId="40308024" w14:textId="77777777" w:rsidR="0061482C" w:rsidRPr="003E73CD" w:rsidRDefault="0061482C" w:rsidP="00717272">
            <w:pPr>
              <w:rPr>
                <w:sz w:val="22"/>
                <w:lang w:val="en-AU"/>
              </w:rPr>
            </w:pPr>
            <w:r w:rsidRPr="003E73CD">
              <w:rPr>
                <w:sz w:val="22"/>
                <w:lang w:val="en-AU"/>
              </w:rPr>
              <w:t xml:space="preserve">   No</w:t>
            </w:r>
          </w:p>
          <w:p w14:paraId="1FB0BC26" w14:textId="77777777" w:rsidR="0061482C" w:rsidRPr="003E73CD" w:rsidRDefault="0061482C" w:rsidP="00717272">
            <w:pPr>
              <w:rPr>
                <w:sz w:val="22"/>
                <w:lang w:val="en-AU"/>
              </w:rPr>
            </w:pPr>
            <w:r w:rsidRPr="003E73CD">
              <w:rPr>
                <w:sz w:val="22"/>
                <w:lang w:val="en-AU"/>
              </w:rPr>
              <w:t xml:space="preserve">   Yes</w:t>
            </w:r>
          </w:p>
          <w:p w14:paraId="5A2EB3D4" w14:textId="77777777" w:rsidR="0061482C" w:rsidRPr="003E73CD" w:rsidRDefault="0061482C" w:rsidP="00717272">
            <w:pPr>
              <w:rPr>
                <w:sz w:val="22"/>
              </w:rPr>
            </w:pPr>
          </w:p>
        </w:tc>
        <w:tc>
          <w:tcPr>
            <w:tcW w:w="2259" w:type="dxa"/>
            <w:tcBorders>
              <w:top w:val="nil"/>
              <w:left w:val="nil"/>
              <w:bottom w:val="nil"/>
              <w:right w:val="nil"/>
            </w:tcBorders>
          </w:tcPr>
          <w:p w14:paraId="4CB5A46E" w14:textId="77777777" w:rsidR="0061482C" w:rsidRPr="003E73CD" w:rsidRDefault="0061482C" w:rsidP="00717272">
            <w:pPr>
              <w:jc w:val="right"/>
              <w:rPr>
                <w:sz w:val="22"/>
              </w:rPr>
            </w:pPr>
          </w:p>
          <w:p w14:paraId="6F71F6AF" w14:textId="77777777" w:rsidR="0061482C" w:rsidRPr="003E73CD" w:rsidRDefault="0061482C" w:rsidP="00717272">
            <w:pPr>
              <w:jc w:val="right"/>
              <w:rPr>
                <w:sz w:val="22"/>
              </w:rPr>
            </w:pPr>
            <w:r w:rsidRPr="003E73CD">
              <w:rPr>
                <w:sz w:val="22"/>
              </w:rPr>
              <w:t>173 (56.7)</w:t>
            </w:r>
          </w:p>
          <w:p w14:paraId="021198E8" w14:textId="77777777" w:rsidR="0061482C" w:rsidRPr="003E73CD" w:rsidRDefault="0061482C" w:rsidP="00717272">
            <w:pPr>
              <w:jc w:val="right"/>
              <w:rPr>
                <w:sz w:val="22"/>
              </w:rPr>
            </w:pPr>
            <w:r w:rsidRPr="003E73CD">
              <w:rPr>
                <w:sz w:val="22"/>
              </w:rPr>
              <w:t>132 (43.3)</w:t>
            </w:r>
          </w:p>
        </w:tc>
      </w:tr>
      <w:tr w:rsidR="0061482C" w:rsidRPr="003E73CD" w14:paraId="6251C79D" w14:textId="77777777" w:rsidTr="00717272">
        <w:tc>
          <w:tcPr>
            <w:tcW w:w="4068" w:type="dxa"/>
            <w:tcBorders>
              <w:top w:val="nil"/>
              <w:left w:val="nil"/>
              <w:bottom w:val="nil"/>
              <w:right w:val="nil"/>
            </w:tcBorders>
          </w:tcPr>
          <w:p w14:paraId="0951973A" w14:textId="77777777" w:rsidR="0061482C" w:rsidRPr="003E73CD" w:rsidRDefault="0061482C" w:rsidP="00717272">
            <w:pPr>
              <w:rPr>
                <w:sz w:val="22"/>
                <w:lang w:val="en-AU"/>
              </w:rPr>
            </w:pPr>
            <w:r w:rsidRPr="003E73CD">
              <w:rPr>
                <w:sz w:val="22"/>
                <w:lang w:val="en-AU"/>
              </w:rPr>
              <w:t>Mitotic rate (mitoses/mm</w:t>
            </w:r>
            <w:r w:rsidRPr="003E73CD">
              <w:rPr>
                <w:sz w:val="22"/>
                <w:vertAlign w:val="superscript"/>
                <w:lang w:val="en-AU"/>
              </w:rPr>
              <w:t>2</w:t>
            </w:r>
            <w:r w:rsidRPr="003E73CD">
              <w:rPr>
                <w:sz w:val="22"/>
                <w:lang w:val="en-AU"/>
              </w:rPr>
              <w:t>)</w:t>
            </w:r>
          </w:p>
          <w:p w14:paraId="1A234864" w14:textId="77777777" w:rsidR="0061482C" w:rsidRPr="003E73CD" w:rsidRDefault="0061482C" w:rsidP="00717272">
            <w:pPr>
              <w:rPr>
                <w:sz w:val="22"/>
              </w:rPr>
            </w:pPr>
            <w:r w:rsidRPr="003E73CD">
              <w:rPr>
                <w:sz w:val="22"/>
                <w:lang w:val="en-AU"/>
              </w:rPr>
              <w:t xml:space="preserve">  </w:t>
            </w:r>
            <w:r w:rsidRPr="003E73CD">
              <w:rPr>
                <w:sz w:val="22"/>
              </w:rPr>
              <w:t>≤5</w:t>
            </w:r>
          </w:p>
          <w:p w14:paraId="569CE045" w14:textId="77777777" w:rsidR="0061482C" w:rsidRPr="003E73CD" w:rsidRDefault="0061482C" w:rsidP="00717272">
            <w:pPr>
              <w:rPr>
                <w:sz w:val="22"/>
              </w:rPr>
            </w:pPr>
            <w:r w:rsidRPr="003E73CD">
              <w:rPr>
                <w:sz w:val="22"/>
              </w:rPr>
              <w:t xml:space="preserve">  6-10</w:t>
            </w:r>
          </w:p>
          <w:p w14:paraId="5B549CE5" w14:textId="77777777" w:rsidR="0061482C" w:rsidRPr="003E73CD" w:rsidRDefault="0061482C" w:rsidP="00717272">
            <w:pPr>
              <w:rPr>
                <w:sz w:val="22"/>
              </w:rPr>
            </w:pPr>
            <w:r w:rsidRPr="003E73CD">
              <w:rPr>
                <w:sz w:val="22"/>
              </w:rPr>
              <w:t xml:space="preserve">  &gt;10</w:t>
            </w:r>
          </w:p>
          <w:p w14:paraId="5813D143" w14:textId="77777777" w:rsidR="0061482C" w:rsidRPr="003E73CD" w:rsidRDefault="0061482C" w:rsidP="00717272">
            <w:pPr>
              <w:rPr>
                <w:sz w:val="22"/>
              </w:rPr>
            </w:pPr>
          </w:p>
        </w:tc>
        <w:tc>
          <w:tcPr>
            <w:tcW w:w="2259" w:type="dxa"/>
            <w:tcBorders>
              <w:top w:val="nil"/>
              <w:left w:val="nil"/>
              <w:bottom w:val="nil"/>
              <w:right w:val="nil"/>
            </w:tcBorders>
          </w:tcPr>
          <w:p w14:paraId="0B4FC98A" w14:textId="77777777" w:rsidR="0061482C" w:rsidRPr="003E73CD" w:rsidRDefault="0061482C" w:rsidP="00717272">
            <w:pPr>
              <w:jc w:val="right"/>
              <w:rPr>
                <w:sz w:val="22"/>
              </w:rPr>
            </w:pPr>
          </w:p>
          <w:p w14:paraId="0EF37094" w14:textId="77777777" w:rsidR="0061482C" w:rsidRPr="003E73CD" w:rsidRDefault="0061482C" w:rsidP="00717272">
            <w:pPr>
              <w:jc w:val="right"/>
              <w:rPr>
                <w:sz w:val="22"/>
              </w:rPr>
            </w:pPr>
            <w:r w:rsidRPr="003E73CD">
              <w:rPr>
                <w:sz w:val="22"/>
              </w:rPr>
              <w:t>191 (60.8)</w:t>
            </w:r>
          </w:p>
          <w:p w14:paraId="2C328F25" w14:textId="77777777" w:rsidR="0061482C" w:rsidRPr="003E73CD" w:rsidRDefault="0061482C" w:rsidP="00717272">
            <w:pPr>
              <w:jc w:val="right"/>
              <w:rPr>
                <w:sz w:val="22"/>
              </w:rPr>
            </w:pPr>
            <w:r w:rsidRPr="003E73CD">
              <w:rPr>
                <w:sz w:val="22"/>
              </w:rPr>
              <w:t>70 (22.3)</w:t>
            </w:r>
          </w:p>
          <w:p w14:paraId="2AAA4CD1" w14:textId="77777777" w:rsidR="0061482C" w:rsidRPr="003E73CD" w:rsidRDefault="0061482C" w:rsidP="00717272">
            <w:pPr>
              <w:jc w:val="right"/>
              <w:rPr>
                <w:sz w:val="22"/>
              </w:rPr>
            </w:pPr>
            <w:r w:rsidRPr="003E73CD">
              <w:rPr>
                <w:sz w:val="22"/>
              </w:rPr>
              <w:t>53 (16.9)</w:t>
            </w:r>
          </w:p>
        </w:tc>
      </w:tr>
      <w:tr w:rsidR="0061482C" w:rsidRPr="003E73CD" w14:paraId="46461038" w14:textId="77777777" w:rsidTr="00717272">
        <w:tc>
          <w:tcPr>
            <w:tcW w:w="4068" w:type="dxa"/>
            <w:tcBorders>
              <w:top w:val="nil"/>
              <w:left w:val="nil"/>
              <w:bottom w:val="single" w:sz="4" w:space="0" w:color="auto"/>
              <w:right w:val="nil"/>
            </w:tcBorders>
          </w:tcPr>
          <w:p w14:paraId="7663BC21" w14:textId="77777777" w:rsidR="0061482C" w:rsidRPr="003E73CD" w:rsidRDefault="0061482C" w:rsidP="00717272">
            <w:pPr>
              <w:rPr>
                <w:sz w:val="22"/>
                <w:lang w:val="en-AU"/>
              </w:rPr>
            </w:pPr>
            <w:r w:rsidRPr="003E73CD">
              <w:rPr>
                <w:sz w:val="22"/>
                <w:lang w:val="en-AU"/>
              </w:rPr>
              <w:t xml:space="preserve">Location of primary melanoma </w:t>
            </w:r>
          </w:p>
          <w:p w14:paraId="6B3545FB" w14:textId="77777777" w:rsidR="0061482C" w:rsidRPr="003E73CD" w:rsidRDefault="0061482C" w:rsidP="00717272">
            <w:pPr>
              <w:rPr>
                <w:sz w:val="22"/>
                <w:lang w:val="en-AU"/>
              </w:rPr>
            </w:pPr>
            <w:r w:rsidRPr="003E73CD">
              <w:rPr>
                <w:sz w:val="22"/>
                <w:lang w:val="en-AU"/>
              </w:rPr>
              <w:t xml:space="preserve">  Trunk</w:t>
            </w:r>
          </w:p>
          <w:p w14:paraId="75CAA218" w14:textId="77777777" w:rsidR="0061482C" w:rsidRPr="003E73CD" w:rsidRDefault="0061482C" w:rsidP="00717272">
            <w:pPr>
              <w:rPr>
                <w:sz w:val="22"/>
                <w:lang w:val="en-AU"/>
              </w:rPr>
            </w:pPr>
            <w:r w:rsidRPr="003E73CD">
              <w:rPr>
                <w:sz w:val="22"/>
                <w:lang w:val="en-AU"/>
              </w:rPr>
              <w:t xml:space="preserve">  Extremity</w:t>
            </w:r>
          </w:p>
          <w:p w14:paraId="79B972EB" w14:textId="77777777" w:rsidR="0061482C" w:rsidRPr="003E73CD" w:rsidRDefault="0061482C" w:rsidP="00717272">
            <w:pPr>
              <w:rPr>
                <w:sz w:val="22"/>
                <w:lang w:val="en-AU"/>
              </w:rPr>
            </w:pPr>
            <w:r w:rsidRPr="003E73CD">
              <w:rPr>
                <w:sz w:val="22"/>
                <w:lang w:val="en-AU"/>
              </w:rPr>
              <w:t xml:space="preserve">  Head and neck</w:t>
            </w:r>
          </w:p>
          <w:p w14:paraId="5A7A997B" w14:textId="77777777" w:rsidR="0061482C" w:rsidRPr="003E73CD" w:rsidRDefault="0061482C" w:rsidP="00717272">
            <w:pPr>
              <w:rPr>
                <w:sz w:val="22"/>
                <w:lang w:val="en-AU"/>
              </w:rPr>
            </w:pPr>
            <w:r w:rsidRPr="003E73CD">
              <w:rPr>
                <w:sz w:val="22"/>
                <w:lang w:val="en-AU"/>
              </w:rPr>
              <w:t xml:space="preserve">  Others</w:t>
            </w:r>
          </w:p>
          <w:p w14:paraId="2C5EE41E" w14:textId="77777777" w:rsidR="0061482C" w:rsidRPr="003E73CD" w:rsidRDefault="0061482C" w:rsidP="00717272">
            <w:pPr>
              <w:rPr>
                <w:sz w:val="22"/>
                <w:lang w:val="en-AU"/>
              </w:rPr>
            </w:pPr>
          </w:p>
        </w:tc>
        <w:tc>
          <w:tcPr>
            <w:tcW w:w="2259" w:type="dxa"/>
            <w:tcBorders>
              <w:top w:val="nil"/>
              <w:left w:val="nil"/>
              <w:bottom w:val="single" w:sz="4" w:space="0" w:color="auto"/>
              <w:right w:val="nil"/>
            </w:tcBorders>
          </w:tcPr>
          <w:p w14:paraId="4F6223F8" w14:textId="77777777" w:rsidR="0061482C" w:rsidRPr="003E73CD" w:rsidRDefault="0061482C" w:rsidP="00717272">
            <w:pPr>
              <w:jc w:val="right"/>
              <w:rPr>
                <w:sz w:val="22"/>
              </w:rPr>
            </w:pPr>
          </w:p>
          <w:p w14:paraId="030ACF78" w14:textId="77777777" w:rsidR="0061482C" w:rsidRPr="003E73CD" w:rsidRDefault="0061482C" w:rsidP="00717272">
            <w:pPr>
              <w:jc w:val="right"/>
              <w:rPr>
                <w:sz w:val="22"/>
              </w:rPr>
            </w:pPr>
            <w:r w:rsidRPr="003E73CD">
              <w:rPr>
                <w:sz w:val="22"/>
              </w:rPr>
              <w:t>115 (35.6)</w:t>
            </w:r>
          </w:p>
          <w:p w14:paraId="50C5D10F" w14:textId="77777777" w:rsidR="0061482C" w:rsidRPr="003E73CD" w:rsidRDefault="0061482C" w:rsidP="00717272">
            <w:pPr>
              <w:jc w:val="right"/>
              <w:rPr>
                <w:sz w:val="22"/>
              </w:rPr>
            </w:pPr>
            <w:r w:rsidRPr="003E73CD">
              <w:rPr>
                <w:sz w:val="22"/>
              </w:rPr>
              <w:t>168 (52.0)</w:t>
            </w:r>
          </w:p>
          <w:p w14:paraId="4FF21B92" w14:textId="77777777" w:rsidR="0061482C" w:rsidRPr="003E73CD" w:rsidRDefault="0061482C" w:rsidP="00717272">
            <w:pPr>
              <w:jc w:val="right"/>
              <w:rPr>
                <w:sz w:val="22"/>
              </w:rPr>
            </w:pPr>
            <w:r w:rsidRPr="003E73CD">
              <w:rPr>
                <w:sz w:val="22"/>
              </w:rPr>
              <w:t>39 (12.1)</w:t>
            </w:r>
          </w:p>
          <w:p w14:paraId="161888D5" w14:textId="77777777" w:rsidR="0061482C" w:rsidRPr="003E73CD" w:rsidRDefault="0061482C" w:rsidP="00717272">
            <w:pPr>
              <w:jc w:val="right"/>
              <w:rPr>
                <w:sz w:val="22"/>
              </w:rPr>
            </w:pPr>
            <w:r w:rsidRPr="003E73CD">
              <w:rPr>
                <w:sz w:val="22"/>
              </w:rPr>
              <w:t xml:space="preserve">1 </w:t>
            </w:r>
            <w:proofErr w:type="gramStart"/>
            <w:r w:rsidRPr="003E73CD">
              <w:rPr>
                <w:sz w:val="22"/>
              </w:rPr>
              <w:t>(  0.3</w:t>
            </w:r>
            <w:proofErr w:type="gramEnd"/>
            <w:r w:rsidRPr="003E73CD">
              <w:rPr>
                <w:sz w:val="22"/>
              </w:rPr>
              <w:t>)</w:t>
            </w:r>
          </w:p>
        </w:tc>
      </w:tr>
    </w:tbl>
    <w:p w14:paraId="08E92112" w14:textId="77777777" w:rsidR="0061482C" w:rsidRPr="003E73CD" w:rsidRDefault="0061482C" w:rsidP="0061482C">
      <w:pPr>
        <w:pStyle w:val="Footer"/>
        <w:tabs>
          <w:tab w:val="clear" w:pos="4320"/>
          <w:tab w:val="clear" w:pos="8640"/>
        </w:tabs>
        <w:rPr>
          <w:sz w:val="22"/>
        </w:rPr>
      </w:pPr>
      <w:r w:rsidRPr="003E73CD">
        <w:rPr>
          <w:sz w:val="22"/>
          <w:vertAlign w:val="superscript"/>
        </w:rPr>
        <w:t>1</w:t>
      </w:r>
      <w:r w:rsidRPr="003E73CD">
        <w:rPr>
          <w:sz w:val="22"/>
        </w:rPr>
        <w:t>SNB=sentinel node biopsy</w:t>
      </w:r>
    </w:p>
    <w:p w14:paraId="72A65227" w14:textId="77777777" w:rsidR="0061482C" w:rsidRPr="003E73CD" w:rsidRDefault="0061482C" w:rsidP="0061482C">
      <w:pPr>
        <w:rPr>
          <w:sz w:val="22"/>
        </w:rPr>
      </w:pPr>
    </w:p>
    <w:p w14:paraId="71AA9F38" w14:textId="77777777" w:rsidR="0061482C" w:rsidRPr="003E73CD" w:rsidRDefault="0061482C" w:rsidP="0061482C">
      <w:pPr>
        <w:spacing w:line="480" w:lineRule="auto"/>
        <w:rPr>
          <w:sz w:val="22"/>
          <w:szCs w:val="22"/>
        </w:rPr>
      </w:pPr>
    </w:p>
    <w:p w14:paraId="39AB2DB1" w14:textId="77777777" w:rsidR="0061482C" w:rsidRPr="003E73CD" w:rsidRDefault="0061482C" w:rsidP="0061482C">
      <w:pPr>
        <w:spacing w:line="480" w:lineRule="auto"/>
        <w:rPr>
          <w:sz w:val="22"/>
          <w:szCs w:val="22"/>
        </w:rPr>
      </w:pPr>
    </w:p>
    <w:p w14:paraId="7704AD00" w14:textId="77777777" w:rsidR="0061482C" w:rsidRPr="003E73CD" w:rsidRDefault="0061482C" w:rsidP="0061482C">
      <w:pPr>
        <w:spacing w:line="480" w:lineRule="auto"/>
        <w:rPr>
          <w:sz w:val="22"/>
          <w:szCs w:val="22"/>
        </w:rPr>
      </w:pPr>
    </w:p>
    <w:p w14:paraId="096DC0B4" w14:textId="77777777" w:rsidR="0061482C" w:rsidRPr="003E73CD" w:rsidRDefault="0061482C" w:rsidP="0061482C">
      <w:pPr>
        <w:spacing w:line="480" w:lineRule="auto"/>
        <w:rPr>
          <w:sz w:val="22"/>
          <w:szCs w:val="22"/>
        </w:rPr>
      </w:pPr>
    </w:p>
    <w:p w14:paraId="52867BDA" w14:textId="77777777" w:rsidR="0061482C" w:rsidRPr="003E73CD" w:rsidRDefault="0061482C" w:rsidP="0061482C">
      <w:pPr>
        <w:spacing w:line="480" w:lineRule="auto"/>
        <w:rPr>
          <w:sz w:val="22"/>
          <w:szCs w:val="22"/>
        </w:rPr>
      </w:pPr>
    </w:p>
    <w:p w14:paraId="0C4A3875" w14:textId="77777777" w:rsidR="0061482C" w:rsidRPr="003E73CD" w:rsidRDefault="0061482C" w:rsidP="0061482C">
      <w:pPr>
        <w:spacing w:line="480" w:lineRule="auto"/>
        <w:rPr>
          <w:sz w:val="22"/>
          <w:szCs w:val="22"/>
        </w:rPr>
      </w:pPr>
    </w:p>
    <w:p w14:paraId="1664A750" w14:textId="77777777" w:rsidR="0061482C" w:rsidRPr="003E73CD" w:rsidRDefault="0061482C" w:rsidP="0061482C">
      <w:pPr>
        <w:spacing w:line="480" w:lineRule="auto"/>
        <w:rPr>
          <w:sz w:val="22"/>
          <w:szCs w:val="22"/>
        </w:rPr>
      </w:pPr>
    </w:p>
    <w:p w14:paraId="2E73747E" w14:textId="77777777" w:rsidR="0061482C" w:rsidRPr="003E73CD" w:rsidRDefault="0061482C" w:rsidP="0061482C">
      <w:pPr>
        <w:spacing w:line="480" w:lineRule="auto"/>
        <w:rPr>
          <w:sz w:val="22"/>
          <w:szCs w:val="22"/>
        </w:rPr>
      </w:pPr>
    </w:p>
    <w:p w14:paraId="1E48C3BE" w14:textId="77777777" w:rsidR="0061482C" w:rsidRPr="003E73CD" w:rsidRDefault="0061482C" w:rsidP="0061482C">
      <w:pPr>
        <w:spacing w:line="480" w:lineRule="auto"/>
        <w:rPr>
          <w:sz w:val="22"/>
          <w:szCs w:val="22"/>
        </w:rPr>
      </w:pPr>
    </w:p>
    <w:p w14:paraId="688A0BD0" w14:textId="77777777" w:rsidR="0061482C" w:rsidRPr="003E73CD" w:rsidRDefault="0061482C" w:rsidP="0061482C">
      <w:pPr>
        <w:spacing w:line="480" w:lineRule="auto"/>
        <w:rPr>
          <w:sz w:val="22"/>
          <w:szCs w:val="22"/>
        </w:rPr>
      </w:pPr>
    </w:p>
    <w:p w14:paraId="12F428D2" w14:textId="77777777" w:rsidR="0061482C" w:rsidRPr="003E73CD" w:rsidRDefault="0061482C" w:rsidP="0061482C">
      <w:pPr>
        <w:spacing w:line="480" w:lineRule="auto"/>
        <w:rPr>
          <w:sz w:val="22"/>
          <w:szCs w:val="22"/>
        </w:rPr>
      </w:pPr>
    </w:p>
    <w:p w14:paraId="3BCEB63D" w14:textId="3D2C82FE" w:rsidR="0061482C" w:rsidRPr="003E73CD" w:rsidRDefault="0061482C" w:rsidP="0061482C">
      <w:pPr>
        <w:rPr>
          <w:sz w:val="22"/>
        </w:rPr>
      </w:pPr>
      <w:r w:rsidRPr="003E73CD">
        <w:rPr>
          <w:sz w:val="22"/>
        </w:rPr>
        <w:t>Table 3</w:t>
      </w:r>
      <w:r w:rsidR="00155C61">
        <w:rPr>
          <w:sz w:val="22"/>
        </w:rPr>
        <w:t>.2</w:t>
      </w:r>
      <w:r w:rsidR="00A234AB" w:rsidRPr="003E73CD">
        <w:rPr>
          <w:sz w:val="22"/>
        </w:rPr>
        <w:t>.3</w:t>
      </w:r>
      <w:r w:rsidRPr="003E73CD">
        <w:rPr>
          <w:sz w:val="22"/>
        </w:rPr>
        <w:t>. Distribution of positive nodes within the study population</w:t>
      </w:r>
    </w:p>
    <w:p w14:paraId="59059E95" w14:textId="77777777" w:rsidR="00693128" w:rsidRPr="003E73CD" w:rsidRDefault="00693128" w:rsidP="0061482C">
      <w:pPr>
        <w:rPr>
          <w:sz w:val="22"/>
        </w:rPr>
      </w:pPr>
    </w:p>
    <w:tbl>
      <w:tblPr>
        <w:tblW w:w="0" w:type="auto"/>
        <w:tblInd w:w="93" w:type="dxa"/>
        <w:tblLayout w:type="fixed"/>
        <w:tblLook w:val="0000" w:firstRow="0" w:lastRow="0" w:firstColumn="0" w:lastColumn="0" w:noHBand="0" w:noVBand="0"/>
      </w:tblPr>
      <w:tblGrid>
        <w:gridCol w:w="1139"/>
        <w:gridCol w:w="960"/>
        <w:gridCol w:w="960"/>
        <w:gridCol w:w="960"/>
        <w:gridCol w:w="854"/>
      </w:tblGrid>
      <w:tr w:rsidR="0061482C" w:rsidRPr="003E73CD" w14:paraId="67929B7B" w14:textId="77777777" w:rsidTr="00717272">
        <w:trPr>
          <w:trHeight w:val="255"/>
        </w:trPr>
        <w:tc>
          <w:tcPr>
            <w:tcW w:w="1139" w:type="dxa"/>
            <w:tcBorders>
              <w:top w:val="single" w:sz="4" w:space="0" w:color="auto"/>
              <w:bottom w:val="single" w:sz="4" w:space="0" w:color="auto"/>
            </w:tcBorders>
            <w:vAlign w:val="bottom"/>
          </w:tcPr>
          <w:p w14:paraId="0432139C" w14:textId="77777777" w:rsidR="0061482C" w:rsidRPr="003E73CD" w:rsidRDefault="0061482C" w:rsidP="00717272">
            <w:pPr>
              <w:jc w:val="center"/>
              <w:rPr>
                <w:sz w:val="22"/>
              </w:rPr>
            </w:pPr>
            <w:r w:rsidRPr="003E73CD">
              <w:rPr>
                <w:sz w:val="22"/>
              </w:rPr>
              <w:t>SN+NSN</w:t>
            </w:r>
          </w:p>
        </w:tc>
        <w:tc>
          <w:tcPr>
            <w:tcW w:w="960" w:type="dxa"/>
            <w:tcBorders>
              <w:top w:val="single" w:sz="4" w:space="0" w:color="auto"/>
              <w:bottom w:val="single" w:sz="4" w:space="0" w:color="auto"/>
            </w:tcBorders>
            <w:vAlign w:val="bottom"/>
          </w:tcPr>
          <w:p w14:paraId="10270C29" w14:textId="77777777" w:rsidR="0061482C" w:rsidRPr="003E73CD" w:rsidRDefault="0061482C" w:rsidP="00717272">
            <w:pPr>
              <w:jc w:val="center"/>
              <w:rPr>
                <w:sz w:val="22"/>
              </w:rPr>
            </w:pPr>
            <w:r w:rsidRPr="003E73CD">
              <w:rPr>
                <w:sz w:val="22"/>
              </w:rPr>
              <w:t>SN</w:t>
            </w:r>
          </w:p>
        </w:tc>
        <w:tc>
          <w:tcPr>
            <w:tcW w:w="960" w:type="dxa"/>
            <w:tcBorders>
              <w:top w:val="single" w:sz="4" w:space="0" w:color="auto"/>
              <w:bottom w:val="single" w:sz="4" w:space="0" w:color="auto"/>
            </w:tcBorders>
            <w:vAlign w:val="bottom"/>
          </w:tcPr>
          <w:p w14:paraId="450A351F" w14:textId="77777777" w:rsidR="0061482C" w:rsidRPr="003E73CD" w:rsidRDefault="0061482C" w:rsidP="00717272">
            <w:pPr>
              <w:jc w:val="center"/>
              <w:rPr>
                <w:sz w:val="22"/>
              </w:rPr>
            </w:pPr>
            <w:r w:rsidRPr="003E73CD">
              <w:rPr>
                <w:sz w:val="22"/>
              </w:rPr>
              <w:t>NSN</w:t>
            </w:r>
          </w:p>
        </w:tc>
        <w:tc>
          <w:tcPr>
            <w:tcW w:w="960" w:type="dxa"/>
            <w:tcBorders>
              <w:top w:val="single" w:sz="4" w:space="0" w:color="auto"/>
              <w:bottom w:val="single" w:sz="4" w:space="0" w:color="auto"/>
            </w:tcBorders>
            <w:vAlign w:val="bottom"/>
          </w:tcPr>
          <w:p w14:paraId="33A4B0E4" w14:textId="77777777" w:rsidR="0061482C" w:rsidRPr="003E73CD" w:rsidRDefault="0061482C" w:rsidP="00717272">
            <w:pPr>
              <w:jc w:val="right"/>
              <w:rPr>
                <w:sz w:val="22"/>
              </w:rPr>
            </w:pPr>
            <w:proofErr w:type="gramStart"/>
            <w:r w:rsidRPr="003E73CD">
              <w:rPr>
                <w:sz w:val="22"/>
              </w:rPr>
              <w:t>n</w:t>
            </w:r>
            <w:proofErr w:type="gramEnd"/>
            <w:r w:rsidRPr="003E73CD">
              <w:rPr>
                <w:sz w:val="22"/>
              </w:rPr>
              <w:t xml:space="preserve"> </w:t>
            </w:r>
          </w:p>
        </w:tc>
        <w:tc>
          <w:tcPr>
            <w:tcW w:w="854" w:type="dxa"/>
            <w:tcBorders>
              <w:top w:val="single" w:sz="4" w:space="0" w:color="auto"/>
              <w:bottom w:val="single" w:sz="4" w:space="0" w:color="auto"/>
            </w:tcBorders>
            <w:vAlign w:val="bottom"/>
          </w:tcPr>
          <w:p w14:paraId="5022F15F" w14:textId="77777777" w:rsidR="0061482C" w:rsidRPr="003E73CD" w:rsidRDefault="0061482C" w:rsidP="00717272">
            <w:pPr>
              <w:jc w:val="right"/>
              <w:rPr>
                <w:sz w:val="22"/>
              </w:rPr>
            </w:pPr>
            <w:r w:rsidRPr="003E73CD">
              <w:rPr>
                <w:sz w:val="22"/>
              </w:rPr>
              <w:t>(%)</w:t>
            </w:r>
          </w:p>
        </w:tc>
      </w:tr>
      <w:tr w:rsidR="0061482C" w:rsidRPr="003E73CD" w14:paraId="08230BA3" w14:textId="77777777" w:rsidTr="00717272">
        <w:trPr>
          <w:trHeight w:val="255"/>
        </w:trPr>
        <w:tc>
          <w:tcPr>
            <w:tcW w:w="1139" w:type="dxa"/>
            <w:tcBorders>
              <w:top w:val="single" w:sz="4" w:space="0" w:color="auto"/>
              <w:bottom w:val="dashed" w:sz="4" w:space="0" w:color="auto"/>
            </w:tcBorders>
            <w:vAlign w:val="bottom"/>
          </w:tcPr>
          <w:p w14:paraId="7E63B2F1" w14:textId="77777777" w:rsidR="0061482C" w:rsidRPr="003E73CD" w:rsidRDefault="0061482C" w:rsidP="00717272">
            <w:pPr>
              <w:jc w:val="center"/>
              <w:rPr>
                <w:sz w:val="22"/>
              </w:rPr>
            </w:pPr>
            <w:r w:rsidRPr="003E73CD">
              <w:rPr>
                <w:sz w:val="22"/>
              </w:rPr>
              <w:t>1</w:t>
            </w:r>
          </w:p>
        </w:tc>
        <w:tc>
          <w:tcPr>
            <w:tcW w:w="960" w:type="dxa"/>
            <w:tcBorders>
              <w:top w:val="single" w:sz="4" w:space="0" w:color="auto"/>
              <w:bottom w:val="dashed" w:sz="4" w:space="0" w:color="auto"/>
            </w:tcBorders>
            <w:vAlign w:val="bottom"/>
          </w:tcPr>
          <w:p w14:paraId="51D4D204" w14:textId="77777777" w:rsidR="0061482C" w:rsidRPr="003E73CD" w:rsidRDefault="0061482C" w:rsidP="00717272">
            <w:pPr>
              <w:jc w:val="center"/>
              <w:rPr>
                <w:sz w:val="22"/>
              </w:rPr>
            </w:pPr>
            <w:r w:rsidRPr="003E73CD">
              <w:rPr>
                <w:sz w:val="22"/>
              </w:rPr>
              <w:t>1</w:t>
            </w:r>
          </w:p>
        </w:tc>
        <w:tc>
          <w:tcPr>
            <w:tcW w:w="960" w:type="dxa"/>
            <w:tcBorders>
              <w:top w:val="single" w:sz="4" w:space="0" w:color="auto"/>
              <w:bottom w:val="dashed" w:sz="4" w:space="0" w:color="auto"/>
            </w:tcBorders>
            <w:vAlign w:val="bottom"/>
          </w:tcPr>
          <w:p w14:paraId="6C89D711" w14:textId="77777777" w:rsidR="0061482C" w:rsidRPr="003E73CD" w:rsidRDefault="0061482C" w:rsidP="00717272">
            <w:pPr>
              <w:jc w:val="center"/>
              <w:rPr>
                <w:sz w:val="22"/>
              </w:rPr>
            </w:pPr>
            <w:r w:rsidRPr="003E73CD">
              <w:rPr>
                <w:sz w:val="22"/>
              </w:rPr>
              <w:t>0</w:t>
            </w:r>
          </w:p>
        </w:tc>
        <w:tc>
          <w:tcPr>
            <w:tcW w:w="960" w:type="dxa"/>
            <w:tcBorders>
              <w:top w:val="single" w:sz="4" w:space="0" w:color="auto"/>
              <w:bottom w:val="dashed" w:sz="4" w:space="0" w:color="auto"/>
            </w:tcBorders>
            <w:vAlign w:val="bottom"/>
          </w:tcPr>
          <w:p w14:paraId="7F0C8B6D" w14:textId="77777777" w:rsidR="0061482C" w:rsidRPr="003E73CD" w:rsidRDefault="0061482C" w:rsidP="00717272">
            <w:pPr>
              <w:jc w:val="right"/>
              <w:rPr>
                <w:sz w:val="22"/>
              </w:rPr>
            </w:pPr>
            <w:r w:rsidRPr="003E73CD">
              <w:rPr>
                <w:sz w:val="22"/>
              </w:rPr>
              <w:t>210</w:t>
            </w:r>
          </w:p>
        </w:tc>
        <w:tc>
          <w:tcPr>
            <w:tcW w:w="854" w:type="dxa"/>
            <w:tcBorders>
              <w:top w:val="single" w:sz="4" w:space="0" w:color="auto"/>
              <w:bottom w:val="dashed" w:sz="4" w:space="0" w:color="auto"/>
            </w:tcBorders>
            <w:vAlign w:val="bottom"/>
          </w:tcPr>
          <w:p w14:paraId="1F4DD64D" w14:textId="77777777" w:rsidR="0061482C" w:rsidRPr="003E73CD" w:rsidRDefault="0061482C" w:rsidP="00717272">
            <w:pPr>
              <w:jc w:val="right"/>
              <w:rPr>
                <w:sz w:val="22"/>
              </w:rPr>
            </w:pPr>
            <w:r w:rsidRPr="003E73CD">
              <w:rPr>
                <w:sz w:val="22"/>
              </w:rPr>
              <w:t>(64.8)</w:t>
            </w:r>
          </w:p>
        </w:tc>
      </w:tr>
      <w:tr w:rsidR="0061482C" w:rsidRPr="003E73CD" w14:paraId="03CC27D8" w14:textId="77777777" w:rsidTr="00717272">
        <w:trPr>
          <w:trHeight w:val="255"/>
        </w:trPr>
        <w:tc>
          <w:tcPr>
            <w:tcW w:w="1139" w:type="dxa"/>
            <w:tcBorders>
              <w:top w:val="dashed" w:sz="4" w:space="0" w:color="auto"/>
            </w:tcBorders>
            <w:vAlign w:val="bottom"/>
          </w:tcPr>
          <w:p w14:paraId="43822084" w14:textId="77777777" w:rsidR="0061482C" w:rsidRPr="003E73CD" w:rsidRDefault="0061482C" w:rsidP="00717272">
            <w:pPr>
              <w:jc w:val="center"/>
              <w:rPr>
                <w:sz w:val="22"/>
              </w:rPr>
            </w:pPr>
            <w:r w:rsidRPr="003E73CD">
              <w:rPr>
                <w:sz w:val="22"/>
              </w:rPr>
              <w:t>2</w:t>
            </w:r>
          </w:p>
        </w:tc>
        <w:tc>
          <w:tcPr>
            <w:tcW w:w="960" w:type="dxa"/>
            <w:tcBorders>
              <w:top w:val="dashed" w:sz="4" w:space="0" w:color="auto"/>
            </w:tcBorders>
            <w:vAlign w:val="bottom"/>
          </w:tcPr>
          <w:p w14:paraId="7226398C" w14:textId="77777777" w:rsidR="0061482C" w:rsidRPr="003E73CD" w:rsidRDefault="0061482C" w:rsidP="00717272">
            <w:pPr>
              <w:jc w:val="center"/>
              <w:rPr>
                <w:sz w:val="22"/>
              </w:rPr>
            </w:pPr>
            <w:r w:rsidRPr="003E73CD">
              <w:rPr>
                <w:sz w:val="22"/>
              </w:rPr>
              <w:t>1</w:t>
            </w:r>
          </w:p>
        </w:tc>
        <w:tc>
          <w:tcPr>
            <w:tcW w:w="960" w:type="dxa"/>
            <w:tcBorders>
              <w:top w:val="dashed" w:sz="4" w:space="0" w:color="auto"/>
            </w:tcBorders>
            <w:vAlign w:val="bottom"/>
          </w:tcPr>
          <w:p w14:paraId="3F7AA8A5" w14:textId="77777777" w:rsidR="0061482C" w:rsidRPr="003E73CD" w:rsidRDefault="0061482C" w:rsidP="00717272">
            <w:pPr>
              <w:jc w:val="center"/>
              <w:rPr>
                <w:sz w:val="22"/>
              </w:rPr>
            </w:pPr>
            <w:r w:rsidRPr="003E73CD">
              <w:rPr>
                <w:sz w:val="22"/>
              </w:rPr>
              <w:t>1</w:t>
            </w:r>
          </w:p>
        </w:tc>
        <w:tc>
          <w:tcPr>
            <w:tcW w:w="960" w:type="dxa"/>
            <w:tcBorders>
              <w:top w:val="dashed" w:sz="4" w:space="0" w:color="auto"/>
            </w:tcBorders>
            <w:vAlign w:val="bottom"/>
          </w:tcPr>
          <w:p w14:paraId="5FA49449" w14:textId="77777777" w:rsidR="0061482C" w:rsidRPr="003E73CD" w:rsidRDefault="0061482C" w:rsidP="00717272">
            <w:pPr>
              <w:jc w:val="right"/>
              <w:rPr>
                <w:sz w:val="22"/>
              </w:rPr>
            </w:pPr>
            <w:r w:rsidRPr="003E73CD">
              <w:rPr>
                <w:sz w:val="22"/>
              </w:rPr>
              <w:t>27</w:t>
            </w:r>
          </w:p>
        </w:tc>
        <w:tc>
          <w:tcPr>
            <w:tcW w:w="854" w:type="dxa"/>
            <w:tcBorders>
              <w:top w:val="dashed" w:sz="4" w:space="0" w:color="auto"/>
            </w:tcBorders>
            <w:vAlign w:val="bottom"/>
          </w:tcPr>
          <w:p w14:paraId="47D9A643" w14:textId="77777777" w:rsidR="0061482C" w:rsidRPr="003E73CD" w:rsidRDefault="0061482C" w:rsidP="00717272">
            <w:pPr>
              <w:jc w:val="right"/>
              <w:rPr>
                <w:sz w:val="22"/>
              </w:rPr>
            </w:pPr>
            <w:r w:rsidRPr="003E73CD">
              <w:rPr>
                <w:sz w:val="22"/>
              </w:rPr>
              <w:t>(8.3)</w:t>
            </w:r>
          </w:p>
        </w:tc>
      </w:tr>
      <w:tr w:rsidR="0061482C" w:rsidRPr="003E73CD" w14:paraId="30CC8D5B" w14:textId="77777777" w:rsidTr="00717272">
        <w:trPr>
          <w:trHeight w:val="255"/>
        </w:trPr>
        <w:tc>
          <w:tcPr>
            <w:tcW w:w="1139" w:type="dxa"/>
            <w:tcBorders>
              <w:bottom w:val="dashed" w:sz="4" w:space="0" w:color="auto"/>
            </w:tcBorders>
            <w:vAlign w:val="bottom"/>
          </w:tcPr>
          <w:p w14:paraId="4A21323B" w14:textId="77777777" w:rsidR="0061482C" w:rsidRPr="003E73CD" w:rsidRDefault="0061482C" w:rsidP="00717272">
            <w:pPr>
              <w:jc w:val="center"/>
              <w:rPr>
                <w:sz w:val="22"/>
              </w:rPr>
            </w:pPr>
          </w:p>
        </w:tc>
        <w:tc>
          <w:tcPr>
            <w:tcW w:w="960" w:type="dxa"/>
            <w:tcBorders>
              <w:bottom w:val="dashed" w:sz="4" w:space="0" w:color="auto"/>
            </w:tcBorders>
            <w:vAlign w:val="bottom"/>
          </w:tcPr>
          <w:p w14:paraId="7690D414" w14:textId="77777777" w:rsidR="0061482C" w:rsidRPr="003E73CD" w:rsidRDefault="0061482C" w:rsidP="00717272">
            <w:pPr>
              <w:jc w:val="center"/>
              <w:rPr>
                <w:sz w:val="22"/>
              </w:rPr>
            </w:pPr>
            <w:r w:rsidRPr="003E73CD">
              <w:rPr>
                <w:sz w:val="22"/>
              </w:rPr>
              <w:t>2</w:t>
            </w:r>
          </w:p>
        </w:tc>
        <w:tc>
          <w:tcPr>
            <w:tcW w:w="960" w:type="dxa"/>
            <w:tcBorders>
              <w:bottom w:val="dashed" w:sz="4" w:space="0" w:color="auto"/>
            </w:tcBorders>
            <w:vAlign w:val="bottom"/>
          </w:tcPr>
          <w:p w14:paraId="2D24EA85" w14:textId="77777777" w:rsidR="0061482C" w:rsidRPr="003E73CD" w:rsidRDefault="0061482C" w:rsidP="00717272">
            <w:pPr>
              <w:jc w:val="center"/>
              <w:rPr>
                <w:sz w:val="22"/>
              </w:rPr>
            </w:pPr>
            <w:r w:rsidRPr="003E73CD">
              <w:rPr>
                <w:sz w:val="22"/>
              </w:rPr>
              <w:t>0</w:t>
            </w:r>
          </w:p>
        </w:tc>
        <w:tc>
          <w:tcPr>
            <w:tcW w:w="960" w:type="dxa"/>
            <w:tcBorders>
              <w:bottom w:val="dashed" w:sz="4" w:space="0" w:color="auto"/>
            </w:tcBorders>
            <w:vAlign w:val="bottom"/>
          </w:tcPr>
          <w:p w14:paraId="7C45AF7A" w14:textId="77777777" w:rsidR="0061482C" w:rsidRPr="003E73CD" w:rsidRDefault="0061482C" w:rsidP="00717272">
            <w:pPr>
              <w:jc w:val="right"/>
              <w:rPr>
                <w:sz w:val="22"/>
              </w:rPr>
            </w:pPr>
            <w:r w:rsidRPr="003E73CD">
              <w:rPr>
                <w:sz w:val="22"/>
              </w:rPr>
              <w:t>44</w:t>
            </w:r>
          </w:p>
        </w:tc>
        <w:tc>
          <w:tcPr>
            <w:tcW w:w="854" w:type="dxa"/>
            <w:tcBorders>
              <w:bottom w:val="dashed" w:sz="4" w:space="0" w:color="auto"/>
            </w:tcBorders>
            <w:vAlign w:val="bottom"/>
          </w:tcPr>
          <w:p w14:paraId="1869E03F" w14:textId="77777777" w:rsidR="0061482C" w:rsidRPr="003E73CD" w:rsidRDefault="0061482C" w:rsidP="00717272">
            <w:pPr>
              <w:jc w:val="right"/>
              <w:rPr>
                <w:sz w:val="22"/>
              </w:rPr>
            </w:pPr>
            <w:r w:rsidRPr="003E73CD">
              <w:rPr>
                <w:sz w:val="22"/>
              </w:rPr>
              <w:t>(13.6)</w:t>
            </w:r>
          </w:p>
        </w:tc>
      </w:tr>
      <w:tr w:rsidR="0061482C" w:rsidRPr="003E73CD" w14:paraId="2D6297DD" w14:textId="77777777" w:rsidTr="00717272">
        <w:trPr>
          <w:trHeight w:val="255"/>
        </w:trPr>
        <w:tc>
          <w:tcPr>
            <w:tcW w:w="1139" w:type="dxa"/>
            <w:tcBorders>
              <w:top w:val="dashed" w:sz="4" w:space="0" w:color="auto"/>
            </w:tcBorders>
            <w:vAlign w:val="bottom"/>
          </w:tcPr>
          <w:p w14:paraId="3257A5F0" w14:textId="77777777" w:rsidR="0061482C" w:rsidRPr="003E73CD" w:rsidRDefault="0061482C" w:rsidP="00717272">
            <w:pPr>
              <w:jc w:val="center"/>
              <w:rPr>
                <w:sz w:val="22"/>
              </w:rPr>
            </w:pPr>
            <w:r w:rsidRPr="003E73CD">
              <w:rPr>
                <w:sz w:val="22"/>
              </w:rPr>
              <w:t>3</w:t>
            </w:r>
          </w:p>
        </w:tc>
        <w:tc>
          <w:tcPr>
            <w:tcW w:w="960" w:type="dxa"/>
            <w:tcBorders>
              <w:top w:val="dashed" w:sz="4" w:space="0" w:color="auto"/>
            </w:tcBorders>
            <w:vAlign w:val="bottom"/>
          </w:tcPr>
          <w:p w14:paraId="6785C5C5" w14:textId="77777777" w:rsidR="0061482C" w:rsidRPr="003E73CD" w:rsidRDefault="0061482C" w:rsidP="00717272">
            <w:pPr>
              <w:jc w:val="center"/>
              <w:rPr>
                <w:sz w:val="22"/>
              </w:rPr>
            </w:pPr>
            <w:r w:rsidRPr="003E73CD">
              <w:rPr>
                <w:sz w:val="22"/>
              </w:rPr>
              <w:t>1</w:t>
            </w:r>
          </w:p>
        </w:tc>
        <w:tc>
          <w:tcPr>
            <w:tcW w:w="960" w:type="dxa"/>
            <w:tcBorders>
              <w:top w:val="dashed" w:sz="4" w:space="0" w:color="auto"/>
            </w:tcBorders>
            <w:vAlign w:val="bottom"/>
          </w:tcPr>
          <w:p w14:paraId="120111C0" w14:textId="77777777" w:rsidR="0061482C" w:rsidRPr="003E73CD" w:rsidRDefault="0061482C" w:rsidP="00717272">
            <w:pPr>
              <w:jc w:val="center"/>
              <w:rPr>
                <w:sz w:val="22"/>
              </w:rPr>
            </w:pPr>
            <w:r w:rsidRPr="003E73CD">
              <w:rPr>
                <w:sz w:val="22"/>
              </w:rPr>
              <w:t>2</w:t>
            </w:r>
          </w:p>
        </w:tc>
        <w:tc>
          <w:tcPr>
            <w:tcW w:w="960" w:type="dxa"/>
            <w:tcBorders>
              <w:top w:val="dashed" w:sz="4" w:space="0" w:color="auto"/>
            </w:tcBorders>
            <w:vAlign w:val="bottom"/>
          </w:tcPr>
          <w:p w14:paraId="4E12BDE7" w14:textId="77777777" w:rsidR="0061482C" w:rsidRPr="003E73CD" w:rsidRDefault="0061482C" w:rsidP="00717272">
            <w:pPr>
              <w:jc w:val="right"/>
              <w:rPr>
                <w:sz w:val="22"/>
              </w:rPr>
            </w:pPr>
            <w:r w:rsidRPr="003E73CD">
              <w:rPr>
                <w:sz w:val="22"/>
              </w:rPr>
              <w:t>12</w:t>
            </w:r>
          </w:p>
        </w:tc>
        <w:tc>
          <w:tcPr>
            <w:tcW w:w="854" w:type="dxa"/>
            <w:tcBorders>
              <w:top w:val="dashed" w:sz="4" w:space="0" w:color="auto"/>
            </w:tcBorders>
            <w:vAlign w:val="bottom"/>
          </w:tcPr>
          <w:p w14:paraId="400C27E0" w14:textId="77777777" w:rsidR="0061482C" w:rsidRPr="003E73CD" w:rsidRDefault="0061482C" w:rsidP="00717272">
            <w:pPr>
              <w:jc w:val="right"/>
              <w:rPr>
                <w:sz w:val="22"/>
              </w:rPr>
            </w:pPr>
            <w:r w:rsidRPr="003E73CD">
              <w:rPr>
                <w:sz w:val="22"/>
              </w:rPr>
              <w:t>(3.7)</w:t>
            </w:r>
          </w:p>
        </w:tc>
      </w:tr>
      <w:tr w:rsidR="0061482C" w:rsidRPr="003E73CD" w14:paraId="26DBE704" w14:textId="77777777" w:rsidTr="00717272">
        <w:trPr>
          <w:trHeight w:val="255"/>
        </w:trPr>
        <w:tc>
          <w:tcPr>
            <w:tcW w:w="1139" w:type="dxa"/>
            <w:vAlign w:val="bottom"/>
          </w:tcPr>
          <w:p w14:paraId="3A68CACF" w14:textId="77777777" w:rsidR="0061482C" w:rsidRPr="003E73CD" w:rsidRDefault="0061482C" w:rsidP="00717272">
            <w:pPr>
              <w:jc w:val="center"/>
              <w:rPr>
                <w:sz w:val="22"/>
              </w:rPr>
            </w:pPr>
          </w:p>
        </w:tc>
        <w:tc>
          <w:tcPr>
            <w:tcW w:w="960" w:type="dxa"/>
            <w:vAlign w:val="bottom"/>
          </w:tcPr>
          <w:p w14:paraId="613932A6" w14:textId="77777777" w:rsidR="0061482C" w:rsidRPr="003E73CD" w:rsidRDefault="0061482C" w:rsidP="00717272">
            <w:pPr>
              <w:jc w:val="center"/>
              <w:rPr>
                <w:sz w:val="22"/>
              </w:rPr>
            </w:pPr>
            <w:r w:rsidRPr="003E73CD">
              <w:rPr>
                <w:sz w:val="22"/>
              </w:rPr>
              <w:t>2</w:t>
            </w:r>
          </w:p>
        </w:tc>
        <w:tc>
          <w:tcPr>
            <w:tcW w:w="960" w:type="dxa"/>
            <w:vAlign w:val="bottom"/>
          </w:tcPr>
          <w:p w14:paraId="6A590722" w14:textId="77777777" w:rsidR="0061482C" w:rsidRPr="003E73CD" w:rsidRDefault="0061482C" w:rsidP="00717272">
            <w:pPr>
              <w:jc w:val="center"/>
              <w:rPr>
                <w:sz w:val="22"/>
              </w:rPr>
            </w:pPr>
            <w:r w:rsidRPr="003E73CD">
              <w:rPr>
                <w:sz w:val="22"/>
              </w:rPr>
              <w:t>1</w:t>
            </w:r>
          </w:p>
        </w:tc>
        <w:tc>
          <w:tcPr>
            <w:tcW w:w="960" w:type="dxa"/>
            <w:vAlign w:val="bottom"/>
          </w:tcPr>
          <w:p w14:paraId="747394B7" w14:textId="77777777" w:rsidR="0061482C" w:rsidRPr="003E73CD" w:rsidRDefault="0061482C" w:rsidP="00717272">
            <w:pPr>
              <w:jc w:val="right"/>
              <w:rPr>
                <w:sz w:val="22"/>
              </w:rPr>
            </w:pPr>
            <w:r w:rsidRPr="003E73CD">
              <w:rPr>
                <w:sz w:val="22"/>
              </w:rPr>
              <w:t>11</w:t>
            </w:r>
          </w:p>
        </w:tc>
        <w:tc>
          <w:tcPr>
            <w:tcW w:w="854" w:type="dxa"/>
            <w:vAlign w:val="bottom"/>
          </w:tcPr>
          <w:p w14:paraId="111D29DE" w14:textId="77777777" w:rsidR="0061482C" w:rsidRPr="003E73CD" w:rsidRDefault="0061482C" w:rsidP="00717272">
            <w:pPr>
              <w:jc w:val="right"/>
              <w:rPr>
                <w:sz w:val="22"/>
              </w:rPr>
            </w:pPr>
            <w:r w:rsidRPr="003E73CD">
              <w:rPr>
                <w:sz w:val="22"/>
              </w:rPr>
              <w:t>(3.4)</w:t>
            </w:r>
          </w:p>
        </w:tc>
      </w:tr>
      <w:tr w:rsidR="0061482C" w:rsidRPr="003E73CD" w14:paraId="7348B4E8" w14:textId="77777777" w:rsidTr="00717272">
        <w:trPr>
          <w:trHeight w:val="255"/>
        </w:trPr>
        <w:tc>
          <w:tcPr>
            <w:tcW w:w="1139" w:type="dxa"/>
            <w:tcBorders>
              <w:bottom w:val="dashed" w:sz="4" w:space="0" w:color="auto"/>
            </w:tcBorders>
            <w:vAlign w:val="bottom"/>
          </w:tcPr>
          <w:p w14:paraId="5D3A5539" w14:textId="77777777" w:rsidR="0061482C" w:rsidRPr="003E73CD" w:rsidRDefault="0061482C" w:rsidP="00717272">
            <w:pPr>
              <w:jc w:val="center"/>
              <w:rPr>
                <w:sz w:val="22"/>
              </w:rPr>
            </w:pPr>
          </w:p>
        </w:tc>
        <w:tc>
          <w:tcPr>
            <w:tcW w:w="960" w:type="dxa"/>
            <w:tcBorders>
              <w:bottom w:val="dashed" w:sz="4" w:space="0" w:color="auto"/>
            </w:tcBorders>
            <w:vAlign w:val="bottom"/>
          </w:tcPr>
          <w:p w14:paraId="21E46492" w14:textId="77777777" w:rsidR="0061482C" w:rsidRPr="003E73CD" w:rsidRDefault="0061482C" w:rsidP="00717272">
            <w:pPr>
              <w:jc w:val="center"/>
              <w:rPr>
                <w:sz w:val="22"/>
              </w:rPr>
            </w:pPr>
            <w:r w:rsidRPr="003E73CD">
              <w:rPr>
                <w:sz w:val="22"/>
              </w:rPr>
              <w:t>3</w:t>
            </w:r>
          </w:p>
        </w:tc>
        <w:tc>
          <w:tcPr>
            <w:tcW w:w="960" w:type="dxa"/>
            <w:tcBorders>
              <w:bottom w:val="dashed" w:sz="4" w:space="0" w:color="auto"/>
            </w:tcBorders>
            <w:vAlign w:val="bottom"/>
          </w:tcPr>
          <w:p w14:paraId="51F2E7FD" w14:textId="77777777" w:rsidR="0061482C" w:rsidRPr="003E73CD" w:rsidRDefault="0061482C" w:rsidP="00717272">
            <w:pPr>
              <w:jc w:val="center"/>
              <w:rPr>
                <w:sz w:val="22"/>
              </w:rPr>
            </w:pPr>
            <w:r w:rsidRPr="003E73CD">
              <w:rPr>
                <w:sz w:val="22"/>
              </w:rPr>
              <w:t>0</w:t>
            </w:r>
          </w:p>
        </w:tc>
        <w:tc>
          <w:tcPr>
            <w:tcW w:w="960" w:type="dxa"/>
            <w:tcBorders>
              <w:bottom w:val="dashed" w:sz="4" w:space="0" w:color="auto"/>
            </w:tcBorders>
            <w:vAlign w:val="bottom"/>
          </w:tcPr>
          <w:p w14:paraId="6EBAC287" w14:textId="77777777" w:rsidR="0061482C" w:rsidRPr="003E73CD" w:rsidRDefault="0061482C" w:rsidP="00717272">
            <w:pPr>
              <w:jc w:val="right"/>
              <w:rPr>
                <w:sz w:val="22"/>
              </w:rPr>
            </w:pPr>
            <w:r w:rsidRPr="003E73CD">
              <w:rPr>
                <w:sz w:val="22"/>
              </w:rPr>
              <w:t>8</w:t>
            </w:r>
          </w:p>
        </w:tc>
        <w:tc>
          <w:tcPr>
            <w:tcW w:w="854" w:type="dxa"/>
            <w:tcBorders>
              <w:bottom w:val="dashed" w:sz="4" w:space="0" w:color="auto"/>
            </w:tcBorders>
            <w:vAlign w:val="bottom"/>
          </w:tcPr>
          <w:p w14:paraId="0DC5AB49" w14:textId="77777777" w:rsidR="0061482C" w:rsidRPr="003E73CD" w:rsidRDefault="0061482C" w:rsidP="00717272">
            <w:pPr>
              <w:jc w:val="right"/>
              <w:rPr>
                <w:sz w:val="22"/>
              </w:rPr>
            </w:pPr>
            <w:r w:rsidRPr="003E73CD">
              <w:rPr>
                <w:sz w:val="22"/>
              </w:rPr>
              <w:t>(2.5)</w:t>
            </w:r>
          </w:p>
        </w:tc>
      </w:tr>
      <w:tr w:rsidR="0061482C" w:rsidRPr="003E73CD" w14:paraId="38DCD4D9" w14:textId="77777777" w:rsidTr="00717272">
        <w:trPr>
          <w:trHeight w:val="255"/>
        </w:trPr>
        <w:tc>
          <w:tcPr>
            <w:tcW w:w="1139" w:type="dxa"/>
            <w:tcBorders>
              <w:top w:val="dashed" w:sz="4" w:space="0" w:color="auto"/>
            </w:tcBorders>
            <w:vAlign w:val="bottom"/>
          </w:tcPr>
          <w:p w14:paraId="47511A9F" w14:textId="77777777" w:rsidR="0061482C" w:rsidRPr="003E73CD" w:rsidRDefault="0061482C" w:rsidP="00717272">
            <w:pPr>
              <w:jc w:val="center"/>
              <w:rPr>
                <w:sz w:val="22"/>
              </w:rPr>
            </w:pPr>
            <w:r w:rsidRPr="003E73CD">
              <w:rPr>
                <w:sz w:val="22"/>
              </w:rPr>
              <w:t>4</w:t>
            </w:r>
          </w:p>
        </w:tc>
        <w:tc>
          <w:tcPr>
            <w:tcW w:w="960" w:type="dxa"/>
            <w:tcBorders>
              <w:top w:val="dashed" w:sz="4" w:space="0" w:color="auto"/>
            </w:tcBorders>
            <w:vAlign w:val="bottom"/>
          </w:tcPr>
          <w:p w14:paraId="0D7726CC" w14:textId="77777777" w:rsidR="0061482C" w:rsidRPr="003E73CD" w:rsidRDefault="0061482C" w:rsidP="00717272">
            <w:pPr>
              <w:jc w:val="center"/>
              <w:rPr>
                <w:sz w:val="22"/>
              </w:rPr>
            </w:pPr>
            <w:r w:rsidRPr="003E73CD">
              <w:rPr>
                <w:sz w:val="22"/>
              </w:rPr>
              <w:t>1</w:t>
            </w:r>
          </w:p>
        </w:tc>
        <w:tc>
          <w:tcPr>
            <w:tcW w:w="960" w:type="dxa"/>
            <w:tcBorders>
              <w:top w:val="dashed" w:sz="4" w:space="0" w:color="auto"/>
            </w:tcBorders>
            <w:vAlign w:val="bottom"/>
          </w:tcPr>
          <w:p w14:paraId="2F181C34" w14:textId="77777777" w:rsidR="0061482C" w:rsidRPr="003E73CD" w:rsidRDefault="0061482C" w:rsidP="00717272">
            <w:pPr>
              <w:jc w:val="center"/>
              <w:rPr>
                <w:sz w:val="22"/>
              </w:rPr>
            </w:pPr>
            <w:r w:rsidRPr="003E73CD">
              <w:rPr>
                <w:sz w:val="22"/>
              </w:rPr>
              <w:t>3</w:t>
            </w:r>
          </w:p>
        </w:tc>
        <w:tc>
          <w:tcPr>
            <w:tcW w:w="960" w:type="dxa"/>
            <w:tcBorders>
              <w:top w:val="dashed" w:sz="4" w:space="0" w:color="auto"/>
            </w:tcBorders>
            <w:vAlign w:val="bottom"/>
          </w:tcPr>
          <w:p w14:paraId="4AFEC44B" w14:textId="77777777" w:rsidR="0061482C" w:rsidRPr="003E73CD" w:rsidRDefault="0061482C" w:rsidP="00717272">
            <w:pPr>
              <w:jc w:val="right"/>
              <w:rPr>
                <w:sz w:val="22"/>
              </w:rPr>
            </w:pPr>
            <w:r w:rsidRPr="003E73CD">
              <w:rPr>
                <w:sz w:val="22"/>
              </w:rPr>
              <w:t>4</w:t>
            </w:r>
          </w:p>
        </w:tc>
        <w:tc>
          <w:tcPr>
            <w:tcW w:w="854" w:type="dxa"/>
            <w:tcBorders>
              <w:top w:val="dashed" w:sz="4" w:space="0" w:color="auto"/>
            </w:tcBorders>
            <w:vAlign w:val="bottom"/>
          </w:tcPr>
          <w:p w14:paraId="2ABD3D13" w14:textId="77777777" w:rsidR="0061482C" w:rsidRPr="003E73CD" w:rsidRDefault="0061482C" w:rsidP="00717272">
            <w:pPr>
              <w:jc w:val="right"/>
              <w:rPr>
                <w:sz w:val="22"/>
              </w:rPr>
            </w:pPr>
            <w:r w:rsidRPr="003E73CD">
              <w:rPr>
                <w:sz w:val="22"/>
              </w:rPr>
              <w:t>(0.9)</w:t>
            </w:r>
          </w:p>
        </w:tc>
      </w:tr>
      <w:tr w:rsidR="0061482C" w:rsidRPr="003E73CD" w14:paraId="022FCF98" w14:textId="77777777" w:rsidTr="00717272">
        <w:trPr>
          <w:trHeight w:val="255"/>
        </w:trPr>
        <w:tc>
          <w:tcPr>
            <w:tcW w:w="1139" w:type="dxa"/>
            <w:vAlign w:val="bottom"/>
          </w:tcPr>
          <w:p w14:paraId="0ADE6599" w14:textId="77777777" w:rsidR="0061482C" w:rsidRPr="003E73CD" w:rsidRDefault="0061482C" w:rsidP="00717272">
            <w:pPr>
              <w:jc w:val="center"/>
              <w:rPr>
                <w:sz w:val="22"/>
              </w:rPr>
            </w:pPr>
          </w:p>
        </w:tc>
        <w:tc>
          <w:tcPr>
            <w:tcW w:w="960" w:type="dxa"/>
            <w:vAlign w:val="bottom"/>
          </w:tcPr>
          <w:p w14:paraId="10EC4D1E" w14:textId="77777777" w:rsidR="0061482C" w:rsidRPr="003E73CD" w:rsidRDefault="0061482C" w:rsidP="00717272">
            <w:pPr>
              <w:jc w:val="center"/>
              <w:rPr>
                <w:sz w:val="22"/>
              </w:rPr>
            </w:pPr>
            <w:r w:rsidRPr="003E73CD">
              <w:rPr>
                <w:sz w:val="22"/>
              </w:rPr>
              <w:t>2</w:t>
            </w:r>
          </w:p>
        </w:tc>
        <w:tc>
          <w:tcPr>
            <w:tcW w:w="960" w:type="dxa"/>
            <w:vAlign w:val="bottom"/>
          </w:tcPr>
          <w:p w14:paraId="545723A8" w14:textId="77777777" w:rsidR="0061482C" w:rsidRPr="003E73CD" w:rsidRDefault="0061482C" w:rsidP="00717272">
            <w:pPr>
              <w:jc w:val="center"/>
              <w:rPr>
                <w:sz w:val="22"/>
              </w:rPr>
            </w:pPr>
            <w:r w:rsidRPr="003E73CD">
              <w:rPr>
                <w:sz w:val="22"/>
              </w:rPr>
              <w:t>2</w:t>
            </w:r>
          </w:p>
        </w:tc>
        <w:tc>
          <w:tcPr>
            <w:tcW w:w="960" w:type="dxa"/>
            <w:vAlign w:val="bottom"/>
          </w:tcPr>
          <w:p w14:paraId="2DFFC0DE" w14:textId="77777777" w:rsidR="0061482C" w:rsidRPr="003E73CD" w:rsidRDefault="0061482C" w:rsidP="00717272">
            <w:pPr>
              <w:jc w:val="right"/>
              <w:rPr>
                <w:sz w:val="22"/>
              </w:rPr>
            </w:pPr>
            <w:r w:rsidRPr="003E73CD">
              <w:rPr>
                <w:sz w:val="22"/>
              </w:rPr>
              <w:t>1</w:t>
            </w:r>
          </w:p>
        </w:tc>
        <w:tc>
          <w:tcPr>
            <w:tcW w:w="854" w:type="dxa"/>
            <w:vAlign w:val="bottom"/>
          </w:tcPr>
          <w:p w14:paraId="4796E083" w14:textId="77777777" w:rsidR="0061482C" w:rsidRPr="003E73CD" w:rsidRDefault="0061482C" w:rsidP="00717272">
            <w:pPr>
              <w:jc w:val="right"/>
              <w:rPr>
                <w:sz w:val="22"/>
              </w:rPr>
            </w:pPr>
            <w:r w:rsidRPr="003E73CD">
              <w:rPr>
                <w:sz w:val="22"/>
              </w:rPr>
              <w:t>(0.3)</w:t>
            </w:r>
          </w:p>
        </w:tc>
      </w:tr>
      <w:tr w:rsidR="0061482C" w:rsidRPr="003E73CD" w14:paraId="6AA46BD5" w14:textId="77777777" w:rsidTr="00717272">
        <w:trPr>
          <w:trHeight w:val="255"/>
        </w:trPr>
        <w:tc>
          <w:tcPr>
            <w:tcW w:w="1139" w:type="dxa"/>
            <w:vAlign w:val="bottom"/>
          </w:tcPr>
          <w:p w14:paraId="7F3BB110" w14:textId="77777777" w:rsidR="0061482C" w:rsidRPr="003E73CD" w:rsidRDefault="0061482C" w:rsidP="00717272">
            <w:pPr>
              <w:jc w:val="center"/>
              <w:rPr>
                <w:sz w:val="22"/>
              </w:rPr>
            </w:pPr>
          </w:p>
        </w:tc>
        <w:tc>
          <w:tcPr>
            <w:tcW w:w="960" w:type="dxa"/>
            <w:vAlign w:val="bottom"/>
          </w:tcPr>
          <w:p w14:paraId="3004B185" w14:textId="77777777" w:rsidR="0061482C" w:rsidRPr="003E73CD" w:rsidRDefault="0061482C" w:rsidP="00717272">
            <w:pPr>
              <w:jc w:val="center"/>
              <w:rPr>
                <w:sz w:val="22"/>
              </w:rPr>
            </w:pPr>
            <w:r w:rsidRPr="003E73CD">
              <w:rPr>
                <w:sz w:val="22"/>
              </w:rPr>
              <w:t>3</w:t>
            </w:r>
          </w:p>
        </w:tc>
        <w:tc>
          <w:tcPr>
            <w:tcW w:w="960" w:type="dxa"/>
            <w:vAlign w:val="bottom"/>
          </w:tcPr>
          <w:p w14:paraId="3F1B0BB7" w14:textId="77777777" w:rsidR="0061482C" w:rsidRPr="003E73CD" w:rsidRDefault="0061482C" w:rsidP="00717272">
            <w:pPr>
              <w:jc w:val="center"/>
              <w:rPr>
                <w:sz w:val="22"/>
              </w:rPr>
            </w:pPr>
            <w:r w:rsidRPr="003E73CD">
              <w:rPr>
                <w:sz w:val="22"/>
              </w:rPr>
              <w:t>1</w:t>
            </w:r>
          </w:p>
        </w:tc>
        <w:tc>
          <w:tcPr>
            <w:tcW w:w="960" w:type="dxa"/>
            <w:vAlign w:val="bottom"/>
          </w:tcPr>
          <w:p w14:paraId="0B9D4180" w14:textId="77777777" w:rsidR="0061482C" w:rsidRPr="003E73CD" w:rsidRDefault="0061482C" w:rsidP="00717272">
            <w:pPr>
              <w:jc w:val="right"/>
              <w:rPr>
                <w:sz w:val="22"/>
              </w:rPr>
            </w:pPr>
            <w:r w:rsidRPr="003E73CD">
              <w:rPr>
                <w:sz w:val="22"/>
              </w:rPr>
              <w:t>1</w:t>
            </w:r>
          </w:p>
        </w:tc>
        <w:tc>
          <w:tcPr>
            <w:tcW w:w="854" w:type="dxa"/>
            <w:vAlign w:val="bottom"/>
          </w:tcPr>
          <w:p w14:paraId="2AE6930F" w14:textId="77777777" w:rsidR="0061482C" w:rsidRPr="003E73CD" w:rsidRDefault="0061482C" w:rsidP="00717272">
            <w:pPr>
              <w:jc w:val="right"/>
              <w:rPr>
                <w:sz w:val="22"/>
              </w:rPr>
            </w:pPr>
            <w:r w:rsidRPr="003E73CD">
              <w:rPr>
                <w:sz w:val="22"/>
              </w:rPr>
              <w:t>(0.3)</w:t>
            </w:r>
          </w:p>
        </w:tc>
      </w:tr>
      <w:tr w:rsidR="0061482C" w:rsidRPr="003E73CD" w14:paraId="1B70C562" w14:textId="77777777" w:rsidTr="00717272">
        <w:trPr>
          <w:trHeight w:val="255"/>
        </w:trPr>
        <w:tc>
          <w:tcPr>
            <w:tcW w:w="1139" w:type="dxa"/>
            <w:tcBorders>
              <w:bottom w:val="dashed" w:sz="4" w:space="0" w:color="auto"/>
            </w:tcBorders>
            <w:vAlign w:val="bottom"/>
          </w:tcPr>
          <w:p w14:paraId="40C9ABDC" w14:textId="77777777" w:rsidR="0061482C" w:rsidRPr="003E73CD" w:rsidRDefault="0061482C" w:rsidP="00717272">
            <w:pPr>
              <w:jc w:val="center"/>
              <w:rPr>
                <w:sz w:val="22"/>
              </w:rPr>
            </w:pPr>
          </w:p>
        </w:tc>
        <w:tc>
          <w:tcPr>
            <w:tcW w:w="960" w:type="dxa"/>
            <w:tcBorders>
              <w:bottom w:val="dashed" w:sz="4" w:space="0" w:color="auto"/>
            </w:tcBorders>
            <w:vAlign w:val="bottom"/>
          </w:tcPr>
          <w:p w14:paraId="13D2FCD4" w14:textId="77777777" w:rsidR="0061482C" w:rsidRPr="003E73CD" w:rsidRDefault="0061482C" w:rsidP="00717272">
            <w:pPr>
              <w:jc w:val="center"/>
              <w:rPr>
                <w:sz w:val="22"/>
              </w:rPr>
            </w:pPr>
            <w:r w:rsidRPr="003E73CD">
              <w:rPr>
                <w:sz w:val="22"/>
              </w:rPr>
              <w:t>4</w:t>
            </w:r>
          </w:p>
        </w:tc>
        <w:tc>
          <w:tcPr>
            <w:tcW w:w="960" w:type="dxa"/>
            <w:tcBorders>
              <w:bottom w:val="dashed" w:sz="4" w:space="0" w:color="auto"/>
            </w:tcBorders>
            <w:vAlign w:val="bottom"/>
          </w:tcPr>
          <w:p w14:paraId="203A05B1" w14:textId="77777777" w:rsidR="0061482C" w:rsidRPr="003E73CD" w:rsidRDefault="0061482C" w:rsidP="00717272">
            <w:pPr>
              <w:jc w:val="center"/>
              <w:rPr>
                <w:sz w:val="22"/>
              </w:rPr>
            </w:pPr>
            <w:r w:rsidRPr="003E73CD">
              <w:rPr>
                <w:sz w:val="22"/>
              </w:rPr>
              <w:t>0</w:t>
            </w:r>
          </w:p>
        </w:tc>
        <w:tc>
          <w:tcPr>
            <w:tcW w:w="960" w:type="dxa"/>
            <w:tcBorders>
              <w:bottom w:val="dashed" w:sz="4" w:space="0" w:color="auto"/>
            </w:tcBorders>
            <w:vAlign w:val="bottom"/>
          </w:tcPr>
          <w:p w14:paraId="6CF92560" w14:textId="77777777" w:rsidR="0061482C" w:rsidRPr="003E73CD" w:rsidRDefault="0061482C" w:rsidP="00717272">
            <w:pPr>
              <w:jc w:val="right"/>
              <w:rPr>
                <w:sz w:val="22"/>
              </w:rPr>
            </w:pPr>
            <w:r w:rsidRPr="003E73CD">
              <w:rPr>
                <w:sz w:val="22"/>
              </w:rPr>
              <w:t>1</w:t>
            </w:r>
          </w:p>
        </w:tc>
        <w:tc>
          <w:tcPr>
            <w:tcW w:w="854" w:type="dxa"/>
            <w:tcBorders>
              <w:bottom w:val="dashed" w:sz="4" w:space="0" w:color="auto"/>
            </w:tcBorders>
            <w:vAlign w:val="bottom"/>
          </w:tcPr>
          <w:p w14:paraId="2D1BB80E" w14:textId="77777777" w:rsidR="0061482C" w:rsidRPr="003E73CD" w:rsidRDefault="0061482C" w:rsidP="00717272">
            <w:pPr>
              <w:jc w:val="right"/>
              <w:rPr>
                <w:sz w:val="22"/>
              </w:rPr>
            </w:pPr>
            <w:r w:rsidRPr="003E73CD">
              <w:rPr>
                <w:sz w:val="22"/>
              </w:rPr>
              <w:t>(0.3)</w:t>
            </w:r>
          </w:p>
        </w:tc>
      </w:tr>
      <w:tr w:rsidR="0061482C" w:rsidRPr="003E73CD" w14:paraId="33D8DDF6" w14:textId="77777777" w:rsidTr="00717272">
        <w:trPr>
          <w:trHeight w:val="255"/>
        </w:trPr>
        <w:tc>
          <w:tcPr>
            <w:tcW w:w="1139" w:type="dxa"/>
            <w:tcBorders>
              <w:top w:val="dashed" w:sz="4" w:space="0" w:color="auto"/>
            </w:tcBorders>
            <w:vAlign w:val="bottom"/>
          </w:tcPr>
          <w:p w14:paraId="50510157" w14:textId="77777777" w:rsidR="0061482C" w:rsidRPr="003E73CD" w:rsidRDefault="0061482C" w:rsidP="00717272">
            <w:pPr>
              <w:jc w:val="center"/>
              <w:rPr>
                <w:sz w:val="22"/>
              </w:rPr>
            </w:pPr>
            <w:r w:rsidRPr="003E73CD">
              <w:rPr>
                <w:sz w:val="22"/>
              </w:rPr>
              <w:t>5</w:t>
            </w:r>
          </w:p>
        </w:tc>
        <w:tc>
          <w:tcPr>
            <w:tcW w:w="960" w:type="dxa"/>
            <w:tcBorders>
              <w:top w:val="dashed" w:sz="4" w:space="0" w:color="auto"/>
            </w:tcBorders>
            <w:vAlign w:val="bottom"/>
          </w:tcPr>
          <w:p w14:paraId="4EAD3E0C" w14:textId="77777777" w:rsidR="0061482C" w:rsidRPr="003E73CD" w:rsidRDefault="0061482C" w:rsidP="00717272">
            <w:pPr>
              <w:jc w:val="center"/>
              <w:rPr>
                <w:sz w:val="22"/>
              </w:rPr>
            </w:pPr>
            <w:r w:rsidRPr="003E73CD">
              <w:rPr>
                <w:sz w:val="22"/>
              </w:rPr>
              <w:t>1</w:t>
            </w:r>
          </w:p>
        </w:tc>
        <w:tc>
          <w:tcPr>
            <w:tcW w:w="960" w:type="dxa"/>
            <w:tcBorders>
              <w:top w:val="dashed" w:sz="4" w:space="0" w:color="auto"/>
            </w:tcBorders>
            <w:vAlign w:val="bottom"/>
          </w:tcPr>
          <w:p w14:paraId="67322B39" w14:textId="77777777" w:rsidR="0061482C" w:rsidRPr="003E73CD" w:rsidRDefault="0061482C" w:rsidP="00717272">
            <w:pPr>
              <w:jc w:val="center"/>
              <w:rPr>
                <w:sz w:val="22"/>
              </w:rPr>
            </w:pPr>
            <w:r w:rsidRPr="003E73CD">
              <w:rPr>
                <w:sz w:val="22"/>
              </w:rPr>
              <w:t>4</w:t>
            </w:r>
          </w:p>
        </w:tc>
        <w:tc>
          <w:tcPr>
            <w:tcW w:w="960" w:type="dxa"/>
            <w:tcBorders>
              <w:top w:val="dashed" w:sz="4" w:space="0" w:color="auto"/>
            </w:tcBorders>
            <w:vAlign w:val="bottom"/>
          </w:tcPr>
          <w:p w14:paraId="0AB113E2" w14:textId="77777777" w:rsidR="0061482C" w:rsidRPr="003E73CD" w:rsidRDefault="0061482C" w:rsidP="00717272">
            <w:pPr>
              <w:jc w:val="right"/>
              <w:rPr>
                <w:sz w:val="22"/>
              </w:rPr>
            </w:pPr>
            <w:r w:rsidRPr="003E73CD">
              <w:rPr>
                <w:sz w:val="22"/>
              </w:rPr>
              <w:t>1</w:t>
            </w:r>
          </w:p>
        </w:tc>
        <w:tc>
          <w:tcPr>
            <w:tcW w:w="854" w:type="dxa"/>
            <w:tcBorders>
              <w:top w:val="dashed" w:sz="4" w:space="0" w:color="auto"/>
            </w:tcBorders>
            <w:vAlign w:val="bottom"/>
          </w:tcPr>
          <w:p w14:paraId="46548757" w14:textId="77777777" w:rsidR="0061482C" w:rsidRPr="003E73CD" w:rsidRDefault="0061482C" w:rsidP="00717272">
            <w:pPr>
              <w:jc w:val="right"/>
              <w:rPr>
                <w:sz w:val="22"/>
              </w:rPr>
            </w:pPr>
            <w:r w:rsidRPr="003E73CD">
              <w:rPr>
                <w:sz w:val="22"/>
              </w:rPr>
              <w:t>(0.3)</w:t>
            </w:r>
          </w:p>
        </w:tc>
      </w:tr>
      <w:tr w:rsidR="0061482C" w:rsidRPr="003E73CD" w14:paraId="7123CF65" w14:textId="77777777" w:rsidTr="00717272">
        <w:trPr>
          <w:trHeight w:val="255"/>
        </w:trPr>
        <w:tc>
          <w:tcPr>
            <w:tcW w:w="1139" w:type="dxa"/>
            <w:tcBorders>
              <w:bottom w:val="dashed" w:sz="4" w:space="0" w:color="auto"/>
            </w:tcBorders>
            <w:vAlign w:val="bottom"/>
          </w:tcPr>
          <w:p w14:paraId="21C7F98A" w14:textId="77777777" w:rsidR="0061482C" w:rsidRPr="003E73CD" w:rsidRDefault="0061482C" w:rsidP="00717272">
            <w:pPr>
              <w:jc w:val="center"/>
              <w:rPr>
                <w:sz w:val="22"/>
              </w:rPr>
            </w:pPr>
          </w:p>
        </w:tc>
        <w:tc>
          <w:tcPr>
            <w:tcW w:w="960" w:type="dxa"/>
            <w:tcBorders>
              <w:bottom w:val="dashed" w:sz="4" w:space="0" w:color="auto"/>
            </w:tcBorders>
            <w:vAlign w:val="bottom"/>
          </w:tcPr>
          <w:p w14:paraId="0FBCEE70" w14:textId="77777777" w:rsidR="0061482C" w:rsidRPr="003E73CD" w:rsidRDefault="0061482C" w:rsidP="00717272">
            <w:pPr>
              <w:jc w:val="center"/>
              <w:rPr>
                <w:sz w:val="22"/>
              </w:rPr>
            </w:pPr>
            <w:r w:rsidRPr="003E73CD">
              <w:rPr>
                <w:sz w:val="22"/>
              </w:rPr>
              <w:t>2</w:t>
            </w:r>
          </w:p>
        </w:tc>
        <w:tc>
          <w:tcPr>
            <w:tcW w:w="960" w:type="dxa"/>
            <w:tcBorders>
              <w:bottom w:val="dashed" w:sz="4" w:space="0" w:color="auto"/>
            </w:tcBorders>
            <w:vAlign w:val="bottom"/>
          </w:tcPr>
          <w:p w14:paraId="5E140737" w14:textId="77777777" w:rsidR="0061482C" w:rsidRPr="003E73CD" w:rsidRDefault="0061482C" w:rsidP="00717272">
            <w:pPr>
              <w:jc w:val="center"/>
              <w:rPr>
                <w:sz w:val="22"/>
              </w:rPr>
            </w:pPr>
            <w:r w:rsidRPr="003E73CD">
              <w:rPr>
                <w:sz w:val="22"/>
              </w:rPr>
              <w:t>3</w:t>
            </w:r>
          </w:p>
        </w:tc>
        <w:tc>
          <w:tcPr>
            <w:tcW w:w="960" w:type="dxa"/>
            <w:tcBorders>
              <w:bottom w:val="dashed" w:sz="4" w:space="0" w:color="auto"/>
            </w:tcBorders>
            <w:vAlign w:val="bottom"/>
          </w:tcPr>
          <w:p w14:paraId="4165C297" w14:textId="77777777" w:rsidR="0061482C" w:rsidRPr="003E73CD" w:rsidRDefault="0061482C" w:rsidP="00717272">
            <w:pPr>
              <w:jc w:val="right"/>
              <w:rPr>
                <w:sz w:val="22"/>
              </w:rPr>
            </w:pPr>
            <w:r w:rsidRPr="003E73CD">
              <w:rPr>
                <w:sz w:val="22"/>
              </w:rPr>
              <w:t>1</w:t>
            </w:r>
          </w:p>
        </w:tc>
        <w:tc>
          <w:tcPr>
            <w:tcW w:w="854" w:type="dxa"/>
            <w:tcBorders>
              <w:bottom w:val="dashed" w:sz="4" w:space="0" w:color="auto"/>
            </w:tcBorders>
            <w:vAlign w:val="bottom"/>
          </w:tcPr>
          <w:p w14:paraId="77E6ED20" w14:textId="77777777" w:rsidR="0061482C" w:rsidRPr="003E73CD" w:rsidRDefault="0061482C" w:rsidP="00717272">
            <w:pPr>
              <w:jc w:val="right"/>
              <w:rPr>
                <w:sz w:val="22"/>
              </w:rPr>
            </w:pPr>
            <w:r w:rsidRPr="003E73CD">
              <w:rPr>
                <w:sz w:val="22"/>
              </w:rPr>
              <w:t>(0.3)</w:t>
            </w:r>
          </w:p>
        </w:tc>
      </w:tr>
      <w:tr w:rsidR="0061482C" w:rsidRPr="003E73CD" w14:paraId="023D0F0E" w14:textId="77777777" w:rsidTr="00717272">
        <w:trPr>
          <w:trHeight w:val="255"/>
        </w:trPr>
        <w:tc>
          <w:tcPr>
            <w:tcW w:w="1139" w:type="dxa"/>
            <w:tcBorders>
              <w:top w:val="dashed" w:sz="4" w:space="0" w:color="auto"/>
              <w:bottom w:val="dashed" w:sz="4" w:space="0" w:color="auto"/>
            </w:tcBorders>
            <w:vAlign w:val="bottom"/>
          </w:tcPr>
          <w:p w14:paraId="05D84FC1" w14:textId="77777777" w:rsidR="0061482C" w:rsidRPr="003E73CD" w:rsidRDefault="0061482C" w:rsidP="00717272">
            <w:pPr>
              <w:jc w:val="center"/>
              <w:rPr>
                <w:sz w:val="22"/>
              </w:rPr>
            </w:pPr>
            <w:r w:rsidRPr="003E73CD">
              <w:rPr>
                <w:sz w:val="22"/>
              </w:rPr>
              <w:t>7</w:t>
            </w:r>
          </w:p>
        </w:tc>
        <w:tc>
          <w:tcPr>
            <w:tcW w:w="960" w:type="dxa"/>
            <w:tcBorders>
              <w:top w:val="dashed" w:sz="4" w:space="0" w:color="auto"/>
              <w:bottom w:val="dashed" w:sz="4" w:space="0" w:color="auto"/>
            </w:tcBorders>
            <w:vAlign w:val="bottom"/>
          </w:tcPr>
          <w:p w14:paraId="56784E8B" w14:textId="77777777" w:rsidR="0061482C" w:rsidRPr="003E73CD" w:rsidRDefault="0061482C" w:rsidP="00717272">
            <w:pPr>
              <w:jc w:val="center"/>
              <w:rPr>
                <w:sz w:val="22"/>
              </w:rPr>
            </w:pPr>
            <w:r w:rsidRPr="003E73CD">
              <w:rPr>
                <w:sz w:val="22"/>
              </w:rPr>
              <w:t>1</w:t>
            </w:r>
          </w:p>
        </w:tc>
        <w:tc>
          <w:tcPr>
            <w:tcW w:w="960" w:type="dxa"/>
            <w:tcBorders>
              <w:top w:val="dashed" w:sz="4" w:space="0" w:color="auto"/>
              <w:bottom w:val="dashed" w:sz="4" w:space="0" w:color="auto"/>
            </w:tcBorders>
            <w:vAlign w:val="bottom"/>
          </w:tcPr>
          <w:p w14:paraId="606A0382" w14:textId="77777777" w:rsidR="0061482C" w:rsidRPr="003E73CD" w:rsidRDefault="0061482C" w:rsidP="00717272">
            <w:pPr>
              <w:jc w:val="center"/>
              <w:rPr>
                <w:sz w:val="22"/>
              </w:rPr>
            </w:pPr>
            <w:r w:rsidRPr="003E73CD">
              <w:rPr>
                <w:sz w:val="22"/>
              </w:rPr>
              <w:t>6</w:t>
            </w:r>
          </w:p>
        </w:tc>
        <w:tc>
          <w:tcPr>
            <w:tcW w:w="960" w:type="dxa"/>
            <w:tcBorders>
              <w:top w:val="dashed" w:sz="4" w:space="0" w:color="auto"/>
              <w:bottom w:val="dashed" w:sz="4" w:space="0" w:color="auto"/>
            </w:tcBorders>
            <w:vAlign w:val="bottom"/>
          </w:tcPr>
          <w:p w14:paraId="5E158A56" w14:textId="77777777" w:rsidR="0061482C" w:rsidRPr="003E73CD" w:rsidRDefault="0061482C" w:rsidP="00717272">
            <w:pPr>
              <w:jc w:val="right"/>
              <w:rPr>
                <w:sz w:val="22"/>
              </w:rPr>
            </w:pPr>
            <w:r w:rsidRPr="003E73CD">
              <w:rPr>
                <w:sz w:val="22"/>
              </w:rPr>
              <w:t>1</w:t>
            </w:r>
          </w:p>
        </w:tc>
        <w:tc>
          <w:tcPr>
            <w:tcW w:w="854" w:type="dxa"/>
            <w:tcBorders>
              <w:top w:val="dashed" w:sz="4" w:space="0" w:color="auto"/>
              <w:bottom w:val="dashed" w:sz="4" w:space="0" w:color="auto"/>
            </w:tcBorders>
            <w:vAlign w:val="bottom"/>
          </w:tcPr>
          <w:p w14:paraId="7B68E599" w14:textId="77777777" w:rsidR="0061482C" w:rsidRPr="003E73CD" w:rsidRDefault="0061482C" w:rsidP="00717272">
            <w:pPr>
              <w:jc w:val="right"/>
              <w:rPr>
                <w:sz w:val="22"/>
              </w:rPr>
            </w:pPr>
            <w:r w:rsidRPr="003E73CD">
              <w:rPr>
                <w:sz w:val="22"/>
              </w:rPr>
              <w:t>(0.3)</w:t>
            </w:r>
          </w:p>
        </w:tc>
      </w:tr>
      <w:tr w:rsidR="0061482C" w:rsidRPr="003E73CD" w14:paraId="006C7ACD" w14:textId="77777777" w:rsidTr="00717272">
        <w:trPr>
          <w:trHeight w:val="255"/>
        </w:trPr>
        <w:tc>
          <w:tcPr>
            <w:tcW w:w="1139" w:type="dxa"/>
            <w:tcBorders>
              <w:top w:val="dashed" w:sz="4" w:space="0" w:color="auto"/>
              <w:bottom w:val="dashed" w:sz="4" w:space="0" w:color="auto"/>
            </w:tcBorders>
            <w:vAlign w:val="bottom"/>
          </w:tcPr>
          <w:p w14:paraId="7B7731EC" w14:textId="77777777" w:rsidR="0061482C" w:rsidRPr="003E73CD" w:rsidRDefault="0061482C" w:rsidP="00717272">
            <w:pPr>
              <w:jc w:val="center"/>
              <w:rPr>
                <w:sz w:val="22"/>
              </w:rPr>
            </w:pPr>
            <w:r w:rsidRPr="003E73CD">
              <w:rPr>
                <w:sz w:val="22"/>
              </w:rPr>
              <w:t>8</w:t>
            </w:r>
          </w:p>
        </w:tc>
        <w:tc>
          <w:tcPr>
            <w:tcW w:w="960" w:type="dxa"/>
            <w:tcBorders>
              <w:top w:val="dashed" w:sz="4" w:space="0" w:color="auto"/>
              <w:bottom w:val="dashed" w:sz="4" w:space="0" w:color="auto"/>
            </w:tcBorders>
            <w:vAlign w:val="bottom"/>
          </w:tcPr>
          <w:p w14:paraId="26C32087" w14:textId="77777777" w:rsidR="0061482C" w:rsidRPr="003E73CD" w:rsidRDefault="0061482C" w:rsidP="00717272">
            <w:pPr>
              <w:jc w:val="center"/>
              <w:rPr>
                <w:sz w:val="22"/>
              </w:rPr>
            </w:pPr>
            <w:r w:rsidRPr="003E73CD">
              <w:rPr>
                <w:sz w:val="22"/>
              </w:rPr>
              <w:t>4</w:t>
            </w:r>
          </w:p>
        </w:tc>
        <w:tc>
          <w:tcPr>
            <w:tcW w:w="960" w:type="dxa"/>
            <w:tcBorders>
              <w:top w:val="dashed" w:sz="4" w:space="0" w:color="auto"/>
              <w:bottom w:val="dashed" w:sz="4" w:space="0" w:color="auto"/>
            </w:tcBorders>
            <w:vAlign w:val="bottom"/>
          </w:tcPr>
          <w:p w14:paraId="26C393EA" w14:textId="77777777" w:rsidR="0061482C" w:rsidRPr="003E73CD" w:rsidRDefault="0061482C" w:rsidP="00717272">
            <w:pPr>
              <w:jc w:val="center"/>
              <w:rPr>
                <w:sz w:val="22"/>
              </w:rPr>
            </w:pPr>
            <w:r w:rsidRPr="003E73CD">
              <w:rPr>
                <w:sz w:val="22"/>
              </w:rPr>
              <w:t>4</w:t>
            </w:r>
          </w:p>
        </w:tc>
        <w:tc>
          <w:tcPr>
            <w:tcW w:w="960" w:type="dxa"/>
            <w:tcBorders>
              <w:top w:val="dashed" w:sz="4" w:space="0" w:color="auto"/>
              <w:bottom w:val="dashed" w:sz="4" w:space="0" w:color="auto"/>
            </w:tcBorders>
            <w:vAlign w:val="bottom"/>
          </w:tcPr>
          <w:p w14:paraId="380E4CAD" w14:textId="77777777" w:rsidR="0061482C" w:rsidRPr="003E73CD" w:rsidRDefault="0061482C" w:rsidP="00717272">
            <w:pPr>
              <w:jc w:val="right"/>
              <w:rPr>
                <w:sz w:val="22"/>
              </w:rPr>
            </w:pPr>
            <w:r w:rsidRPr="003E73CD">
              <w:rPr>
                <w:sz w:val="22"/>
              </w:rPr>
              <w:t>1</w:t>
            </w:r>
          </w:p>
        </w:tc>
        <w:tc>
          <w:tcPr>
            <w:tcW w:w="854" w:type="dxa"/>
            <w:tcBorders>
              <w:top w:val="dashed" w:sz="4" w:space="0" w:color="auto"/>
              <w:bottom w:val="dashed" w:sz="4" w:space="0" w:color="auto"/>
            </w:tcBorders>
            <w:vAlign w:val="bottom"/>
          </w:tcPr>
          <w:p w14:paraId="17A06C6E" w14:textId="77777777" w:rsidR="0061482C" w:rsidRPr="003E73CD" w:rsidRDefault="0061482C" w:rsidP="00717272">
            <w:pPr>
              <w:jc w:val="right"/>
              <w:rPr>
                <w:sz w:val="22"/>
              </w:rPr>
            </w:pPr>
            <w:r w:rsidRPr="003E73CD">
              <w:rPr>
                <w:sz w:val="22"/>
              </w:rPr>
              <w:t>(0.3)</w:t>
            </w:r>
          </w:p>
        </w:tc>
      </w:tr>
    </w:tbl>
    <w:p w14:paraId="5CAFBED9" w14:textId="77777777" w:rsidR="0061482C" w:rsidRPr="003E73CD" w:rsidRDefault="0061482C" w:rsidP="0061482C">
      <w:pPr>
        <w:pStyle w:val="Footer"/>
        <w:tabs>
          <w:tab w:val="clear" w:pos="4320"/>
          <w:tab w:val="clear" w:pos="8640"/>
        </w:tabs>
        <w:rPr>
          <w:sz w:val="22"/>
        </w:rPr>
      </w:pPr>
      <w:r w:rsidRPr="003E73CD">
        <w:rPr>
          <w:sz w:val="22"/>
        </w:rPr>
        <w:t>SN = sentinel node</w:t>
      </w:r>
    </w:p>
    <w:p w14:paraId="5D396366" w14:textId="77777777" w:rsidR="0061482C" w:rsidRPr="003E73CD" w:rsidRDefault="0061482C" w:rsidP="0061482C">
      <w:pPr>
        <w:pStyle w:val="Footer"/>
        <w:tabs>
          <w:tab w:val="clear" w:pos="4320"/>
          <w:tab w:val="clear" w:pos="8640"/>
        </w:tabs>
        <w:rPr>
          <w:sz w:val="22"/>
        </w:rPr>
      </w:pPr>
      <w:r w:rsidRPr="003E73CD">
        <w:rPr>
          <w:sz w:val="22"/>
        </w:rPr>
        <w:t>NSN = non-sentinel node</w:t>
      </w:r>
    </w:p>
    <w:p w14:paraId="7DA719D1" w14:textId="77777777" w:rsidR="0061482C" w:rsidRPr="003E73CD" w:rsidRDefault="0061482C" w:rsidP="0061482C">
      <w:pPr>
        <w:rPr>
          <w:sz w:val="22"/>
        </w:rPr>
      </w:pPr>
      <w:proofErr w:type="gramStart"/>
      <w:r w:rsidRPr="003E73CD">
        <w:rPr>
          <w:sz w:val="22"/>
        </w:rPr>
        <w:t>n</w:t>
      </w:r>
      <w:proofErr w:type="gramEnd"/>
      <w:r w:rsidRPr="003E73CD">
        <w:rPr>
          <w:sz w:val="22"/>
        </w:rPr>
        <w:t xml:space="preserve"> = number of patients</w:t>
      </w:r>
    </w:p>
    <w:p w14:paraId="0E9657FF" w14:textId="77777777" w:rsidR="0061482C" w:rsidRPr="003E73CD" w:rsidRDefault="0061482C" w:rsidP="0061482C">
      <w:pPr>
        <w:spacing w:line="480" w:lineRule="auto"/>
        <w:rPr>
          <w:sz w:val="22"/>
          <w:szCs w:val="22"/>
        </w:rPr>
      </w:pPr>
    </w:p>
    <w:p w14:paraId="38BA88DC" w14:textId="77777777" w:rsidR="0061482C" w:rsidRPr="003E73CD" w:rsidRDefault="0061482C" w:rsidP="0061482C">
      <w:pPr>
        <w:spacing w:line="480" w:lineRule="auto"/>
        <w:rPr>
          <w:sz w:val="22"/>
          <w:szCs w:val="22"/>
        </w:rPr>
      </w:pPr>
    </w:p>
    <w:p w14:paraId="672134BD" w14:textId="497A5C42" w:rsidR="0061482C" w:rsidRPr="003E73CD" w:rsidRDefault="0061482C" w:rsidP="0061482C">
      <w:pPr>
        <w:spacing w:line="480" w:lineRule="auto"/>
        <w:ind w:firstLine="720"/>
        <w:rPr>
          <w:sz w:val="22"/>
          <w:szCs w:val="22"/>
        </w:rPr>
      </w:pPr>
      <w:r w:rsidRPr="003E73CD">
        <w:rPr>
          <w:sz w:val="22"/>
          <w:szCs w:val="22"/>
        </w:rPr>
        <w:t xml:space="preserve">Three separate multivariate analyses (Models 1,2 and 3 in Table </w:t>
      </w:r>
      <w:r w:rsidR="00155C61">
        <w:rPr>
          <w:sz w:val="22"/>
          <w:szCs w:val="22"/>
        </w:rPr>
        <w:t>3.2</w:t>
      </w:r>
      <w:r w:rsidR="00A234AB" w:rsidRPr="003E73CD">
        <w:rPr>
          <w:sz w:val="22"/>
          <w:szCs w:val="22"/>
        </w:rPr>
        <w:t>.</w:t>
      </w:r>
      <w:r w:rsidRPr="003E73CD">
        <w:rPr>
          <w:sz w:val="22"/>
          <w:szCs w:val="22"/>
        </w:rPr>
        <w:t>4) were performed to establish the relative influence of the variables: total number of positive nodes, number of positive SNs and number of positive NSNs on survival.  Number of positive SNs did not significantly influence survival.  Inclusion of total number of positive nodes and number of positive NSNs within the same multivariate analysis produced p values of 0.409 and 0.032 respectively, indicating that number of positive NSNs had the greater influence on survival.  Factors associated with reduced survival were increasing age, male gender, primary melanoma thickness &gt;4.0mm, mitotic rate &gt;10 mitoses/mm</w:t>
      </w:r>
      <w:r w:rsidRPr="003E73CD">
        <w:rPr>
          <w:sz w:val="22"/>
          <w:szCs w:val="22"/>
          <w:vertAlign w:val="superscript"/>
        </w:rPr>
        <w:t>2</w:t>
      </w:r>
      <w:r w:rsidRPr="003E73CD">
        <w:rPr>
          <w:sz w:val="22"/>
          <w:szCs w:val="22"/>
        </w:rPr>
        <w:t xml:space="preserve"> and increasing number of positive NSNs or increasing total number of positive nodes.  The survival curves for patients grouped by total number of positive nodes (1, 2, 3 or &gt;3 positive nodes) demonstrated poor survival for patients with &gt;3 positive nodes (Figure </w:t>
      </w:r>
      <w:r w:rsidR="00155C61">
        <w:rPr>
          <w:sz w:val="22"/>
          <w:szCs w:val="22"/>
        </w:rPr>
        <w:t>3.2</w:t>
      </w:r>
      <w:r w:rsidR="00A234AB" w:rsidRPr="003E73CD">
        <w:rPr>
          <w:sz w:val="22"/>
          <w:szCs w:val="22"/>
        </w:rPr>
        <w:t>.</w:t>
      </w:r>
      <w:r w:rsidRPr="003E73CD">
        <w:rPr>
          <w:sz w:val="22"/>
          <w:szCs w:val="22"/>
        </w:rPr>
        <w:t>1).</w:t>
      </w:r>
    </w:p>
    <w:p w14:paraId="7FF1282C" w14:textId="77777777" w:rsidR="0061482C" w:rsidRPr="003E73CD" w:rsidRDefault="0061482C" w:rsidP="0061482C">
      <w:pPr>
        <w:spacing w:line="480" w:lineRule="auto"/>
        <w:rPr>
          <w:sz w:val="22"/>
          <w:szCs w:val="22"/>
        </w:rPr>
      </w:pPr>
    </w:p>
    <w:p w14:paraId="619F274E" w14:textId="77777777" w:rsidR="0061482C" w:rsidRPr="003E73CD" w:rsidRDefault="0061482C" w:rsidP="0061482C">
      <w:pPr>
        <w:spacing w:line="480" w:lineRule="auto"/>
        <w:rPr>
          <w:sz w:val="22"/>
          <w:szCs w:val="22"/>
        </w:rPr>
      </w:pPr>
    </w:p>
    <w:p w14:paraId="31B3B6F9" w14:textId="77777777" w:rsidR="0061482C" w:rsidRPr="003E73CD" w:rsidRDefault="0061482C" w:rsidP="0061482C">
      <w:pPr>
        <w:spacing w:line="480" w:lineRule="auto"/>
        <w:rPr>
          <w:sz w:val="22"/>
          <w:szCs w:val="22"/>
        </w:rPr>
      </w:pPr>
    </w:p>
    <w:p w14:paraId="567F4DEA" w14:textId="004108A9" w:rsidR="0061482C" w:rsidRPr="003E73CD" w:rsidRDefault="0061482C" w:rsidP="00693128">
      <w:pPr>
        <w:rPr>
          <w:sz w:val="22"/>
        </w:rPr>
      </w:pPr>
      <w:r w:rsidRPr="003E73CD">
        <w:rPr>
          <w:sz w:val="22"/>
        </w:rPr>
        <w:t xml:space="preserve">Table </w:t>
      </w:r>
      <w:r w:rsidR="00155C61">
        <w:rPr>
          <w:sz w:val="22"/>
        </w:rPr>
        <w:t>3.2</w:t>
      </w:r>
      <w:r w:rsidR="00A234AB" w:rsidRPr="003E73CD">
        <w:rPr>
          <w:sz w:val="22"/>
        </w:rPr>
        <w:t>.</w:t>
      </w:r>
      <w:r w:rsidRPr="003E73CD">
        <w:rPr>
          <w:sz w:val="22"/>
        </w:rPr>
        <w:t>4. Cox regression models for melanoma patients with positive sentinel nodes (n=301)</w:t>
      </w:r>
    </w:p>
    <w:p w14:paraId="4FED5B68" w14:textId="77777777" w:rsidR="00693128" w:rsidRPr="003E73CD" w:rsidRDefault="00693128" w:rsidP="00693128">
      <w:pPr>
        <w:rPr>
          <w:sz w:val="22"/>
        </w:rPr>
      </w:pPr>
    </w:p>
    <w:tbl>
      <w:tblPr>
        <w:tblW w:w="5000" w:type="pct"/>
        <w:tblBorders>
          <w:bottom w:val="single" w:sz="4" w:space="0" w:color="auto"/>
        </w:tblBorders>
        <w:tblLook w:val="0000" w:firstRow="0" w:lastRow="0" w:firstColumn="0" w:lastColumn="0" w:noHBand="0" w:noVBand="0"/>
      </w:tblPr>
      <w:tblGrid>
        <w:gridCol w:w="1886"/>
        <w:gridCol w:w="1464"/>
        <w:gridCol w:w="812"/>
        <w:gridCol w:w="1464"/>
        <w:gridCol w:w="812"/>
        <w:gridCol w:w="1464"/>
        <w:gridCol w:w="812"/>
      </w:tblGrid>
      <w:tr w:rsidR="0061482C" w:rsidRPr="003E73CD" w14:paraId="0FEA2D39" w14:textId="77777777" w:rsidTr="000C2BAA">
        <w:trPr>
          <w:cantSplit/>
          <w:trHeight w:val="383"/>
        </w:trPr>
        <w:tc>
          <w:tcPr>
            <w:tcW w:w="1082" w:type="pct"/>
            <w:vMerge w:val="restart"/>
            <w:tcBorders>
              <w:top w:val="single" w:sz="4" w:space="0" w:color="auto"/>
              <w:left w:val="nil"/>
              <w:bottom w:val="nil"/>
              <w:right w:val="nil"/>
            </w:tcBorders>
          </w:tcPr>
          <w:p w14:paraId="6CDCF394" w14:textId="77777777" w:rsidR="0061482C" w:rsidRPr="003E73CD" w:rsidRDefault="0061482C" w:rsidP="00717272">
            <w:pPr>
              <w:rPr>
                <w:sz w:val="18"/>
                <w:szCs w:val="18"/>
              </w:rPr>
            </w:pPr>
            <w:r w:rsidRPr="003E73CD">
              <w:rPr>
                <w:sz w:val="18"/>
                <w:szCs w:val="18"/>
              </w:rPr>
              <w:t xml:space="preserve">Variables </w:t>
            </w:r>
          </w:p>
        </w:tc>
        <w:tc>
          <w:tcPr>
            <w:tcW w:w="1306" w:type="pct"/>
            <w:gridSpan w:val="2"/>
            <w:tcBorders>
              <w:top w:val="single" w:sz="4" w:space="0" w:color="auto"/>
              <w:left w:val="nil"/>
              <w:bottom w:val="single" w:sz="4" w:space="0" w:color="auto"/>
              <w:right w:val="nil"/>
            </w:tcBorders>
          </w:tcPr>
          <w:p w14:paraId="73797258" w14:textId="77777777" w:rsidR="0061482C" w:rsidRPr="003E73CD" w:rsidRDefault="0061482C" w:rsidP="00717272">
            <w:pPr>
              <w:jc w:val="center"/>
              <w:rPr>
                <w:sz w:val="18"/>
                <w:szCs w:val="18"/>
                <w:vertAlign w:val="superscript"/>
              </w:rPr>
            </w:pPr>
            <w:r w:rsidRPr="003E73CD">
              <w:rPr>
                <w:sz w:val="18"/>
                <w:szCs w:val="18"/>
              </w:rPr>
              <w:t>Model 1</w:t>
            </w:r>
            <w:r w:rsidRPr="003E73CD">
              <w:rPr>
                <w:sz w:val="18"/>
                <w:szCs w:val="18"/>
                <w:vertAlign w:val="superscript"/>
              </w:rPr>
              <w:t>#</w:t>
            </w:r>
          </w:p>
        </w:tc>
        <w:tc>
          <w:tcPr>
            <w:tcW w:w="1306" w:type="pct"/>
            <w:gridSpan w:val="2"/>
            <w:tcBorders>
              <w:top w:val="single" w:sz="4" w:space="0" w:color="auto"/>
              <w:left w:val="nil"/>
              <w:bottom w:val="single" w:sz="4" w:space="0" w:color="auto"/>
              <w:right w:val="nil"/>
            </w:tcBorders>
          </w:tcPr>
          <w:p w14:paraId="1524844C" w14:textId="77777777" w:rsidR="0061482C" w:rsidRPr="003E73CD" w:rsidRDefault="0061482C" w:rsidP="00717272">
            <w:pPr>
              <w:jc w:val="center"/>
              <w:rPr>
                <w:sz w:val="18"/>
                <w:szCs w:val="18"/>
              </w:rPr>
            </w:pPr>
            <w:r w:rsidRPr="003E73CD">
              <w:rPr>
                <w:sz w:val="18"/>
                <w:szCs w:val="18"/>
              </w:rPr>
              <w:t>Model 2</w:t>
            </w:r>
            <w:r w:rsidRPr="003E73CD">
              <w:rPr>
                <w:sz w:val="18"/>
                <w:szCs w:val="18"/>
                <w:vertAlign w:val="superscript"/>
              </w:rPr>
              <w:t>#</w:t>
            </w:r>
          </w:p>
        </w:tc>
        <w:tc>
          <w:tcPr>
            <w:tcW w:w="1306" w:type="pct"/>
            <w:gridSpan w:val="2"/>
            <w:tcBorders>
              <w:top w:val="single" w:sz="4" w:space="0" w:color="auto"/>
              <w:left w:val="nil"/>
              <w:bottom w:val="single" w:sz="4" w:space="0" w:color="auto"/>
              <w:right w:val="nil"/>
            </w:tcBorders>
          </w:tcPr>
          <w:p w14:paraId="34F4017F" w14:textId="77777777" w:rsidR="0061482C" w:rsidRPr="003E73CD" w:rsidRDefault="0061482C" w:rsidP="00717272">
            <w:pPr>
              <w:jc w:val="center"/>
              <w:rPr>
                <w:sz w:val="18"/>
                <w:szCs w:val="18"/>
              </w:rPr>
            </w:pPr>
            <w:r w:rsidRPr="003E73CD">
              <w:rPr>
                <w:sz w:val="18"/>
                <w:szCs w:val="18"/>
              </w:rPr>
              <w:t>Model 3</w:t>
            </w:r>
            <w:r w:rsidRPr="003E73CD">
              <w:rPr>
                <w:sz w:val="18"/>
                <w:szCs w:val="18"/>
                <w:vertAlign w:val="superscript"/>
              </w:rPr>
              <w:t>#</w:t>
            </w:r>
          </w:p>
        </w:tc>
      </w:tr>
      <w:tr w:rsidR="0061482C" w:rsidRPr="003E73CD" w14:paraId="32689191" w14:textId="77777777" w:rsidTr="000C2BAA">
        <w:trPr>
          <w:cantSplit/>
          <w:trHeight w:val="382"/>
        </w:trPr>
        <w:tc>
          <w:tcPr>
            <w:tcW w:w="1082" w:type="pct"/>
            <w:vMerge/>
            <w:tcBorders>
              <w:top w:val="nil"/>
              <w:left w:val="nil"/>
              <w:bottom w:val="single" w:sz="4" w:space="0" w:color="auto"/>
              <w:right w:val="nil"/>
            </w:tcBorders>
          </w:tcPr>
          <w:p w14:paraId="25D58D25" w14:textId="77777777" w:rsidR="0061482C" w:rsidRPr="003E73CD" w:rsidRDefault="0061482C" w:rsidP="00717272">
            <w:pPr>
              <w:rPr>
                <w:sz w:val="18"/>
                <w:szCs w:val="18"/>
              </w:rPr>
            </w:pPr>
          </w:p>
        </w:tc>
        <w:tc>
          <w:tcPr>
            <w:tcW w:w="840" w:type="pct"/>
            <w:tcBorders>
              <w:top w:val="single" w:sz="4" w:space="0" w:color="auto"/>
              <w:left w:val="nil"/>
              <w:bottom w:val="single" w:sz="4" w:space="0" w:color="auto"/>
              <w:right w:val="nil"/>
            </w:tcBorders>
          </w:tcPr>
          <w:p w14:paraId="0C948914" w14:textId="77777777" w:rsidR="0061482C" w:rsidRPr="003E73CD" w:rsidRDefault="0061482C" w:rsidP="00717272">
            <w:pPr>
              <w:rPr>
                <w:sz w:val="18"/>
                <w:szCs w:val="18"/>
              </w:rPr>
            </w:pPr>
            <w:r w:rsidRPr="003E73CD">
              <w:rPr>
                <w:sz w:val="18"/>
                <w:szCs w:val="18"/>
              </w:rPr>
              <w:t>Hazard ratio (95% CI)</w:t>
            </w:r>
          </w:p>
        </w:tc>
        <w:tc>
          <w:tcPr>
            <w:tcW w:w="466" w:type="pct"/>
            <w:tcBorders>
              <w:top w:val="single" w:sz="4" w:space="0" w:color="auto"/>
              <w:left w:val="nil"/>
              <w:bottom w:val="single" w:sz="4" w:space="0" w:color="auto"/>
              <w:right w:val="nil"/>
            </w:tcBorders>
          </w:tcPr>
          <w:p w14:paraId="395B866E" w14:textId="77777777" w:rsidR="0061482C" w:rsidRPr="003E73CD" w:rsidRDefault="0061482C" w:rsidP="00717272">
            <w:pPr>
              <w:rPr>
                <w:sz w:val="18"/>
                <w:szCs w:val="18"/>
              </w:rPr>
            </w:pPr>
            <w:proofErr w:type="gramStart"/>
            <w:r w:rsidRPr="003E73CD">
              <w:rPr>
                <w:sz w:val="18"/>
                <w:szCs w:val="18"/>
              </w:rPr>
              <w:t>p</w:t>
            </w:r>
            <w:proofErr w:type="gramEnd"/>
            <w:r w:rsidRPr="003E73CD">
              <w:rPr>
                <w:sz w:val="18"/>
                <w:szCs w:val="18"/>
              </w:rPr>
              <w:t>-value</w:t>
            </w:r>
          </w:p>
        </w:tc>
        <w:tc>
          <w:tcPr>
            <w:tcW w:w="840" w:type="pct"/>
            <w:tcBorders>
              <w:top w:val="single" w:sz="4" w:space="0" w:color="auto"/>
              <w:left w:val="nil"/>
              <w:bottom w:val="single" w:sz="4" w:space="0" w:color="auto"/>
              <w:right w:val="nil"/>
            </w:tcBorders>
          </w:tcPr>
          <w:p w14:paraId="0740EC5A" w14:textId="77777777" w:rsidR="0061482C" w:rsidRPr="003E73CD" w:rsidRDefault="0061482C" w:rsidP="00717272">
            <w:pPr>
              <w:rPr>
                <w:sz w:val="18"/>
                <w:szCs w:val="18"/>
              </w:rPr>
            </w:pPr>
            <w:r w:rsidRPr="003E73CD">
              <w:rPr>
                <w:sz w:val="18"/>
                <w:szCs w:val="18"/>
              </w:rPr>
              <w:t>Hazard ratio (95% CI)</w:t>
            </w:r>
          </w:p>
        </w:tc>
        <w:tc>
          <w:tcPr>
            <w:tcW w:w="466" w:type="pct"/>
            <w:tcBorders>
              <w:top w:val="single" w:sz="4" w:space="0" w:color="auto"/>
              <w:left w:val="nil"/>
              <w:bottom w:val="single" w:sz="4" w:space="0" w:color="auto"/>
              <w:right w:val="nil"/>
            </w:tcBorders>
          </w:tcPr>
          <w:p w14:paraId="60B7E99F" w14:textId="77777777" w:rsidR="0061482C" w:rsidRPr="003E73CD" w:rsidRDefault="0061482C" w:rsidP="00717272">
            <w:pPr>
              <w:rPr>
                <w:sz w:val="18"/>
                <w:szCs w:val="18"/>
              </w:rPr>
            </w:pPr>
            <w:proofErr w:type="gramStart"/>
            <w:r w:rsidRPr="003E73CD">
              <w:rPr>
                <w:sz w:val="18"/>
                <w:szCs w:val="18"/>
              </w:rPr>
              <w:t>p</w:t>
            </w:r>
            <w:proofErr w:type="gramEnd"/>
            <w:r w:rsidRPr="003E73CD">
              <w:rPr>
                <w:sz w:val="18"/>
                <w:szCs w:val="18"/>
              </w:rPr>
              <w:t>-value</w:t>
            </w:r>
          </w:p>
        </w:tc>
        <w:tc>
          <w:tcPr>
            <w:tcW w:w="840" w:type="pct"/>
            <w:tcBorders>
              <w:top w:val="single" w:sz="4" w:space="0" w:color="auto"/>
              <w:left w:val="nil"/>
              <w:bottom w:val="single" w:sz="4" w:space="0" w:color="auto"/>
              <w:right w:val="nil"/>
            </w:tcBorders>
          </w:tcPr>
          <w:p w14:paraId="0A8A6A0F" w14:textId="77777777" w:rsidR="0061482C" w:rsidRPr="003E73CD" w:rsidRDefault="0061482C" w:rsidP="00717272">
            <w:pPr>
              <w:rPr>
                <w:sz w:val="18"/>
                <w:szCs w:val="18"/>
              </w:rPr>
            </w:pPr>
            <w:r w:rsidRPr="003E73CD">
              <w:rPr>
                <w:sz w:val="18"/>
                <w:szCs w:val="18"/>
              </w:rPr>
              <w:t>Hazard Ratio (95% CI)</w:t>
            </w:r>
          </w:p>
        </w:tc>
        <w:tc>
          <w:tcPr>
            <w:tcW w:w="466" w:type="pct"/>
            <w:tcBorders>
              <w:top w:val="single" w:sz="4" w:space="0" w:color="auto"/>
              <w:left w:val="nil"/>
              <w:bottom w:val="single" w:sz="4" w:space="0" w:color="auto"/>
              <w:right w:val="nil"/>
            </w:tcBorders>
          </w:tcPr>
          <w:p w14:paraId="7B136723" w14:textId="77777777" w:rsidR="0061482C" w:rsidRPr="003E73CD" w:rsidRDefault="0061482C" w:rsidP="00717272">
            <w:pPr>
              <w:rPr>
                <w:sz w:val="18"/>
                <w:szCs w:val="18"/>
              </w:rPr>
            </w:pPr>
            <w:proofErr w:type="gramStart"/>
            <w:r w:rsidRPr="003E73CD">
              <w:rPr>
                <w:sz w:val="18"/>
                <w:szCs w:val="18"/>
              </w:rPr>
              <w:t>p</w:t>
            </w:r>
            <w:proofErr w:type="gramEnd"/>
            <w:r w:rsidRPr="003E73CD">
              <w:rPr>
                <w:sz w:val="18"/>
                <w:szCs w:val="18"/>
              </w:rPr>
              <w:t>-value</w:t>
            </w:r>
          </w:p>
        </w:tc>
      </w:tr>
      <w:tr w:rsidR="0061482C" w:rsidRPr="003E73CD" w14:paraId="214EA0D3" w14:textId="77777777" w:rsidTr="000C2BAA">
        <w:trPr>
          <w:cantSplit/>
        </w:trPr>
        <w:tc>
          <w:tcPr>
            <w:tcW w:w="1082" w:type="pct"/>
            <w:tcBorders>
              <w:top w:val="single" w:sz="4" w:space="0" w:color="auto"/>
              <w:left w:val="nil"/>
              <w:bottom w:val="nil"/>
              <w:right w:val="nil"/>
            </w:tcBorders>
          </w:tcPr>
          <w:p w14:paraId="70A53839" w14:textId="77777777" w:rsidR="0061482C" w:rsidRPr="003E73CD" w:rsidRDefault="0061482C" w:rsidP="00717272">
            <w:pPr>
              <w:rPr>
                <w:sz w:val="18"/>
                <w:szCs w:val="18"/>
              </w:rPr>
            </w:pPr>
            <w:r w:rsidRPr="003E73CD">
              <w:rPr>
                <w:sz w:val="18"/>
                <w:szCs w:val="18"/>
              </w:rPr>
              <w:t>Age at SNB</w:t>
            </w:r>
            <w:r w:rsidRPr="003E73CD">
              <w:rPr>
                <w:sz w:val="18"/>
                <w:szCs w:val="18"/>
                <w:vertAlign w:val="superscript"/>
              </w:rPr>
              <w:t>1</w:t>
            </w:r>
            <w:r w:rsidRPr="003E73CD">
              <w:rPr>
                <w:sz w:val="18"/>
                <w:szCs w:val="18"/>
              </w:rPr>
              <w:t xml:space="preserve"> (10-year increments)</w:t>
            </w:r>
          </w:p>
          <w:p w14:paraId="0D6AC6AA" w14:textId="77777777" w:rsidR="0061482C" w:rsidRPr="003E73CD" w:rsidRDefault="0061482C" w:rsidP="00717272">
            <w:pPr>
              <w:pStyle w:val="Footer"/>
              <w:tabs>
                <w:tab w:val="clear" w:pos="4320"/>
                <w:tab w:val="clear" w:pos="8640"/>
              </w:tabs>
              <w:rPr>
                <w:sz w:val="18"/>
                <w:szCs w:val="18"/>
              </w:rPr>
            </w:pPr>
          </w:p>
        </w:tc>
        <w:tc>
          <w:tcPr>
            <w:tcW w:w="840" w:type="pct"/>
            <w:tcBorders>
              <w:top w:val="single" w:sz="4" w:space="0" w:color="auto"/>
              <w:left w:val="nil"/>
              <w:bottom w:val="nil"/>
              <w:right w:val="nil"/>
            </w:tcBorders>
          </w:tcPr>
          <w:p w14:paraId="54542739" w14:textId="77777777" w:rsidR="0061482C" w:rsidRPr="003E73CD" w:rsidRDefault="0061482C" w:rsidP="00717272">
            <w:pPr>
              <w:rPr>
                <w:sz w:val="18"/>
                <w:szCs w:val="18"/>
              </w:rPr>
            </w:pPr>
            <w:r w:rsidRPr="003E73CD">
              <w:rPr>
                <w:sz w:val="18"/>
                <w:szCs w:val="18"/>
              </w:rPr>
              <w:t>1.19 (1.04-1.37)</w:t>
            </w:r>
          </w:p>
        </w:tc>
        <w:tc>
          <w:tcPr>
            <w:tcW w:w="466" w:type="pct"/>
            <w:tcBorders>
              <w:top w:val="single" w:sz="4" w:space="0" w:color="auto"/>
              <w:left w:val="nil"/>
              <w:bottom w:val="nil"/>
              <w:right w:val="nil"/>
            </w:tcBorders>
          </w:tcPr>
          <w:p w14:paraId="3B7189C7" w14:textId="77777777" w:rsidR="0061482C" w:rsidRPr="003E73CD" w:rsidRDefault="0061482C" w:rsidP="00717272">
            <w:pPr>
              <w:rPr>
                <w:sz w:val="18"/>
                <w:szCs w:val="18"/>
              </w:rPr>
            </w:pPr>
            <w:r w:rsidRPr="003E73CD">
              <w:rPr>
                <w:sz w:val="18"/>
                <w:szCs w:val="18"/>
              </w:rPr>
              <w:t>0.012</w:t>
            </w:r>
          </w:p>
        </w:tc>
        <w:tc>
          <w:tcPr>
            <w:tcW w:w="840" w:type="pct"/>
            <w:tcBorders>
              <w:top w:val="single" w:sz="4" w:space="0" w:color="auto"/>
              <w:left w:val="nil"/>
              <w:bottom w:val="nil"/>
              <w:right w:val="nil"/>
            </w:tcBorders>
          </w:tcPr>
          <w:p w14:paraId="0DBF697E" w14:textId="77777777" w:rsidR="0061482C" w:rsidRPr="003E73CD" w:rsidRDefault="0061482C" w:rsidP="00717272">
            <w:pPr>
              <w:rPr>
                <w:sz w:val="18"/>
                <w:szCs w:val="18"/>
              </w:rPr>
            </w:pPr>
            <w:r w:rsidRPr="003E73CD">
              <w:rPr>
                <w:sz w:val="18"/>
                <w:szCs w:val="18"/>
              </w:rPr>
              <w:t>1.20 (1.05-1.38)</w:t>
            </w:r>
          </w:p>
        </w:tc>
        <w:tc>
          <w:tcPr>
            <w:tcW w:w="466" w:type="pct"/>
            <w:tcBorders>
              <w:top w:val="single" w:sz="4" w:space="0" w:color="auto"/>
              <w:left w:val="nil"/>
              <w:bottom w:val="nil"/>
              <w:right w:val="nil"/>
            </w:tcBorders>
          </w:tcPr>
          <w:p w14:paraId="033EC438" w14:textId="77777777" w:rsidR="0061482C" w:rsidRPr="003E73CD" w:rsidRDefault="0061482C" w:rsidP="00717272">
            <w:pPr>
              <w:rPr>
                <w:sz w:val="18"/>
                <w:szCs w:val="18"/>
              </w:rPr>
            </w:pPr>
            <w:r w:rsidRPr="003E73CD">
              <w:rPr>
                <w:sz w:val="18"/>
                <w:szCs w:val="18"/>
              </w:rPr>
              <w:t>0.009</w:t>
            </w:r>
          </w:p>
        </w:tc>
        <w:tc>
          <w:tcPr>
            <w:tcW w:w="840" w:type="pct"/>
            <w:tcBorders>
              <w:top w:val="single" w:sz="4" w:space="0" w:color="auto"/>
              <w:left w:val="nil"/>
              <w:bottom w:val="nil"/>
              <w:right w:val="nil"/>
            </w:tcBorders>
          </w:tcPr>
          <w:p w14:paraId="19FA49B9" w14:textId="77777777" w:rsidR="0061482C" w:rsidRPr="003E73CD" w:rsidRDefault="0061482C" w:rsidP="00717272">
            <w:pPr>
              <w:rPr>
                <w:sz w:val="18"/>
                <w:szCs w:val="18"/>
              </w:rPr>
            </w:pPr>
            <w:r w:rsidRPr="003E73CD">
              <w:rPr>
                <w:sz w:val="18"/>
                <w:szCs w:val="18"/>
              </w:rPr>
              <w:t>1.21 (1.05-1.39)</w:t>
            </w:r>
          </w:p>
        </w:tc>
        <w:tc>
          <w:tcPr>
            <w:tcW w:w="466" w:type="pct"/>
            <w:tcBorders>
              <w:top w:val="single" w:sz="4" w:space="0" w:color="auto"/>
              <w:left w:val="nil"/>
              <w:bottom w:val="nil"/>
              <w:right w:val="nil"/>
            </w:tcBorders>
          </w:tcPr>
          <w:p w14:paraId="31EB0C96" w14:textId="77777777" w:rsidR="0061482C" w:rsidRPr="003E73CD" w:rsidRDefault="0061482C" w:rsidP="00717272">
            <w:pPr>
              <w:rPr>
                <w:sz w:val="18"/>
                <w:szCs w:val="18"/>
              </w:rPr>
            </w:pPr>
            <w:r w:rsidRPr="003E73CD">
              <w:rPr>
                <w:sz w:val="18"/>
                <w:szCs w:val="18"/>
              </w:rPr>
              <w:t>0.008</w:t>
            </w:r>
          </w:p>
        </w:tc>
      </w:tr>
      <w:tr w:rsidR="0061482C" w:rsidRPr="003E73CD" w14:paraId="6CA47C30" w14:textId="77777777" w:rsidTr="000C2BAA">
        <w:trPr>
          <w:cantSplit/>
        </w:trPr>
        <w:tc>
          <w:tcPr>
            <w:tcW w:w="1082" w:type="pct"/>
            <w:tcBorders>
              <w:top w:val="nil"/>
              <w:left w:val="nil"/>
              <w:bottom w:val="nil"/>
              <w:right w:val="nil"/>
            </w:tcBorders>
          </w:tcPr>
          <w:p w14:paraId="607C7952" w14:textId="77777777" w:rsidR="0061482C" w:rsidRPr="003E73CD" w:rsidRDefault="0061482C" w:rsidP="00717272">
            <w:pPr>
              <w:rPr>
                <w:sz w:val="18"/>
                <w:szCs w:val="18"/>
              </w:rPr>
            </w:pPr>
            <w:r w:rsidRPr="003E73CD">
              <w:rPr>
                <w:sz w:val="18"/>
                <w:szCs w:val="18"/>
              </w:rPr>
              <w:t>Gender</w:t>
            </w:r>
          </w:p>
          <w:p w14:paraId="2247213F" w14:textId="77777777" w:rsidR="0061482C" w:rsidRPr="003E73CD" w:rsidRDefault="0061482C" w:rsidP="00717272">
            <w:pPr>
              <w:rPr>
                <w:sz w:val="18"/>
                <w:szCs w:val="18"/>
              </w:rPr>
            </w:pPr>
            <w:r w:rsidRPr="003E73CD">
              <w:rPr>
                <w:sz w:val="18"/>
                <w:szCs w:val="18"/>
              </w:rPr>
              <w:t xml:space="preserve">   Male </w:t>
            </w:r>
          </w:p>
          <w:p w14:paraId="1DD33B4A" w14:textId="77777777" w:rsidR="0061482C" w:rsidRPr="003E73CD" w:rsidRDefault="0061482C" w:rsidP="00717272">
            <w:pPr>
              <w:rPr>
                <w:sz w:val="18"/>
                <w:szCs w:val="18"/>
              </w:rPr>
            </w:pPr>
            <w:r w:rsidRPr="003E73CD">
              <w:rPr>
                <w:sz w:val="18"/>
                <w:szCs w:val="18"/>
              </w:rPr>
              <w:t xml:space="preserve">   Female</w:t>
            </w:r>
          </w:p>
          <w:p w14:paraId="4B9651B6" w14:textId="77777777" w:rsidR="0061482C" w:rsidRPr="003E73CD" w:rsidRDefault="0061482C" w:rsidP="00717272">
            <w:pPr>
              <w:rPr>
                <w:sz w:val="18"/>
                <w:szCs w:val="18"/>
              </w:rPr>
            </w:pPr>
          </w:p>
        </w:tc>
        <w:tc>
          <w:tcPr>
            <w:tcW w:w="840" w:type="pct"/>
            <w:tcBorders>
              <w:top w:val="nil"/>
              <w:left w:val="nil"/>
              <w:bottom w:val="nil"/>
              <w:right w:val="nil"/>
            </w:tcBorders>
          </w:tcPr>
          <w:p w14:paraId="60C98610" w14:textId="77777777" w:rsidR="0061482C" w:rsidRPr="003E73CD" w:rsidRDefault="0061482C" w:rsidP="00717272">
            <w:pPr>
              <w:rPr>
                <w:sz w:val="18"/>
                <w:szCs w:val="18"/>
              </w:rPr>
            </w:pPr>
          </w:p>
          <w:p w14:paraId="2E28F093" w14:textId="77777777" w:rsidR="0061482C" w:rsidRPr="003E73CD" w:rsidRDefault="0061482C" w:rsidP="00717272">
            <w:pPr>
              <w:rPr>
                <w:sz w:val="18"/>
                <w:szCs w:val="18"/>
              </w:rPr>
            </w:pPr>
            <w:r w:rsidRPr="003E73CD">
              <w:rPr>
                <w:sz w:val="18"/>
                <w:szCs w:val="18"/>
              </w:rPr>
              <w:t>1.0</w:t>
            </w:r>
          </w:p>
          <w:p w14:paraId="73A20C4B" w14:textId="77777777" w:rsidR="0061482C" w:rsidRPr="003E73CD" w:rsidRDefault="0061482C" w:rsidP="00717272">
            <w:pPr>
              <w:rPr>
                <w:sz w:val="18"/>
                <w:szCs w:val="18"/>
              </w:rPr>
            </w:pPr>
            <w:r w:rsidRPr="003E73CD">
              <w:rPr>
                <w:sz w:val="18"/>
                <w:szCs w:val="18"/>
              </w:rPr>
              <w:t>0.64 (0.41-1.00)</w:t>
            </w:r>
          </w:p>
        </w:tc>
        <w:tc>
          <w:tcPr>
            <w:tcW w:w="466" w:type="pct"/>
            <w:tcBorders>
              <w:top w:val="nil"/>
              <w:left w:val="nil"/>
              <w:bottom w:val="nil"/>
              <w:right w:val="nil"/>
            </w:tcBorders>
          </w:tcPr>
          <w:p w14:paraId="2ABE91BB" w14:textId="77777777" w:rsidR="0061482C" w:rsidRPr="003E73CD" w:rsidRDefault="0061482C" w:rsidP="00717272">
            <w:pPr>
              <w:rPr>
                <w:sz w:val="18"/>
                <w:szCs w:val="18"/>
              </w:rPr>
            </w:pPr>
          </w:p>
          <w:p w14:paraId="6BE98FC4" w14:textId="77777777" w:rsidR="0061482C" w:rsidRPr="003E73CD" w:rsidRDefault="0061482C" w:rsidP="00717272">
            <w:pPr>
              <w:rPr>
                <w:sz w:val="18"/>
                <w:szCs w:val="18"/>
              </w:rPr>
            </w:pPr>
          </w:p>
          <w:p w14:paraId="7A3D546D" w14:textId="77777777" w:rsidR="0061482C" w:rsidRPr="003E73CD" w:rsidRDefault="0061482C" w:rsidP="00717272">
            <w:pPr>
              <w:rPr>
                <w:sz w:val="18"/>
                <w:szCs w:val="18"/>
              </w:rPr>
            </w:pPr>
            <w:r w:rsidRPr="003E73CD">
              <w:rPr>
                <w:sz w:val="18"/>
                <w:szCs w:val="18"/>
              </w:rPr>
              <w:t>0.052</w:t>
            </w:r>
          </w:p>
        </w:tc>
        <w:tc>
          <w:tcPr>
            <w:tcW w:w="840" w:type="pct"/>
            <w:tcBorders>
              <w:top w:val="nil"/>
              <w:left w:val="nil"/>
              <w:bottom w:val="nil"/>
              <w:right w:val="nil"/>
            </w:tcBorders>
          </w:tcPr>
          <w:p w14:paraId="1DDCCE1D" w14:textId="77777777" w:rsidR="0061482C" w:rsidRPr="003E73CD" w:rsidRDefault="0061482C" w:rsidP="00717272">
            <w:pPr>
              <w:rPr>
                <w:sz w:val="18"/>
                <w:szCs w:val="18"/>
              </w:rPr>
            </w:pPr>
          </w:p>
          <w:p w14:paraId="3ADBF365" w14:textId="77777777" w:rsidR="0061482C" w:rsidRPr="003E73CD" w:rsidRDefault="0061482C" w:rsidP="00717272">
            <w:pPr>
              <w:rPr>
                <w:sz w:val="18"/>
                <w:szCs w:val="18"/>
              </w:rPr>
            </w:pPr>
            <w:r w:rsidRPr="003E73CD">
              <w:rPr>
                <w:sz w:val="18"/>
                <w:szCs w:val="18"/>
              </w:rPr>
              <w:t>1.0</w:t>
            </w:r>
          </w:p>
          <w:p w14:paraId="231540C3" w14:textId="77777777" w:rsidR="0061482C" w:rsidRPr="003E73CD" w:rsidRDefault="0061482C" w:rsidP="00717272">
            <w:pPr>
              <w:rPr>
                <w:sz w:val="18"/>
                <w:szCs w:val="18"/>
              </w:rPr>
            </w:pPr>
            <w:r w:rsidRPr="003E73CD">
              <w:rPr>
                <w:sz w:val="18"/>
                <w:szCs w:val="18"/>
              </w:rPr>
              <w:t>0.638 (0.41-1.00)</w:t>
            </w:r>
          </w:p>
        </w:tc>
        <w:tc>
          <w:tcPr>
            <w:tcW w:w="466" w:type="pct"/>
            <w:tcBorders>
              <w:top w:val="nil"/>
              <w:left w:val="nil"/>
              <w:bottom w:val="nil"/>
              <w:right w:val="nil"/>
            </w:tcBorders>
          </w:tcPr>
          <w:p w14:paraId="01622EDE" w14:textId="77777777" w:rsidR="0061482C" w:rsidRPr="003E73CD" w:rsidRDefault="0061482C" w:rsidP="00717272">
            <w:pPr>
              <w:rPr>
                <w:sz w:val="18"/>
                <w:szCs w:val="18"/>
              </w:rPr>
            </w:pPr>
          </w:p>
          <w:p w14:paraId="2EACACB4" w14:textId="77777777" w:rsidR="0061482C" w:rsidRPr="003E73CD" w:rsidRDefault="0061482C" w:rsidP="00717272">
            <w:pPr>
              <w:rPr>
                <w:sz w:val="18"/>
                <w:szCs w:val="18"/>
              </w:rPr>
            </w:pPr>
          </w:p>
          <w:p w14:paraId="316A35C2" w14:textId="77777777" w:rsidR="0061482C" w:rsidRPr="003E73CD" w:rsidRDefault="0061482C" w:rsidP="00717272">
            <w:pPr>
              <w:rPr>
                <w:sz w:val="18"/>
                <w:szCs w:val="18"/>
              </w:rPr>
            </w:pPr>
            <w:r w:rsidRPr="003E73CD">
              <w:rPr>
                <w:sz w:val="18"/>
                <w:szCs w:val="18"/>
              </w:rPr>
              <w:t>0.049</w:t>
            </w:r>
          </w:p>
        </w:tc>
        <w:tc>
          <w:tcPr>
            <w:tcW w:w="840" w:type="pct"/>
            <w:tcBorders>
              <w:top w:val="nil"/>
              <w:left w:val="nil"/>
              <w:bottom w:val="nil"/>
              <w:right w:val="nil"/>
            </w:tcBorders>
          </w:tcPr>
          <w:p w14:paraId="529D1394" w14:textId="77777777" w:rsidR="0061482C" w:rsidRPr="003E73CD" w:rsidRDefault="0061482C" w:rsidP="00717272">
            <w:pPr>
              <w:rPr>
                <w:sz w:val="18"/>
                <w:szCs w:val="18"/>
              </w:rPr>
            </w:pPr>
          </w:p>
          <w:p w14:paraId="6F04EA85" w14:textId="77777777" w:rsidR="0061482C" w:rsidRPr="003E73CD" w:rsidRDefault="0061482C" w:rsidP="00717272">
            <w:pPr>
              <w:rPr>
                <w:sz w:val="18"/>
                <w:szCs w:val="18"/>
              </w:rPr>
            </w:pPr>
            <w:r w:rsidRPr="003E73CD">
              <w:rPr>
                <w:sz w:val="18"/>
                <w:szCs w:val="18"/>
              </w:rPr>
              <w:t>1.0</w:t>
            </w:r>
          </w:p>
          <w:p w14:paraId="2AA5D911" w14:textId="77777777" w:rsidR="0061482C" w:rsidRPr="003E73CD" w:rsidRDefault="0061482C" w:rsidP="00717272">
            <w:pPr>
              <w:rPr>
                <w:sz w:val="18"/>
                <w:szCs w:val="18"/>
              </w:rPr>
            </w:pPr>
            <w:r w:rsidRPr="003E73CD">
              <w:rPr>
                <w:sz w:val="18"/>
                <w:szCs w:val="18"/>
              </w:rPr>
              <w:t>0.65 (0.41-1.01)</w:t>
            </w:r>
          </w:p>
        </w:tc>
        <w:tc>
          <w:tcPr>
            <w:tcW w:w="466" w:type="pct"/>
            <w:tcBorders>
              <w:top w:val="nil"/>
              <w:left w:val="nil"/>
              <w:bottom w:val="nil"/>
              <w:right w:val="nil"/>
            </w:tcBorders>
          </w:tcPr>
          <w:p w14:paraId="3785389E" w14:textId="77777777" w:rsidR="0061482C" w:rsidRPr="003E73CD" w:rsidRDefault="0061482C" w:rsidP="00717272">
            <w:pPr>
              <w:rPr>
                <w:sz w:val="18"/>
                <w:szCs w:val="18"/>
              </w:rPr>
            </w:pPr>
          </w:p>
          <w:p w14:paraId="0CD9DE44" w14:textId="77777777" w:rsidR="0061482C" w:rsidRPr="003E73CD" w:rsidRDefault="0061482C" w:rsidP="00717272">
            <w:pPr>
              <w:rPr>
                <w:sz w:val="18"/>
                <w:szCs w:val="18"/>
              </w:rPr>
            </w:pPr>
          </w:p>
          <w:p w14:paraId="1D309A84" w14:textId="77777777" w:rsidR="0061482C" w:rsidRPr="003E73CD" w:rsidRDefault="0061482C" w:rsidP="00717272">
            <w:pPr>
              <w:rPr>
                <w:sz w:val="18"/>
                <w:szCs w:val="18"/>
              </w:rPr>
            </w:pPr>
            <w:r w:rsidRPr="003E73CD">
              <w:rPr>
                <w:sz w:val="18"/>
                <w:szCs w:val="18"/>
              </w:rPr>
              <w:t>0.056</w:t>
            </w:r>
          </w:p>
        </w:tc>
      </w:tr>
      <w:tr w:rsidR="0061482C" w:rsidRPr="003E73CD" w14:paraId="143460A1" w14:textId="77777777" w:rsidTr="000C2BAA">
        <w:trPr>
          <w:cantSplit/>
        </w:trPr>
        <w:tc>
          <w:tcPr>
            <w:tcW w:w="1082" w:type="pct"/>
            <w:tcBorders>
              <w:top w:val="nil"/>
              <w:left w:val="nil"/>
              <w:bottom w:val="nil"/>
              <w:right w:val="nil"/>
            </w:tcBorders>
          </w:tcPr>
          <w:p w14:paraId="7D3D2D27" w14:textId="77777777" w:rsidR="0061482C" w:rsidRPr="003E73CD" w:rsidRDefault="0061482C" w:rsidP="00717272">
            <w:pPr>
              <w:rPr>
                <w:sz w:val="18"/>
                <w:szCs w:val="18"/>
              </w:rPr>
            </w:pPr>
            <w:r w:rsidRPr="003E73CD">
              <w:rPr>
                <w:sz w:val="18"/>
                <w:szCs w:val="18"/>
              </w:rPr>
              <w:t>Tumor thickness (mm)</w:t>
            </w:r>
          </w:p>
          <w:p w14:paraId="2EFA2AC7" w14:textId="77777777" w:rsidR="0061482C" w:rsidRPr="003E73CD" w:rsidRDefault="0061482C" w:rsidP="00717272">
            <w:pPr>
              <w:rPr>
                <w:sz w:val="18"/>
                <w:szCs w:val="18"/>
              </w:rPr>
            </w:pPr>
            <w:r w:rsidRPr="003E73CD">
              <w:rPr>
                <w:sz w:val="18"/>
                <w:szCs w:val="18"/>
              </w:rPr>
              <w:t xml:space="preserve">  ≤2.0 </w:t>
            </w:r>
          </w:p>
          <w:p w14:paraId="4E47E6A3" w14:textId="77777777" w:rsidR="0061482C" w:rsidRPr="003E73CD" w:rsidRDefault="0061482C" w:rsidP="00717272">
            <w:pPr>
              <w:rPr>
                <w:sz w:val="18"/>
                <w:szCs w:val="18"/>
              </w:rPr>
            </w:pPr>
            <w:r w:rsidRPr="003E73CD">
              <w:rPr>
                <w:sz w:val="18"/>
                <w:szCs w:val="18"/>
              </w:rPr>
              <w:t xml:space="preserve">  2.1-4.0</w:t>
            </w:r>
          </w:p>
          <w:p w14:paraId="3767ECF5" w14:textId="77777777" w:rsidR="0061482C" w:rsidRPr="003E73CD" w:rsidRDefault="0061482C" w:rsidP="00717272">
            <w:pPr>
              <w:rPr>
                <w:sz w:val="18"/>
                <w:szCs w:val="18"/>
              </w:rPr>
            </w:pPr>
            <w:r w:rsidRPr="003E73CD">
              <w:rPr>
                <w:sz w:val="18"/>
                <w:szCs w:val="18"/>
              </w:rPr>
              <w:t xml:space="preserve">  &gt;4.0</w:t>
            </w:r>
          </w:p>
          <w:p w14:paraId="28FA4281" w14:textId="77777777" w:rsidR="0061482C" w:rsidRPr="003E73CD" w:rsidRDefault="0061482C" w:rsidP="00717272">
            <w:pPr>
              <w:rPr>
                <w:sz w:val="18"/>
                <w:szCs w:val="18"/>
              </w:rPr>
            </w:pPr>
          </w:p>
        </w:tc>
        <w:tc>
          <w:tcPr>
            <w:tcW w:w="840" w:type="pct"/>
            <w:tcBorders>
              <w:top w:val="nil"/>
              <w:left w:val="nil"/>
              <w:bottom w:val="nil"/>
              <w:right w:val="nil"/>
            </w:tcBorders>
          </w:tcPr>
          <w:p w14:paraId="23D61DFD" w14:textId="77777777" w:rsidR="0061482C" w:rsidRPr="003E73CD" w:rsidRDefault="0061482C" w:rsidP="00717272">
            <w:pPr>
              <w:rPr>
                <w:sz w:val="18"/>
                <w:szCs w:val="18"/>
              </w:rPr>
            </w:pPr>
          </w:p>
          <w:p w14:paraId="6849458E" w14:textId="77777777" w:rsidR="0061482C" w:rsidRPr="003E73CD" w:rsidRDefault="0061482C" w:rsidP="00717272">
            <w:pPr>
              <w:rPr>
                <w:sz w:val="18"/>
                <w:szCs w:val="18"/>
              </w:rPr>
            </w:pPr>
            <w:r w:rsidRPr="003E73CD">
              <w:rPr>
                <w:sz w:val="18"/>
                <w:szCs w:val="18"/>
              </w:rPr>
              <w:t>1.0</w:t>
            </w:r>
          </w:p>
          <w:p w14:paraId="5DFE3FD6" w14:textId="77777777" w:rsidR="0061482C" w:rsidRPr="003E73CD" w:rsidRDefault="0061482C" w:rsidP="00717272">
            <w:pPr>
              <w:rPr>
                <w:sz w:val="18"/>
                <w:szCs w:val="18"/>
              </w:rPr>
            </w:pPr>
            <w:r w:rsidRPr="003E73CD">
              <w:rPr>
                <w:sz w:val="18"/>
                <w:szCs w:val="18"/>
              </w:rPr>
              <w:t>1.70 (0.91-3.18)</w:t>
            </w:r>
          </w:p>
          <w:p w14:paraId="7DE3DA1E" w14:textId="77777777" w:rsidR="0061482C" w:rsidRPr="003E73CD" w:rsidRDefault="0061482C" w:rsidP="00717272">
            <w:pPr>
              <w:rPr>
                <w:sz w:val="18"/>
                <w:szCs w:val="18"/>
              </w:rPr>
            </w:pPr>
            <w:r w:rsidRPr="003E73CD">
              <w:rPr>
                <w:sz w:val="18"/>
                <w:szCs w:val="18"/>
              </w:rPr>
              <w:t>2.38 (1.25-4.55)</w:t>
            </w:r>
          </w:p>
        </w:tc>
        <w:tc>
          <w:tcPr>
            <w:tcW w:w="466" w:type="pct"/>
            <w:tcBorders>
              <w:top w:val="nil"/>
              <w:left w:val="nil"/>
              <w:bottom w:val="nil"/>
              <w:right w:val="nil"/>
            </w:tcBorders>
          </w:tcPr>
          <w:p w14:paraId="2933A7E3" w14:textId="77777777" w:rsidR="0061482C" w:rsidRPr="003E73CD" w:rsidRDefault="0061482C" w:rsidP="00717272">
            <w:pPr>
              <w:rPr>
                <w:sz w:val="18"/>
                <w:szCs w:val="18"/>
              </w:rPr>
            </w:pPr>
          </w:p>
          <w:p w14:paraId="3DBC7406" w14:textId="77777777" w:rsidR="0061482C" w:rsidRPr="003E73CD" w:rsidRDefault="0061482C" w:rsidP="00717272">
            <w:pPr>
              <w:rPr>
                <w:sz w:val="18"/>
                <w:szCs w:val="18"/>
              </w:rPr>
            </w:pPr>
          </w:p>
          <w:p w14:paraId="01BBEBBE" w14:textId="77777777" w:rsidR="0061482C" w:rsidRPr="003E73CD" w:rsidRDefault="0061482C" w:rsidP="00717272">
            <w:pPr>
              <w:rPr>
                <w:sz w:val="18"/>
                <w:szCs w:val="18"/>
              </w:rPr>
            </w:pPr>
            <w:r w:rsidRPr="003E73CD">
              <w:rPr>
                <w:sz w:val="18"/>
                <w:szCs w:val="18"/>
              </w:rPr>
              <w:t>0.096</w:t>
            </w:r>
          </w:p>
          <w:p w14:paraId="214F782B" w14:textId="77777777" w:rsidR="0061482C" w:rsidRPr="003E73CD" w:rsidRDefault="0061482C" w:rsidP="00717272">
            <w:pPr>
              <w:rPr>
                <w:sz w:val="18"/>
                <w:szCs w:val="18"/>
              </w:rPr>
            </w:pPr>
            <w:r w:rsidRPr="003E73CD">
              <w:rPr>
                <w:sz w:val="18"/>
                <w:szCs w:val="18"/>
              </w:rPr>
              <w:t>0.008</w:t>
            </w:r>
          </w:p>
        </w:tc>
        <w:tc>
          <w:tcPr>
            <w:tcW w:w="840" w:type="pct"/>
            <w:tcBorders>
              <w:top w:val="nil"/>
              <w:left w:val="nil"/>
              <w:bottom w:val="nil"/>
              <w:right w:val="nil"/>
            </w:tcBorders>
          </w:tcPr>
          <w:p w14:paraId="00C1E08B" w14:textId="77777777" w:rsidR="0061482C" w:rsidRPr="003E73CD" w:rsidRDefault="0061482C" w:rsidP="00717272">
            <w:pPr>
              <w:rPr>
                <w:sz w:val="18"/>
                <w:szCs w:val="18"/>
              </w:rPr>
            </w:pPr>
          </w:p>
          <w:p w14:paraId="28CFF396" w14:textId="77777777" w:rsidR="0061482C" w:rsidRPr="003E73CD" w:rsidRDefault="0061482C" w:rsidP="00717272">
            <w:pPr>
              <w:rPr>
                <w:sz w:val="18"/>
                <w:szCs w:val="18"/>
              </w:rPr>
            </w:pPr>
            <w:r w:rsidRPr="003E73CD">
              <w:rPr>
                <w:sz w:val="18"/>
                <w:szCs w:val="18"/>
              </w:rPr>
              <w:t>1.0</w:t>
            </w:r>
          </w:p>
          <w:p w14:paraId="4CC09916" w14:textId="77777777" w:rsidR="0061482C" w:rsidRPr="003E73CD" w:rsidRDefault="0061482C" w:rsidP="00717272">
            <w:pPr>
              <w:rPr>
                <w:sz w:val="18"/>
                <w:szCs w:val="18"/>
              </w:rPr>
            </w:pPr>
            <w:r w:rsidRPr="003E73CD">
              <w:rPr>
                <w:sz w:val="18"/>
                <w:szCs w:val="18"/>
              </w:rPr>
              <w:t>1.67 (0.90-3.13)</w:t>
            </w:r>
          </w:p>
          <w:p w14:paraId="13BDACEF" w14:textId="77777777" w:rsidR="0061482C" w:rsidRPr="003E73CD" w:rsidRDefault="0061482C" w:rsidP="00717272">
            <w:pPr>
              <w:rPr>
                <w:sz w:val="18"/>
                <w:szCs w:val="18"/>
              </w:rPr>
            </w:pPr>
            <w:r w:rsidRPr="003E73CD">
              <w:rPr>
                <w:sz w:val="18"/>
                <w:szCs w:val="18"/>
              </w:rPr>
              <w:t>2.35 (1.23-4.48)</w:t>
            </w:r>
          </w:p>
        </w:tc>
        <w:tc>
          <w:tcPr>
            <w:tcW w:w="466" w:type="pct"/>
            <w:tcBorders>
              <w:top w:val="nil"/>
              <w:left w:val="nil"/>
              <w:bottom w:val="nil"/>
              <w:right w:val="nil"/>
            </w:tcBorders>
          </w:tcPr>
          <w:p w14:paraId="6EA01700" w14:textId="77777777" w:rsidR="0061482C" w:rsidRPr="003E73CD" w:rsidRDefault="0061482C" w:rsidP="00717272">
            <w:pPr>
              <w:rPr>
                <w:sz w:val="18"/>
                <w:szCs w:val="18"/>
              </w:rPr>
            </w:pPr>
          </w:p>
          <w:p w14:paraId="0E9F5476" w14:textId="77777777" w:rsidR="0061482C" w:rsidRPr="003E73CD" w:rsidRDefault="0061482C" w:rsidP="00717272">
            <w:pPr>
              <w:rPr>
                <w:sz w:val="18"/>
                <w:szCs w:val="18"/>
              </w:rPr>
            </w:pPr>
          </w:p>
          <w:p w14:paraId="1177F748" w14:textId="77777777" w:rsidR="0061482C" w:rsidRPr="003E73CD" w:rsidRDefault="0061482C" w:rsidP="00717272">
            <w:pPr>
              <w:rPr>
                <w:sz w:val="18"/>
                <w:szCs w:val="18"/>
              </w:rPr>
            </w:pPr>
            <w:r w:rsidRPr="003E73CD">
              <w:rPr>
                <w:sz w:val="18"/>
                <w:szCs w:val="18"/>
              </w:rPr>
              <w:t>0.106</w:t>
            </w:r>
          </w:p>
          <w:p w14:paraId="4256326A" w14:textId="77777777" w:rsidR="0061482C" w:rsidRPr="003E73CD" w:rsidRDefault="0061482C" w:rsidP="00717272">
            <w:pPr>
              <w:rPr>
                <w:sz w:val="18"/>
                <w:szCs w:val="18"/>
              </w:rPr>
            </w:pPr>
            <w:r w:rsidRPr="003E73CD">
              <w:rPr>
                <w:sz w:val="18"/>
                <w:szCs w:val="18"/>
              </w:rPr>
              <w:t>0.010</w:t>
            </w:r>
          </w:p>
        </w:tc>
        <w:tc>
          <w:tcPr>
            <w:tcW w:w="840" w:type="pct"/>
            <w:tcBorders>
              <w:top w:val="nil"/>
              <w:left w:val="nil"/>
              <w:bottom w:val="nil"/>
              <w:right w:val="nil"/>
            </w:tcBorders>
          </w:tcPr>
          <w:p w14:paraId="7FD8DB41" w14:textId="77777777" w:rsidR="0061482C" w:rsidRPr="003E73CD" w:rsidRDefault="0061482C" w:rsidP="00717272">
            <w:pPr>
              <w:rPr>
                <w:sz w:val="18"/>
                <w:szCs w:val="18"/>
              </w:rPr>
            </w:pPr>
          </w:p>
          <w:p w14:paraId="3D604925" w14:textId="77777777" w:rsidR="0061482C" w:rsidRPr="003E73CD" w:rsidRDefault="0061482C" w:rsidP="00717272">
            <w:pPr>
              <w:rPr>
                <w:sz w:val="18"/>
                <w:szCs w:val="18"/>
              </w:rPr>
            </w:pPr>
            <w:r w:rsidRPr="003E73CD">
              <w:rPr>
                <w:sz w:val="18"/>
                <w:szCs w:val="18"/>
              </w:rPr>
              <w:t>1.0</w:t>
            </w:r>
          </w:p>
          <w:p w14:paraId="31E2E616" w14:textId="77777777" w:rsidR="0061482C" w:rsidRPr="003E73CD" w:rsidRDefault="0061482C" w:rsidP="00717272">
            <w:pPr>
              <w:rPr>
                <w:sz w:val="18"/>
                <w:szCs w:val="18"/>
              </w:rPr>
            </w:pPr>
            <w:r w:rsidRPr="003E73CD">
              <w:rPr>
                <w:sz w:val="18"/>
                <w:szCs w:val="18"/>
              </w:rPr>
              <w:t>1.67 (0.90-3.12)</w:t>
            </w:r>
          </w:p>
          <w:p w14:paraId="68A1A511" w14:textId="77777777" w:rsidR="0061482C" w:rsidRPr="003E73CD" w:rsidRDefault="0061482C" w:rsidP="00717272">
            <w:pPr>
              <w:rPr>
                <w:sz w:val="18"/>
                <w:szCs w:val="18"/>
              </w:rPr>
            </w:pPr>
            <w:r w:rsidRPr="003E73CD">
              <w:rPr>
                <w:sz w:val="18"/>
                <w:szCs w:val="18"/>
              </w:rPr>
              <w:t>2.34 (1.23-4.47)</w:t>
            </w:r>
          </w:p>
        </w:tc>
        <w:tc>
          <w:tcPr>
            <w:tcW w:w="466" w:type="pct"/>
            <w:tcBorders>
              <w:top w:val="nil"/>
              <w:left w:val="nil"/>
              <w:bottom w:val="nil"/>
              <w:right w:val="nil"/>
            </w:tcBorders>
          </w:tcPr>
          <w:p w14:paraId="1C467D88" w14:textId="77777777" w:rsidR="0061482C" w:rsidRPr="003E73CD" w:rsidRDefault="0061482C" w:rsidP="00717272">
            <w:pPr>
              <w:rPr>
                <w:sz w:val="18"/>
                <w:szCs w:val="18"/>
              </w:rPr>
            </w:pPr>
          </w:p>
          <w:p w14:paraId="574A83A6" w14:textId="77777777" w:rsidR="0061482C" w:rsidRPr="003E73CD" w:rsidRDefault="0061482C" w:rsidP="00717272">
            <w:pPr>
              <w:rPr>
                <w:sz w:val="18"/>
                <w:szCs w:val="18"/>
              </w:rPr>
            </w:pPr>
          </w:p>
          <w:p w14:paraId="60A96ED0" w14:textId="77777777" w:rsidR="0061482C" w:rsidRPr="003E73CD" w:rsidRDefault="0061482C" w:rsidP="00717272">
            <w:pPr>
              <w:rPr>
                <w:sz w:val="18"/>
                <w:szCs w:val="18"/>
              </w:rPr>
            </w:pPr>
            <w:r w:rsidRPr="003E73CD">
              <w:rPr>
                <w:sz w:val="18"/>
                <w:szCs w:val="18"/>
              </w:rPr>
              <w:t>0.106</w:t>
            </w:r>
          </w:p>
          <w:p w14:paraId="5F0D16E6" w14:textId="77777777" w:rsidR="0061482C" w:rsidRPr="003E73CD" w:rsidRDefault="0061482C" w:rsidP="00717272">
            <w:pPr>
              <w:rPr>
                <w:sz w:val="18"/>
                <w:szCs w:val="18"/>
              </w:rPr>
            </w:pPr>
            <w:r w:rsidRPr="003E73CD">
              <w:rPr>
                <w:sz w:val="18"/>
                <w:szCs w:val="18"/>
              </w:rPr>
              <w:t>0.010</w:t>
            </w:r>
          </w:p>
        </w:tc>
      </w:tr>
      <w:tr w:rsidR="0061482C" w:rsidRPr="003E73CD" w14:paraId="6FD25AC9" w14:textId="77777777" w:rsidTr="000C2BAA">
        <w:trPr>
          <w:cantSplit/>
        </w:trPr>
        <w:tc>
          <w:tcPr>
            <w:tcW w:w="1082" w:type="pct"/>
            <w:tcBorders>
              <w:top w:val="nil"/>
              <w:left w:val="nil"/>
              <w:bottom w:val="nil"/>
              <w:right w:val="nil"/>
            </w:tcBorders>
          </w:tcPr>
          <w:p w14:paraId="386BC99E" w14:textId="77777777" w:rsidR="0061482C" w:rsidRPr="003E73CD" w:rsidRDefault="0061482C" w:rsidP="00717272">
            <w:pPr>
              <w:rPr>
                <w:sz w:val="18"/>
                <w:szCs w:val="18"/>
                <w:lang w:val="en-AU"/>
              </w:rPr>
            </w:pPr>
            <w:r w:rsidRPr="003E73CD">
              <w:rPr>
                <w:sz w:val="18"/>
                <w:szCs w:val="18"/>
                <w:lang w:val="en-AU"/>
              </w:rPr>
              <w:t xml:space="preserve">Ulceration </w:t>
            </w:r>
          </w:p>
          <w:p w14:paraId="1A229708" w14:textId="77777777" w:rsidR="0061482C" w:rsidRPr="003E73CD" w:rsidRDefault="0061482C" w:rsidP="00717272">
            <w:pPr>
              <w:rPr>
                <w:sz w:val="18"/>
                <w:szCs w:val="18"/>
                <w:lang w:val="en-AU"/>
              </w:rPr>
            </w:pPr>
            <w:r w:rsidRPr="003E73CD">
              <w:rPr>
                <w:sz w:val="18"/>
                <w:szCs w:val="18"/>
                <w:lang w:val="en-AU"/>
              </w:rPr>
              <w:t xml:space="preserve">   No</w:t>
            </w:r>
          </w:p>
          <w:p w14:paraId="3C08BF36" w14:textId="77777777" w:rsidR="0061482C" w:rsidRPr="003E73CD" w:rsidRDefault="0061482C" w:rsidP="00717272">
            <w:pPr>
              <w:rPr>
                <w:sz w:val="18"/>
                <w:szCs w:val="18"/>
                <w:lang w:val="en-AU"/>
              </w:rPr>
            </w:pPr>
            <w:r w:rsidRPr="003E73CD">
              <w:rPr>
                <w:sz w:val="18"/>
                <w:szCs w:val="18"/>
                <w:lang w:val="en-AU"/>
              </w:rPr>
              <w:t xml:space="preserve">   Yes</w:t>
            </w:r>
          </w:p>
          <w:p w14:paraId="369C4206" w14:textId="77777777" w:rsidR="0061482C" w:rsidRPr="003E73CD" w:rsidRDefault="0061482C" w:rsidP="00717272">
            <w:pPr>
              <w:rPr>
                <w:sz w:val="18"/>
                <w:szCs w:val="18"/>
              </w:rPr>
            </w:pPr>
          </w:p>
        </w:tc>
        <w:tc>
          <w:tcPr>
            <w:tcW w:w="840" w:type="pct"/>
            <w:tcBorders>
              <w:top w:val="nil"/>
              <w:left w:val="nil"/>
              <w:bottom w:val="nil"/>
              <w:right w:val="nil"/>
            </w:tcBorders>
          </w:tcPr>
          <w:p w14:paraId="239DBDFE" w14:textId="77777777" w:rsidR="0061482C" w:rsidRPr="003E73CD" w:rsidRDefault="0061482C" w:rsidP="00717272">
            <w:pPr>
              <w:rPr>
                <w:sz w:val="18"/>
                <w:szCs w:val="18"/>
              </w:rPr>
            </w:pPr>
          </w:p>
          <w:p w14:paraId="758E7CA2" w14:textId="77777777" w:rsidR="0061482C" w:rsidRPr="003E73CD" w:rsidRDefault="0061482C" w:rsidP="00717272">
            <w:pPr>
              <w:rPr>
                <w:sz w:val="18"/>
                <w:szCs w:val="18"/>
              </w:rPr>
            </w:pPr>
            <w:r w:rsidRPr="003E73CD">
              <w:rPr>
                <w:sz w:val="18"/>
                <w:szCs w:val="18"/>
              </w:rPr>
              <w:t>1.0</w:t>
            </w:r>
          </w:p>
          <w:p w14:paraId="76503800" w14:textId="77777777" w:rsidR="0061482C" w:rsidRPr="003E73CD" w:rsidRDefault="0061482C" w:rsidP="00717272">
            <w:pPr>
              <w:rPr>
                <w:sz w:val="18"/>
                <w:szCs w:val="18"/>
              </w:rPr>
            </w:pPr>
            <w:r w:rsidRPr="003E73CD">
              <w:rPr>
                <w:sz w:val="18"/>
                <w:szCs w:val="18"/>
              </w:rPr>
              <w:t>1.49 (0.95-2.34)</w:t>
            </w:r>
          </w:p>
        </w:tc>
        <w:tc>
          <w:tcPr>
            <w:tcW w:w="466" w:type="pct"/>
            <w:tcBorders>
              <w:top w:val="nil"/>
              <w:left w:val="nil"/>
              <w:bottom w:val="nil"/>
              <w:right w:val="nil"/>
            </w:tcBorders>
          </w:tcPr>
          <w:p w14:paraId="7E816097" w14:textId="77777777" w:rsidR="0061482C" w:rsidRPr="003E73CD" w:rsidRDefault="0061482C" w:rsidP="00717272">
            <w:pPr>
              <w:rPr>
                <w:sz w:val="18"/>
                <w:szCs w:val="18"/>
              </w:rPr>
            </w:pPr>
          </w:p>
          <w:p w14:paraId="44638627" w14:textId="77777777" w:rsidR="0061482C" w:rsidRPr="003E73CD" w:rsidRDefault="0061482C" w:rsidP="00717272">
            <w:pPr>
              <w:rPr>
                <w:sz w:val="18"/>
                <w:szCs w:val="18"/>
              </w:rPr>
            </w:pPr>
          </w:p>
          <w:p w14:paraId="391E6567" w14:textId="77777777" w:rsidR="0061482C" w:rsidRPr="003E73CD" w:rsidRDefault="0061482C" w:rsidP="00717272">
            <w:pPr>
              <w:rPr>
                <w:sz w:val="18"/>
                <w:szCs w:val="18"/>
              </w:rPr>
            </w:pPr>
            <w:r w:rsidRPr="003E73CD">
              <w:rPr>
                <w:sz w:val="18"/>
                <w:szCs w:val="18"/>
              </w:rPr>
              <w:t>0.085</w:t>
            </w:r>
          </w:p>
        </w:tc>
        <w:tc>
          <w:tcPr>
            <w:tcW w:w="840" w:type="pct"/>
            <w:tcBorders>
              <w:top w:val="nil"/>
              <w:left w:val="nil"/>
              <w:bottom w:val="nil"/>
              <w:right w:val="nil"/>
            </w:tcBorders>
          </w:tcPr>
          <w:p w14:paraId="5E24F516" w14:textId="77777777" w:rsidR="0061482C" w:rsidRPr="003E73CD" w:rsidRDefault="0061482C" w:rsidP="00717272">
            <w:pPr>
              <w:rPr>
                <w:sz w:val="18"/>
                <w:szCs w:val="18"/>
              </w:rPr>
            </w:pPr>
          </w:p>
          <w:p w14:paraId="4ADB3092" w14:textId="77777777" w:rsidR="0061482C" w:rsidRPr="003E73CD" w:rsidRDefault="0061482C" w:rsidP="00717272">
            <w:pPr>
              <w:rPr>
                <w:sz w:val="18"/>
                <w:szCs w:val="18"/>
              </w:rPr>
            </w:pPr>
            <w:r w:rsidRPr="003E73CD">
              <w:rPr>
                <w:sz w:val="18"/>
                <w:szCs w:val="18"/>
              </w:rPr>
              <w:t>1.0</w:t>
            </w:r>
          </w:p>
          <w:p w14:paraId="55E33A3D" w14:textId="77777777" w:rsidR="0061482C" w:rsidRPr="003E73CD" w:rsidRDefault="0061482C" w:rsidP="00717272">
            <w:pPr>
              <w:rPr>
                <w:sz w:val="18"/>
                <w:szCs w:val="18"/>
              </w:rPr>
            </w:pPr>
            <w:r w:rsidRPr="003E73CD">
              <w:rPr>
                <w:sz w:val="18"/>
                <w:szCs w:val="18"/>
              </w:rPr>
              <w:t>1.49 (0.95-2.34)</w:t>
            </w:r>
          </w:p>
        </w:tc>
        <w:tc>
          <w:tcPr>
            <w:tcW w:w="466" w:type="pct"/>
            <w:tcBorders>
              <w:top w:val="nil"/>
              <w:left w:val="nil"/>
              <w:bottom w:val="nil"/>
              <w:right w:val="nil"/>
            </w:tcBorders>
          </w:tcPr>
          <w:p w14:paraId="093E10E7" w14:textId="77777777" w:rsidR="0061482C" w:rsidRPr="003E73CD" w:rsidRDefault="0061482C" w:rsidP="00717272">
            <w:pPr>
              <w:rPr>
                <w:sz w:val="18"/>
                <w:szCs w:val="18"/>
              </w:rPr>
            </w:pPr>
          </w:p>
          <w:p w14:paraId="2D1B201F" w14:textId="77777777" w:rsidR="0061482C" w:rsidRPr="003E73CD" w:rsidRDefault="0061482C" w:rsidP="00717272">
            <w:pPr>
              <w:rPr>
                <w:sz w:val="18"/>
                <w:szCs w:val="18"/>
              </w:rPr>
            </w:pPr>
          </w:p>
          <w:p w14:paraId="04AC1391" w14:textId="77777777" w:rsidR="0061482C" w:rsidRPr="003E73CD" w:rsidRDefault="0061482C" w:rsidP="00717272">
            <w:pPr>
              <w:rPr>
                <w:sz w:val="18"/>
                <w:szCs w:val="18"/>
              </w:rPr>
            </w:pPr>
            <w:r w:rsidRPr="003E73CD">
              <w:rPr>
                <w:sz w:val="18"/>
                <w:szCs w:val="18"/>
              </w:rPr>
              <w:t>0.083</w:t>
            </w:r>
          </w:p>
        </w:tc>
        <w:tc>
          <w:tcPr>
            <w:tcW w:w="840" w:type="pct"/>
            <w:tcBorders>
              <w:top w:val="nil"/>
              <w:left w:val="nil"/>
              <w:bottom w:val="nil"/>
              <w:right w:val="nil"/>
            </w:tcBorders>
          </w:tcPr>
          <w:p w14:paraId="58774E08" w14:textId="77777777" w:rsidR="0061482C" w:rsidRPr="003E73CD" w:rsidRDefault="0061482C" w:rsidP="00717272">
            <w:pPr>
              <w:rPr>
                <w:sz w:val="18"/>
                <w:szCs w:val="18"/>
              </w:rPr>
            </w:pPr>
          </w:p>
          <w:p w14:paraId="73F9771F" w14:textId="77777777" w:rsidR="0061482C" w:rsidRPr="003E73CD" w:rsidRDefault="0061482C" w:rsidP="00717272">
            <w:pPr>
              <w:rPr>
                <w:sz w:val="18"/>
                <w:szCs w:val="18"/>
              </w:rPr>
            </w:pPr>
            <w:r w:rsidRPr="003E73CD">
              <w:rPr>
                <w:sz w:val="18"/>
                <w:szCs w:val="18"/>
              </w:rPr>
              <w:t>1.0</w:t>
            </w:r>
          </w:p>
          <w:p w14:paraId="445BE7E2" w14:textId="77777777" w:rsidR="0061482C" w:rsidRPr="003E73CD" w:rsidRDefault="0061482C" w:rsidP="00717272">
            <w:pPr>
              <w:rPr>
                <w:sz w:val="18"/>
                <w:szCs w:val="18"/>
              </w:rPr>
            </w:pPr>
            <w:r w:rsidRPr="003E73CD">
              <w:rPr>
                <w:sz w:val="18"/>
                <w:szCs w:val="18"/>
              </w:rPr>
              <w:t>1.50 (0.96-2.35)</w:t>
            </w:r>
          </w:p>
        </w:tc>
        <w:tc>
          <w:tcPr>
            <w:tcW w:w="466" w:type="pct"/>
            <w:tcBorders>
              <w:top w:val="nil"/>
              <w:left w:val="nil"/>
              <w:bottom w:val="nil"/>
              <w:right w:val="nil"/>
            </w:tcBorders>
          </w:tcPr>
          <w:p w14:paraId="14DB9A40" w14:textId="77777777" w:rsidR="0061482C" w:rsidRPr="003E73CD" w:rsidRDefault="0061482C" w:rsidP="00717272">
            <w:pPr>
              <w:rPr>
                <w:sz w:val="18"/>
                <w:szCs w:val="18"/>
              </w:rPr>
            </w:pPr>
          </w:p>
          <w:p w14:paraId="47B95839" w14:textId="77777777" w:rsidR="0061482C" w:rsidRPr="003E73CD" w:rsidRDefault="0061482C" w:rsidP="00717272">
            <w:pPr>
              <w:rPr>
                <w:sz w:val="18"/>
                <w:szCs w:val="18"/>
              </w:rPr>
            </w:pPr>
          </w:p>
          <w:p w14:paraId="2C7A6DC8" w14:textId="77777777" w:rsidR="0061482C" w:rsidRPr="003E73CD" w:rsidRDefault="0061482C" w:rsidP="00717272">
            <w:pPr>
              <w:rPr>
                <w:sz w:val="18"/>
                <w:szCs w:val="18"/>
              </w:rPr>
            </w:pPr>
            <w:r w:rsidRPr="003E73CD">
              <w:rPr>
                <w:sz w:val="18"/>
                <w:szCs w:val="18"/>
              </w:rPr>
              <w:t>0.079</w:t>
            </w:r>
          </w:p>
        </w:tc>
      </w:tr>
      <w:tr w:rsidR="0061482C" w:rsidRPr="003E73CD" w14:paraId="58B7E3A1" w14:textId="77777777" w:rsidTr="000C2BAA">
        <w:trPr>
          <w:cantSplit/>
        </w:trPr>
        <w:tc>
          <w:tcPr>
            <w:tcW w:w="1082" w:type="pct"/>
            <w:tcBorders>
              <w:top w:val="nil"/>
              <w:left w:val="nil"/>
              <w:bottom w:val="nil"/>
              <w:right w:val="nil"/>
            </w:tcBorders>
          </w:tcPr>
          <w:p w14:paraId="73F1B5A5" w14:textId="77777777" w:rsidR="0061482C" w:rsidRPr="003E73CD" w:rsidRDefault="0061482C" w:rsidP="00717272">
            <w:pPr>
              <w:rPr>
                <w:sz w:val="18"/>
                <w:szCs w:val="18"/>
                <w:lang w:val="en-AU"/>
              </w:rPr>
            </w:pPr>
            <w:r w:rsidRPr="003E73CD">
              <w:rPr>
                <w:sz w:val="18"/>
                <w:szCs w:val="18"/>
                <w:lang w:val="en-AU"/>
              </w:rPr>
              <w:t>Mitotic rate (mitoses/mm</w:t>
            </w:r>
            <w:r w:rsidRPr="003E73CD">
              <w:rPr>
                <w:sz w:val="18"/>
                <w:szCs w:val="18"/>
                <w:vertAlign w:val="superscript"/>
                <w:lang w:val="en-AU"/>
              </w:rPr>
              <w:t>2</w:t>
            </w:r>
            <w:r w:rsidRPr="003E73CD">
              <w:rPr>
                <w:sz w:val="18"/>
                <w:szCs w:val="18"/>
                <w:lang w:val="en-AU"/>
              </w:rPr>
              <w:t>)</w:t>
            </w:r>
          </w:p>
          <w:p w14:paraId="1AD2790C" w14:textId="77777777" w:rsidR="0061482C" w:rsidRPr="003E73CD" w:rsidRDefault="0061482C" w:rsidP="00717272">
            <w:pPr>
              <w:rPr>
                <w:sz w:val="18"/>
                <w:szCs w:val="18"/>
              </w:rPr>
            </w:pPr>
            <w:r w:rsidRPr="003E73CD">
              <w:rPr>
                <w:sz w:val="18"/>
                <w:szCs w:val="18"/>
                <w:lang w:val="en-AU"/>
              </w:rPr>
              <w:t xml:space="preserve">  </w:t>
            </w:r>
            <w:r w:rsidRPr="003E73CD">
              <w:rPr>
                <w:sz w:val="18"/>
                <w:szCs w:val="18"/>
              </w:rPr>
              <w:t>≤5</w:t>
            </w:r>
          </w:p>
          <w:p w14:paraId="177A8FD0" w14:textId="77777777" w:rsidR="0061482C" w:rsidRPr="003E73CD" w:rsidRDefault="0061482C" w:rsidP="00717272">
            <w:pPr>
              <w:rPr>
                <w:sz w:val="18"/>
                <w:szCs w:val="18"/>
              </w:rPr>
            </w:pPr>
            <w:r w:rsidRPr="003E73CD">
              <w:rPr>
                <w:sz w:val="18"/>
                <w:szCs w:val="18"/>
              </w:rPr>
              <w:t xml:space="preserve">  6-10</w:t>
            </w:r>
          </w:p>
          <w:p w14:paraId="53EBD8DB" w14:textId="77777777" w:rsidR="0061482C" w:rsidRPr="003E73CD" w:rsidRDefault="0061482C" w:rsidP="00717272">
            <w:pPr>
              <w:rPr>
                <w:sz w:val="18"/>
                <w:szCs w:val="18"/>
              </w:rPr>
            </w:pPr>
            <w:r w:rsidRPr="003E73CD">
              <w:rPr>
                <w:sz w:val="18"/>
                <w:szCs w:val="18"/>
              </w:rPr>
              <w:t xml:space="preserve">  &gt;10</w:t>
            </w:r>
          </w:p>
          <w:p w14:paraId="19EB2F8A" w14:textId="77777777" w:rsidR="0061482C" w:rsidRPr="003E73CD" w:rsidRDefault="0061482C" w:rsidP="00717272">
            <w:pPr>
              <w:rPr>
                <w:sz w:val="18"/>
                <w:szCs w:val="18"/>
              </w:rPr>
            </w:pPr>
          </w:p>
        </w:tc>
        <w:tc>
          <w:tcPr>
            <w:tcW w:w="840" w:type="pct"/>
            <w:tcBorders>
              <w:top w:val="nil"/>
              <w:left w:val="nil"/>
              <w:bottom w:val="nil"/>
              <w:right w:val="nil"/>
            </w:tcBorders>
          </w:tcPr>
          <w:p w14:paraId="6E8B7CC6" w14:textId="77777777" w:rsidR="0061482C" w:rsidRPr="003E73CD" w:rsidRDefault="0061482C" w:rsidP="00717272">
            <w:pPr>
              <w:rPr>
                <w:sz w:val="18"/>
                <w:szCs w:val="18"/>
              </w:rPr>
            </w:pPr>
          </w:p>
          <w:p w14:paraId="783EA83E" w14:textId="77777777" w:rsidR="0061482C" w:rsidRPr="003E73CD" w:rsidRDefault="0061482C" w:rsidP="00717272">
            <w:pPr>
              <w:rPr>
                <w:sz w:val="18"/>
                <w:szCs w:val="18"/>
              </w:rPr>
            </w:pPr>
          </w:p>
          <w:p w14:paraId="16C95D85" w14:textId="77777777" w:rsidR="0061482C" w:rsidRPr="003E73CD" w:rsidRDefault="0061482C" w:rsidP="00717272">
            <w:pPr>
              <w:rPr>
                <w:sz w:val="18"/>
                <w:szCs w:val="18"/>
              </w:rPr>
            </w:pPr>
            <w:r w:rsidRPr="003E73CD">
              <w:rPr>
                <w:sz w:val="18"/>
                <w:szCs w:val="18"/>
              </w:rPr>
              <w:t>1.0</w:t>
            </w:r>
          </w:p>
          <w:p w14:paraId="461568B2" w14:textId="77777777" w:rsidR="0061482C" w:rsidRPr="003E73CD" w:rsidRDefault="0061482C" w:rsidP="00717272">
            <w:pPr>
              <w:rPr>
                <w:sz w:val="18"/>
                <w:szCs w:val="18"/>
              </w:rPr>
            </w:pPr>
            <w:r w:rsidRPr="003E73CD">
              <w:rPr>
                <w:sz w:val="18"/>
                <w:szCs w:val="18"/>
              </w:rPr>
              <w:t>1.30 (0.80-2.13)</w:t>
            </w:r>
          </w:p>
          <w:p w14:paraId="3E5E430A" w14:textId="77777777" w:rsidR="0061482C" w:rsidRPr="003E73CD" w:rsidRDefault="0061482C" w:rsidP="00717272">
            <w:pPr>
              <w:rPr>
                <w:sz w:val="18"/>
                <w:szCs w:val="18"/>
              </w:rPr>
            </w:pPr>
            <w:r w:rsidRPr="003E73CD">
              <w:rPr>
                <w:sz w:val="18"/>
                <w:szCs w:val="18"/>
              </w:rPr>
              <w:t>1.77 (1.05-2.96)</w:t>
            </w:r>
          </w:p>
        </w:tc>
        <w:tc>
          <w:tcPr>
            <w:tcW w:w="466" w:type="pct"/>
            <w:tcBorders>
              <w:top w:val="nil"/>
              <w:left w:val="nil"/>
              <w:bottom w:val="nil"/>
              <w:right w:val="nil"/>
            </w:tcBorders>
          </w:tcPr>
          <w:p w14:paraId="413EB052" w14:textId="77777777" w:rsidR="0061482C" w:rsidRPr="003E73CD" w:rsidRDefault="0061482C" w:rsidP="00717272">
            <w:pPr>
              <w:rPr>
                <w:sz w:val="18"/>
                <w:szCs w:val="18"/>
              </w:rPr>
            </w:pPr>
          </w:p>
          <w:p w14:paraId="1CFF23E4" w14:textId="77777777" w:rsidR="0061482C" w:rsidRPr="003E73CD" w:rsidRDefault="0061482C" w:rsidP="00717272">
            <w:pPr>
              <w:rPr>
                <w:sz w:val="18"/>
                <w:szCs w:val="18"/>
              </w:rPr>
            </w:pPr>
          </w:p>
          <w:p w14:paraId="03109D1A" w14:textId="77777777" w:rsidR="0061482C" w:rsidRPr="003E73CD" w:rsidRDefault="0061482C" w:rsidP="00717272">
            <w:pPr>
              <w:rPr>
                <w:sz w:val="18"/>
                <w:szCs w:val="18"/>
              </w:rPr>
            </w:pPr>
          </w:p>
          <w:p w14:paraId="2F67958F" w14:textId="77777777" w:rsidR="0061482C" w:rsidRPr="003E73CD" w:rsidRDefault="0061482C" w:rsidP="00717272">
            <w:pPr>
              <w:rPr>
                <w:sz w:val="18"/>
                <w:szCs w:val="18"/>
              </w:rPr>
            </w:pPr>
            <w:r w:rsidRPr="003E73CD">
              <w:rPr>
                <w:sz w:val="18"/>
                <w:szCs w:val="18"/>
              </w:rPr>
              <w:t>0.295</w:t>
            </w:r>
          </w:p>
          <w:p w14:paraId="33E161C0" w14:textId="77777777" w:rsidR="0061482C" w:rsidRPr="003E73CD" w:rsidRDefault="0061482C" w:rsidP="00717272">
            <w:pPr>
              <w:rPr>
                <w:sz w:val="18"/>
                <w:szCs w:val="18"/>
              </w:rPr>
            </w:pPr>
            <w:r w:rsidRPr="003E73CD">
              <w:rPr>
                <w:sz w:val="18"/>
                <w:szCs w:val="18"/>
              </w:rPr>
              <w:t>0.031</w:t>
            </w:r>
          </w:p>
        </w:tc>
        <w:tc>
          <w:tcPr>
            <w:tcW w:w="840" w:type="pct"/>
            <w:tcBorders>
              <w:top w:val="nil"/>
              <w:left w:val="nil"/>
              <w:bottom w:val="nil"/>
              <w:right w:val="nil"/>
            </w:tcBorders>
          </w:tcPr>
          <w:p w14:paraId="686FC236" w14:textId="77777777" w:rsidR="0061482C" w:rsidRPr="003E73CD" w:rsidRDefault="0061482C" w:rsidP="00717272">
            <w:pPr>
              <w:rPr>
                <w:sz w:val="18"/>
                <w:szCs w:val="18"/>
              </w:rPr>
            </w:pPr>
          </w:p>
          <w:p w14:paraId="227A8C0D" w14:textId="77777777" w:rsidR="0061482C" w:rsidRPr="003E73CD" w:rsidRDefault="0061482C" w:rsidP="00717272">
            <w:pPr>
              <w:rPr>
                <w:sz w:val="18"/>
                <w:szCs w:val="18"/>
              </w:rPr>
            </w:pPr>
          </w:p>
          <w:p w14:paraId="525BA0EB" w14:textId="77777777" w:rsidR="0061482C" w:rsidRPr="003E73CD" w:rsidRDefault="0061482C" w:rsidP="00717272">
            <w:pPr>
              <w:rPr>
                <w:sz w:val="18"/>
                <w:szCs w:val="18"/>
              </w:rPr>
            </w:pPr>
            <w:r w:rsidRPr="003E73CD">
              <w:rPr>
                <w:sz w:val="18"/>
                <w:szCs w:val="18"/>
              </w:rPr>
              <w:t>1.0</w:t>
            </w:r>
          </w:p>
          <w:p w14:paraId="20393B2E" w14:textId="77777777" w:rsidR="0061482C" w:rsidRPr="003E73CD" w:rsidRDefault="0061482C" w:rsidP="00717272">
            <w:pPr>
              <w:rPr>
                <w:sz w:val="18"/>
                <w:szCs w:val="18"/>
              </w:rPr>
            </w:pPr>
            <w:r w:rsidRPr="003E73CD">
              <w:rPr>
                <w:sz w:val="18"/>
                <w:szCs w:val="18"/>
              </w:rPr>
              <w:t>1.32 (0.81-2.16)</w:t>
            </w:r>
          </w:p>
          <w:p w14:paraId="4EA00517" w14:textId="77777777" w:rsidR="0061482C" w:rsidRPr="003E73CD" w:rsidRDefault="0061482C" w:rsidP="00717272">
            <w:pPr>
              <w:rPr>
                <w:sz w:val="18"/>
                <w:szCs w:val="18"/>
              </w:rPr>
            </w:pPr>
            <w:r w:rsidRPr="003E73CD">
              <w:rPr>
                <w:sz w:val="18"/>
                <w:szCs w:val="18"/>
              </w:rPr>
              <w:t>1.77 (1.05-2.96)</w:t>
            </w:r>
          </w:p>
        </w:tc>
        <w:tc>
          <w:tcPr>
            <w:tcW w:w="466" w:type="pct"/>
            <w:tcBorders>
              <w:top w:val="nil"/>
              <w:left w:val="nil"/>
              <w:bottom w:val="nil"/>
              <w:right w:val="nil"/>
            </w:tcBorders>
          </w:tcPr>
          <w:p w14:paraId="6BF011BA" w14:textId="77777777" w:rsidR="0061482C" w:rsidRPr="003E73CD" w:rsidRDefault="0061482C" w:rsidP="00717272">
            <w:pPr>
              <w:rPr>
                <w:sz w:val="18"/>
                <w:szCs w:val="18"/>
              </w:rPr>
            </w:pPr>
          </w:p>
          <w:p w14:paraId="73E50C9F" w14:textId="77777777" w:rsidR="0061482C" w:rsidRPr="003E73CD" w:rsidRDefault="0061482C" w:rsidP="00717272">
            <w:pPr>
              <w:rPr>
                <w:sz w:val="18"/>
                <w:szCs w:val="18"/>
              </w:rPr>
            </w:pPr>
          </w:p>
          <w:p w14:paraId="352219F0" w14:textId="77777777" w:rsidR="0061482C" w:rsidRPr="003E73CD" w:rsidRDefault="0061482C" w:rsidP="00717272">
            <w:pPr>
              <w:rPr>
                <w:sz w:val="18"/>
                <w:szCs w:val="18"/>
              </w:rPr>
            </w:pPr>
          </w:p>
          <w:p w14:paraId="7849CE7F" w14:textId="77777777" w:rsidR="0061482C" w:rsidRPr="003E73CD" w:rsidRDefault="0061482C" w:rsidP="00717272">
            <w:pPr>
              <w:rPr>
                <w:sz w:val="18"/>
                <w:szCs w:val="18"/>
              </w:rPr>
            </w:pPr>
            <w:r w:rsidRPr="003E73CD">
              <w:rPr>
                <w:sz w:val="18"/>
                <w:szCs w:val="18"/>
              </w:rPr>
              <w:t>0.270</w:t>
            </w:r>
          </w:p>
          <w:p w14:paraId="4283D4D3" w14:textId="77777777" w:rsidR="0061482C" w:rsidRPr="003E73CD" w:rsidRDefault="0061482C" w:rsidP="00717272">
            <w:pPr>
              <w:rPr>
                <w:sz w:val="18"/>
                <w:szCs w:val="18"/>
              </w:rPr>
            </w:pPr>
            <w:r w:rsidRPr="003E73CD">
              <w:rPr>
                <w:sz w:val="18"/>
                <w:szCs w:val="18"/>
              </w:rPr>
              <w:t>0.031</w:t>
            </w:r>
          </w:p>
        </w:tc>
        <w:tc>
          <w:tcPr>
            <w:tcW w:w="840" w:type="pct"/>
            <w:tcBorders>
              <w:top w:val="nil"/>
              <w:left w:val="nil"/>
              <w:bottom w:val="nil"/>
              <w:right w:val="nil"/>
            </w:tcBorders>
          </w:tcPr>
          <w:p w14:paraId="568871B3" w14:textId="77777777" w:rsidR="0061482C" w:rsidRPr="003E73CD" w:rsidRDefault="0061482C" w:rsidP="00717272">
            <w:pPr>
              <w:rPr>
                <w:sz w:val="18"/>
                <w:szCs w:val="18"/>
              </w:rPr>
            </w:pPr>
          </w:p>
          <w:p w14:paraId="4B7ED211" w14:textId="77777777" w:rsidR="0061482C" w:rsidRPr="003E73CD" w:rsidRDefault="0061482C" w:rsidP="00717272">
            <w:pPr>
              <w:rPr>
                <w:sz w:val="18"/>
                <w:szCs w:val="18"/>
              </w:rPr>
            </w:pPr>
          </w:p>
          <w:p w14:paraId="5B4DC18C" w14:textId="77777777" w:rsidR="0061482C" w:rsidRPr="003E73CD" w:rsidRDefault="0061482C" w:rsidP="00717272">
            <w:pPr>
              <w:rPr>
                <w:sz w:val="18"/>
                <w:szCs w:val="18"/>
              </w:rPr>
            </w:pPr>
            <w:r w:rsidRPr="003E73CD">
              <w:rPr>
                <w:sz w:val="18"/>
                <w:szCs w:val="18"/>
              </w:rPr>
              <w:t>1.0</w:t>
            </w:r>
          </w:p>
          <w:p w14:paraId="5106FCDD" w14:textId="77777777" w:rsidR="0061482C" w:rsidRPr="003E73CD" w:rsidRDefault="0061482C" w:rsidP="00717272">
            <w:pPr>
              <w:rPr>
                <w:sz w:val="18"/>
                <w:szCs w:val="18"/>
              </w:rPr>
            </w:pPr>
            <w:r w:rsidRPr="003E73CD">
              <w:rPr>
                <w:sz w:val="18"/>
                <w:szCs w:val="18"/>
              </w:rPr>
              <w:t>1.32 (0.80-2.12)</w:t>
            </w:r>
          </w:p>
          <w:p w14:paraId="141F7E6F" w14:textId="77777777" w:rsidR="0061482C" w:rsidRPr="003E73CD" w:rsidRDefault="0061482C" w:rsidP="00717272">
            <w:pPr>
              <w:rPr>
                <w:sz w:val="18"/>
                <w:szCs w:val="18"/>
              </w:rPr>
            </w:pPr>
            <w:r w:rsidRPr="003E73CD">
              <w:rPr>
                <w:sz w:val="18"/>
                <w:szCs w:val="18"/>
              </w:rPr>
              <w:t>1.79 (1.07-2.99)</w:t>
            </w:r>
          </w:p>
        </w:tc>
        <w:tc>
          <w:tcPr>
            <w:tcW w:w="466" w:type="pct"/>
            <w:tcBorders>
              <w:top w:val="nil"/>
              <w:left w:val="nil"/>
              <w:bottom w:val="nil"/>
              <w:right w:val="nil"/>
            </w:tcBorders>
          </w:tcPr>
          <w:p w14:paraId="17421B21" w14:textId="77777777" w:rsidR="0061482C" w:rsidRPr="003E73CD" w:rsidRDefault="0061482C" w:rsidP="00717272">
            <w:pPr>
              <w:rPr>
                <w:sz w:val="18"/>
                <w:szCs w:val="18"/>
              </w:rPr>
            </w:pPr>
          </w:p>
          <w:p w14:paraId="5E177A4F" w14:textId="77777777" w:rsidR="0061482C" w:rsidRPr="003E73CD" w:rsidRDefault="0061482C" w:rsidP="00717272">
            <w:pPr>
              <w:rPr>
                <w:sz w:val="18"/>
                <w:szCs w:val="18"/>
              </w:rPr>
            </w:pPr>
          </w:p>
          <w:p w14:paraId="45BC00D1" w14:textId="77777777" w:rsidR="0061482C" w:rsidRPr="003E73CD" w:rsidRDefault="0061482C" w:rsidP="00717272">
            <w:pPr>
              <w:rPr>
                <w:sz w:val="18"/>
                <w:szCs w:val="18"/>
              </w:rPr>
            </w:pPr>
          </w:p>
          <w:p w14:paraId="58781CC7" w14:textId="77777777" w:rsidR="0061482C" w:rsidRPr="003E73CD" w:rsidRDefault="0061482C" w:rsidP="00717272">
            <w:pPr>
              <w:rPr>
                <w:sz w:val="18"/>
                <w:szCs w:val="18"/>
              </w:rPr>
            </w:pPr>
            <w:r w:rsidRPr="003E73CD">
              <w:rPr>
                <w:sz w:val="18"/>
                <w:szCs w:val="18"/>
              </w:rPr>
              <w:t>0.275</w:t>
            </w:r>
          </w:p>
          <w:p w14:paraId="12F4E9BE" w14:textId="77777777" w:rsidR="0061482C" w:rsidRPr="003E73CD" w:rsidRDefault="0061482C" w:rsidP="00717272">
            <w:pPr>
              <w:rPr>
                <w:sz w:val="18"/>
                <w:szCs w:val="18"/>
              </w:rPr>
            </w:pPr>
            <w:r w:rsidRPr="003E73CD">
              <w:rPr>
                <w:sz w:val="18"/>
                <w:szCs w:val="18"/>
              </w:rPr>
              <w:t>0.027</w:t>
            </w:r>
          </w:p>
        </w:tc>
      </w:tr>
      <w:tr w:rsidR="0061482C" w:rsidRPr="003E73CD" w14:paraId="33071134" w14:textId="77777777" w:rsidTr="000C2BAA">
        <w:trPr>
          <w:cantSplit/>
        </w:trPr>
        <w:tc>
          <w:tcPr>
            <w:tcW w:w="1082" w:type="pct"/>
            <w:tcBorders>
              <w:top w:val="nil"/>
              <w:left w:val="nil"/>
              <w:bottom w:val="nil"/>
              <w:right w:val="nil"/>
            </w:tcBorders>
          </w:tcPr>
          <w:p w14:paraId="21A48DE1" w14:textId="77777777" w:rsidR="0061482C" w:rsidRPr="003E73CD" w:rsidRDefault="0061482C" w:rsidP="00717272">
            <w:pPr>
              <w:rPr>
                <w:sz w:val="18"/>
                <w:szCs w:val="18"/>
              </w:rPr>
            </w:pPr>
            <w:r w:rsidRPr="003E73CD">
              <w:rPr>
                <w:sz w:val="18"/>
                <w:szCs w:val="18"/>
              </w:rPr>
              <w:t>Total number of positive nodes</w:t>
            </w:r>
          </w:p>
          <w:p w14:paraId="40E3A3EA" w14:textId="77777777" w:rsidR="0061482C" w:rsidRPr="003E73CD" w:rsidRDefault="0061482C" w:rsidP="00717272">
            <w:pPr>
              <w:rPr>
                <w:sz w:val="18"/>
                <w:szCs w:val="18"/>
              </w:rPr>
            </w:pPr>
          </w:p>
        </w:tc>
        <w:tc>
          <w:tcPr>
            <w:tcW w:w="840" w:type="pct"/>
            <w:tcBorders>
              <w:top w:val="nil"/>
              <w:left w:val="nil"/>
              <w:bottom w:val="nil"/>
              <w:right w:val="nil"/>
            </w:tcBorders>
          </w:tcPr>
          <w:p w14:paraId="7814242B" w14:textId="77777777" w:rsidR="0061482C" w:rsidRPr="003E73CD" w:rsidRDefault="0061482C" w:rsidP="00717272">
            <w:pPr>
              <w:rPr>
                <w:sz w:val="18"/>
                <w:szCs w:val="18"/>
              </w:rPr>
            </w:pPr>
            <w:r w:rsidRPr="003E73CD">
              <w:rPr>
                <w:sz w:val="18"/>
                <w:szCs w:val="18"/>
              </w:rPr>
              <w:t>0.82 (0.51-1.32)</w:t>
            </w:r>
          </w:p>
        </w:tc>
        <w:tc>
          <w:tcPr>
            <w:tcW w:w="466" w:type="pct"/>
            <w:tcBorders>
              <w:top w:val="nil"/>
              <w:left w:val="nil"/>
              <w:bottom w:val="nil"/>
              <w:right w:val="nil"/>
            </w:tcBorders>
          </w:tcPr>
          <w:p w14:paraId="37BC6F7F" w14:textId="77777777" w:rsidR="0061482C" w:rsidRPr="003E73CD" w:rsidRDefault="0061482C" w:rsidP="00717272">
            <w:pPr>
              <w:rPr>
                <w:sz w:val="18"/>
                <w:szCs w:val="18"/>
              </w:rPr>
            </w:pPr>
            <w:r w:rsidRPr="003E73CD">
              <w:rPr>
                <w:sz w:val="18"/>
                <w:szCs w:val="18"/>
              </w:rPr>
              <w:t>0.409</w:t>
            </w:r>
          </w:p>
        </w:tc>
        <w:tc>
          <w:tcPr>
            <w:tcW w:w="1306" w:type="pct"/>
            <w:gridSpan w:val="2"/>
            <w:tcBorders>
              <w:top w:val="nil"/>
              <w:left w:val="nil"/>
              <w:bottom w:val="nil"/>
              <w:right w:val="nil"/>
            </w:tcBorders>
          </w:tcPr>
          <w:p w14:paraId="530E27F0" w14:textId="77777777" w:rsidR="0061482C" w:rsidRPr="003E73CD" w:rsidRDefault="0061482C" w:rsidP="00717272">
            <w:pPr>
              <w:jc w:val="center"/>
              <w:rPr>
                <w:sz w:val="18"/>
                <w:szCs w:val="18"/>
              </w:rPr>
            </w:pPr>
            <w:r w:rsidRPr="003E73CD">
              <w:rPr>
                <w:sz w:val="18"/>
                <w:szCs w:val="18"/>
              </w:rPr>
              <w:t>Not included</w:t>
            </w:r>
          </w:p>
        </w:tc>
        <w:tc>
          <w:tcPr>
            <w:tcW w:w="840" w:type="pct"/>
            <w:tcBorders>
              <w:top w:val="nil"/>
              <w:left w:val="nil"/>
              <w:bottom w:val="nil"/>
              <w:right w:val="nil"/>
            </w:tcBorders>
          </w:tcPr>
          <w:p w14:paraId="611F02FE" w14:textId="77777777" w:rsidR="0061482C" w:rsidRPr="003E73CD" w:rsidRDefault="0061482C" w:rsidP="00717272">
            <w:pPr>
              <w:rPr>
                <w:sz w:val="18"/>
                <w:szCs w:val="18"/>
              </w:rPr>
            </w:pPr>
            <w:r w:rsidRPr="003E73CD">
              <w:rPr>
                <w:sz w:val="18"/>
                <w:szCs w:val="18"/>
              </w:rPr>
              <w:t>1.40 (1.14-1.71)</w:t>
            </w:r>
          </w:p>
        </w:tc>
        <w:tc>
          <w:tcPr>
            <w:tcW w:w="466" w:type="pct"/>
            <w:tcBorders>
              <w:top w:val="nil"/>
              <w:left w:val="nil"/>
              <w:bottom w:val="nil"/>
              <w:right w:val="nil"/>
            </w:tcBorders>
          </w:tcPr>
          <w:p w14:paraId="7DC2BE2F" w14:textId="77777777" w:rsidR="0061482C" w:rsidRPr="003E73CD" w:rsidRDefault="0061482C" w:rsidP="00717272">
            <w:pPr>
              <w:rPr>
                <w:sz w:val="18"/>
                <w:szCs w:val="18"/>
              </w:rPr>
            </w:pPr>
            <w:r w:rsidRPr="003E73CD">
              <w:rPr>
                <w:sz w:val="18"/>
                <w:szCs w:val="18"/>
              </w:rPr>
              <w:t>0.001</w:t>
            </w:r>
          </w:p>
        </w:tc>
      </w:tr>
      <w:tr w:rsidR="0061482C" w:rsidRPr="003E73CD" w14:paraId="1B22D5A5" w14:textId="77777777" w:rsidTr="000C2BAA">
        <w:trPr>
          <w:cantSplit/>
        </w:trPr>
        <w:tc>
          <w:tcPr>
            <w:tcW w:w="1082" w:type="pct"/>
            <w:tcBorders>
              <w:top w:val="nil"/>
              <w:left w:val="nil"/>
              <w:bottom w:val="nil"/>
              <w:right w:val="nil"/>
            </w:tcBorders>
          </w:tcPr>
          <w:p w14:paraId="312BC2BF" w14:textId="77777777" w:rsidR="0061482C" w:rsidRPr="003E73CD" w:rsidRDefault="0061482C" w:rsidP="00717272">
            <w:pPr>
              <w:rPr>
                <w:sz w:val="18"/>
                <w:szCs w:val="18"/>
              </w:rPr>
            </w:pPr>
            <w:r w:rsidRPr="003E73CD">
              <w:rPr>
                <w:sz w:val="18"/>
                <w:szCs w:val="18"/>
              </w:rPr>
              <w:t>Number of positive sentinel nodes</w:t>
            </w:r>
          </w:p>
          <w:p w14:paraId="76DADE78" w14:textId="77777777" w:rsidR="0061482C" w:rsidRPr="003E73CD" w:rsidRDefault="0061482C" w:rsidP="00717272">
            <w:pPr>
              <w:rPr>
                <w:sz w:val="18"/>
                <w:szCs w:val="18"/>
              </w:rPr>
            </w:pPr>
          </w:p>
        </w:tc>
        <w:tc>
          <w:tcPr>
            <w:tcW w:w="1306" w:type="pct"/>
            <w:gridSpan w:val="2"/>
            <w:tcBorders>
              <w:top w:val="nil"/>
              <w:left w:val="nil"/>
              <w:bottom w:val="nil"/>
              <w:right w:val="nil"/>
            </w:tcBorders>
          </w:tcPr>
          <w:p w14:paraId="45958D91" w14:textId="77777777" w:rsidR="0061482C" w:rsidRPr="003E73CD" w:rsidRDefault="0061482C" w:rsidP="00717272">
            <w:pPr>
              <w:jc w:val="center"/>
              <w:rPr>
                <w:sz w:val="18"/>
                <w:szCs w:val="18"/>
              </w:rPr>
            </w:pPr>
            <w:r w:rsidRPr="003E73CD">
              <w:rPr>
                <w:sz w:val="18"/>
                <w:szCs w:val="18"/>
              </w:rPr>
              <w:t>Not included</w:t>
            </w:r>
          </w:p>
        </w:tc>
        <w:tc>
          <w:tcPr>
            <w:tcW w:w="840" w:type="pct"/>
            <w:tcBorders>
              <w:top w:val="nil"/>
              <w:left w:val="nil"/>
              <w:bottom w:val="nil"/>
              <w:right w:val="nil"/>
            </w:tcBorders>
          </w:tcPr>
          <w:p w14:paraId="1564C3C7" w14:textId="77777777" w:rsidR="0061482C" w:rsidRPr="003E73CD" w:rsidRDefault="0061482C" w:rsidP="00717272">
            <w:pPr>
              <w:rPr>
                <w:sz w:val="18"/>
                <w:szCs w:val="18"/>
              </w:rPr>
            </w:pPr>
            <w:r w:rsidRPr="003E73CD">
              <w:rPr>
                <w:sz w:val="18"/>
                <w:szCs w:val="18"/>
              </w:rPr>
              <w:t>0.96 (0.61-1.51)</w:t>
            </w:r>
          </w:p>
        </w:tc>
        <w:tc>
          <w:tcPr>
            <w:tcW w:w="466" w:type="pct"/>
            <w:tcBorders>
              <w:top w:val="nil"/>
              <w:left w:val="nil"/>
              <w:bottom w:val="nil"/>
              <w:right w:val="nil"/>
            </w:tcBorders>
          </w:tcPr>
          <w:p w14:paraId="55B76370" w14:textId="77777777" w:rsidR="0061482C" w:rsidRPr="003E73CD" w:rsidRDefault="0061482C" w:rsidP="00717272">
            <w:pPr>
              <w:rPr>
                <w:sz w:val="18"/>
                <w:szCs w:val="18"/>
              </w:rPr>
            </w:pPr>
            <w:r w:rsidRPr="003E73CD">
              <w:rPr>
                <w:sz w:val="18"/>
                <w:szCs w:val="18"/>
              </w:rPr>
              <w:t>0.852</w:t>
            </w:r>
          </w:p>
        </w:tc>
        <w:tc>
          <w:tcPr>
            <w:tcW w:w="840" w:type="pct"/>
            <w:tcBorders>
              <w:top w:val="nil"/>
              <w:left w:val="nil"/>
              <w:bottom w:val="nil"/>
              <w:right w:val="nil"/>
            </w:tcBorders>
          </w:tcPr>
          <w:p w14:paraId="776E97BA" w14:textId="77777777" w:rsidR="0061482C" w:rsidRPr="003E73CD" w:rsidRDefault="0061482C" w:rsidP="00717272">
            <w:pPr>
              <w:rPr>
                <w:sz w:val="18"/>
                <w:szCs w:val="18"/>
              </w:rPr>
            </w:pPr>
            <w:r w:rsidRPr="003E73CD">
              <w:rPr>
                <w:sz w:val="18"/>
                <w:szCs w:val="18"/>
              </w:rPr>
              <w:t>0.69 (0.42-1.13)</w:t>
            </w:r>
          </w:p>
        </w:tc>
        <w:tc>
          <w:tcPr>
            <w:tcW w:w="466" w:type="pct"/>
            <w:tcBorders>
              <w:top w:val="nil"/>
              <w:left w:val="nil"/>
              <w:bottom w:val="nil"/>
              <w:right w:val="nil"/>
            </w:tcBorders>
          </w:tcPr>
          <w:p w14:paraId="68BFA4D1" w14:textId="77777777" w:rsidR="0061482C" w:rsidRPr="003E73CD" w:rsidRDefault="0061482C" w:rsidP="00717272">
            <w:pPr>
              <w:rPr>
                <w:sz w:val="18"/>
                <w:szCs w:val="18"/>
              </w:rPr>
            </w:pPr>
            <w:r w:rsidRPr="003E73CD">
              <w:rPr>
                <w:sz w:val="18"/>
                <w:szCs w:val="18"/>
              </w:rPr>
              <w:t>0.140</w:t>
            </w:r>
          </w:p>
        </w:tc>
      </w:tr>
      <w:tr w:rsidR="0061482C" w:rsidRPr="003E73CD" w14:paraId="01CCDBA9" w14:textId="77777777" w:rsidTr="000C2BAA">
        <w:trPr>
          <w:cantSplit/>
        </w:trPr>
        <w:tc>
          <w:tcPr>
            <w:tcW w:w="1082" w:type="pct"/>
            <w:tcBorders>
              <w:top w:val="nil"/>
              <w:left w:val="nil"/>
              <w:bottom w:val="nil"/>
              <w:right w:val="nil"/>
            </w:tcBorders>
          </w:tcPr>
          <w:p w14:paraId="226AEE1D" w14:textId="77777777" w:rsidR="0061482C" w:rsidRPr="003E73CD" w:rsidRDefault="0061482C" w:rsidP="00717272">
            <w:pPr>
              <w:rPr>
                <w:sz w:val="18"/>
                <w:szCs w:val="18"/>
              </w:rPr>
            </w:pPr>
            <w:r w:rsidRPr="003E73CD">
              <w:rPr>
                <w:sz w:val="18"/>
                <w:szCs w:val="18"/>
              </w:rPr>
              <w:t xml:space="preserve">Number of positive non-sentinel nodes </w:t>
            </w:r>
          </w:p>
          <w:p w14:paraId="7B3D99D6" w14:textId="77777777" w:rsidR="0061482C" w:rsidRPr="003E73CD" w:rsidRDefault="0061482C" w:rsidP="00717272">
            <w:pPr>
              <w:rPr>
                <w:sz w:val="18"/>
                <w:szCs w:val="18"/>
              </w:rPr>
            </w:pPr>
          </w:p>
        </w:tc>
        <w:tc>
          <w:tcPr>
            <w:tcW w:w="840" w:type="pct"/>
            <w:tcBorders>
              <w:top w:val="nil"/>
              <w:left w:val="nil"/>
              <w:bottom w:val="nil"/>
              <w:right w:val="nil"/>
            </w:tcBorders>
          </w:tcPr>
          <w:p w14:paraId="054395A4" w14:textId="77777777" w:rsidR="0061482C" w:rsidRPr="003E73CD" w:rsidRDefault="0061482C" w:rsidP="00717272">
            <w:pPr>
              <w:rPr>
                <w:sz w:val="18"/>
                <w:szCs w:val="18"/>
              </w:rPr>
            </w:pPr>
            <w:r w:rsidRPr="003E73CD">
              <w:rPr>
                <w:sz w:val="18"/>
                <w:szCs w:val="18"/>
              </w:rPr>
              <w:t>1.76 (1.05-2.95)</w:t>
            </w:r>
          </w:p>
        </w:tc>
        <w:tc>
          <w:tcPr>
            <w:tcW w:w="466" w:type="pct"/>
            <w:tcBorders>
              <w:top w:val="nil"/>
              <w:left w:val="nil"/>
              <w:bottom w:val="nil"/>
              <w:right w:val="nil"/>
            </w:tcBorders>
          </w:tcPr>
          <w:p w14:paraId="0CD06177" w14:textId="77777777" w:rsidR="0061482C" w:rsidRPr="003E73CD" w:rsidRDefault="0061482C" w:rsidP="00717272">
            <w:pPr>
              <w:rPr>
                <w:sz w:val="18"/>
                <w:szCs w:val="18"/>
              </w:rPr>
            </w:pPr>
            <w:r w:rsidRPr="003E73CD">
              <w:rPr>
                <w:sz w:val="18"/>
                <w:szCs w:val="18"/>
              </w:rPr>
              <w:t>0.032</w:t>
            </w:r>
          </w:p>
        </w:tc>
        <w:tc>
          <w:tcPr>
            <w:tcW w:w="840" w:type="pct"/>
            <w:tcBorders>
              <w:top w:val="nil"/>
              <w:left w:val="nil"/>
              <w:bottom w:val="nil"/>
              <w:right w:val="nil"/>
            </w:tcBorders>
          </w:tcPr>
          <w:p w14:paraId="3137BE24" w14:textId="77777777" w:rsidR="0061482C" w:rsidRPr="003E73CD" w:rsidRDefault="0061482C" w:rsidP="00717272">
            <w:pPr>
              <w:rPr>
                <w:sz w:val="18"/>
                <w:szCs w:val="18"/>
              </w:rPr>
            </w:pPr>
            <w:r w:rsidRPr="003E73CD">
              <w:rPr>
                <w:sz w:val="18"/>
                <w:szCs w:val="18"/>
              </w:rPr>
              <w:t>1.44 (1.18-1.75)</w:t>
            </w:r>
          </w:p>
        </w:tc>
        <w:tc>
          <w:tcPr>
            <w:tcW w:w="466" w:type="pct"/>
            <w:tcBorders>
              <w:top w:val="nil"/>
              <w:left w:val="nil"/>
              <w:bottom w:val="nil"/>
              <w:right w:val="nil"/>
            </w:tcBorders>
          </w:tcPr>
          <w:p w14:paraId="42862F7D" w14:textId="77777777" w:rsidR="0061482C" w:rsidRPr="003E73CD" w:rsidRDefault="0061482C" w:rsidP="00717272">
            <w:pPr>
              <w:rPr>
                <w:sz w:val="18"/>
                <w:szCs w:val="18"/>
              </w:rPr>
            </w:pPr>
            <w:r w:rsidRPr="003E73CD">
              <w:rPr>
                <w:sz w:val="18"/>
                <w:szCs w:val="18"/>
              </w:rPr>
              <w:t>&lt;0.001</w:t>
            </w:r>
          </w:p>
        </w:tc>
        <w:tc>
          <w:tcPr>
            <w:tcW w:w="1306" w:type="pct"/>
            <w:gridSpan w:val="2"/>
            <w:tcBorders>
              <w:top w:val="nil"/>
              <w:left w:val="nil"/>
              <w:bottom w:val="nil"/>
              <w:right w:val="nil"/>
            </w:tcBorders>
          </w:tcPr>
          <w:p w14:paraId="30D8A208" w14:textId="77777777" w:rsidR="0061482C" w:rsidRPr="003E73CD" w:rsidRDefault="0061482C" w:rsidP="00717272">
            <w:pPr>
              <w:jc w:val="center"/>
              <w:rPr>
                <w:sz w:val="18"/>
                <w:szCs w:val="18"/>
              </w:rPr>
            </w:pPr>
            <w:r w:rsidRPr="003E73CD">
              <w:rPr>
                <w:sz w:val="18"/>
                <w:szCs w:val="18"/>
              </w:rPr>
              <w:t>Not included</w:t>
            </w:r>
          </w:p>
        </w:tc>
      </w:tr>
      <w:tr w:rsidR="0061482C" w:rsidRPr="003E73CD" w14:paraId="1771A0FF" w14:textId="77777777" w:rsidTr="000C2BAA">
        <w:trPr>
          <w:cantSplit/>
        </w:trPr>
        <w:tc>
          <w:tcPr>
            <w:tcW w:w="1082" w:type="pct"/>
            <w:tcBorders>
              <w:top w:val="nil"/>
              <w:left w:val="nil"/>
              <w:bottom w:val="nil"/>
              <w:right w:val="nil"/>
            </w:tcBorders>
          </w:tcPr>
          <w:p w14:paraId="2B139233" w14:textId="77777777" w:rsidR="0061482C" w:rsidRPr="003E73CD" w:rsidRDefault="0061482C" w:rsidP="00717272">
            <w:pPr>
              <w:rPr>
                <w:sz w:val="18"/>
                <w:szCs w:val="18"/>
              </w:rPr>
            </w:pPr>
            <w:r w:rsidRPr="003E73CD">
              <w:rPr>
                <w:sz w:val="18"/>
                <w:szCs w:val="18"/>
              </w:rPr>
              <w:t xml:space="preserve">Number of sentinel nodes removed </w:t>
            </w:r>
          </w:p>
          <w:p w14:paraId="28DC8406" w14:textId="77777777" w:rsidR="0061482C" w:rsidRPr="003E73CD" w:rsidRDefault="0061482C" w:rsidP="00717272">
            <w:pPr>
              <w:rPr>
                <w:sz w:val="18"/>
                <w:szCs w:val="18"/>
              </w:rPr>
            </w:pPr>
          </w:p>
        </w:tc>
        <w:tc>
          <w:tcPr>
            <w:tcW w:w="840" w:type="pct"/>
            <w:tcBorders>
              <w:top w:val="nil"/>
              <w:left w:val="nil"/>
              <w:bottom w:val="nil"/>
              <w:right w:val="nil"/>
            </w:tcBorders>
          </w:tcPr>
          <w:p w14:paraId="2EC1AE53" w14:textId="77777777" w:rsidR="0061482C" w:rsidRPr="003E73CD" w:rsidRDefault="0061482C" w:rsidP="00717272">
            <w:pPr>
              <w:rPr>
                <w:sz w:val="18"/>
                <w:szCs w:val="18"/>
              </w:rPr>
            </w:pPr>
            <w:r w:rsidRPr="003E73CD">
              <w:rPr>
                <w:sz w:val="18"/>
                <w:szCs w:val="18"/>
              </w:rPr>
              <w:t>1.02 (0.85-1.24)</w:t>
            </w:r>
          </w:p>
        </w:tc>
        <w:tc>
          <w:tcPr>
            <w:tcW w:w="466" w:type="pct"/>
            <w:tcBorders>
              <w:top w:val="nil"/>
              <w:left w:val="nil"/>
              <w:bottom w:val="nil"/>
              <w:right w:val="nil"/>
            </w:tcBorders>
          </w:tcPr>
          <w:p w14:paraId="57497F51" w14:textId="77777777" w:rsidR="0061482C" w:rsidRPr="003E73CD" w:rsidRDefault="0061482C" w:rsidP="00717272">
            <w:pPr>
              <w:rPr>
                <w:sz w:val="18"/>
                <w:szCs w:val="18"/>
              </w:rPr>
            </w:pPr>
            <w:r w:rsidRPr="003E73CD">
              <w:rPr>
                <w:sz w:val="18"/>
                <w:szCs w:val="18"/>
              </w:rPr>
              <w:t>0.818</w:t>
            </w:r>
          </w:p>
        </w:tc>
        <w:tc>
          <w:tcPr>
            <w:tcW w:w="840" w:type="pct"/>
            <w:tcBorders>
              <w:top w:val="nil"/>
              <w:left w:val="nil"/>
              <w:bottom w:val="nil"/>
              <w:right w:val="nil"/>
            </w:tcBorders>
          </w:tcPr>
          <w:p w14:paraId="39A6261C" w14:textId="77777777" w:rsidR="0061482C" w:rsidRPr="003E73CD" w:rsidRDefault="0061482C" w:rsidP="00717272">
            <w:pPr>
              <w:rPr>
                <w:sz w:val="18"/>
                <w:szCs w:val="18"/>
              </w:rPr>
            </w:pPr>
            <w:r w:rsidRPr="003E73CD">
              <w:rPr>
                <w:sz w:val="18"/>
                <w:szCs w:val="18"/>
              </w:rPr>
              <w:t>1.00 (0.82-1.21)</w:t>
            </w:r>
          </w:p>
        </w:tc>
        <w:tc>
          <w:tcPr>
            <w:tcW w:w="466" w:type="pct"/>
            <w:tcBorders>
              <w:top w:val="nil"/>
              <w:left w:val="nil"/>
              <w:bottom w:val="nil"/>
              <w:right w:val="nil"/>
            </w:tcBorders>
          </w:tcPr>
          <w:p w14:paraId="3610D84A" w14:textId="77777777" w:rsidR="0061482C" w:rsidRPr="003E73CD" w:rsidRDefault="0061482C" w:rsidP="00717272">
            <w:pPr>
              <w:rPr>
                <w:sz w:val="18"/>
                <w:szCs w:val="18"/>
              </w:rPr>
            </w:pPr>
            <w:r w:rsidRPr="003E73CD">
              <w:rPr>
                <w:sz w:val="18"/>
                <w:szCs w:val="18"/>
              </w:rPr>
              <w:t>0.989</w:t>
            </w:r>
          </w:p>
        </w:tc>
        <w:tc>
          <w:tcPr>
            <w:tcW w:w="840" w:type="pct"/>
            <w:tcBorders>
              <w:top w:val="nil"/>
              <w:left w:val="nil"/>
              <w:bottom w:val="nil"/>
              <w:right w:val="nil"/>
            </w:tcBorders>
          </w:tcPr>
          <w:p w14:paraId="3F4659BD" w14:textId="77777777" w:rsidR="0061482C" w:rsidRPr="003E73CD" w:rsidRDefault="0061482C" w:rsidP="00717272">
            <w:pPr>
              <w:rPr>
                <w:sz w:val="18"/>
                <w:szCs w:val="18"/>
              </w:rPr>
            </w:pPr>
            <w:r w:rsidRPr="003E73CD">
              <w:rPr>
                <w:sz w:val="18"/>
                <w:szCs w:val="18"/>
              </w:rPr>
              <w:t>0.99 (0.82-1.21)</w:t>
            </w:r>
          </w:p>
        </w:tc>
        <w:tc>
          <w:tcPr>
            <w:tcW w:w="466" w:type="pct"/>
            <w:tcBorders>
              <w:top w:val="nil"/>
              <w:left w:val="nil"/>
              <w:bottom w:val="nil"/>
              <w:right w:val="nil"/>
            </w:tcBorders>
          </w:tcPr>
          <w:p w14:paraId="08ED6CBF" w14:textId="77777777" w:rsidR="0061482C" w:rsidRPr="003E73CD" w:rsidRDefault="0061482C" w:rsidP="00717272">
            <w:pPr>
              <w:rPr>
                <w:sz w:val="18"/>
                <w:szCs w:val="18"/>
              </w:rPr>
            </w:pPr>
            <w:r w:rsidRPr="003E73CD">
              <w:rPr>
                <w:sz w:val="18"/>
                <w:szCs w:val="18"/>
              </w:rPr>
              <w:t>0.943</w:t>
            </w:r>
          </w:p>
        </w:tc>
      </w:tr>
      <w:tr w:rsidR="0061482C" w:rsidRPr="003E73CD" w14:paraId="36945C12" w14:textId="77777777" w:rsidTr="000C2BAA">
        <w:trPr>
          <w:cantSplit/>
        </w:trPr>
        <w:tc>
          <w:tcPr>
            <w:tcW w:w="1082" w:type="pct"/>
            <w:tcBorders>
              <w:top w:val="nil"/>
              <w:left w:val="nil"/>
              <w:bottom w:val="single" w:sz="4" w:space="0" w:color="auto"/>
              <w:right w:val="nil"/>
            </w:tcBorders>
          </w:tcPr>
          <w:p w14:paraId="7D3A26A8" w14:textId="77777777" w:rsidR="0061482C" w:rsidRPr="003E73CD" w:rsidRDefault="0061482C" w:rsidP="00717272">
            <w:pPr>
              <w:rPr>
                <w:sz w:val="18"/>
                <w:szCs w:val="18"/>
              </w:rPr>
            </w:pPr>
            <w:r w:rsidRPr="003E73CD">
              <w:rPr>
                <w:sz w:val="18"/>
                <w:szCs w:val="18"/>
              </w:rPr>
              <w:t xml:space="preserve">Location of primary melanoma </w:t>
            </w:r>
          </w:p>
          <w:p w14:paraId="3AE9FAEF" w14:textId="77777777" w:rsidR="0061482C" w:rsidRPr="003E73CD" w:rsidRDefault="0061482C" w:rsidP="00717272">
            <w:pPr>
              <w:rPr>
                <w:sz w:val="18"/>
                <w:szCs w:val="18"/>
              </w:rPr>
            </w:pPr>
            <w:r w:rsidRPr="003E73CD">
              <w:rPr>
                <w:sz w:val="18"/>
                <w:szCs w:val="18"/>
              </w:rPr>
              <w:t xml:space="preserve">  Trunk</w:t>
            </w:r>
          </w:p>
          <w:p w14:paraId="3D4C7F10" w14:textId="77777777" w:rsidR="0061482C" w:rsidRPr="003E73CD" w:rsidRDefault="0061482C" w:rsidP="00717272">
            <w:pPr>
              <w:rPr>
                <w:sz w:val="18"/>
                <w:szCs w:val="18"/>
              </w:rPr>
            </w:pPr>
            <w:r w:rsidRPr="003E73CD">
              <w:rPr>
                <w:sz w:val="18"/>
                <w:szCs w:val="18"/>
              </w:rPr>
              <w:t xml:space="preserve">  Extremity</w:t>
            </w:r>
          </w:p>
          <w:p w14:paraId="3AB3534B" w14:textId="77777777" w:rsidR="0061482C" w:rsidRPr="003E73CD" w:rsidRDefault="0061482C" w:rsidP="00717272">
            <w:pPr>
              <w:rPr>
                <w:sz w:val="18"/>
                <w:szCs w:val="18"/>
              </w:rPr>
            </w:pPr>
            <w:r w:rsidRPr="003E73CD">
              <w:rPr>
                <w:sz w:val="18"/>
                <w:szCs w:val="18"/>
              </w:rPr>
              <w:t xml:space="preserve">  Head and neck</w:t>
            </w:r>
          </w:p>
          <w:p w14:paraId="0C8F2CDB" w14:textId="77777777" w:rsidR="0061482C" w:rsidRPr="003E73CD" w:rsidRDefault="0061482C" w:rsidP="00717272">
            <w:pPr>
              <w:rPr>
                <w:sz w:val="18"/>
                <w:szCs w:val="18"/>
              </w:rPr>
            </w:pPr>
          </w:p>
        </w:tc>
        <w:tc>
          <w:tcPr>
            <w:tcW w:w="840" w:type="pct"/>
            <w:tcBorders>
              <w:top w:val="nil"/>
              <w:left w:val="nil"/>
              <w:bottom w:val="single" w:sz="4" w:space="0" w:color="auto"/>
              <w:right w:val="nil"/>
            </w:tcBorders>
          </w:tcPr>
          <w:p w14:paraId="6BB88168" w14:textId="77777777" w:rsidR="0061482C" w:rsidRPr="003E73CD" w:rsidRDefault="0061482C" w:rsidP="00717272">
            <w:pPr>
              <w:rPr>
                <w:sz w:val="18"/>
                <w:szCs w:val="18"/>
              </w:rPr>
            </w:pPr>
          </w:p>
          <w:p w14:paraId="2049674C" w14:textId="77777777" w:rsidR="0061482C" w:rsidRPr="003E73CD" w:rsidRDefault="0061482C" w:rsidP="00717272">
            <w:pPr>
              <w:rPr>
                <w:sz w:val="18"/>
                <w:szCs w:val="18"/>
              </w:rPr>
            </w:pPr>
          </w:p>
          <w:p w14:paraId="3B0C9378" w14:textId="77777777" w:rsidR="0061482C" w:rsidRPr="003E73CD" w:rsidRDefault="0061482C" w:rsidP="00717272">
            <w:pPr>
              <w:rPr>
                <w:sz w:val="18"/>
                <w:szCs w:val="18"/>
              </w:rPr>
            </w:pPr>
            <w:r w:rsidRPr="003E73CD">
              <w:rPr>
                <w:sz w:val="18"/>
                <w:szCs w:val="18"/>
              </w:rPr>
              <w:t>1.0</w:t>
            </w:r>
          </w:p>
          <w:p w14:paraId="6C8239A8" w14:textId="77777777" w:rsidR="0061482C" w:rsidRPr="003E73CD" w:rsidRDefault="0061482C" w:rsidP="00717272">
            <w:pPr>
              <w:rPr>
                <w:sz w:val="18"/>
                <w:szCs w:val="18"/>
              </w:rPr>
            </w:pPr>
            <w:r w:rsidRPr="003E73CD">
              <w:rPr>
                <w:sz w:val="18"/>
                <w:szCs w:val="18"/>
              </w:rPr>
              <w:t>0.96 (0.62-1.51)</w:t>
            </w:r>
          </w:p>
          <w:p w14:paraId="5AEAE4C8" w14:textId="77777777" w:rsidR="0061482C" w:rsidRPr="003E73CD" w:rsidRDefault="0061482C" w:rsidP="00717272">
            <w:pPr>
              <w:rPr>
                <w:sz w:val="18"/>
                <w:szCs w:val="18"/>
              </w:rPr>
            </w:pPr>
            <w:r w:rsidRPr="003E73CD">
              <w:rPr>
                <w:sz w:val="18"/>
                <w:szCs w:val="18"/>
              </w:rPr>
              <w:t>1.11 (0.58-2.12)</w:t>
            </w:r>
          </w:p>
        </w:tc>
        <w:tc>
          <w:tcPr>
            <w:tcW w:w="466" w:type="pct"/>
            <w:tcBorders>
              <w:top w:val="nil"/>
              <w:left w:val="nil"/>
              <w:bottom w:val="single" w:sz="4" w:space="0" w:color="auto"/>
              <w:right w:val="nil"/>
            </w:tcBorders>
          </w:tcPr>
          <w:p w14:paraId="0057A527" w14:textId="77777777" w:rsidR="0061482C" w:rsidRPr="003E73CD" w:rsidRDefault="0061482C" w:rsidP="00717272">
            <w:pPr>
              <w:rPr>
                <w:sz w:val="18"/>
                <w:szCs w:val="18"/>
              </w:rPr>
            </w:pPr>
          </w:p>
          <w:p w14:paraId="3D676A23" w14:textId="77777777" w:rsidR="0061482C" w:rsidRPr="003E73CD" w:rsidRDefault="0061482C" w:rsidP="00717272">
            <w:pPr>
              <w:rPr>
                <w:sz w:val="18"/>
                <w:szCs w:val="18"/>
              </w:rPr>
            </w:pPr>
          </w:p>
          <w:p w14:paraId="435F978F" w14:textId="77777777" w:rsidR="0061482C" w:rsidRPr="003E73CD" w:rsidRDefault="0061482C" w:rsidP="00717272">
            <w:pPr>
              <w:rPr>
                <w:sz w:val="18"/>
                <w:szCs w:val="18"/>
              </w:rPr>
            </w:pPr>
          </w:p>
          <w:p w14:paraId="45461ED1" w14:textId="77777777" w:rsidR="0061482C" w:rsidRPr="003E73CD" w:rsidRDefault="0061482C" w:rsidP="00717272">
            <w:pPr>
              <w:rPr>
                <w:sz w:val="18"/>
                <w:szCs w:val="18"/>
              </w:rPr>
            </w:pPr>
            <w:r w:rsidRPr="003E73CD">
              <w:rPr>
                <w:sz w:val="18"/>
                <w:szCs w:val="18"/>
              </w:rPr>
              <w:t>0.870</w:t>
            </w:r>
          </w:p>
          <w:p w14:paraId="2E1917E9" w14:textId="77777777" w:rsidR="0061482C" w:rsidRPr="003E73CD" w:rsidRDefault="0061482C" w:rsidP="00717272">
            <w:pPr>
              <w:rPr>
                <w:sz w:val="18"/>
                <w:szCs w:val="18"/>
              </w:rPr>
            </w:pPr>
            <w:r w:rsidRPr="003E73CD">
              <w:rPr>
                <w:sz w:val="18"/>
                <w:szCs w:val="18"/>
              </w:rPr>
              <w:t>0.761</w:t>
            </w:r>
          </w:p>
        </w:tc>
        <w:tc>
          <w:tcPr>
            <w:tcW w:w="840" w:type="pct"/>
            <w:tcBorders>
              <w:top w:val="nil"/>
              <w:left w:val="nil"/>
              <w:bottom w:val="single" w:sz="4" w:space="0" w:color="auto"/>
              <w:right w:val="nil"/>
            </w:tcBorders>
          </w:tcPr>
          <w:p w14:paraId="13B71346" w14:textId="77777777" w:rsidR="0061482C" w:rsidRPr="003E73CD" w:rsidRDefault="0061482C" w:rsidP="00717272">
            <w:pPr>
              <w:rPr>
                <w:sz w:val="18"/>
                <w:szCs w:val="18"/>
              </w:rPr>
            </w:pPr>
          </w:p>
          <w:p w14:paraId="716B1ECC" w14:textId="77777777" w:rsidR="0061482C" w:rsidRPr="003E73CD" w:rsidRDefault="0061482C" w:rsidP="00717272">
            <w:pPr>
              <w:rPr>
                <w:sz w:val="18"/>
                <w:szCs w:val="18"/>
              </w:rPr>
            </w:pPr>
          </w:p>
          <w:p w14:paraId="3589650E" w14:textId="77777777" w:rsidR="0061482C" w:rsidRPr="003E73CD" w:rsidRDefault="0061482C" w:rsidP="00717272">
            <w:pPr>
              <w:rPr>
                <w:sz w:val="18"/>
                <w:szCs w:val="18"/>
              </w:rPr>
            </w:pPr>
            <w:r w:rsidRPr="003E73CD">
              <w:rPr>
                <w:sz w:val="18"/>
                <w:szCs w:val="18"/>
              </w:rPr>
              <w:t>1.0</w:t>
            </w:r>
          </w:p>
          <w:p w14:paraId="72F6A81E" w14:textId="77777777" w:rsidR="0061482C" w:rsidRPr="003E73CD" w:rsidRDefault="0061482C" w:rsidP="00717272">
            <w:pPr>
              <w:rPr>
                <w:sz w:val="18"/>
                <w:szCs w:val="18"/>
              </w:rPr>
            </w:pPr>
            <w:r w:rsidRPr="003E73CD">
              <w:rPr>
                <w:sz w:val="18"/>
                <w:szCs w:val="18"/>
              </w:rPr>
              <w:t>0.97 (0.62-1.51)</w:t>
            </w:r>
          </w:p>
          <w:p w14:paraId="7B9C8586" w14:textId="77777777" w:rsidR="0061482C" w:rsidRPr="003E73CD" w:rsidRDefault="0061482C" w:rsidP="00717272">
            <w:pPr>
              <w:rPr>
                <w:sz w:val="18"/>
                <w:szCs w:val="18"/>
              </w:rPr>
            </w:pPr>
            <w:r w:rsidRPr="003E73CD">
              <w:rPr>
                <w:sz w:val="18"/>
                <w:szCs w:val="18"/>
              </w:rPr>
              <w:t>1.13 (0.59-2.17)</w:t>
            </w:r>
          </w:p>
        </w:tc>
        <w:tc>
          <w:tcPr>
            <w:tcW w:w="466" w:type="pct"/>
            <w:tcBorders>
              <w:top w:val="nil"/>
              <w:left w:val="nil"/>
              <w:bottom w:val="single" w:sz="4" w:space="0" w:color="auto"/>
              <w:right w:val="nil"/>
            </w:tcBorders>
          </w:tcPr>
          <w:p w14:paraId="3EBB64FC" w14:textId="77777777" w:rsidR="0061482C" w:rsidRPr="003E73CD" w:rsidRDefault="0061482C" w:rsidP="00717272">
            <w:pPr>
              <w:rPr>
                <w:sz w:val="18"/>
                <w:szCs w:val="18"/>
              </w:rPr>
            </w:pPr>
          </w:p>
          <w:p w14:paraId="361DE267" w14:textId="77777777" w:rsidR="0061482C" w:rsidRPr="003E73CD" w:rsidRDefault="0061482C" w:rsidP="00717272">
            <w:pPr>
              <w:rPr>
                <w:sz w:val="18"/>
                <w:szCs w:val="18"/>
              </w:rPr>
            </w:pPr>
          </w:p>
          <w:p w14:paraId="33834E81" w14:textId="77777777" w:rsidR="0061482C" w:rsidRPr="003E73CD" w:rsidRDefault="0061482C" w:rsidP="00717272">
            <w:pPr>
              <w:rPr>
                <w:sz w:val="18"/>
                <w:szCs w:val="18"/>
              </w:rPr>
            </w:pPr>
          </w:p>
          <w:p w14:paraId="4F677079" w14:textId="77777777" w:rsidR="0061482C" w:rsidRPr="003E73CD" w:rsidRDefault="0061482C" w:rsidP="00717272">
            <w:pPr>
              <w:rPr>
                <w:sz w:val="18"/>
                <w:szCs w:val="18"/>
              </w:rPr>
            </w:pPr>
            <w:r w:rsidRPr="003E73CD">
              <w:rPr>
                <w:sz w:val="18"/>
                <w:szCs w:val="18"/>
              </w:rPr>
              <w:t>0.878</w:t>
            </w:r>
          </w:p>
          <w:p w14:paraId="4E52A1FB" w14:textId="77777777" w:rsidR="0061482C" w:rsidRPr="003E73CD" w:rsidRDefault="0061482C" w:rsidP="00717272">
            <w:pPr>
              <w:rPr>
                <w:sz w:val="18"/>
                <w:szCs w:val="18"/>
              </w:rPr>
            </w:pPr>
            <w:r w:rsidRPr="003E73CD">
              <w:rPr>
                <w:sz w:val="18"/>
                <w:szCs w:val="18"/>
              </w:rPr>
              <w:t>0.709</w:t>
            </w:r>
          </w:p>
        </w:tc>
        <w:tc>
          <w:tcPr>
            <w:tcW w:w="840" w:type="pct"/>
            <w:tcBorders>
              <w:top w:val="nil"/>
              <w:left w:val="nil"/>
              <w:bottom w:val="single" w:sz="4" w:space="0" w:color="auto"/>
              <w:right w:val="nil"/>
            </w:tcBorders>
          </w:tcPr>
          <w:p w14:paraId="531CF3B9" w14:textId="77777777" w:rsidR="0061482C" w:rsidRPr="003E73CD" w:rsidRDefault="0061482C" w:rsidP="00717272">
            <w:pPr>
              <w:rPr>
                <w:sz w:val="18"/>
                <w:szCs w:val="18"/>
              </w:rPr>
            </w:pPr>
          </w:p>
          <w:p w14:paraId="18BEDC5F" w14:textId="77777777" w:rsidR="0061482C" w:rsidRPr="003E73CD" w:rsidRDefault="0061482C" w:rsidP="00717272">
            <w:pPr>
              <w:rPr>
                <w:sz w:val="18"/>
                <w:szCs w:val="18"/>
              </w:rPr>
            </w:pPr>
          </w:p>
          <w:p w14:paraId="6D18EC05" w14:textId="77777777" w:rsidR="0061482C" w:rsidRPr="003E73CD" w:rsidRDefault="0061482C" w:rsidP="00717272">
            <w:pPr>
              <w:rPr>
                <w:sz w:val="18"/>
                <w:szCs w:val="18"/>
              </w:rPr>
            </w:pPr>
            <w:r w:rsidRPr="003E73CD">
              <w:rPr>
                <w:sz w:val="18"/>
                <w:szCs w:val="18"/>
              </w:rPr>
              <w:t>1.0</w:t>
            </w:r>
          </w:p>
          <w:p w14:paraId="70236EE7" w14:textId="77777777" w:rsidR="0061482C" w:rsidRPr="003E73CD" w:rsidRDefault="0061482C" w:rsidP="00717272">
            <w:pPr>
              <w:rPr>
                <w:sz w:val="18"/>
                <w:szCs w:val="18"/>
              </w:rPr>
            </w:pPr>
            <w:r w:rsidRPr="003E73CD">
              <w:rPr>
                <w:sz w:val="18"/>
                <w:szCs w:val="18"/>
              </w:rPr>
              <w:t>0.96 (0.61-1.50)</w:t>
            </w:r>
          </w:p>
          <w:p w14:paraId="1A62941F" w14:textId="77777777" w:rsidR="0061482C" w:rsidRPr="003E73CD" w:rsidRDefault="0061482C" w:rsidP="00717272">
            <w:pPr>
              <w:rPr>
                <w:sz w:val="18"/>
                <w:szCs w:val="18"/>
              </w:rPr>
            </w:pPr>
            <w:r w:rsidRPr="003E73CD">
              <w:rPr>
                <w:sz w:val="18"/>
                <w:szCs w:val="18"/>
              </w:rPr>
              <w:t>1.13 (0.59-2.17)</w:t>
            </w:r>
          </w:p>
        </w:tc>
        <w:tc>
          <w:tcPr>
            <w:tcW w:w="466" w:type="pct"/>
            <w:tcBorders>
              <w:top w:val="nil"/>
              <w:left w:val="nil"/>
              <w:bottom w:val="single" w:sz="4" w:space="0" w:color="auto"/>
              <w:right w:val="nil"/>
            </w:tcBorders>
          </w:tcPr>
          <w:p w14:paraId="52D93B02" w14:textId="77777777" w:rsidR="0061482C" w:rsidRPr="003E73CD" w:rsidRDefault="0061482C" w:rsidP="00717272">
            <w:pPr>
              <w:rPr>
                <w:sz w:val="18"/>
                <w:szCs w:val="18"/>
              </w:rPr>
            </w:pPr>
          </w:p>
          <w:p w14:paraId="72B99C15" w14:textId="77777777" w:rsidR="0061482C" w:rsidRPr="003E73CD" w:rsidRDefault="0061482C" w:rsidP="00717272">
            <w:pPr>
              <w:rPr>
                <w:sz w:val="18"/>
                <w:szCs w:val="18"/>
              </w:rPr>
            </w:pPr>
          </w:p>
          <w:p w14:paraId="55A5C218" w14:textId="77777777" w:rsidR="0061482C" w:rsidRPr="003E73CD" w:rsidRDefault="0061482C" w:rsidP="00717272">
            <w:pPr>
              <w:rPr>
                <w:sz w:val="18"/>
                <w:szCs w:val="18"/>
              </w:rPr>
            </w:pPr>
          </w:p>
          <w:p w14:paraId="53140549" w14:textId="77777777" w:rsidR="0061482C" w:rsidRPr="003E73CD" w:rsidRDefault="0061482C" w:rsidP="00717272">
            <w:pPr>
              <w:rPr>
                <w:sz w:val="18"/>
                <w:szCs w:val="18"/>
              </w:rPr>
            </w:pPr>
            <w:r w:rsidRPr="003E73CD">
              <w:rPr>
                <w:sz w:val="18"/>
                <w:szCs w:val="18"/>
              </w:rPr>
              <w:t>0.849</w:t>
            </w:r>
          </w:p>
          <w:p w14:paraId="421B90F2" w14:textId="77777777" w:rsidR="0061482C" w:rsidRPr="003E73CD" w:rsidRDefault="0061482C" w:rsidP="00717272">
            <w:pPr>
              <w:rPr>
                <w:sz w:val="18"/>
                <w:szCs w:val="18"/>
              </w:rPr>
            </w:pPr>
            <w:r w:rsidRPr="003E73CD">
              <w:rPr>
                <w:sz w:val="18"/>
                <w:szCs w:val="18"/>
              </w:rPr>
              <w:t>0.708</w:t>
            </w:r>
          </w:p>
        </w:tc>
      </w:tr>
    </w:tbl>
    <w:p w14:paraId="749CF54E" w14:textId="77777777" w:rsidR="0061482C" w:rsidRPr="003E73CD" w:rsidRDefault="0061482C" w:rsidP="0061482C">
      <w:pPr>
        <w:pStyle w:val="Footer"/>
        <w:tabs>
          <w:tab w:val="clear" w:pos="4320"/>
          <w:tab w:val="clear" w:pos="8640"/>
        </w:tabs>
        <w:rPr>
          <w:sz w:val="22"/>
        </w:rPr>
      </w:pPr>
      <w:r w:rsidRPr="003E73CD">
        <w:rPr>
          <w:sz w:val="22"/>
          <w:vertAlign w:val="superscript"/>
        </w:rPr>
        <w:t>1</w:t>
      </w:r>
      <w:r w:rsidRPr="003E73CD">
        <w:rPr>
          <w:sz w:val="22"/>
        </w:rPr>
        <w:t>SNB=sentinel node biopsy</w:t>
      </w:r>
    </w:p>
    <w:p w14:paraId="447B9836" w14:textId="77777777" w:rsidR="0061482C" w:rsidRPr="003E73CD" w:rsidRDefault="0061482C" w:rsidP="0061482C">
      <w:pPr>
        <w:rPr>
          <w:sz w:val="22"/>
        </w:rPr>
      </w:pPr>
      <w:r w:rsidRPr="003E73CD">
        <w:rPr>
          <w:sz w:val="22"/>
          <w:vertAlign w:val="superscript"/>
        </w:rPr>
        <w:t>#</w:t>
      </w:r>
      <w:r w:rsidRPr="003E73CD">
        <w:rPr>
          <w:sz w:val="22"/>
        </w:rPr>
        <w:t xml:space="preserve">In order to overcome the problem of multicollinearity 3 separate multivariate analyses (Models 1-3) were performed with each model excluding one variable (total number of positive nodes, number of positive sentinel nodes or number of positive non-sentinel nodes).  </w:t>
      </w:r>
    </w:p>
    <w:p w14:paraId="548B3897" w14:textId="77777777" w:rsidR="0061482C" w:rsidRPr="003E73CD" w:rsidRDefault="0061482C" w:rsidP="0061482C">
      <w:pPr>
        <w:rPr>
          <w:sz w:val="22"/>
        </w:rPr>
      </w:pPr>
    </w:p>
    <w:p w14:paraId="7C06E50C" w14:textId="77777777" w:rsidR="0061482C" w:rsidRPr="003E73CD" w:rsidRDefault="0061482C" w:rsidP="0061482C">
      <w:pPr>
        <w:spacing w:line="480" w:lineRule="auto"/>
        <w:rPr>
          <w:sz w:val="22"/>
          <w:szCs w:val="22"/>
        </w:rPr>
      </w:pPr>
    </w:p>
    <w:p w14:paraId="2F8E08A7" w14:textId="77777777" w:rsidR="0061482C" w:rsidRPr="003E73CD" w:rsidRDefault="0061482C" w:rsidP="0061482C">
      <w:pPr>
        <w:spacing w:line="480" w:lineRule="auto"/>
        <w:rPr>
          <w:sz w:val="22"/>
          <w:szCs w:val="22"/>
        </w:rPr>
      </w:pPr>
    </w:p>
    <w:p w14:paraId="76EEBBEA" w14:textId="77777777" w:rsidR="0061482C" w:rsidRPr="003E73CD" w:rsidRDefault="0061482C" w:rsidP="0061482C">
      <w:pPr>
        <w:spacing w:line="480" w:lineRule="auto"/>
        <w:rPr>
          <w:sz w:val="22"/>
          <w:szCs w:val="22"/>
        </w:rPr>
      </w:pPr>
    </w:p>
    <w:p w14:paraId="6B11312E" w14:textId="77777777" w:rsidR="000C2BAA" w:rsidRPr="003E73CD" w:rsidRDefault="000C2BAA">
      <w:pPr>
        <w:rPr>
          <w:rFonts w:ascii="Times New Roman" w:eastAsia="Times New Roman" w:hAnsi="Times New Roman"/>
          <w:sz w:val="22"/>
          <w:szCs w:val="20"/>
        </w:rPr>
      </w:pPr>
      <w:r w:rsidRPr="003E73CD">
        <w:br w:type="page"/>
      </w:r>
    </w:p>
    <w:p w14:paraId="3FAC0AA0" w14:textId="47BA96A3" w:rsidR="0061482C" w:rsidRPr="003E73CD" w:rsidRDefault="0061482C" w:rsidP="0061482C">
      <w:pPr>
        <w:pStyle w:val="BodyText"/>
      </w:pPr>
      <w:r w:rsidRPr="003E73CD">
        <w:t xml:space="preserve">Figure </w:t>
      </w:r>
      <w:r w:rsidR="00155C61">
        <w:t>3.2</w:t>
      </w:r>
      <w:r w:rsidR="00A234AB" w:rsidRPr="003E73CD">
        <w:t>.</w:t>
      </w:r>
      <w:r w:rsidRPr="003E73CD">
        <w:t>1.  Kaplan-Meier survival curves for patients with total number of positive nodes (PN) 1, 2, 3, and &gt;3.</w:t>
      </w:r>
    </w:p>
    <w:p w14:paraId="46207776" w14:textId="77777777" w:rsidR="0061482C" w:rsidRPr="003E73CD" w:rsidRDefault="009E72EA" w:rsidP="0061482C">
      <w:pPr>
        <w:spacing w:line="480" w:lineRule="auto"/>
        <w:rPr>
          <w:sz w:val="22"/>
          <w:szCs w:val="22"/>
        </w:rPr>
      </w:pPr>
      <w:r>
        <w:rPr>
          <w:noProof/>
          <w:sz w:val="22"/>
          <w:szCs w:val="22"/>
        </w:rPr>
        <w:pict w14:anchorId="6DE3E6C5">
          <v:shape id="_x0000_s1027" type="#_x0000_t75" style="position:absolute;margin-left:-18pt;margin-top:36pt;width:477pt;height:285pt;z-index:251660288;mso-wrap-edited:f" wrapcoords="-33 0 -33 21486 21600 21486 21600 0 -33 0" o:allowincell="f">
            <v:imagedata r:id="rId53" o:title=""/>
            <w10:wrap type="through"/>
          </v:shape>
        </w:pict>
      </w:r>
    </w:p>
    <w:p w14:paraId="6693D3D0" w14:textId="77777777" w:rsidR="0061482C" w:rsidRPr="003E73CD" w:rsidRDefault="0061482C" w:rsidP="0061482C">
      <w:pPr>
        <w:spacing w:line="480" w:lineRule="auto"/>
        <w:rPr>
          <w:sz w:val="22"/>
          <w:szCs w:val="22"/>
        </w:rPr>
      </w:pPr>
      <w:r w:rsidRPr="003E73CD">
        <w:rPr>
          <w:sz w:val="22"/>
          <w:szCs w:val="22"/>
        </w:rPr>
        <w:t xml:space="preserve"> </w:t>
      </w:r>
    </w:p>
    <w:p w14:paraId="5031CC9F" w14:textId="16375C79" w:rsidR="0061482C" w:rsidRPr="003E73CD" w:rsidRDefault="0061482C" w:rsidP="0061482C">
      <w:pPr>
        <w:spacing w:line="480" w:lineRule="auto"/>
        <w:ind w:firstLine="720"/>
        <w:rPr>
          <w:sz w:val="22"/>
          <w:szCs w:val="22"/>
        </w:rPr>
      </w:pPr>
      <w:r w:rsidRPr="003E73CD">
        <w:rPr>
          <w:sz w:val="22"/>
          <w:szCs w:val="22"/>
        </w:rPr>
        <w:t xml:space="preserve">Considering SNs exclusively, the number of positive SNs per patient varied from 1 to 4 (mean 1.25, median 1).  </w:t>
      </w:r>
      <w:proofErr w:type="gramStart"/>
      <w:r w:rsidRPr="003E73CD">
        <w:rPr>
          <w:sz w:val="22"/>
          <w:szCs w:val="22"/>
        </w:rPr>
        <w:t>Only 11 patients (3.4%) were found to have &gt;2 positive SNs.</w:t>
      </w:r>
      <w:proofErr w:type="gramEnd"/>
      <w:r w:rsidRPr="003E73CD">
        <w:rPr>
          <w:sz w:val="22"/>
          <w:szCs w:val="22"/>
        </w:rPr>
        <w:t xml:space="preserve">  The Kaplan-Meier survival curves comparing patients with 1 positive SN to those with &gt;1 positive SN did not show any significant difference in survival between these two groups of patients (p=0.5880) (Figure </w:t>
      </w:r>
      <w:r w:rsidR="00155C61">
        <w:rPr>
          <w:sz w:val="22"/>
          <w:szCs w:val="22"/>
        </w:rPr>
        <w:t>3.2</w:t>
      </w:r>
      <w:r w:rsidR="00A234AB" w:rsidRPr="003E73CD">
        <w:rPr>
          <w:sz w:val="22"/>
          <w:szCs w:val="22"/>
        </w:rPr>
        <w:t>.</w:t>
      </w:r>
      <w:r w:rsidRPr="003E73CD">
        <w:rPr>
          <w:sz w:val="22"/>
          <w:szCs w:val="22"/>
        </w:rPr>
        <w:t xml:space="preserve">2).  Sixty patients (18.6%) were found to be NSN positive, with the number of metastasis-containing NSNs per patient ranging from 1 to 6 (mean 1.57, median 1).  However, only 8 patients had &gt;2 positive NSNs.  The Kaplan-Meier survival curves for patients with 0,1 and &gt;1 positive NSN demonstrate a statistically significant difference in survival between these </w:t>
      </w:r>
      <w:proofErr w:type="gramStart"/>
      <w:r w:rsidRPr="003E73CD">
        <w:rPr>
          <w:sz w:val="22"/>
          <w:szCs w:val="22"/>
        </w:rPr>
        <w:t>groups,</w:t>
      </w:r>
      <w:proofErr w:type="gramEnd"/>
      <w:r w:rsidRPr="003E73CD">
        <w:rPr>
          <w:sz w:val="22"/>
          <w:szCs w:val="22"/>
        </w:rPr>
        <w:t xml:space="preserve"> with prolonged survival for NSN negative patients (p=0.0001) (Figure 3</w:t>
      </w:r>
      <w:r w:rsidR="00155C61">
        <w:rPr>
          <w:sz w:val="22"/>
          <w:szCs w:val="22"/>
        </w:rPr>
        <w:t>.2</w:t>
      </w:r>
      <w:r w:rsidR="00A234AB" w:rsidRPr="003E73CD">
        <w:rPr>
          <w:sz w:val="22"/>
          <w:szCs w:val="22"/>
        </w:rPr>
        <w:t>.3</w:t>
      </w:r>
      <w:r w:rsidRPr="003E73CD">
        <w:rPr>
          <w:sz w:val="22"/>
          <w:szCs w:val="22"/>
        </w:rPr>
        <w:t xml:space="preserve">).  </w:t>
      </w:r>
    </w:p>
    <w:p w14:paraId="2183C57B" w14:textId="77777777" w:rsidR="0061482C" w:rsidRPr="003E73CD" w:rsidRDefault="0061482C" w:rsidP="0061482C">
      <w:pPr>
        <w:spacing w:line="480" w:lineRule="auto"/>
        <w:rPr>
          <w:sz w:val="22"/>
          <w:szCs w:val="22"/>
        </w:rPr>
      </w:pPr>
    </w:p>
    <w:p w14:paraId="573BD1BB" w14:textId="77777777" w:rsidR="0061482C" w:rsidRPr="003E73CD" w:rsidRDefault="0061482C" w:rsidP="0061482C">
      <w:pPr>
        <w:spacing w:line="480" w:lineRule="auto"/>
        <w:rPr>
          <w:sz w:val="22"/>
          <w:szCs w:val="22"/>
        </w:rPr>
      </w:pPr>
    </w:p>
    <w:p w14:paraId="2CE9C8CE" w14:textId="7E466600" w:rsidR="0061482C" w:rsidRPr="003E73CD" w:rsidRDefault="0061482C" w:rsidP="0061482C">
      <w:pPr>
        <w:spacing w:line="480" w:lineRule="auto"/>
        <w:rPr>
          <w:sz w:val="22"/>
        </w:rPr>
      </w:pPr>
      <w:r w:rsidRPr="003E73CD">
        <w:rPr>
          <w:sz w:val="22"/>
        </w:rPr>
        <w:t xml:space="preserve">Figure </w:t>
      </w:r>
      <w:r w:rsidR="00155C61">
        <w:rPr>
          <w:sz w:val="22"/>
        </w:rPr>
        <w:t>3.2</w:t>
      </w:r>
      <w:r w:rsidR="00A234AB" w:rsidRPr="003E73CD">
        <w:rPr>
          <w:sz w:val="22"/>
        </w:rPr>
        <w:t>.</w:t>
      </w:r>
      <w:r w:rsidRPr="003E73CD">
        <w:rPr>
          <w:sz w:val="22"/>
        </w:rPr>
        <w:t>2.  Kaplan-Meier survival curves for patients with 1 and &gt;1 positive sentinel node (SN).</w:t>
      </w:r>
    </w:p>
    <w:p w14:paraId="1FC94075" w14:textId="77777777" w:rsidR="0061482C" w:rsidRPr="003E73CD" w:rsidRDefault="0061482C" w:rsidP="0061482C">
      <w:pPr>
        <w:spacing w:line="480" w:lineRule="auto"/>
        <w:rPr>
          <w:sz w:val="22"/>
          <w:szCs w:val="22"/>
        </w:rPr>
      </w:pPr>
    </w:p>
    <w:p w14:paraId="06BA9622" w14:textId="77777777" w:rsidR="0061482C" w:rsidRPr="003E73CD" w:rsidRDefault="0061482C" w:rsidP="0061482C">
      <w:pPr>
        <w:spacing w:line="480" w:lineRule="auto"/>
        <w:rPr>
          <w:sz w:val="22"/>
          <w:szCs w:val="22"/>
        </w:rPr>
      </w:pPr>
    </w:p>
    <w:p w14:paraId="3F1E50B9" w14:textId="77777777" w:rsidR="0061482C" w:rsidRPr="003E73CD" w:rsidRDefault="009E72EA" w:rsidP="0061482C">
      <w:pPr>
        <w:spacing w:line="480" w:lineRule="auto"/>
        <w:rPr>
          <w:sz w:val="22"/>
          <w:szCs w:val="22"/>
        </w:rPr>
      </w:pPr>
      <w:r>
        <w:rPr>
          <w:noProof/>
          <w:sz w:val="22"/>
          <w:szCs w:val="22"/>
        </w:rPr>
        <w:pict w14:anchorId="5B18F319">
          <v:shape id="_x0000_s1028" type="#_x0000_t75" style="position:absolute;margin-left:0;margin-top:0;width:447.75pt;height:258.75pt;z-index:251661312;mso-wrap-edited:f" wrapcoords="-36 0 -36 21474 21599 21474 21599 0 -36 0" o:allowincell="f">
            <v:imagedata r:id="rId54" o:title=""/>
            <w10:wrap type="through"/>
          </v:shape>
        </w:pict>
      </w:r>
    </w:p>
    <w:p w14:paraId="090B8FCB" w14:textId="77777777" w:rsidR="0061482C" w:rsidRPr="003E73CD" w:rsidRDefault="0061482C" w:rsidP="0061482C">
      <w:pPr>
        <w:spacing w:line="480" w:lineRule="auto"/>
        <w:rPr>
          <w:sz w:val="22"/>
          <w:szCs w:val="22"/>
        </w:rPr>
      </w:pPr>
    </w:p>
    <w:p w14:paraId="1B981645" w14:textId="77777777" w:rsidR="0061482C" w:rsidRPr="003E73CD" w:rsidRDefault="0061482C" w:rsidP="0061482C">
      <w:pPr>
        <w:spacing w:line="480" w:lineRule="auto"/>
        <w:rPr>
          <w:sz w:val="22"/>
          <w:szCs w:val="22"/>
        </w:rPr>
      </w:pPr>
    </w:p>
    <w:p w14:paraId="349B1F65" w14:textId="77777777" w:rsidR="0061482C" w:rsidRPr="003E73CD" w:rsidRDefault="0061482C" w:rsidP="0061482C">
      <w:pPr>
        <w:spacing w:line="480" w:lineRule="auto"/>
        <w:rPr>
          <w:sz w:val="22"/>
          <w:szCs w:val="22"/>
        </w:rPr>
      </w:pPr>
    </w:p>
    <w:p w14:paraId="3E1046B9" w14:textId="77777777" w:rsidR="0061482C" w:rsidRPr="003E73CD" w:rsidRDefault="0061482C" w:rsidP="0061482C">
      <w:pPr>
        <w:spacing w:line="480" w:lineRule="auto"/>
        <w:rPr>
          <w:sz w:val="22"/>
          <w:szCs w:val="22"/>
        </w:rPr>
      </w:pPr>
    </w:p>
    <w:p w14:paraId="117609AA" w14:textId="77777777" w:rsidR="0061482C" w:rsidRPr="003E73CD" w:rsidRDefault="0061482C" w:rsidP="0061482C">
      <w:pPr>
        <w:spacing w:line="480" w:lineRule="auto"/>
        <w:rPr>
          <w:sz w:val="22"/>
          <w:szCs w:val="22"/>
        </w:rPr>
      </w:pPr>
    </w:p>
    <w:p w14:paraId="785D8C28" w14:textId="77777777" w:rsidR="0061482C" w:rsidRPr="003E73CD" w:rsidRDefault="0061482C" w:rsidP="0061482C">
      <w:pPr>
        <w:spacing w:line="480" w:lineRule="auto"/>
        <w:rPr>
          <w:sz w:val="22"/>
          <w:szCs w:val="22"/>
        </w:rPr>
      </w:pPr>
    </w:p>
    <w:p w14:paraId="37D6CCB9" w14:textId="77777777" w:rsidR="0061482C" w:rsidRPr="003E73CD" w:rsidRDefault="0061482C" w:rsidP="0061482C">
      <w:pPr>
        <w:spacing w:line="480" w:lineRule="auto"/>
        <w:rPr>
          <w:sz w:val="22"/>
          <w:szCs w:val="22"/>
        </w:rPr>
      </w:pPr>
    </w:p>
    <w:p w14:paraId="4678A827" w14:textId="77777777" w:rsidR="0061482C" w:rsidRPr="003E73CD" w:rsidRDefault="0061482C" w:rsidP="0061482C">
      <w:pPr>
        <w:spacing w:line="480" w:lineRule="auto"/>
        <w:rPr>
          <w:sz w:val="22"/>
          <w:szCs w:val="22"/>
        </w:rPr>
      </w:pPr>
    </w:p>
    <w:p w14:paraId="1DD7BCEE" w14:textId="77777777" w:rsidR="0061482C" w:rsidRPr="003E73CD" w:rsidRDefault="0061482C" w:rsidP="0061482C">
      <w:pPr>
        <w:spacing w:line="480" w:lineRule="auto"/>
        <w:rPr>
          <w:sz w:val="22"/>
          <w:szCs w:val="22"/>
        </w:rPr>
      </w:pPr>
    </w:p>
    <w:p w14:paraId="7877CB5A" w14:textId="77777777" w:rsidR="0061482C" w:rsidRPr="003E73CD" w:rsidRDefault="0061482C" w:rsidP="0061482C">
      <w:pPr>
        <w:spacing w:line="480" w:lineRule="auto"/>
        <w:rPr>
          <w:sz w:val="22"/>
          <w:szCs w:val="22"/>
        </w:rPr>
      </w:pPr>
    </w:p>
    <w:p w14:paraId="26C1342F" w14:textId="77777777" w:rsidR="0061482C" w:rsidRPr="003E73CD" w:rsidRDefault="0061482C" w:rsidP="0061482C">
      <w:pPr>
        <w:spacing w:line="480" w:lineRule="auto"/>
        <w:rPr>
          <w:sz w:val="22"/>
          <w:szCs w:val="22"/>
        </w:rPr>
      </w:pPr>
    </w:p>
    <w:p w14:paraId="5CFBA58C" w14:textId="77777777" w:rsidR="0061482C" w:rsidRPr="003E73CD" w:rsidRDefault="0061482C" w:rsidP="0061482C">
      <w:pPr>
        <w:spacing w:line="480" w:lineRule="auto"/>
        <w:rPr>
          <w:sz w:val="22"/>
          <w:szCs w:val="22"/>
        </w:rPr>
      </w:pPr>
    </w:p>
    <w:p w14:paraId="58391877" w14:textId="148FDC28" w:rsidR="0061482C" w:rsidRPr="003E73CD" w:rsidRDefault="0061482C" w:rsidP="0061482C">
      <w:pPr>
        <w:pStyle w:val="BodyText"/>
      </w:pPr>
      <w:r w:rsidRPr="003E73CD">
        <w:t xml:space="preserve">Figure </w:t>
      </w:r>
      <w:r w:rsidR="00155C61">
        <w:t>3.2</w:t>
      </w:r>
      <w:r w:rsidR="00A234AB" w:rsidRPr="003E73CD">
        <w:t>.</w:t>
      </w:r>
      <w:r w:rsidRPr="003E73CD">
        <w:t>3.  Kaplan-Meier survival curves for patients with 0, 1, and &gt;1 positive non-sentinel node (NSN).</w:t>
      </w:r>
    </w:p>
    <w:p w14:paraId="568171CC" w14:textId="77777777" w:rsidR="0061482C" w:rsidRPr="003E73CD" w:rsidRDefault="0061482C" w:rsidP="0061482C">
      <w:pPr>
        <w:spacing w:line="480" w:lineRule="auto"/>
        <w:rPr>
          <w:sz w:val="22"/>
          <w:szCs w:val="22"/>
        </w:rPr>
      </w:pPr>
    </w:p>
    <w:p w14:paraId="3EF77E32" w14:textId="77777777" w:rsidR="0061482C" w:rsidRPr="003E73CD" w:rsidRDefault="0061482C" w:rsidP="0061482C">
      <w:pPr>
        <w:spacing w:line="480" w:lineRule="auto"/>
        <w:rPr>
          <w:sz w:val="22"/>
          <w:szCs w:val="22"/>
        </w:rPr>
      </w:pPr>
    </w:p>
    <w:p w14:paraId="1DFBDF04" w14:textId="2DA3E016" w:rsidR="0061482C" w:rsidRPr="003E73CD" w:rsidRDefault="009E72EA" w:rsidP="0061482C">
      <w:pPr>
        <w:spacing w:line="480" w:lineRule="auto"/>
        <w:rPr>
          <w:sz w:val="22"/>
          <w:szCs w:val="22"/>
        </w:rPr>
      </w:pPr>
      <w:r>
        <w:rPr>
          <w:noProof/>
          <w:sz w:val="22"/>
          <w:szCs w:val="22"/>
        </w:rPr>
        <w:pict w14:anchorId="6732F6B2">
          <v:shape id="_x0000_s1029" type="#_x0000_t75" style="position:absolute;margin-left:0;margin-top:-25.8pt;width:451.5pt;height:266.25pt;z-index:251662336;mso-wrap-edited:f" wrapcoords="-35 0 -35 21478 21600 21478 21600 0 -35 0" o:allowincell="f">
            <v:imagedata r:id="rId55" o:title=""/>
            <w10:wrap type="through"/>
          </v:shape>
        </w:pict>
      </w:r>
    </w:p>
    <w:p w14:paraId="62A75E8A" w14:textId="36C2F777" w:rsidR="0061482C" w:rsidRPr="003E73CD" w:rsidRDefault="0061482C" w:rsidP="0061482C">
      <w:pPr>
        <w:spacing w:line="480" w:lineRule="auto"/>
        <w:ind w:firstLine="720"/>
        <w:rPr>
          <w:sz w:val="22"/>
          <w:szCs w:val="22"/>
        </w:rPr>
      </w:pPr>
      <w:r w:rsidRPr="003E73CD">
        <w:rPr>
          <w:sz w:val="22"/>
          <w:szCs w:val="22"/>
        </w:rPr>
        <w:t xml:space="preserve">The impact of NSN status on survival for patients with a similar total number of positive nodes was of particular interest.  There was no statistically significant difference in survival between patients with a total of 2 versus 3 positive nodes (log rank test p value = 0.2247).    For patients with a total of 2-3 positive nodes, survival was significantly better for NSN negative patients than NSN positive patients (Figure </w:t>
      </w:r>
      <w:r w:rsidR="00155C61">
        <w:rPr>
          <w:sz w:val="22"/>
          <w:szCs w:val="22"/>
        </w:rPr>
        <w:t>3.2</w:t>
      </w:r>
      <w:r w:rsidR="00A234AB" w:rsidRPr="003E73CD">
        <w:rPr>
          <w:sz w:val="22"/>
          <w:szCs w:val="22"/>
        </w:rPr>
        <w:t>.</w:t>
      </w:r>
      <w:r w:rsidRPr="003E73CD">
        <w:rPr>
          <w:sz w:val="22"/>
          <w:szCs w:val="22"/>
        </w:rPr>
        <w:t>4, p=0.0266).  This finding was tested further in a subgroup analysis containing all patients with a total of 2-3 positive nodes.  Age, gender, primary tumor location, thickness, ulceration and mitotic rate, NSN status and total number of positive nodes were tested.  Only age and NSN status were found to be statistically significant predictors of survival on univariate analysis. Age, NSN status and total number of positive nodes were then included in a multivariate model, resulting in p values of 0.07, 0.04 and 0.16 respectively.</w:t>
      </w:r>
    </w:p>
    <w:p w14:paraId="1969AD6C" w14:textId="3D0DF5A8" w:rsidR="0061482C" w:rsidRPr="003E73CD" w:rsidRDefault="0061482C" w:rsidP="0061482C">
      <w:pPr>
        <w:spacing w:line="480" w:lineRule="auto"/>
        <w:rPr>
          <w:sz w:val="22"/>
        </w:rPr>
      </w:pPr>
      <w:r w:rsidRPr="003E73CD">
        <w:rPr>
          <w:sz w:val="22"/>
        </w:rPr>
        <w:t xml:space="preserve">Figure </w:t>
      </w:r>
      <w:r w:rsidR="00155C61">
        <w:rPr>
          <w:sz w:val="22"/>
        </w:rPr>
        <w:t>3.2</w:t>
      </w:r>
      <w:r w:rsidR="00A234AB" w:rsidRPr="003E73CD">
        <w:rPr>
          <w:sz w:val="22"/>
        </w:rPr>
        <w:t>.</w:t>
      </w:r>
      <w:r w:rsidRPr="003E73CD">
        <w:rPr>
          <w:sz w:val="22"/>
        </w:rPr>
        <w:t>4.  Kaplan-Meier survival curves comparing non-sentinel node (NSN) status for patients with a total of 2 or 3 positive nodes.</w:t>
      </w:r>
    </w:p>
    <w:p w14:paraId="062ED2CB" w14:textId="77777777" w:rsidR="0061482C" w:rsidRPr="003E73CD" w:rsidRDefault="0061482C" w:rsidP="0061482C">
      <w:pPr>
        <w:spacing w:line="480" w:lineRule="auto"/>
        <w:rPr>
          <w:sz w:val="22"/>
          <w:szCs w:val="22"/>
        </w:rPr>
      </w:pPr>
    </w:p>
    <w:p w14:paraId="4D595EF5" w14:textId="77777777" w:rsidR="0061482C" w:rsidRPr="003E73CD" w:rsidRDefault="0061482C" w:rsidP="0061482C">
      <w:pPr>
        <w:spacing w:line="480" w:lineRule="auto"/>
        <w:rPr>
          <w:sz w:val="22"/>
          <w:szCs w:val="22"/>
        </w:rPr>
      </w:pPr>
    </w:p>
    <w:p w14:paraId="789CB318" w14:textId="77777777" w:rsidR="0061482C" w:rsidRPr="003E73CD" w:rsidRDefault="0061482C" w:rsidP="0061482C">
      <w:pPr>
        <w:spacing w:line="480" w:lineRule="auto"/>
        <w:rPr>
          <w:sz w:val="22"/>
          <w:szCs w:val="22"/>
        </w:rPr>
      </w:pPr>
    </w:p>
    <w:p w14:paraId="2E8F949C" w14:textId="77777777" w:rsidR="0061482C" w:rsidRPr="003E73CD" w:rsidRDefault="009E72EA" w:rsidP="0061482C">
      <w:pPr>
        <w:spacing w:line="480" w:lineRule="auto"/>
        <w:rPr>
          <w:sz w:val="22"/>
          <w:szCs w:val="22"/>
        </w:rPr>
      </w:pPr>
      <w:r>
        <w:rPr>
          <w:noProof/>
          <w:sz w:val="22"/>
          <w:szCs w:val="22"/>
        </w:rPr>
        <w:pict w14:anchorId="292F0B18">
          <v:shape id="_x0000_s1030" type="#_x0000_t75" style="position:absolute;margin-left:0;margin-top:-25.8pt;width:453.75pt;height:275.25pt;z-index:251663360;mso-wrap-edited:f" wrapcoords="-35 0 -35 21482 21600 21482 21600 0 -35 0" o:allowincell="f">
            <v:imagedata r:id="rId56" o:title=""/>
            <w10:wrap type="through"/>
          </v:shape>
        </w:pict>
      </w:r>
    </w:p>
    <w:p w14:paraId="5544E5EF" w14:textId="5F236ADA" w:rsidR="0061482C" w:rsidRPr="003E73CD" w:rsidRDefault="0061482C" w:rsidP="0061482C">
      <w:pPr>
        <w:pStyle w:val="BodyTextIndent"/>
        <w:spacing w:line="480" w:lineRule="auto"/>
        <w:ind w:left="0" w:firstLine="720"/>
        <w:rPr>
          <w:sz w:val="22"/>
          <w:szCs w:val="22"/>
        </w:rPr>
      </w:pPr>
      <w:r w:rsidRPr="003E73CD">
        <w:rPr>
          <w:sz w:val="22"/>
          <w:szCs w:val="22"/>
        </w:rPr>
        <w:t xml:space="preserve">The distribution of the 6 potential predictors of NSN status and the results of the logistic regression analysis are shown in Table </w:t>
      </w:r>
      <w:r w:rsidR="00155C61">
        <w:rPr>
          <w:sz w:val="22"/>
          <w:szCs w:val="22"/>
        </w:rPr>
        <w:t>3.2</w:t>
      </w:r>
      <w:r w:rsidR="00A234AB" w:rsidRPr="003E73CD">
        <w:rPr>
          <w:sz w:val="22"/>
          <w:szCs w:val="22"/>
        </w:rPr>
        <w:t>.</w:t>
      </w:r>
      <w:r w:rsidRPr="003E73CD">
        <w:rPr>
          <w:sz w:val="22"/>
          <w:szCs w:val="22"/>
        </w:rPr>
        <w:t xml:space="preserve">5.  Ulceration was the only statistically significant predictor of NSN status (p=0.042).  The outcome of the classification-tree based survival analysis for SN positive patients is shown in Figure </w:t>
      </w:r>
      <w:r w:rsidR="00155C61">
        <w:rPr>
          <w:sz w:val="22"/>
          <w:szCs w:val="22"/>
        </w:rPr>
        <w:t>3.2</w:t>
      </w:r>
      <w:r w:rsidR="00A234AB" w:rsidRPr="003E73CD">
        <w:rPr>
          <w:sz w:val="22"/>
          <w:szCs w:val="22"/>
        </w:rPr>
        <w:t>.</w:t>
      </w:r>
      <w:r w:rsidRPr="003E73CD">
        <w:rPr>
          <w:sz w:val="22"/>
          <w:szCs w:val="22"/>
        </w:rPr>
        <w:t xml:space="preserve">5.  Since survival curves from 4 groups were similar, they were merged into one: “Group 3”.  The resultant classification tree used 5 variables (total number of positive nodes, tumor thickness, age, mitotic rate and NSN status) to divide SN-positive patients into 4 distinctly different prognostic groups (Figure </w:t>
      </w:r>
      <w:r w:rsidR="00155C61">
        <w:rPr>
          <w:sz w:val="22"/>
          <w:szCs w:val="22"/>
        </w:rPr>
        <w:t>3.2</w:t>
      </w:r>
      <w:r w:rsidR="00A234AB" w:rsidRPr="003E73CD">
        <w:rPr>
          <w:sz w:val="22"/>
          <w:szCs w:val="22"/>
        </w:rPr>
        <w:t>.</w:t>
      </w:r>
      <w:r w:rsidRPr="003E73CD">
        <w:rPr>
          <w:sz w:val="22"/>
          <w:szCs w:val="22"/>
        </w:rPr>
        <w:t>6).</w:t>
      </w:r>
    </w:p>
    <w:p w14:paraId="4F35E3AE" w14:textId="77777777" w:rsidR="0061482C" w:rsidRPr="003E73CD" w:rsidRDefault="0061482C" w:rsidP="0061482C">
      <w:pPr>
        <w:spacing w:line="480" w:lineRule="auto"/>
        <w:rPr>
          <w:sz w:val="22"/>
          <w:szCs w:val="22"/>
        </w:rPr>
      </w:pPr>
    </w:p>
    <w:p w14:paraId="616C6C97" w14:textId="77777777" w:rsidR="0061482C" w:rsidRPr="003E73CD" w:rsidRDefault="0061482C" w:rsidP="0061482C">
      <w:pPr>
        <w:spacing w:line="480" w:lineRule="auto"/>
        <w:rPr>
          <w:sz w:val="22"/>
          <w:szCs w:val="22"/>
        </w:rPr>
      </w:pPr>
    </w:p>
    <w:p w14:paraId="338DEC73" w14:textId="2BC4662A" w:rsidR="0061482C" w:rsidRPr="003E73CD" w:rsidRDefault="0061482C" w:rsidP="0061482C">
      <w:pPr>
        <w:rPr>
          <w:sz w:val="22"/>
        </w:rPr>
      </w:pPr>
      <w:r w:rsidRPr="003E73CD">
        <w:rPr>
          <w:sz w:val="22"/>
        </w:rPr>
        <w:t xml:space="preserve">Table </w:t>
      </w:r>
      <w:r w:rsidR="00155C61">
        <w:rPr>
          <w:sz w:val="22"/>
        </w:rPr>
        <w:t>3.2</w:t>
      </w:r>
      <w:r w:rsidR="00A234AB" w:rsidRPr="003E73CD">
        <w:rPr>
          <w:sz w:val="22"/>
        </w:rPr>
        <w:t>.</w:t>
      </w:r>
      <w:r w:rsidRPr="003E73CD">
        <w:rPr>
          <w:sz w:val="22"/>
        </w:rPr>
        <w:t>5. Distributions of characteristics and logistic model results regarding presence of positive non-sentinel nodes (NSNs)</w:t>
      </w:r>
    </w:p>
    <w:p w14:paraId="0D98ADF2" w14:textId="77777777" w:rsidR="000C2BAA" w:rsidRPr="003E73CD" w:rsidRDefault="000C2BAA" w:rsidP="0061482C">
      <w:pPr>
        <w:rPr>
          <w:sz w:val="22"/>
        </w:rPr>
      </w:pPr>
    </w:p>
    <w:tbl>
      <w:tblPr>
        <w:tblW w:w="5000" w:type="pct"/>
        <w:tblLook w:val="0000" w:firstRow="0" w:lastRow="0" w:firstColumn="0" w:lastColumn="0" w:noHBand="0" w:noVBand="0"/>
      </w:tblPr>
      <w:tblGrid>
        <w:gridCol w:w="1855"/>
        <w:gridCol w:w="1192"/>
        <w:gridCol w:w="1089"/>
        <w:gridCol w:w="1368"/>
        <w:gridCol w:w="810"/>
        <w:gridCol w:w="1471"/>
        <w:gridCol w:w="929"/>
      </w:tblGrid>
      <w:tr w:rsidR="0061482C" w:rsidRPr="003E73CD" w14:paraId="2BAD6825" w14:textId="77777777" w:rsidTr="000C2BAA">
        <w:tc>
          <w:tcPr>
            <w:tcW w:w="1064" w:type="pct"/>
            <w:tcBorders>
              <w:top w:val="single" w:sz="4" w:space="0" w:color="auto"/>
            </w:tcBorders>
          </w:tcPr>
          <w:p w14:paraId="66B4CF11" w14:textId="77777777" w:rsidR="0061482C" w:rsidRPr="003E73CD" w:rsidRDefault="0061482C" w:rsidP="00717272">
            <w:pPr>
              <w:rPr>
                <w:sz w:val="22"/>
              </w:rPr>
            </w:pPr>
          </w:p>
        </w:tc>
        <w:tc>
          <w:tcPr>
            <w:tcW w:w="1309" w:type="pct"/>
            <w:gridSpan w:val="2"/>
            <w:tcBorders>
              <w:top w:val="single" w:sz="4" w:space="0" w:color="auto"/>
            </w:tcBorders>
          </w:tcPr>
          <w:p w14:paraId="4178B078" w14:textId="77777777" w:rsidR="0061482C" w:rsidRPr="003E73CD" w:rsidRDefault="0061482C" w:rsidP="00717272">
            <w:pPr>
              <w:jc w:val="center"/>
              <w:rPr>
                <w:sz w:val="22"/>
              </w:rPr>
            </w:pPr>
            <w:r w:rsidRPr="003E73CD">
              <w:rPr>
                <w:sz w:val="22"/>
              </w:rPr>
              <w:t>Metastasis found in NSN(s)?</w:t>
            </w:r>
          </w:p>
        </w:tc>
        <w:tc>
          <w:tcPr>
            <w:tcW w:w="1250" w:type="pct"/>
            <w:gridSpan w:val="2"/>
            <w:tcBorders>
              <w:top w:val="single" w:sz="4" w:space="0" w:color="auto"/>
            </w:tcBorders>
          </w:tcPr>
          <w:p w14:paraId="4E16B7A5" w14:textId="77777777" w:rsidR="0061482C" w:rsidRPr="003E73CD" w:rsidRDefault="0061482C" w:rsidP="00717272">
            <w:pPr>
              <w:jc w:val="center"/>
            </w:pPr>
            <w:r w:rsidRPr="003E73CD">
              <w:rPr>
                <w:sz w:val="22"/>
              </w:rPr>
              <w:t>Univariate</w:t>
            </w:r>
          </w:p>
        </w:tc>
        <w:tc>
          <w:tcPr>
            <w:tcW w:w="1378" w:type="pct"/>
            <w:gridSpan w:val="2"/>
            <w:tcBorders>
              <w:top w:val="single" w:sz="4" w:space="0" w:color="auto"/>
            </w:tcBorders>
          </w:tcPr>
          <w:p w14:paraId="58901CCA" w14:textId="77777777" w:rsidR="0061482C" w:rsidRPr="003E73CD" w:rsidRDefault="0061482C" w:rsidP="00717272">
            <w:pPr>
              <w:jc w:val="center"/>
            </w:pPr>
            <w:r w:rsidRPr="003E73CD">
              <w:rPr>
                <w:sz w:val="22"/>
              </w:rPr>
              <w:t xml:space="preserve">Multivariate </w:t>
            </w:r>
          </w:p>
        </w:tc>
      </w:tr>
      <w:tr w:rsidR="0061482C" w:rsidRPr="003E73CD" w14:paraId="49627496" w14:textId="77777777" w:rsidTr="000C2BAA">
        <w:tc>
          <w:tcPr>
            <w:tcW w:w="1064" w:type="pct"/>
            <w:tcBorders>
              <w:bottom w:val="single" w:sz="4" w:space="0" w:color="auto"/>
            </w:tcBorders>
          </w:tcPr>
          <w:p w14:paraId="36812976" w14:textId="77777777" w:rsidR="0061482C" w:rsidRPr="003E73CD" w:rsidRDefault="0061482C" w:rsidP="00717272">
            <w:pPr>
              <w:rPr>
                <w:sz w:val="22"/>
              </w:rPr>
            </w:pPr>
            <w:r w:rsidRPr="003E73CD">
              <w:rPr>
                <w:sz w:val="22"/>
              </w:rPr>
              <w:t>Characteristic</w:t>
            </w:r>
          </w:p>
        </w:tc>
        <w:tc>
          <w:tcPr>
            <w:tcW w:w="684" w:type="pct"/>
            <w:tcBorders>
              <w:bottom w:val="single" w:sz="4" w:space="0" w:color="auto"/>
            </w:tcBorders>
          </w:tcPr>
          <w:p w14:paraId="14205B6D" w14:textId="77777777" w:rsidR="0061482C" w:rsidRPr="003E73CD" w:rsidRDefault="0061482C" w:rsidP="00717272">
            <w:pPr>
              <w:jc w:val="right"/>
              <w:rPr>
                <w:sz w:val="22"/>
              </w:rPr>
            </w:pPr>
            <w:r w:rsidRPr="003E73CD">
              <w:rPr>
                <w:sz w:val="22"/>
              </w:rPr>
              <w:t>No (N=263)</w:t>
            </w:r>
          </w:p>
          <w:p w14:paraId="386029FB" w14:textId="77777777" w:rsidR="0061482C" w:rsidRPr="003E73CD" w:rsidRDefault="0061482C" w:rsidP="00717272">
            <w:pPr>
              <w:jc w:val="right"/>
              <w:rPr>
                <w:sz w:val="22"/>
              </w:rPr>
            </w:pPr>
            <w:r w:rsidRPr="003E73CD">
              <w:rPr>
                <w:sz w:val="22"/>
              </w:rPr>
              <w:t xml:space="preserve">N (%) </w:t>
            </w:r>
          </w:p>
        </w:tc>
        <w:tc>
          <w:tcPr>
            <w:tcW w:w="625" w:type="pct"/>
            <w:tcBorders>
              <w:bottom w:val="single" w:sz="4" w:space="0" w:color="auto"/>
            </w:tcBorders>
          </w:tcPr>
          <w:p w14:paraId="5C3763AA" w14:textId="77777777" w:rsidR="0061482C" w:rsidRPr="003E73CD" w:rsidRDefault="0061482C" w:rsidP="00717272">
            <w:pPr>
              <w:jc w:val="right"/>
              <w:rPr>
                <w:sz w:val="22"/>
              </w:rPr>
            </w:pPr>
            <w:r w:rsidRPr="003E73CD">
              <w:rPr>
                <w:sz w:val="22"/>
              </w:rPr>
              <w:t>Yes (N=60)</w:t>
            </w:r>
          </w:p>
          <w:p w14:paraId="53F756A9" w14:textId="77777777" w:rsidR="0061482C" w:rsidRPr="003E73CD" w:rsidRDefault="0061482C" w:rsidP="00717272">
            <w:pPr>
              <w:jc w:val="right"/>
              <w:rPr>
                <w:sz w:val="22"/>
              </w:rPr>
            </w:pPr>
            <w:r w:rsidRPr="003E73CD">
              <w:rPr>
                <w:sz w:val="22"/>
              </w:rPr>
              <w:t>N (%)</w:t>
            </w:r>
          </w:p>
        </w:tc>
        <w:tc>
          <w:tcPr>
            <w:tcW w:w="785" w:type="pct"/>
            <w:tcBorders>
              <w:bottom w:val="single" w:sz="4" w:space="0" w:color="auto"/>
            </w:tcBorders>
          </w:tcPr>
          <w:p w14:paraId="52C46C6E" w14:textId="77777777" w:rsidR="0061482C" w:rsidRPr="003E73CD" w:rsidRDefault="0061482C" w:rsidP="00717272">
            <w:pPr>
              <w:jc w:val="center"/>
              <w:rPr>
                <w:sz w:val="22"/>
              </w:rPr>
            </w:pPr>
            <w:r w:rsidRPr="003E73CD">
              <w:rPr>
                <w:sz w:val="22"/>
              </w:rPr>
              <w:t>Crude OR (95%CI)</w:t>
            </w:r>
          </w:p>
        </w:tc>
        <w:tc>
          <w:tcPr>
            <w:tcW w:w="464" w:type="pct"/>
            <w:tcBorders>
              <w:bottom w:val="single" w:sz="4" w:space="0" w:color="auto"/>
            </w:tcBorders>
          </w:tcPr>
          <w:p w14:paraId="5480AC66" w14:textId="77777777" w:rsidR="0061482C" w:rsidRPr="003E73CD" w:rsidRDefault="0061482C" w:rsidP="00717272">
            <w:pPr>
              <w:jc w:val="center"/>
              <w:rPr>
                <w:sz w:val="22"/>
              </w:rPr>
            </w:pPr>
            <w:proofErr w:type="gramStart"/>
            <w:r w:rsidRPr="003E73CD">
              <w:t>p</w:t>
            </w:r>
            <w:proofErr w:type="gramEnd"/>
            <w:r w:rsidRPr="003E73CD">
              <w:t>-value</w:t>
            </w:r>
          </w:p>
        </w:tc>
        <w:tc>
          <w:tcPr>
            <w:tcW w:w="844" w:type="pct"/>
            <w:tcBorders>
              <w:bottom w:val="single" w:sz="4" w:space="0" w:color="auto"/>
            </w:tcBorders>
          </w:tcPr>
          <w:p w14:paraId="6762A93B" w14:textId="77777777" w:rsidR="0061482C" w:rsidRPr="003E73CD" w:rsidRDefault="0061482C" w:rsidP="00717272">
            <w:pPr>
              <w:jc w:val="center"/>
              <w:rPr>
                <w:sz w:val="22"/>
              </w:rPr>
            </w:pPr>
            <w:r w:rsidRPr="003E73CD">
              <w:rPr>
                <w:sz w:val="22"/>
              </w:rPr>
              <w:t>Adjusted OR (95%CI)</w:t>
            </w:r>
          </w:p>
        </w:tc>
        <w:tc>
          <w:tcPr>
            <w:tcW w:w="534" w:type="pct"/>
            <w:tcBorders>
              <w:bottom w:val="single" w:sz="4" w:space="0" w:color="auto"/>
            </w:tcBorders>
          </w:tcPr>
          <w:p w14:paraId="4F033704" w14:textId="77777777" w:rsidR="0061482C" w:rsidRPr="003E73CD" w:rsidRDefault="0061482C" w:rsidP="00717272">
            <w:pPr>
              <w:jc w:val="center"/>
              <w:rPr>
                <w:sz w:val="22"/>
              </w:rPr>
            </w:pPr>
            <w:proofErr w:type="gramStart"/>
            <w:r w:rsidRPr="003E73CD">
              <w:t>p</w:t>
            </w:r>
            <w:proofErr w:type="gramEnd"/>
            <w:r w:rsidRPr="003E73CD">
              <w:t>-value</w:t>
            </w:r>
          </w:p>
        </w:tc>
      </w:tr>
      <w:tr w:rsidR="0061482C" w:rsidRPr="003E73CD" w14:paraId="6142CF3B" w14:textId="77777777" w:rsidTr="000C2BAA">
        <w:tc>
          <w:tcPr>
            <w:tcW w:w="1064" w:type="pct"/>
            <w:tcBorders>
              <w:top w:val="single" w:sz="4" w:space="0" w:color="auto"/>
            </w:tcBorders>
          </w:tcPr>
          <w:p w14:paraId="611F7A0E" w14:textId="77777777" w:rsidR="0061482C" w:rsidRPr="003E73CD" w:rsidRDefault="0061482C" w:rsidP="00717272">
            <w:pPr>
              <w:rPr>
                <w:sz w:val="22"/>
              </w:rPr>
            </w:pPr>
            <w:r w:rsidRPr="003E73CD">
              <w:rPr>
                <w:sz w:val="22"/>
              </w:rPr>
              <w:t>Age at SNB</w:t>
            </w:r>
            <w:r w:rsidRPr="003E73CD">
              <w:rPr>
                <w:sz w:val="22"/>
                <w:vertAlign w:val="superscript"/>
              </w:rPr>
              <w:t>#*$</w:t>
            </w:r>
          </w:p>
          <w:p w14:paraId="0F9A4394" w14:textId="77777777" w:rsidR="0061482C" w:rsidRPr="003E73CD" w:rsidRDefault="0061482C" w:rsidP="00717272">
            <w:pPr>
              <w:rPr>
                <w:sz w:val="22"/>
              </w:rPr>
            </w:pPr>
          </w:p>
        </w:tc>
        <w:tc>
          <w:tcPr>
            <w:tcW w:w="684" w:type="pct"/>
            <w:tcBorders>
              <w:top w:val="single" w:sz="4" w:space="0" w:color="auto"/>
            </w:tcBorders>
          </w:tcPr>
          <w:p w14:paraId="2C1F4C19" w14:textId="77777777" w:rsidR="0061482C" w:rsidRPr="003E73CD" w:rsidRDefault="0061482C" w:rsidP="00717272">
            <w:pPr>
              <w:jc w:val="right"/>
              <w:rPr>
                <w:sz w:val="22"/>
              </w:rPr>
            </w:pPr>
            <w:r w:rsidRPr="003E73CD">
              <w:rPr>
                <w:sz w:val="22"/>
              </w:rPr>
              <w:t>51.7 ± 16.9</w:t>
            </w:r>
          </w:p>
        </w:tc>
        <w:tc>
          <w:tcPr>
            <w:tcW w:w="625" w:type="pct"/>
            <w:tcBorders>
              <w:top w:val="single" w:sz="4" w:space="0" w:color="auto"/>
            </w:tcBorders>
          </w:tcPr>
          <w:p w14:paraId="47B731EC" w14:textId="77777777" w:rsidR="0061482C" w:rsidRPr="003E73CD" w:rsidRDefault="0061482C" w:rsidP="00717272">
            <w:pPr>
              <w:jc w:val="right"/>
              <w:rPr>
                <w:sz w:val="22"/>
              </w:rPr>
            </w:pPr>
            <w:r w:rsidRPr="003E73CD">
              <w:rPr>
                <w:sz w:val="22"/>
              </w:rPr>
              <w:t>54.7 ± 17.2</w:t>
            </w:r>
          </w:p>
        </w:tc>
        <w:tc>
          <w:tcPr>
            <w:tcW w:w="785" w:type="pct"/>
            <w:tcBorders>
              <w:top w:val="single" w:sz="4" w:space="0" w:color="auto"/>
            </w:tcBorders>
          </w:tcPr>
          <w:p w14:paraId="5A031894" w14:textId="77777777" w:rsidR="0061482C" w:rsidRPr="003E73CD" w:rsidRDefault="0061482C" w:rsidP="00717272">
            <w:pPr>
              <w:jc w:val="center"/>
              <w:rPr>
                <w:sz w:val="22"/>
              </w:rPr>
            </w:pPr>
            <w:r w:rsidRPr="003E73CD">
              <w:rPr>
                <w:sz w:val="22"/>
              </w:rPr>
              <w:t>1.11 (0.94-1.32)</w:t>
            </w:r>
          </w:p>
        </w:tc>
        <w:tc>
          <w:tcPr>
            <w:tcW w:w="464" w:type="pct"/>
            <w:tcBorders>
              <w:top w:val="single" w:sz="4" w:space="0" w:color="auto"/>
            </w:tcBorders>
          </w:tcPr>
          <w:p w14:paraId="43D2CA8B" w14:textId="77777777" w:rsidR="0061482C" w:rsidRPr="003E73CD" w:rsidRDefault="0061482C" w:rsidP="00717272">
            <w:pPr>
              <w:jc w:val="center"/>
              <w:rPr>
                <w:sz w:val="22"/>
              </w:rPr>
            </w:pPr>
            <w:r w:rsidRPr="003E73CD">
              <w:rPr>
                <w:sz w:val="22"/>
              </w:rPr>
              <w:t>0.224</w:t>
            </w:r>
          </w:p>
        </w:tc>
        <w:tc>
          <w:tcPr>
            <w:tcW w:w="844" w:type="pct"/>
            <w:tcBorders>
              <w:top w:val="single" w:sz="4" w:space="0" w:color="auto"/>
            </w:tcBorders>
          </w:tcPr>
          <w:p w14:paraId="08B11C1A" w14:textId="77777777" w:rsidR="0061482C" w:rsidRPr="003E73CD" w:rsidRDefault="0061482C" w:rsidP="00717272">
            <w:pPr>
              <w:jc w:val="center"/>
              <w:rPr>
                <w:sz w:val="22"/>
              </w:rPr>
            </w:pPr>
            <w:r w:rsidRPr="003E73CD">
              <w:rPr>
                <w:sz w:val="22"/>
              </w:rPr>
              <w:t>1.08 (0.90-1.30)</w:t>
            </w:r>
          </w:p>
        </w:tc>
        <w:tc>
          <w:tcPr>
            <w:tcW w:w="534" w:type="pct"/>
            <w:tcBorders>
              <w:top w:val="single" w:sz="4" w:space="0" w:color="auto"/>
            </w:tcBorders>
          </w:tcPr>
          <w:p w14:paraId="0D8FD09D" w14:textId="77777777" w:rsidR="0061482C" w:rsidRPr="003E73CD" w:rsidRDefault="0061482C" w:rsidP="00717272">
            <w:pPr>
              <w:jc w:val="center"/>
              <w:rPr>
                <w:sz w:val="22"/>
              </w:rPr>
            </w:pPr>
            <w:r w:rsidRPr="003E73CD">
              <w:rPr>
                <w:sz w:val="22"/>
              </w:rPr>
              <w:t>0.406</w:t>
            </w:r>
          </w:p>
        </w:tc>
      </w:tr>
      <w:tr w:rsidR="0061482C" w:rsidRPr="003E73CD" w14:paraId="27303259" w14:textId="77777777" w:rsidTr="000C2BAA">
        <w:tc>
          <w:tcPr>
            <w:tcW w:w="1064" w:type="pct"/>
          </w:tcPr>
          <w:p w14:paraId="5B14ED1D" w14:textId="77777777" w:rsidR="0061482C" w:rsidRPr="003E73CD" w:rsidRDefault="0061482C" w:rsidP="00717272">
            <w:pPr>
              <w:rPr>
                <w:sz w:val="22"/>
              </w:rPr>
            </w:pPr>
            <w:r w:rsidRPr="003E73CD">
              <w:rPr>
                <w:sz w:val="22"/>
              </w:rPr>
              <w:t>Gender</w:t>
            </w:r>
          </w:p>
          <w:p w14:paraId="4CD953D7" w14:textId="77777777" w:rsidR="0061482C" w:rsidRPr="003E73CD" w:rsidRDefault="0061482C" w:rsidP="00717272">
            <w:pPr>
              <w:rPr>
                <w:sz w:val="22"/>
              </w:rPr>
            </w:pPr>
            <w:r w:rsidRPr="003E73CD">
              <w:rPr>
                <w:sz w:val="22"/>
              </w:rPr>
              <w:t xml:space="preserve">  Male                                                                                                    </w:t>
            </w:r>
          </w:p>
          <w:p w14:paraId="487244EF" w14:textId="77777777" w:rsidR="0061482C" w:rsidRPr="003E73CD" w:rsidRDefault="0061482C" w:rsidP="00717272">
            <w:pPr>
              <w:rPr>
                <w:sz w:val="22"/>
              </w:rPr>
            </w:pPr>
            <w:r w:rsidRPr="003E73CD">
              <w:rPr>
                <w:sz w:val="22"/>
              </w:rPr>
              <w:t xml:space="preserve">  Female                          </w:t>
            </w:r>
          </w:p>
          <w:p w14:paraId="62CB58E4" w14:textId="77777777" w:rsidR="0061482C" w:rsidRPr="003E73CD" w:rsidRDefault="0061482C" w:rsidP="00717272">
            <w:pPr>
              <w:rPr>
                <w:sz w:val="22"/>
              </w:rPr>
            </w:pPr>
          </w:p>
        </w:tc>
        <w:tc>
          <w:tcPr>
            <w:tcW w:w="684" w:type="pct"/>
          </w:tcPr>
          <w:p w14:paraId="2E1E1B64" w14:textId="77777777" w:rsidR="0061482C" w:rsidRPr="003E73CD" w:rsidRDefault="0061482C" w:rsidP="00717272">
            <w:pPr>
              <w:jc w:val="right"/>
              <w:rPr>
                <w:sz w:val="22"/>
              </w:rPr>
            </w:pPr>
          </w:p>
          <w:p w14:paraId="540D88C5" w14:textId="77777777" w:rsidR="0061482C" w:rsidRPr="003E73CD" w:rsidRDefault="0061482C" w:rsidP="00717272">
            <w:pPr>
              <w:jc w:val="right"/>
              <w:rPr>
                <w:sz w:val="22"/>
              </w:rPr>
            </w:pPr>
            <w:r w:rsidRPr="003E73CD">
              <w:rPr>
                <w:sz w:val="22"/>
              </w:rPr>
              <w:t>157 (79.3)</w:t>
            </w:r>
          </w:p>
          <w:p w14:paraId="2644C54F" w14:textId="77777777" w:rsidR="0061482C" w:rsidRPr="003E73CD" w:rsidRDefault="0061482C" w:rsidP="00717272">
            <w:pPr>
              <w:jc w:val="right"/>
              <w:rPr>
                <w:sz w:val="22"/>
              </w:rPr>
            </w:pPr>
            <w:r w:rsidRPr="003E73CD">
              <w:rPr>
                <w:sz w:val="22"/>
              </w:rPr>
              <w:t>106 (84.8)</w:t>
            </w:r>
          </w:p>
        </w:tc>
        <w:tc>
          <w:tcPr>
            <w:tcW w:w="625" w:type="pct"/>
          </w:tcPr>
          <w:p w14:paraId="37523613" w14:textId="77777777" w:rsidR="0061482C" w:rsidRPr="003E73CD" w:rsidRDefault="0061482C" w:rsidP="00717272">
            <w:pPr>
              <w:jc w:val="right"/>
              <w:rPr>
                <w:sz w:val="22"/>
              </w:rPr>
            </w:pPr>
          </w:p>
          <w:p w14:paraId="67F15097" w14:textId="77777777" w:rsidR="0061482C" w:rsidRPr="003E73CD" w:rsidRDefault="0061482C" w:rsidP="00717272">
            <w:pPr>
              <w:jc w:val="right"/>
              <w:rPr>
                <w:sz w:val="22"/>
              </w:rPr>
            </w:pPr>
            <w:r w:rsidRPr="003E73CD">
              <w:rPr>
                <w:sz w:val="22"/>
              </w:rPr>
              <w:t xml:space="preserve">  41(20.7)</w:t>
            </w:r>
          </w:p>
          <w:p w14:paraId="2FAD9AF5" w14:textId="77777777" w:rsidR="0061482C" w:rsidRPr="003E73CD" w:rsidRDefault="0061482C" w:rsidP="00717272">
            <w:pPr>
              <w:jc w:val="right"/>
              <w:rPr>
                <w:sz w:val="22"/>
              </w:rPr>
            </w:pPr>
            <w:r w:rsidRPr="003E73CD">
              <w:rPr>
                <w:sz w:val="22"/>
              </w:rPr>
              <w:t xml:space="preserve">  19(15.2) </w:t>
            </w:r>
          </w:p>
        </w:tc>
        <w:tc>
          <w:tcPr>
            <w:tcW w:w="785" w:type="pct"/>
          </w:tcPr>
          <w:p w14:paraId="321E6446" w14:textId="77777777" w:rsidR="0061482C" w:rsidRPr="003E73CD" w:rsidRDefault="0061482C" w:rsidP="00717272">
            <w:pPr>
              <w:jc w:val="center"/>
              <w:rPr>
                <w:sz w:val="22"/>
              </w:rPr>
            </w:pPr>
          </w:p>
          <w:p w14:paraId="52F99EE8" w14:textId="77777777" w:rsidR="0061482C" w:rsidRPr="003E73CD" w:rsidRDefault="0061482C" w:rsidP="00717272">
            <w:pPr>
              <w:jc w:val="center"/>
              <w:rPr>
                <w:sz w:val="22"/>
              </w:rPr>
            </w:pPr>
            <w:r w:rsidRPr="003E73CD">
              <w:rPr>
                <w:sz w:val="22"/>
              </w:rPr>
              <w:t>1</w:t>
            </w:r>
          </w:p>
          <w:p w14:paraId="4D51FD14" w14:textId="77777777" w:rsidR="0061482C" w:rsidRPr="003E73CD" w:rsidRDefault="0061482C" w:rsidP="00717272">
            <w:pPr>
              <w:jc w:val="center"/>
              <w:rPr>
                <w:sz w:val="22"/>
              </w:rPr>
            </w:pPr>
            <w:r w:rsidRPr="003E73CD">
              <w:rPr>
                <w:sz w:val="22"/>
              </w:rPr>
              <w:t>0.69 (0.38-1.25)</w:t>
            </w:r>
          </w:p>
        </w:tc>
        <w:tc>
          <w:tcPr>
            <w:tcW w:w="464" w:type="pct"/>
          </w:tcPr>
          <w:p w14:paraId="5D66B717" w14:textId="77777777" w:rsidR="0061482C" w:rsidRPr="003E73CD" w:rsidRDefault="0061482C" w:rsidP="00717272">
            <w:pPr>
              <w:jc w:val="center"/>
              <w:rPr>
                <w:sz w:val="22"/>
              </w:rPr>
            </w:pPr>
          </w:p>
          <w:p w14:paraId="488ACA7E" w14:textId="77777777" w:rsidR="0061482C" w:rsidRPr="003E73CD" w:rsidRDefault="0061482C" w:rsidP="00717272">
            <w:pPr>
              <w:jc w:val="center"/>
              <w:rPr>
                <w:sz w:val="22"/>
              </w:rPr>
            </w:pPr>
          </w:p>
          <w:p w14:paraId="0F871526" w14:textId="77777777" w:rsidR="0061482C" w:rsidRPr="003E73CD" w:rsidRDefault="0061482C" w:rsidP="00717272">
            <w:pPr>
              <w:jc w:val="center"/>
              <w:rPr>
                <w:sz w:val="22"/>
              </w:rPr>
            </w:pPr>
            <w:r w:rsidRPr="003E73CD">
              <w:rPr>
                <w:sz w:val="22"/>
              </w:rPr>
              <w:t>0.217</w:t>
            </w:r>
          </w:p>
        </w:tc>
        <w:tc>
          <w:tcPr>
            <w:tcW w:w="844" w:type="pct"/>
          </w:tcPr>
          <w:p w14:paraId="4C431052" w14:textId="77777777" w:rsidR="0061482C" w:rsidRPr="003E73CD" w:rsidRDefault="0061482C" w:rsidP="00717272">
            <w:pPr>
              <w:jc w:val="center"/>
              <w:rPr>
                <w:sz w:val="22"/>
              </w:rPr>
            </w:pPr>
          </w:p>
          <w:p w14:paraId="43D5F880" w14:textId="77777777" w:rsidR="0061482C" w:rsidRPr="003E73CD" w:rsidRDefault="0061482C" w:rsidP="00717272">
            <w:pPr>
              <w:jc w:val="center"/>
              <w:rPr>
                <w:sz w:val="22"/>
              </w:rPr>
            </w:pPr>
            <w:r w:rsidRPr="003E73CD">
              <w:rPr>
                <w:sz w:val="22"/>
              </w:rPr>
              <w:t>1</w:t>
            </w:r>
          </w:p>
          <w:p w14:paraId="02AB10C2" w14:textId="77777777" w:rsidR="0061482C" w:rsidRPr="003E73CD" w:rsidRDefault="0061482C" w:rsidP="00717272">
            <w:pPr>
              <w:jc w:val="center"/>
              <w:rPr>
                <w:sz w:val="22"/>
              </w:rPr>
            </w:pPr>
            <w:r w:rsidRPr="003E73CD">
              <w:rPr>
                <w:sz w:val="22"/>
              </w:rPr>
              <w:t>0.73 (0.39-1.36)</w:t>
            </w:r>
          </w:p>
        </w:tc>
        <w:tc>
          <w:tcPr>
            <w:tcW w:w="534" w:type="pct"/>
          </w:tcPr>
          <w:p w14:paraId="77AE962D" w14:textId="77777777" w:rsidR="0061482C" w:rsidRPr="003E73CD" w:rsidRDefault="0061482C" w:rsidP="00717272">
            <w:pPr>
              <w:jc w:val="center"/>
              <w:rPr>
                <w:sz w:val="22"/>
              </w:rPr>
            </w:pPr>
          </w:p>
          <w:p w14:paraId="7FC422EC" w14:textId="77777777" w:rsidR="0061482C" w:rsidRPr="003E73CD" w:rsidRDefault="0061482C" w:rsidP="00717272">
            <w:pPr>
              <w:jc w:val="center"/>
              <w:rPr>
                <w:sz w:val="22"/>
              </w:rPr>
            </w:pPr>
          </w:p>
          <w:p w14:paraId="227CC221" w14:textId="77777777" w:rsidR="0061482C" w:rsidRPr="003E73CD" w:rsidRDefault="0061482C" w:rsidP="00717272">
            <w:pPr>
              <w:jc w:val="center"/>
              <w:rPr>
                <w:sz w:val="22"/>
              </w:rPr>
            </w:pPr>
            <w:r w:rsidRPr="003E73CD">
              <w:rPr>
                <w:sz w:val="22"/>
              </w:rPr>
              <w:t>0.319</w:t>
            </w:r>
          </w:p>
        </w:tc>
      </w:tr>
      <w:tr w:rsidR="0061482C" w:rsidRPr="003E73CD" w14:paraId="021BD06B" w14:textId="77777777" w:rsidTr="000C2BAA">
        <w:tc>
          <w:tcPr>
            <w:tcW w:w="1064" w:type="pct"/>
          </w:tcPr>
          <w:p w14:paraId="7F08494F" w14:textId="77777777" w:rsidR="0061482C" w:rsidRPr="003E73CD" w:rsidRDefault="0061482C" w:rsidP="00717272">
            <w:pPr>
              <w:rPr>
                <w:sz w:val="22"/>
              </w:rPr>
            </w:pPr>
            <w:r w:rsidRPr="003E73CD">
              <w:rPr>
                <w:sz w:val="22"/>
              </w:rPr>
              <w:t>Tumor thickness (mm)</w:t>
            </w:r>
            <w:r w:rsidRPr="003E73CD">
              <w:rPr>
                <w:sz w:val="22"/>
                <w:vertAlign w:val="superscript"/>
              </w:rPr>
              <w:t xml:space="preserve"> </w:t>
            </w:r>
          </w:p>
          <w:p w14:paraId="7BF158C0" w14:textId="77777777" w:rsidR="0061482C" w:rsidRPr="003E73CD" w:rsidRDefault="0061482C" w:rsidP="00717272">
            <w:pPr>
              <w:rPr>
                <w:sz w:val="22"/>
              </w:rPr>
            </w:pPr>
            <w:r w:rsidRPr="003E73CD">
              <w:rPr>
                <w:sz w:val="22"/>
              </w:rPr>
              <w:t xml:space="preserve">  ≤2.0 </w:t>
            </w:r>
          </w:p>
          <w:p w14:paraId="74E6C418" w14:textId="77777777" w:rsidR="0061482C" w:rsidRPr="003E73CD" w:rsidRDefault="0061482C" w:rsidP="00717272">
            <w:pPr>
              <w:rPr>
                <w:sz w:val="22"/>
              </w:rPr>
            </w:pPr>
            <w:r w:rsidRPr="003E73CD">
              <w:rPr>
                <w:sz w:val="22"/>
              </w:rPr>
              <w:t xml:space="preserve">  2.1-4.0</w:t>
            </w:r>
          </w:p>
          <w:p w14:paraId="53FDC0C8" w14:textId="77777777" w:rsidR="0061482C" w:rsidRPr="003E73CD" w:rsidRDefault="0061482C" w:rsidP="00717272">
            <w:pPr>
              <w:rPr>
                <w:sz w:val="22"/>
              </w:rPr>
            </w:pPr>
            <w:r w:rsidRPr="003E73CD">
              <w:rPr>
                <w:sz w:val="22"/>
              </w:rPr>
              <w:t xml:space="preserve">  &gt;4.0</w:t>
            </w:r>
          </w:p>
          <w:p w14:paraId="48D9A06F" w14:textId="77777777" w:rsidR="0061482C" w:rsidRPr="003E73CD" w:rsidRDefault="0061482C" w:rsidP="00717272">
            <w:pPr>
              <w:rPr>
                <w:sz w:val="22"/>
              </w:rPr>
            </w:pPr>
          </w:p>
        </w:tc>
        <w:tc>
          <w:tcPr>
            <w:tcW w:w="684" w:type="pct"/>
          </w:tcPr>
          <w:p w14:paraId="5FEC8BC1" w14:textId="77777777" w:rsidR="0061482C" w:rsidRPr="003E73CD" w:rsidRDefault="0061482C" w:rsidP="00717272">
            <w:pPr>
              <w:jc w:val="right"/>
              <w:rPr>
                <w:sz w:val="22"/>
              </w:rPr>
            </w:pPr>
          </w:p>
          <w:p w14:paraId="10BA4541" w14:textId="77777777" w:rsidR="0061482C" w:rsidRPr="003E73CD" w:rsidRDefault="0061482C" w:rsidP="00717272">
            <w:pPr>
              <w:jc w:val="right"/>
              <w:rPr>
                <w:sz w:val="22"/>
              </w:rPr>
            </w:pPr>
            <w:r w:rsidRPr="003E73CD">
              <w:rPr>
                <w:sz w:val="22"/>
              </w:rPr>
              <w:t>79 (82.3)</w:t>
            </w:r>
          </w:p>
          <w:p w14:paraId="54FF95CB" w14:textId="77777777" w:rsidR="0061482C" w:rsidRPr="003E73CD" w:rsidRDefault="0061482C" w:rsidP="00717272">
            <w:pPr>
              <w:jc w:val="right"/>
              <w:rPr>
                <w:sz w:val="22"/>
              </w:rPr>
            </w:pPr>
            <w:r w:rsidRPr="003E73CD">
              <w:rPr>
                <w:sz w:val="22"/>
              </w:rPr>
              <w:t>110 (82.7)</w:t>
            </w:r>
          </w:p>
          <w:p w14:paraId="6C227C03" w14:textId="77777777" w:rsidR="0061482C" w:rsidRPr="003E73CD" w:rsidRDefault="0061482C" w:rsidP="00717272">
            <w:pPr>
              <w:jc w:val="right"/>
              <w:rPr>
                <w:sz w:val="22"/>
              </w:rPr>
            </w:pPr>
            <w:r w:rsidRPr="003E73CD">
              <w:rPr>
                <w:sz w:val="22"/>
              </w:rPr>
              <w:t>70 (77.8)</w:t>
            </w:r>
          </w:p>
        </w:tc>
        <w:tc>
          <w:tcPr>
            <w:tcW w:w="625" w:type="pct"/>
          </w:tcPr>
          <w:p w14:paraId="01FC752E" w14:textId="77777777" w:rsidR="0061482C" w:rsidRPr="003E73CD" w:rsidRDefault="0061482C" w:rsidP="00717272">
            <w:pPr>
              <w:jc w:val="right"/>
              <w:rPr>
                <w:sz w:val="22"/>
              </w:rPr>
            </w:pPr>
          </w:p>
          <w:p w14:paraId="4D282360" w14:textId="77777777" w:rsidR="0061482C" w:rsidRPr="003E73CD" w:rsidRDefault="0061482C" w:rsidP="00717272">
            <w:pPr>
              <w:jc w:val="right"/>
              <w:rPr>
                <w:sz w:val="22"/>
              </w:rPr>
            </w:pPr>
            <w:r w:rsidRPr="003E73CD">
              <w:rPr>
                <w:sz w:val="22"/>
              </w:rPr>
              <w:t>17 (17.7)</w:t>
            </w:r>
          </w:p>
          <w:p w14:paraId="17E20687" w14:textId="77777777" w:rsidR="0061482C" w:rsidRPr="003E73CD" w:rsidRDefault="0061482C" w:rsidP="00717272">
            <w:pPr>
              <w:jc w:val="right"/>
              <w:rPr>
                <w:sz w:val="22"/>
              </w:rPr>
            </w:pPr>
            <w:r w:rsidRPr="003E73CD">
              <w:rPr>
                <w:sz w:val="22"/>
              </w:rPr>
              <w:t>23 (17.3)</w:t>
            </w:r>
          </w:p>
          <w:p w14:paraId="55211BB2" w14:textId="77777777" w:rsidR="0061482C" w:rsidRPr="003E73CD" w:rsidRDefault="0061482C" w:rsidP="00717272">
            <w:pPr>
              <w:jc w:val="right"/>
              <w:rPr>
                <w:sz w:val="22"/>
              </w:rPr>
            </w:pPr>
            <w:r w:rsidRPr="003E73CD">
              <w:rPr>
                <w:sz w:val="22"/>
              </w:rPr>
              <w:t>20 (22.2)</w:t>
            </w:r>
          </w:p>
        </w:tc>
        <w:tc>
          <w:tcPr>
            <w:tcW w:w="785" w:type="pct"/>
          </w:tcPr>
          <w:p w14:paraId="72304D68" w14:textId="77777777" w:rsidR="0061482C" w:rsidRPr="003E73CD" w:rsidRDefault="0061482C" w:rsidP="00717272">
            <w:pPr>
              <w:jc w:val="center"/>
              <w:rPr>
                <w:sz w:val="22"/>
              </w:rPr>
            </w:pPr>
          </w:p>
          <w:p w14:paraId="42169581" w14:textId="77777777" w:rsidR="0061482C" w:rsidRPr="003E73CD" w:rsidRDefault="0061482C" w:rsidP="00717272">
            <w:pPr>
              <w:jc w:val="center"/>
              <w:rPr>
                <w:sz w:val="22"/>
              </w:rPr>
            </w:pPr>
            <w:r w:rsidRPr="003E73CD">
              <w:rPr>
                <w:sz w:val="22"/>
              </w:rPr>
              <w:t>1</w:t>
            </w:r>
          </w:p>
          <w:p w14:paraId="7772401D" w14:textId="77777777" w:rsidR="0061482C" w:rsidRPr="003E73CD" w:rsidRDefault="0061482C" w:rsidP="00717272">
            <w:pPr>
              <w:jc w:val="center"/>
              <w:rPr>
                <w:sz w:val="22"/>
              </w:rPr>
            </w:pPr>
            <w:r w:rsidRPr="003E73CD">
              <w:rPr>
                <w:sz w:val="22"/>
              </w:rPr>
              <w:t>0.97 (0.49-1.94)</w:t>
            </w:r>
          </w:p>
          <w:p w14:paraId="751298F6" w14:textId="77777777" w:rsidR="0061482C" w:rsidRPr="003E73CD" w:rsidRDefault="0061482C" w:rsidP="00717272">
            <w:pPr>
              <w:jc w:val="center"/>
              <w:rPr>
                <w:sz w:val="22"/>
              </w:rPr>
            </w:pPr>
            <w:r w:rsidRPr="003E73CD">
              <w:rPr>
                <w:sz w:val="22"/>
              </w:rPr>
              <w:t>1.33 (0.65-2.73)</w:t>
            </w:r>
          </w:p>
        </w:tc>
        <w:tc>
          <w:tcPr>
            <w:tcW w:w="464" w:type="pct"/>
          </w:tcPr>
          <w:p w14:paraId="6582FC18" w14:textId="77777777" w:rsidR="0061482C" w:rsidRPr="003E73CD" w:rsidRDefault="0061482C" w:rsidP="00717272">
            <w:pPr>
              <w:jc w:val="center"/>
              <w:rPr>
                <w:sz w:val="22"/>
              </w:rPr>
            </w:pPr>
          </w:p>
          <w:p w14:paraId="6D0DFFC1" w14:textId="77777777" w:rsidR="0061482C" w:rsidRPr="003E73CD" w:rsidRDefault="0061482C" w:rsidP="00717272">
            <w:pPr>
              <w:jc w:val="center"/>
              <w:rPr>
                <w:sz w:val="22"/>
              </w:rPr>
            </w:pPr>
          </w:p>
          <w:p w14:paraId="4D19838D" w14:textId="77777777" w:rsidR="0061482C" w:rsidRPr="003E73CD" w:rsidRDefault="0061482C" w:rsidP="00717272">
            <w:pPr>
              <w:jc w:val="center"/>
              <w:rPr>
                <w:sz w:val="22"/>
              </w:rPr>
            </w:pPr>
            <w:r w:rsidRPr="003E73CD">
              <w:rPr>
                <w:sz w:val="22"/>
              </w:rPr>
              <w:t>0.935</w:t>
            </w:r>
          </w:p>
          <w:p w14:paraId="66D89C8D" w14:textId="77777777" w:rsidR="0061482C" w:rsidRPr="003E73CD" w:rsidRDefault="0061482C" w:rsidP="00717272">
            <w:pPr>
              <w:jc w:val="center"/>
              <w:rPr>
                <w:sz w:val="22"/>
              </w:rPr>
            </w:pPr>
            <w:r w:rsidRPr="003E73CD">
              <w:rPr>
                <w:sz w:val="22"/>
              </w:rPr>
              <w:t>0.442</w:t>
            </w:r>
          </w:p>
        </w:tc>
        <w:tc>
          <w:tcPr>
            <w:tcW w:w="844" w:type="pct"/>
          </w:tcPr>
          <w:p w14:paraId="1EFAAF62" w14:textId="77777777" w:rsidR="0061482C" w:rsidRPr="003E73CD" w:rsidRDefault="0061482C" w:rsidP="00717272">
            <w:pPr>
              <w:jc w:val="center"/>
              <w:rPr>
                <w:sz w:val="22"/>
              </w:rPr>
            </w:pPr>
          </w:p>
          <w:p w14:paraId="1226F422" w14:textId="77777777" w:rsidR="0061482C" w:rsidRPr="003E73CD" w:rsidRDefault="0061482C" w:rsidP="00717272">
            <w:pPr>
              <w:jc w:val="center"/>
              <w:rPr>
                <w:sz w:val="22"/>
              </w:rPr>
            </w:pPr>
            <w:r w:rsidRPr="003E73CD">
              <w:rPr>
                <w:sz w:val="22"/>
              </w:rPr>
              <w:t>1</w:t>
            </w:r>
          </w:p>
          <w:p w14:paraId="7B70724C" w14:textId="77777777" w:rsidR="0061482C" w:rsidRPr="003E73CD" w:rsidRDefault="0061482C" w:rsidP="00717272">
            <w:pPr>
              <w:jc w:val="center"/>
              <w:rPr>
                <w:sz w:val="22"/>
              </w:rPr>
            </w:pPr>
            <w:r w:rsidRPr="003E73CD">
              <w:rPr>
                <w:sz w:val="22"/>
              </w:rPr>
              <w:t>0.45 (0.20-1.04)</w:t>
            </w:r>
          </w:p>
          <w:p w14:paraId="23DDC56C" w14:textId="77777777" w:rsidR="0061482C" w:rsidRPr="003E73CD" w:rsidRDefault="0061482C" w:rsidP="00717272">
            <w:pPr>
              <w:jc w:val="center"/>
              <w:rPr>
                <w:sz w:val="22"/>
              </w:rPr>
            </w:pPr>
            <w:r w:rsidRPr="003E73CD">
              <w:rPr>
                <w:sz w:val="22"/>
              </w:rPr>
              <w:t>0.68 (0.28-1.61)</w:t>
            </w:r>
          </w:p>
        </w:tc>
        <w:tc>
          <w:tcPr>
            <w:tcW w:w="534" w:type="pct"/>
          </w:tcPr>
          <w:p w14:paraId="0DEB84CC" w14:textId="77777777" w:rsidR="0061482C" w:rsidRPr="003E73CD" w:rsidRDefault="0061482C" w:rsidP="00717272">
            <w:pPr>
              <w:jc w:val="center"/>
              <w:rPr>
                <w:sz w:val="22"/>
              </w:rPr>
            </w:pPr>
          </w:p>
          <w:p w14:paraId="1F52414E" w14:textId="77777777" w:rsidR="0061482C" w:rsidRPr="003E73CD" w:rsidRDefault="0061482C" w:rsidP="00717272">
            <w:pPr>
              <w:jc w:val="center"/>
              <w:rPr>
                <w:sz w:val="22"/>
              </w:rPr>
            </w:pPr>
          </w:p>
          <w:p w14:paraId="31A013D8" w14:textId="77777777" w:rsidR="0061482C" w:rsidRPr="003E73CD" w:rsidRDefault="0061482C" w:rsidP="00717272">
            <w:pPr>
              <w:jc w:val="center"/>
              <w:rPr>
                <w:sz w:val="22"/>
              </w:rPr>
            </w:pPr>
            <w:r w:rsidRPr="003E73CD">
              <w:rPr>
                <w:sz w:val="22"/>
              </w:rPr>
              <w:t>0.061</w:t>
            </w:r>
          </w:p>
          <w:p w14:paraId="65261C62" w14:textId="77777777" w:rsidR="0061482C" w:rsidRPr="003E73CD" w:rsidRDefault="0061482C" w:rsidP="00717272">
            <w:pPr>
              <w:jc w:val="center"/>
              <w:rPr>
                <w:sz w:val="22"/>
              </w:rPr>
            </w:pPr>
            <w:r w:rsidRPr="003E73CD">
              <w:rPr>
                <w:sz w:val="22"/>
              </w:rPr>
              <w:t>0.376</w:t>
            </w:r>
          </w:p>
        </w:tc>
      </w:tr>
      <w:tr w:rsidR="0061482C" w:rsidRPr="003E73CD" w14:paraId="6314F68C" w14:textId="77777777" w:rsidTr="000C2BAA">
        <w:tc>
          <w:tcPr>
            <w:tcW w:w="1064" w:type="pct"/>
          </w:tcPr>
          <w:p w14:paraId="0017532B" w14:textId="77777777" w:rsidR="0061482C" w:rsidRPr="003E73CD" w:rsidRDefault="0061482C" w:rsidP="00717272">
            <w:pPr>
              <w:rPr>
                <w:sz w:val="22"/>
                <w:lang w:val="en-AU"/>
              </w:rPr>
            </w:pPr>
            <w:r w:rsidRPr="003E73CD">
              <w:rPr>
                <w:sz w:val="22"/>
                <w:lang w:val="en-AU"/>
              </w:rPr>
              <w:t xml:space="preserve">Ulceration </w:t>
            </w:r>
          </w:p>
          <w:p w14:paraId="19DE583D" w14:textId="77777777" w:rsidR="0061482C" w:rsidRPr="003E73CD" w:rsidRDefault="0061482C" w:rsidP="00717272">
            <w:pPr>
              <w:rPr>
                <w:sz w:val="22"/>
                <w:lang w:val="en-AU"/>
              </w:rPr>
            </w:pPr>
            <w:r w:rsidRPr="003E73CD">
              <w:rPr>
                <w:sz w:val="22"/>
                <w:lang w:val="en-AU"/>
              </w:rPr>
              <w:t xml:space="preserve">   No                                   </w:t>
            </w:r>
          </w:p>
          <w:p w14:paraId="01EBEECE" w14:textId="77777777" w:rsidR="0061482C" w:rsidRPr="003E73CD" w:rsidRDefault="0061482C" w:rsidP="00717272">
            <w:pPr>
              <w:rPr>
                <w:sz w:val="22"/>
                <w:lang w:val="en-AU"/>
              </w:rPr>
            </w:pPr>
            <w:r w:rsidRPr="003E73CD">
              <w:rPr>
                <w:sz w:val="22"/>
                <w:lang w:val="en-AU"/>
              </w:rPr>
              <w:t xml:space="preserve">   Yes                                  </w:t>
            </w:r>
          </w:p>
          <w:p w14:paraId="533504C0" w14:textId="77777777" w:rsidR="0061482C" w:rsidRPr="003E73CD" w:rsidRDefault="0061482C" w:rsidP="00717272">
            <w:pPr>
              <w:rPr>
                <w:sz w:val="22"/>
              </w:rPr>
            </w:pPr>
          </w:p>
        </w:tc>
        <w:tc>
          <w:tcPr>
            <w:tcW w:w="684" w:type="pct"/>
          </w:tcPr>
          <w:p w14:paraId="34042CE1" w14:textId="77777777" w:rsidR="0061482C" w:rsidRPr="003E73CD" w:rsidRDefault="0061482C" w:rsidP="00717272">
            <w:pPr>
              <w:jc w:val="right"/>
              <w:rPr>
                <w:sz w:val="22"/>
              </w:rPr>
            </w:pPr>
          </w:p>
          <w:p w14:paraId="1F3A94D9" w14:textId="77777777" w:rsidR="0061482C" w:rsidRPr="003E73CD" w:rsidRDefault="0061482C" w:rsidP="00717272">
            <w:pPr>
              <w:jc w:val="right"/>
              <w:rPr>
                <w:sz w:val="22"/>
              </w:rPr>
            </w:pPr>
            <w:r w:rsidRPr="003E73CD">
              <w:rPr>
                <w:sz w:val="22"/>
              </w:rPr>
              <w:t>149 (86.1)</w:t>
            </w:r>
          </w:p>
          <w:p w14:paraId="256D0BE5" w14:textId="77777777" w:rsidR="0061482C" w:rsidRPr="003E73CD" w:rsidRDefault="0061482C" w:rsidP="00717272">
            <w:pPr>
              <w:jc w:val="right"/>
              <w:rPr>
                <w:sz w:val="22"/>
              </w:rPr>
            </w:pPr>
            <w:r w:rsidRPr="003E73CD">
              <w:rPr>
                <w:sz w:val="22"/>
              </w:rPr>
              <w:t>97 (73.5)</w:t>
            </w:r>
          </w:p>
        </w:tc>
        <w:tc>
          <w:tcPr>
            <w:tcW w:w="625" w:type="pct"/>
          </w:tcPr>
          <w:p w14:paraId="636E1978" w14:textId="77777777" w:rsidR="0061482C" w:rsidRPr="003E73CD" w:rsidRDefault="0061482C" w:rsidP="00717272">
            <w:pPr>
              <w:jc w:val="right"/>
              <w:rPr>
                <w:sz w:val="22"/>
              </w:rPr>
            </w:pPr>
          </w:p>
          <w:p w14:paraId="11D4032A" w14:textId="77777777" w:rsidR="0061482C" w:rsidRPr="003E73CD" w:rsidRDefault="0061482C" w:rsidP="00717272">
            <w:pPr>
              <w:jc w:val="right"/>
              <w:rPr>
                <w:sz w:val="22"/>
              </w:rPr>
            </w:pPr>
            <w:r w:rsidRPr="003E73CD">
              <w:rPr>
                <w:sz w:val="22"/>
              </w:rPr>
              <w:t>24(13.9)</w:t>
            </w:r>
          </w:p>
          <w:p w14:paraId="0D8A0B52" w14:textId="77777777" w:rsidR="0061482C" w:rsidRPr="003E73CD" w:rsidRDefault="0061482C" w:rsidP="00717272">
            <w:pPr>
              <w:jc w:val="right"/>
              <w:rPr>
                <w:sz w:val="22"/>
              </w:rPr>
            </w:pPr>
            <w:r w:rsidRPr="003E73CD">
              <w:rPr>
                <w:sz w:val="22"/>
              </w:rPr>
              <w:t>35(26.5)</w:t>
            </w:r>
          </w:p>
        </w:tc>
        <w:tc>
          <w:tcPr>
            <w:tcW w:w="785" w:type="pct"/>
          </w:tcPr>
          <w:p w14:paraId="03E110F3" w14:textId="77777777" w:rsidR="0061482C" w:rsidRPr="003E73CD" w:rsidRDefault="0061482C" w:rsidP="00717272">
            <w:pPr>
              <w:jc w:val="center"/>
              <w:rPr>
                <w:sz w:val="22"/>
              </w:rPr>
            </w:pPr>
          </w:p>
          <w:p w14:paraId="6C53EAAE" w14:textId="77777777" w:rsidR="0061482C" w:rsidRPr="003E73CD" w:rsidRDefault="0061482C" w:rsidP="00717272">
            <w:pPr>
              <w:jc w:val="center"/>
              <w:rPr>
                <w:sz w:val="22"/>
              </w:rPr>
            </w:pPr>
            <w:r w:rsidRPr="003E73CD">
              <w:rPr>
                <w:sz w:val="22"/>
              </w:rPr>
              <w:t>1</w:t>
            </w:r>
          </w:p>
          <w:p w14:paraId="6A5EFC16" w14:textId="77777777" w:rsidR="0061482C" w:rsidRPr="003E73CD" w:rsidRDefault="0061482C" w:rsidP="00717272">
            <w:pPr>
              <w:jc w:val="center"/>
              <w:rPr>
                <w:sz w:val="22"/>
              </w:rPr>
            </w:pPr>
            <w:r w:rsidRPr="003E73CD">
              <w:rPr>
                <w:sz w:val="22"/>
              </w:rPr>
              <w:t>2.24 (1.26-4.00)</w:t>
            </w:r>
          </w:p>
        </w:tc>
        <w:tc>
          <w:tcPr>
            <w:tcW w:w="464" w:type="pct"/>
          </w:tcPr>
          <w:p w14:paraId="58F9C0F7" w14:textId="77777777" w:rsidR="0061482C" w:rsidRPr="003E73CD" w:rsidRDefault="0061482C" w:rsidP="00717272">
            <w:pPr>
              <w:jc w:val="center"/>
              <w:rPr>
                <w:sz w:val="22"/>
              </w:rPr>
            </w:pPr>
          </w:p>
          <w:p w14:paraId="006CAFEE" w14:textId="77777777" w:rsidR="0061482C" w:rsidRPr="003E73CD" w:rsidRDefault="0061482C" w:rsidP="00717272">
            <w:pPr>
              <w:jc w:val="center"/>
              <w:rPr>
                <w:sz w:val="22"/>
              </w:rPr>
            </w:pPr>
          </w:p>
          <w:p w14:paraId="64A5FC06" w14:textId="77777777" w:rsidR="0061482C" w:rsidRPr="003E73CD" w:rsidRDefault="0061482C" w:rsidP="00717272">
            <w:pPr>
              <w:jc w:val="center"/>
              <w:rPr>
                <w:sz w:val="22"/>
              </w:rPr>
            </w:pPr>
            <w:r w:rsidRPr="003E73CD">
              <w:rPr>
                <w:sz w:val="22"/>
              </w:rPr>
              <w:t>0.006</w:t>
            </w:r>
          </w:p>
        </w:tc>
        <w:tc>
          <w:tcPr>
            <w:tcW w:w="844" w:type="pct"/>
          </w:tcPr>
          <w:p w14:paraId="4EC265B8" w14:textId="77777777" w:rsidR="0061482C" w:rsidRPr="003E73CD" w:rsidRDefault="0061482C" w:rsidP="00717272">
            <w:pPr>
              <w:jc w:val="center"/>
              <w:rPr>
                <w:sz w:val="22"/>
              </w:rPr>
            </w:pPr>
          </w:p>
          <w:p w14:paraId="12C52C99" w14:textId="77777777" w:rsidR="0061482C" w:rsidRPr="003E73CD" w:rsidRDefault="0061482C" w:rsidP="00717272">
            <w:pPr>
              <w:jc w:val="center"/>
              <w:rPr>
                <w:sz w:val="22"/>
              </w:rPr>
            </w:pPr>
            <w:r w:rsidRPr="003E73CD">
              <w:rPr>
                <w:sz w:val="22"/>
              </w:rPr>
              <w:t>1</w:t>
            </w:r>
          </w:p>
          <w:p w14:paraId="314C9A83" w14:textId="77777777" w:rsidR="0061482C" w:rsidRPr="003E73CD" w:rsidRDefault="0061482C" w:rsidP="00717272">
            <w:pPr>
              <w:jc w:val="center"/>
              <w:rPr>
                <w:sz w:val="22"/>
              </w:rPr>
            </w:pPr>
            <w:r w:rsidRPr="003E73CD">
              <w:rPr>
                <w:sz w:val="22"/>
              </w:rPr>
              <w:t>2.06 (1.03-4.14)</w:t>
            </w:r>
          </w:p>
        </w:tc>
        <w:tc>
          <w:tcPr>
            <w:tcW w:w="534" w:type="pct"/>
          </w:tcPr>
          <w:p w14:paraId="62D05E84" w14:textId="77777777" w:rsidR="0061482C" w:rsidRPr="003E73CD" w:rsidRDefault="0061482C" w:rsidP="00717272">
            <w:pPr>
              <w:jc w:val="center"/>
              <w:rPr>
                <w:sz w:val="22"/>
              </w:rPr>
            </w:pPr>
          </w:p>
          <w:p w14:paraId="6EC6E05E" w14:textId="77777777" w:rsidR="0061482C" w:rsidRPr="003E73CD" w:rsidRDefault="0061482C" w:rsidP="00717272">
            <w:pPr>
              <w:jc w:val="center"/>
              <w:rPr>
                <w:sz w:val="22"/>
              </w:rPr>
            </w:pPr>
          </w:p>
          <w:p w14:paraId="5E9A5DFF" w14:textId="77777777" w:rsidR="0061482C" w:rsidRPr="003E73CD" w:rsidRDefault="0061482C" w:rsidP="00717272">
            <w:pPr>
              <w:jc w:val="center"/>
              <w:rPr>
                <w:sz w:val="22"/>
              </w:rPr>
            </w:pPr>
            <w:r w:rsidRPr="003E73CD">
              <w:rPr>
                <w:sz w:val="22"/>
              </w:rPr>
              <w:t>0.042</w:t>
            </w:r>
          </w:p>
        </w:tc>
      </w:tr>
      <w:tr w:rsidR="0061482C" w:rsidRPr="003E73CD" w14:paraId="5BF2A7E0" w14:textId="77777777" w:rsidTr="000C2BAA">
        <w:tc>
          <w:tcPr>
            <w:tcW w:w="1064" w:type="pct"/>
          </w:tcPr>
          <w:p w14:paraId="36433CD1" w14:textId="77777777" w:rsidR="0061482C" w:rsidRPr="003E73CD" w:rsidRDefault="0061482C" w:rsidP="00717272">
            <w:pPr>
              <w:rPr>
                <w:sz w:val="22"/>
                <w:lang w:val="en-AU"/>
              </w:rPr>
            </w:pPr>
            <w:r w:rsidRPr="003E73CD">
              <w:rPr>
                <w:sz w:val="22"/>
                <w:lang w:val="en-AU"/>
              </w:rPr>
              <w:t>Mitotic rate (mitoses/mm</w:t>
            </w:r>
            <w:r w:rsidRPr="003E73CD">
              <w:rPr>
                <w:sz w:val="22"/>
                <w:vertAlign w:val="superscript"/>
                <w:lang w:val="en-AU"/>
              </w:rPr>
              <w:t>2</w:t>
            </w:r>
            <w:r w:rsidRPr="003E73CD">
              <w:rPr>
                <w:sz w:val="22"/>
                <w:lang w:val="en-AU"/>
              </w:rPr>
              <w:t>)</w:t>
            </w:r>
          </w:p>
          <w:p w14:paraId="4C80DD3D" w14:textId="77777777" w:rsidR="0061482C" w:rsidRPr="003E73CD" w:rsidRDefault="0061482C" w:rsidP="00717272">
            <w:pPr>
              <w:rPr>
                <w:sz w:val="22"/>
              </w:rPr>
            </w:pPr>
            <w:r w:rsidRPr="003E73CD">
              <w:rPr>
                <w:sz w:val="22"/>
                <w:lang w:val="en-AU"/>
              </w:rPr>
              <w:t xml:space="preserve">  </w:t>
            </w:r>
            <w:r w:rsidRPr="003E73CD">
              <w:rPr>
                <w:sz w:val="22"/>
              </w:rPr>
              <w:t>≤5</w:t>
            </w:r>
          </w:p>
          <w:p w14:paraId="06B459A9" w14:textId="77777777" w:rsidR="0061482C" w:rsidRPr="003E73CD" w:rsidRDefault="0061482C" w:rsidP="00717272">
            <w:pPr>
              <w:rPr>
                <w:sz w:val="22"/>
              </w:rPr>
            </w:pPr>
            <w:r w:rsidRPr="003E73CD">
              <w:rPr>
                <w:sz w:val="22"/>
              </w:rPr>
              <w:t xml:space="preserve">  6-10</w:t>
            </w:r>
          </w:p>
          <w:p w14:paraId="4FE05C78" w14:textId="77777777" w:rsidR="0061482C" w:rsidRPr="003E73CD" w:rsidRDefault="0061482C" w:rsidP="00717272">
            <w:pPr>
              <w:rPr>
                <w:sz w:val="22"/>
              </w:rPr>
            </w:pPr>
            <w:r w:rsidRPr="003E73CD">
              <w:rPr>
                <w:sz w:val="22"/>
              </w:rPr>
              <w:t xml:space="preserve">  &gt;10</w:t>
            </w:r>
          </w:p>
          <w:p w14:paraId="6D484AA6" w14:textId="77777777" w:rsidR="0061482C" w:rsidRPr="003E73CD" w:rsidRDefault="0061482C" w:rsidP="00717272">
            <w:pPr>
              <w:rPr>
                <w:sz w:val="22"/>
              </w:rPr>
            </w:pPr>
          </w:p>
        </w:tc>
        <w:tc>
          <w:tcPr>
            <w:tcW w:w="684" w:type="pct"/>
          </w:tcPr>
          <w:p w14:paraId="0964A118" w14:textId="77777777" w:rsidR="0061482C" w:rsidRPr="003E73CD" w:rsidRDefault="0061482C" w:rsidP="00717272">
            <w:pPr>
              <w:jc w:val="right"/>
              <w:rPr>
                <w:sz w:val="22"/>
              </w:rPr>
            </w:pPr>
          </w:p>
          <w:p w14:paraId="7484C0A6" w14:textId="77777777" w:rsidR="0061482C" w:rsidRPr="003E73CD" w:rsidRDefault="0061482C" w:rsidP="00717272">
            <w:pPr>
              <w:jc w:val="right"/>
              <w:rPr>
                <w:sz w:val="22"/>
              </w:rPr>
            </w:pPr>
          </w:p>
          <w:p w14:paraId="23DFA395" w14:textId="77777777" w:rsidR="0061482C" w:rsidRPr="003E73CD" w:rsidRDefault="0061482C" w:rsidP="00717272">
            <w:pPr>
              <w:jc w:val="right"/>
              <w:rPr>
                <w:sz w:val="22"/>
              </w:rPr>
            </w:pPr>
            <w:r w:rsidRPr="003E73CD">
              <w:rPr>
                <w:sz w:val="22"/>
              </w:rPr>
              <w:t>163 (85.3)</w:t>
            </w:r>
          </w:p>
          <w:p w14:paraId="55934798" w14:textId="77777777" w:rsidR="0061482C" w:rsidRPr="003E73CD" w:rsidRDefault="0061482C" w:rsidP="00717272">
            <w:pPr>
              <w:jc w:val="right"/>
              <w:rPr>
                <w:sz w:val="22"/>
              </w:rPr>
            </w:pPr>
            <w:r w:rsidRPr="003E73CD">
              <w:rPr>
                <w:sz w:val="22"/>
              </w:rPr>
              <w:t>54 (76.1)</w:t>
            </w:r>
          </w:p>
          <w:p w14:paraId="0E2E8277" w14:textId="77777777" w:rsidR="0061482C" w:rsidRPr="003E73CD" w:rsidRDefault="0061482C" w:rsidP="00717272">
            <w:pPr>
              <w:jc w:val="right"/>
              <w:rPr>
                <w:sz w:val="22"/>
              </w:rPr>
            </w:pPr>
            <w:r w:rsidRPr="003E73CD">
              <w:rPr>
                <w:sz w:val="22"/>
              </w:rPr>
              <w:t xml:space="preserve">38 (71.7) </w:t>
            </w:r>
          </w:p>
        </w:tc>
        <w:tc>
          <w:tcPr>
            <w:tcW w:w="625" w:type="pct"/>
          </w:tcPr>
          <w:p w14:paraId="294FC674" w14:textId="77777777" w:rsidR="0061482C" w:rsidRPr="003E73CD" w:rsidRDefault="0061482C" w:rsidP="00717272">
            <w:pPr>
              <w:jc w:val="right"/>
              <w:rPr>
                <w:sz w:val="22"/>
              </w:rPr>
            </w:pPr>
          </w:p>
          <w:p w14:paraId="747D24F5" w14:textId="77777777" w:rsidR="0061482C" w:rsidRPr="003E73CD" w:rsidRDefault="0061482C" w:rsidP="00717272">
            <w:pPr>
              <w:jc w:val="right"/>
              <w:rPr>
                <w:sz w:val="22"/>
              </w:rPr>
            </w:pPr>
          </w:p>
          <w:p w14:paraId="7FFFBC84" w14:textId="77777777" w:rsidR="0061482C" w:rsidRPr="003E73CD" w:rsidRDefault="0061482C" w:rsidP="00717272">
            <w:pPr>
              <w:jc w:val="right"/>
              <w:rPr>
                <w:sz w:val="22"/>
              </w:rPr>
            </w:pPr>
            <w:r w:rsidRPr="003E73CD">
              <w:rPr>
                <w:sz w:val="22"/>
              </w:rPr>
              <w:t>28 (14.7)</w:t>
            </w:r>
          </w:p>
          <w:p w14:paraId="10F01B5A" w14:textId="77777777" w:rsidR="0061482C" w:rsidRPr="003E73CD" w:rsidRDefault="0061482C" w:rsidP="00717272">
            <w:pPr>
              <w:jc w:val="right"/>
              <w:rPr>
                <w:sz w:val="22"/>
              </w:rPr>
            </w:pPr>
            <w:r w:rsidRPr="003E73CD">
              <w:rPr>
                <w:sz w:val="22"/>
              </w:rPr>
              <w:t>16 (22.9)</w:t>
            </w:r>
          </w:p>
          <w:p w14:paraId="665607DC" w14:textId="77777777" w:rsidR="0061482C" w:rsidRPr="003E73CD" w:rsidRDefault="0061482C" w:rsidP="00717272">
            <w:pPr>
              <w:jc w:val="right"/>
              <w:rPr>
                <w:sz w:val="22"/>
              </w:rPr>
            </w:pPr>
            <w:r w:rsidRPr="003E73CD">
              <w:rPr>
                <w:sz w:val="22"/>
              </w:rPr>
              <w:t>15 (28.3)</w:t>
            </w:r>
          </w:p>
        </w:tc>
        <w:tc>
          <w:tcPr>
            <w:tcW w:w="785" w:type="pct"/>
          </w:tcPr>
          <w:p w14:paraId="0D787DA8" w14:textId="77777777" w:rsidR="0061482C" w:rsidRPr="003E73CD" w:rsidRDefault="0061482C" w:rsidP="00717272">
            <w:pPr>
              <w:jc w:val="center"/>
              <w:rPr>
                <w:sz w:val="22"/>
              </w:rPr>
            </w:pPr>
          </w:p>
          <w:p w14:paraId="62795DBC" w14:textId="77777777" w:rsidR="0061482C" w:rsidRPr="003E73CD" w:rsidRDefault="0061482C" w:rsidP="00717272">
            <w:pPr>
              <w:jc w:val="center"/>
              <w:rPr>
                <w:sz w:val="22"/>
              </w:rPr>
            </w:pPr>
          </w:p>
          <w:p w14:paraId="650DEEFA" w14:textId="77777777" w:rsidR="0061482C" w:rsidRPr="003E73CD" w:rsidRDefault="0061482C" w:rsidP="00717272">
            <w:pPr>
              <w:jc w:val="center"/>
              <w:rPr>
                <w:sz w:val="22"/>
              </w:rPr>
            </w:pPr>
            <w:r w:rsidRPr="003E73CD">
              <w:rPr>
                <w:sz w:val="22"/>
              </w:rPr>
              <w:t>1</w:t>
            </w:r>
          </w:p>
          <w:p w14:paraId="6295EC6C" w14:textId="77777777" w:rsidR="0061482C" w:rsidRPr="003E73CD" w:rsidRDefault="0061482C" w:rsidP="00717272">
            <w:pPr>
              <w:jc w:val="center"/>
              <w:rPr>
                <w:sz w:val="22"/>
              </w:rPr>
            </w:pPr>
            <w:r w:rsidRPr="003E73CD">
              <w:rPr>
                <w:sz w:val="22"/>
              </w:rPr>
              <w:t>1.73 (0.87-3.43)</w:t>
            </w:r>
          </w:p>
          <w:p w14:paraId="2C9BD1E3" w14:textId="77777777" w:rsidR="0061482C" w:rsidRPr="003E73CD" w:rsidRDefault="0061482C" w:rsidP="00717272">
            <w:pPr>
              <w:jc w:val="center"/>
              <w:rPr>
                <w:sz w:val="22"/>
              </w:rPr>
            </w:pPr>
            <w:r w:rsidRPr="003E73CD">
              <w:rPr>
                <w:sz w:val="22"/>
              </w:rPr>
              <w:t>2.30 (1.12-4.72)</w:t>
            </w:r>
          </w:p>
        </w:tc>
        <w:tc>
          <w:tcPr>
            <w:tcW w:w="464" w:type="pct"/>
          </w:tcPr>
          <w:p w14:paraId="70CFC575" w14:textId="77777777" w:rsidR="0061482C" w:rsidRPr="003E73CD" w:rsidRDefault="0061482C" w:rsidP="00717272">
            <w:pPr>
              <w:jc w:val="center"/>
              <w:rPr>
                <w:sz w:val="22"/>
              </w:rPr>
            </w:pPr>
          </w:p>
          <w:p w14:paraId="6DD70B18" w14:textId="77777777" w:rsidR="0061482C" w:rsidRPr="003E73CD" w:rsidRDefault="0061482C" w:rsidP="00717272">
            <w:pPr>
              <w:jc w:val="center"/>
              <w:rPr>
                <w:sz w:val="22"/>
              </w:rPr>
            </w:pPr>
          </w:p>
          <w:p w14:paraId="6DD17FA4" w14:textId="77777777" w:rsidR="0061482C" w:rsidRPr="003E73CD" w:rsidRDefault="0061482C" w:rsidP="00717272">
            <w:pPr>
              <w:jc w:val="center"/>
              <w:rPr>
                <w:sz w:val="22"/>
              </w:rPr>
            </w:pPr>
          </w:p>
          <w:p w14:paraId="191AB463" w14:textId="77777777" w:rsidR="0061482C" w:rsidRPr="003E73CD" w:rsidRDefault="0061482C" w:rsidP="00717272">
            <w:pPr>
              <w:jc w:val="center"/>
              <w:rPr>
                <w:sz w:val="22"/>
              </w:rPr>
            </w:pPr>
            <w:r w:rsidRPr="003E73CD">
              <w:rPr>
                <w:sz w:val="22"/>
              </w:rPr>
              <w:t>0.120</w:t>
            </w:r>
          </w:p>
          <w:p w14:paraId="3086EC8B" w14:textId="77777777" w:rsidR="0061482C" w:rsidRPr="003E73CD" w:rsidRDefault="0061482C" w:rsidP="00717272">
            <w:pPr>
              <w:jc w:val="center"/>
              <w:rPr>
                <w:sz w:val="22"/>
              </w:rPr>
            </w:pPr>
            <w:r w:rsidRPr="003E73CD">
              <w:rPr>
                <w:sz w:val="22"/>
              </w:rPr>
              <w:t>0.024</w:t>
            </w:r>
          </w:p>
        </w:tc>
        <w:tc>
          <w:tcPr>
            <w:tcW w:w="844" w:type="pct"/>
          </w:tcPr>
          <w:p w14:paraId="432D5B46" w14:textId="77777777" w:rsidR="0061482C" w:rsidRPr="003E73CD" w:rsidRDefault="0061482C" w:rsidP="00717272">
            <w:pPr>
              <w:jc w:val="center"/>
              <w:rPr>
                <w:sz w:val="22"/>
              </w:rPr>
            </w:pPr>
          </w:p>
          <w:p w14:paraId="3E1370E9" w14:textId="77777777" w:rsidR="0061482C" w:rsidRPr="003E73CD" w:rsidRDefault="0061482C" w:rsidP="00717272">
            <w:pPr>
              <w:jc w:val="center"/>
              <w:rPr>
                <w:sz w:val="22"/>
              </w:rPr>
            </w:pPr>
          </w:p>
          <w:p w14:paraId="0ADF6461" w14:textId="77777777" w:rsidR="0061482C" w:rsidRPr="003E73CD" w:rsidRDefault="0061482C" w:rsidP="00717272">
            <w:pPr>
              <w:jc w:val="center"/>
              <w:rPr>
                <w:sz w:val="22"/>
              </w:rPr>
            </w:pPr>
            <w:r w:rsidRPr="003E73CD">
              <w:rPr>
                <w:sz w:val="22"/>
              </w:rPr>
              <w:t>1</w:t>
            </w:r>
          </w:p>
          <w:p w14:paraId="371A8686" w14:textId="77777777" w:rsidR="0061482C" w:rsidRPr="003E73CD" w:rsidRDefault="0061482C" w:rsidP="00717272">
            <w:pPr>
              <w:jc w:val="center"/>
              <w:rPr>
                <w:sz w:val="22"/>
              </w:rPr>
            </w:pPr>
            <w:r w:rsidRPr="003E73CD">
              <w:rPr>
                <w:sz w:val="22"/>
              </w:rPr>
              <w:t>1.75 (0.84-3.67)</w:t>
            </w:r>
          </w:p>
          <w:p w14:paraId="0FA79FBE" w14:textId="77777777" w:rsidR="0061482C" w:rsidRPr="003E73CD" w:rsidRDefault="0061482C" w:rsidP="00717272">
            <w:pPr>
              <w:jc w:val="center"/>
              <w:rPr>
                <w:sz w:val="22"/>
              </w:rPr>
            </w:pPr>
            <w:r w:rsidRPr="003E73CD">
              <w:rPr>
                <w:sz w:val="22"/>
              </w:rPr>
              <w:t>2.02 (0.89-4.57)</w:t>
            </w:r>
          </w:p>
        </w:tc>
        <w:tc>
          <w:tcPr>
            <w:tcW w:w="534" w:type="pct"/>
          </w:tcPr>
          <w:p w14:paraId="2CA8066E" w14:textId="77777777" w:rsidR="0061482C" w:rsidRPr="003E73CD" w:rsidRDefault="0061482C" w:rsidP="00717272">
            <w:pPr>
              <w:jc w:val="center"/>
              <w:rPr>
                <w:sz w:val="22"/>
              </w:rPr>
            </w:pPr>
          </w:p>
          <w:p w14:paraId="450B6B99" w14:textId="77777777" w:rsidR="0061482C" w:rsidRPr="003E73CD" w:rsidRDefault="0061482C" w:rsidP="00717272">
            <w:pPr>
              <w:jc w:val="center"/>
              <w:rPr>
                <w:sz w:val="22"/>
              </w:rPr>
            </w:pPr>
          </w:p>
          <w:p w14:paraId="622BAAEA" w14:textId="77777777" w:rsidR="0061482C" w:rsidRPr="003E73CD" w:rsidRDefault="0061482C" w:rsidP="00717272">
            <w:pPr>
              <w:jc w:val="center"/>
              <w:rPr>
                <w:sz w:val="22"/>
              </w:rPr>
            </w:pPr>
          </w:p>
          <w:p w14:paraId="4048C726" w14:textId="77777777" w:rsidR="0061482C" w:rsidRPr="003E73CD" w:rsidRDefault="0061482C" w:rsidP="00717272">
            <w:pPr>
              <w:jc w:val="center"/>
              <w:rPr>
                <w:sz w:val="22"/>
              </w:rPr>
            </w:pPr>
            <w:r w:rsidRPr="003E73CD">
              <w:rPr>
                <w:sz w:val="22"/>
              </w:rPr>
              <w:t>0.137</w:t>
            </w:r>
          </w:p>
          <w:p w14:paraId="430CC51C" w14:textId="77777777" w:rsidR="0061482C" w:rsidRPr="003E73CD" w:rsidRDefault="0061482C" w:rsidP="00717272">
            <w:pPr>
              <w:jc w:val="center"/>
              <w:rPr>
                <w:sz w:val="22"/>
              </w:rPr>
            </w:pPr>
            <w:r w:rsidRPr="003E73CD">
              <w:rPr>
                <w:sz w:val="22"/>
              </w:rPr>
              <w:t>0.092</w:t>
            </w:r>
          </w:p>
        </w:tc>
      </w:tr>
      <w:tr w:rsidR="0061482C" w:rsidRPr="003E73CD" w14:paraId="2000A806" w14:textId="77777777" w:rsidTr="000C2BAA">
        <w:tc>
          <w:tcPr>
            <w:tcW w:w="1064" w:type="pct"/>
            <w:tcBorders>
              <w:bottom w:val="single" w:sz="4" w:space="0" w:color="auto"/>
            </w:tcBorders>
          </w:tcPr>
          <w:p w14:paraId="071F1B03" w14:textId="77777777" w:rsidR="0061482C" w:rsidRPr="003E73CD" w:rsidRDefault="0061482C" w:rsidP="00717272">
            <w:pPr>
              <w:rPr>
                <w:sz w:val="22"/>
              </w:rPr>
            </w:pPr>
            <w:r w:rsidRPr="003E73CD">
              <w:rPr>
                <w:sz w:val="22"/>
              </w:rPr>
              <w:t xml:space="preserve">Number of sentinel nodes removed </w:t>
            </w:r>
          </w:p>
          <w:p w14:paraId="4F5C0560" w14:textId="77777777" w:rsidR="0061482C" w:rsidRPr="003E73CD" w:rsidRDefault="0061482C" w:rsidP="00717272">
            <w:pPr>
              <w:rPr>
                <w:sz w:val="22"/>
                <w:lang w:val="en-AU"/>
              </w:rPr>
            </w:pPr>
          </w:p>
        </w:tc>
        <w:tc>
          <w:tcPr>
            <w:tcW w:w="684" w:type="pct"/>
            <w:tcBorders>
              <w:bottom w:val="single" w:sz="4" w:space="0" w:color="auto"/>
            </w:tcBorders>
          </w:tcPr>
          <w:p w14:paraId="18471210" w14:textId="77777777" w:rsidR="0061482C" w:rsidRPr="003E73CD" w:rsidRDefault="0061482C" w:rsidP="00717272">
            <w:pPr>
              <w:jc w:val="right"/>
              <w:rPr>
                <w:sz w:val="22"/>
              </w:rPr>
            </w:pPr>
            <w:r w:rsidRPr="003E73CD">
              <w:rPr>
                <w:sz w:val="22"/>
              </w:rPr>
              <w:t>2.1 ± 1.1</w:t>
            </w:r>
          </w:p>
        </w:tc>
        <w:tc>
          <w:tcPr>
            <w:tcW w:w="625" w:type="pct"/>
            <w:tcBorders>
              <w:bottom w:val="single" w:sz="4" w:space="0" w:color="auto"/>
            </w:tcBorders>
          </w:tcPr>
          <w:p w14:paraId="798CAFA6" w14:textId="77777777" w:rsidR="0061482C" w:rsidRPr="003E73CD" w:rsidRDefault="0061482C" w:rsidP="00717272">
            <w:pPr>
              <w:jc w:val="right"/>
              <w:rPr>
                <w:sz w:val="22"/>
              </w:rPr>
            </w:pPr>
            <w:r w:rsidRPr="003E73CD">
              <w:rPr>
                <w:sz w:val="22"/>
              </w:rPr>
              <w:t>1.8 ± 1.0</w:t>
            </w:r>
          </w:p>
        </w:tc>
        <w:tc>
          <w:tcPr>
            <w:tcW w:w="785" w:type="pct"/>
            <w:tcBorders>
              <w:bottom w:val="single" w:sz="4" w:space="0" w:color="auto"/>
            </w:tcBorders>
          </w:tcPr>
          <w:p w14:paraId="253B6A38" w14:textId="77777777" w:rsidR="0061482C" w:rsidRPr="003E73CD" w:rsidRDefault="0061482C" w:rsidP="00717272">
            <w:pPr>
              <w:jc w:val="center"/>
              <w:rPr>
                <w:sz w:val="22"/>
              </w:rPr>
            </w:pPr>
            <w:r w:rsidRPr="003E73CD">
              <w:rPr>
                <w:sz w:val="22"/>
              </w:rPr>
              <w:t>0.80 (0.60-1.06)</w:t>
            </w:r>
          </w:p>
        </w:tc>
        <w:tc>
          <w:tcPr>
            <w:tcW w:w="464" w:type="pct"/>
            <w:tcBorders>
              <w:bottom w:val="single" w:sz="4" w:space="0" w:color="auto"/>
            </w:tcBorders>
          </w:tcPr>
          <w:p w14:paraId="7366A402" w14:textId="77777777" w:rsidR="0061482C" w:rsidRPr="003E73CD" w:rsidRDefault="0061482C" w:rsidP="00717272">
            <w:pPr>
              <w:jc w:val="center"/>
              <w:rPr>
                <w:sz w:val="22"/>
              </w:rPr>
            </w:pPr>
            <w:r w:rsidRPr="003E73CD">
              <w:rPr>
                <w:sz w:val="22"/>
              </w:rPr>
              <w:t>0.119</w:t>
            </w:r>
          </w:p>
        </w:tc>
        <w:tc>
          <w:tcPr>
            <w:tcW w:w="844" w:type="pct"/>
            <w:tcBorders>
              <w:bottom w:val="single" w:sz="4" w:space="0" w:color="auto"/>
            </w:tcBorders>
          </w:tcPr>
          <w:p w14:paraId="43AECD5F" w14:textId="77777777" w:rsidR="0061482C" w:rsidRPr="003E73CD" w:rsidRDefault="0061482C" w:rsidP="00717272">
            <w:pPr>
              <w:jc w:val="center"/>
              <w:rPr>
                <w:sz w:val="22"/>
              </w:rPr>
            </w:pPr>
            <w:r w:rsidRPr="003E73CD">
              <w:rPr>
                <w:sz w:val="22"/>
              </w:rPr>
              <w:t>0.79 (0.59-1.07)</w:t>
            </w:r>
          </w:p>
        </w:tc>
        <w:tc>
          <w:tcPr>
            <w:tcW w:w="534" w:type="pct"/>
            <w:tcBorders>
              <w:bottom w:val="single" w:sz="4" w:space="0" w:color="auto"/>
            </w:tcBorders>
          </w:tcPr>
          <w:p w14:paraId="24099E0A" w14:textId="77777777" w:rsidR="0061482C" w:rsidRPr="003E73CD" w:rsidRDefault="0061482C" w:rsidP="00717272">
            <w:pPr>
              <w:jc w:val="center"/>
              <w:rPr>
                <w:sz w:val="22"/>
              </w:rPr>
            </w:pPr>
            <w:r w:rsidRPr="003E73CD">
              <w:rPr>
                <w:sz w:val="22"/>
              </w:rPr>
              <w:t>0.124</w:t>
            </w:r>
          </w:p>
        </w:tc>
      </w:tr>
    </w:tbl>
    <w:p w14:paraId="543A9F1B" w14:textId="77777777" w:rsidR="0061482C" w:rsidRPr="003E73CD" w:rsidRDefault="0061482C" w:rsidP="0061482C">
      <w:pPr>
        <w:rPr>
          <w:sz w:val="22"/>
        </w:rPr>
      </w:pPr>
      <w:r w:rsidRPr="003E73CD">
        <w:rPr>
          <w:sz w:val="22"/>
          <w:vertAlign w:val="superscript"/>
        </w:rPr>
        <w:t xml:space="preserve"># </w:t>
      </w:r>
      <w:r w:rsidRPr="003E73CD">
        <w:rPr>
          <w:sz w:val="22"/>
        </w:rPr>
        <w:t>SNB=sentinel node biopsy</w:t>
      </w:r>
    </w:p>
    <w:p w14:paraId="67F6C019" w14:textId="77777777" w:rsidR="0061482C" w:rsidRPr="003E73CD" w:rsidRDefault="0061482C" w:rsidP="0061482C">
      <w:pPr>
        <w:rPr>
          <w:sz w:val="22"/>
        </w:rPr>
      </w:pPr>
      <w:r w:rsidRPr="003E73CD">
        <w:rPr>
          <w:sz w:val="22"/>
          <w:vertAlign w:val="superscript"/>
        </w:rPr>
        <w:t>*</w:t>
      </w:r>
      <w:r w:rsidRPr="003E73CD">
        <w:rPr>
          <w:sz w:val="22"/>
        </w:rPr>
        <w:t>Mean ± SD</w:t>
      </w:r>
    </w:p>
    <w:p w14:paraId="00347180" w14:textId="77777777" w:rsidR="0061482C" w:rsidRPr="003E73CD" w:rsidRDefault="0061482C" w:rsidP="0061482C">
      <w:pPr>
        <w:rPr>
          <w:sz w:val="22"/>
        </w:rPr>
      </w:pPr>
      <w:r w:rsidRPr="003E73CD">
        <w:rPr>
          <w:sz w:val="22"/>
          <w:vertAlign w:val="superscript"/>
        </w:rPr>
        <w:t xml:space="preserve">$ </w:t>
      </w:r>
      <w:r w:rsidRPr="003E73CD">
        <w:rPr>
          <w:sz w:val="22"/>
        </w:rPr>
        <w:t>Adjusted odds ratio for age in 10 year increments</w:t>
      </w:r>
    </w:p>
    <w:p w14:paraId="76F2FCFC" w14:textId="77777777" w:rsidR="0061482C" w:rsidRPr="003E73CD" w:rsidRDefault="0061482C" w:rsidP="0061482C">
      <w:pPr>
        <w:rPr>
          <w:sz w:val="22"/>
        </w:rPr>
      </w:pPr>
    </w:p>
    <w:p w14:paraId="0E563B66" w14:textId="77777777" w:rsidR="00BE2D29" w:rsidRPr="003E73CD" w:rsidRDefault="00BE2D29">
      <w:pPr>
        <w:rPr>
          <w:sz w:val="22"/>
        </w:rPr>
      </w:pPr>
      <w:r w:rsidRPr="003E73CD">
        <w:rPr>
          <w:sz w:val="22"/>
        </w:rPr>
        <w:br w:type="page"/>
      </w:r>
    </w:p>
    <w:p w14:paraId="62E0464F" w14:textId="3E589F84" w:rsidR="0061482C" w:rsidRPr="003E73CD" w:rsidRDefault="00BE2D29" w:rsidP="0061482C">
      <w:pPr>
        <w:spacing w:line="480" w:lineRule="auto"/>
        <w:rPr>
          <w:sz w:val="22"/>
        </w:rPr>
      </w:pPr>
      <w:r w:rsidRPr="003E73CD">
        <w:rPr>
          <w:sz w:val="22"/>
        </w:rPr>
        <w:t xml:space="preserve">Figure </w:t>
      </w:r>
      <w:r w:rsidR="00155C61">
        <w:rPr>
          <w:sz w:val="22"/>
        </w:rPr>
        <w:t>3.2</w:t>
      </w:r>
      <w:r w:rsidR="00A234AB" w:rsidRPr="003E73CD">
        <w:rPr>
          <w:sz w:val="22"/>
        </w:rPr>
        <w:t>.</w:t>
      </w:r>
      <w:r w:rsidRPr="003E73CD">
        <w:rPr>
          <w:sz w:val="22"/>
        </w:rPr>
        <w:t>5</w:t>
      </w:r>
      <w:r w:rsidR="0061482C" w:rsidRPr="003E73CD">
        <w:rPr>
          <w:sz w:val="22"/>
        </w:rPr>
        <w:t xml:space="preserve">.  </w:t>
      </w:r>
      <w:proofErr w:type="gramStart"/>
      <w:r w:rsidR="0061482C" w:rsidRPr="003E73CD">
        <w:rPr>
          <w:sz w:val="22"/>
        </w:rPr>
        <w:t>Survival tree model for sentinel node (SN) positive patients (non-sentinel node = NSN; sentinel node biopsy = SNB).</w:t>
      </w:r>
      <w:proofErr w:type="gramEnd"/>
    </w:p>
    <w:p w14:paraId="50F6292D" w14:textId="77777777" w:rsidR="0061482C" w:rsidRPr="003E73CD" w:rsidRDefault="0061482C" w:rsidP="0061482C">
      <w:pPr>
        <w:spacing w:line="480" w:lineRule="auto"/>
        <w:rPr>
          <w:sz w:val="22"/>
          <w:szCs w:val="22"/>
        </w:rPr>
      </w:pPr>
    </w:p>
    <w:p w14:paraId="730439C2" w14:textId="77777777" w:rsidR="0061482C" w:rsidRPr="003E73CD" w:rsidRDefault="0061482C" w:rsidP="0061482C">
      <w:pPr>
        <w:spacing w:line="480" w:lineRule="auto"/>
        <w:rPr>
          <w:sz w:val="22"/>
          <w:szCs w:val="22"/>
        </w:rPr>
      </w:pPr>
    </w:p>
    <w:p w14:paraId="0428AF7B" w14:textId="77777777" w:rsidR="0061482C" w:rsidRPr="003E73CD" w:rsidRDefault="0061482C" w:rsidP="0061482C">
      <w:pPr>
        <w:spacing w:line="480" w:lineRule="auto"/>
        <w:rPr>
          <w:sz w:val="22"/>
          <w:szCs w:val="22"/>
        </w:rPr>
      </w:pPr>
    </w:p>
    <w:p w14:paraId="27E0B9A8" w14:textId="77777777" w:rsidR="0061482C" w:rsidRPr="003E73CD" w:rsidRDefault="0061482C" w:rsidP="0061482C">
      <w:r w:rsidRPr="003E73CD">
        <w:rPr>
          <w:noProof/>
        </w:rPr>
        <w:drawing>
          <wp:inline distT="0" distB="0" distL="0" distR="0" wp14:anchorId="0CC957F0" wp14:editId="233F38DA">
            <wp:extent cx="5547360" cy="3515360"/>
            <wp:effectExtent l="0" t="0" r="0" b="0"/>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47360" cy="3515360"/>
                    </a:xfrm>
                    <a:prstGeom prst="rect">
                      <a:avLst/>
                    </a:prstGeom>
                    <a:noFill/>
                    <a:ln>
                      <a:noFill/>
                    </a:ln>
                  </pic:spPr>
                </pic:pic>
              </a:graphicData>
            </a:graphic>
          </wp:inline>
        </w:drawing>
      </w:r>
    </w:p>
    <w:p w14:paraId="733F2FCE" w14:textId="77777777" w:rsidR="0061482C" w:rsidRPr="003E73CD" w:rsidRDefault="0061482C" w:rsidP="0061482C"/>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8"/>
        <w:gridCol w:w="2077"/>
      </w:tblGrid>
      <w:tr w:rsidR="0061482C" w:rsidRPr="003E73CD" w14:paraId="37010E2F" w14:textId="77777777" w:rsidTr="00717272">
        <w:tc>
          <w:tcPr>
            <w:tcW w:w="828" w:type="dxa"/>
          </w:tcPr>
          <w:p w14:paraId="5A19E081" w14:textId="77777777" w:rsidR="0061482C" w:rsidRPr="003E73CD" w:rsidRDefault="0061482C" w:rsidP="00717272">
            <w:r w:rsidRPr="003E73CD">
              <w:t>Group</w:t>
            </w:r>
          </w:p>
        </w:tc>
        <w:tc>
          <w:tcPr>
            <w:tcW w:w="2077" w:type="dxa"/>
          </w:tcPr>
          <w:p w14:paraId="2DC699A5" w14:textId="77777777" w:rsidR="0061482C" w:rsidRPr="003E73CD" w:rsidRDefault="0061482C" w:rsidP="00717272">
            <w:r w:rsidRPr="003E73CD">
              <w:t>5yr survival (95% CI)</w:t>
            </w:r>
          </w:p>
        </w:tc>
      </w:tr>
      <w:tr w:rsidR="0061482C" w:rsidRPr="003E73CD" w14:paraId="3B140F86" w14:textId="77777777" w:rsidTr="00717272">
        <w:tc>
          <w:tcPr>
            <w:tcW w:w="828" w:type="dxa"/>
          </w:tcPr>
          <w:p w14:paraId="3E89E03D" w14:textId="77777777" w:rsidR="0061482C" w:rsidRPr="003E73CD" w:rsidRDefault="0061482C" w:rsidP="00717272">
            <w:r w:rsidRPr="003E73CD">
              <w:t>1</w:t>
            </w:r>
          </w:p>
        </w:tc>
        <w:tc>
          <w:tcPr>
            <w:tcW w:w="2077" w:type="dxa"/>
          </w:tcPr>
          <w:p w14:paraId="4A6C62B8" w14:textId="77777777" w:rsidR="0061482C" w:rsidRPr="003E73CD" w:rsidRDefault="0061482C" w:rsidP="00717272">
            <w:r w:rsidRPr="003E73CD">
              <w:t>92% (85-99)</w:t>
            </w:r>
          </w:p>
        </w:tc>
      </w:tr>
      <w:tr w:rsidR="0061482C" w:rsidRPr="003E73CD" w14:paraId="5E340CF1" w14:textId="77777777" w:rsidTr="00717272">
        <w:tc>
          <w:tcPr>
            <w:tcW w:w="828" w:type="dxa"/>
          </w:tcPr>
          <w:p w14:paraId="0BA469FD" w14:textId="77777777" w:rsidR="0061482C" w:rsidRPr="003E73CD" w:rsidRDefault="0061482C" w:rsidP="00717272">
            <w:r w:rsidRPr="003E73CD">
              <w:t>2</w:t>
            </w:r>
          </w:p>
        </w:tc>
        <w:tc>
          <w:tcPr>
            <w:tcW w:w="2077" w:type="dxa"/>
          </w:tcPr>
          <w:p w14:paraId="3D82CE60" w14:textId="77777777" w:rsidR="0061482C" w:rsidRPr="003E73CD" w:rsidRDefault="0061482C" w:rsidP="00717272">
            <w:r w:rsidRPr="003E73CD">
              <w:t>70% (58-81)</w:t>
            </w:r>
          </w:p>
        </w:tc>
      </w:tr>
      <w:tr w:rsidR="0061482C" w:rsidRPr="003E73CD" w14:paraId="5EB1718F" w14:textId="77777777" w:rsidTr="00717272">
        <w:tc>
          <w:tcPr>
            <w:tcW w:w="828" w:type="dxa"/>
          </w:tcPr>
          <w:p w14:paraId="0DE1721D" w14:textId="77777777" w:rsidR="0061482C" w:rsidRPr="003E73CD" w:rsidRDefault="0061482C" w:rsidP="00717272">
            <w:r w:rsidRPr="003E73CD">
              <w:t>3</w:t>
            </w:r>
          </w:p>
        </w:tc>
        <w:tc>
          <w:tcPr>
            <w:tcW w:w="2077" w:type="dxa"/>
          </w:tcPr>
          <w:p w14:paraId="1CE37FFB" w14:textId="77777777" w:rsidR="0061482C" w:rsidRPr="003E73CD" w:rsidRDefault="0061482C" w:rsidP="00717272">
            <w:r w:rsidRPr="003E73CD">
              <w:t>39% (29-49)</w:t>
            </w:r>
          </w:p>
        </w:tc>
      </w:tr>
      <w:tr w:rsidR="0061482C" w:rsidRPr="003E73CD" w14:paraId="35F2C039" w14:textId="77777777" w:rsidTr="00717272">
        <w:tc>
          <w:tcPr>
            <w:tcW w:w="828" w:type="dxa"/>
          </w:tcPr>
          <w:p w14:paraId="585E6FB0" w14:textId="77777777" w:rsidR="0061482C" w:rsidRPr="003E73CD" w:rsidRDefault="0061482C" w:rsidP="00717272">
            <w:r w:rsidRPr="003E73CD">
              <w:t>4</w:t>
            </w:r>
          </w:p>
        </w:tc>
        <w:tc>
          <w:tcPr>
            <w:tcW w:w="2077" w:type="dxa"/>
          </w:tcPr>
          <w:p w14:paraId="39EF8CA1" w14:textId="77777777" w:rsidR="0061482C" w:rsidRPr="003E73CD" w:rsidRDefault="0061482C" w:rsidP="00717272">
            <w:r w:rsidRPr="003E73CD">
              <w:t>21% (0-46)</w:t>
            </w:r>
          </w:p>
        </w:tc>
      </w:tr>
    </w:tbl>
    <w:p w14:paraId="3CC52C57" w14:textId="77777777" w:rsidR="0061482C" w:rsidRPr="003E73CD" w:rsidRDefault="0061482C" w:rsidP="0061482C"/>
    <w:p w14:paraId="7342D314" w14:textId="77777777" w:rsidR="0061482C" w:rsidRPr="003E73CD" w:rsidRDefault="0061482C" w:rsidP="0061482C">
      <w:pPr>
        <w:spacing w:line="480" w:lineRule="auto"/>
        <w:rPr>
          <w:sz w:val="22"/>
          <w:szCs w:val="22"/>
        </w:rPr>
      </w:pPr>
    </w:p>
    <w:p w14:paraId="65A89F6C" w14:textId="77777777" w:rsidR="0061482C" w:rsidRPr="003E73CD" w:rsidRDefault="0061482C" w:rsidP="0061482C">
      <w:pPr>
        <w:spacing w:line="480" w:lineRule="auto"/>
        <w:rPr>
          <w:sz w:val="22"/>
          <w:szCs w:val="22"/>
        </w:rPr>
      </w:pPr>
    </w:p>
    <w:p w14:paraId="10F8E780" w14:textId="77777777" w:rsidR="0061482C" w:rsidRPr="003E73CD" w:rsidRDefault="0061482C" w:rsidP="0061482C">
      <w:pPr>
        <w:spacing w:line="480" w:lineRule="auto"/>
        <w:rPr>
          <w:sz w:val="22"/>
          <w:szCs w:val="22"/>
        </w:rPr>
      </w:pPr>
    </w:p>
    <w:p w14:paraId="37D5D73E" w14:textId="77777777" w:rsidR="0061482C" w:rsidRPr="003E73CD" w:rsidRDefault="0061482C" w:rsidP="0061482C">
      <w:pPr>
        <w:spacing w:line="480" w:lineRule="auto"/>
        <w:rPr>
          <w:sz w:val="22"/>
          <w:szCs w:val="22"/>
        </w:rPr>
      </w:pPr>
    </w:p>
    <w:p w14:paraId="3919D323" w14:textId="77777777" w:rsidR="000C2BAA" w:rsidRPr="003E73CD" w:rsidRDefault="000C2BAA">
      <w:pPr>
        <w:rPr>
          <w:sz w:val="22"/>
        </w:rPr>
      </w:pPr>
      <w:r w:rsidRPr="003E73CD">
        <w:rPr>
          <w:sz w:val="22"/>
        </w:rPr>
        <w:br w:type="page"/>
      </w:r>
    </w:p>
    <w:p w14:paraId="21AF32C7" w14:textId="4CA1F6EC" w:rsidR="0061482C" w:rsidRPr="003E73CD" w:rsidRDefault="0061482C" w:rsidP="0061482C">
      <w:pPr>
        <w:rPr>
          <w:sz w:val="22"/>
        </w:rPr>
      </w:pPr>
      <w:r w:rsidRPr="003E73CD">
        <w:rPr>
          <w:sz w:val="22"/>
        </w:rPr>
        <w:t xml:space="preserve">Figure </w:t>
      </w:r>
      <w:r w:rsidR="00155C61">
        <w:rPr>
          <w:sz w:val="22"/>
        </w:rPr>
        <w:t>3.2</w:t>
      </w:r>
      <w:r w:rsidR="00A234AB" w:rsidRPr="003E73CD">
        <w:rPr>
          <w:sz w:val="22"/>
        </w:rPr>
        <w:t>.</w:t>
      </w:r>
      <w:r w:rsidRPr="003E73CD">
        <w:rPr>
          <w:sz w:val="22"/>
        </w:rPr>
        <w:t>6.  Kaplan-Meier survival curves resulting from regrouping by survival tree analysis.</w:t>
      </w:r>
    </w:p>
    <w:p w14:paraId="593BBA2F" w14:textId="77777777" w:rsidR="0061482C" w:rsidRPr="003E73CD" w:rsidRDefault="0061482C" w:rsidP="0061482C">
      <w:pPr>
        <w:spacing w:line="480" w:lineRule="auto"/>
        <w:rPr>
          <w:sz w:val="22"/>
          <w:szCs w:val="22"/>
        </w:rPr>
      </w:pPr>
    </w:p>
    <w:p w14:paraId="63627843" w14:textId="77777777" w:rsidR="0061482C" w:rsidRPr="003E73CD" w:rsidRDefault="0061482C" w:rsidP="0061482C">
      <w:pPr>
        <w:spacing w:line="480" w:lineRule="auto"/>
        <w:rPr>
          <w:sz w:val="22"/>
          <w:szCs w:val="22"/>
        </w:rPr>
      </w:pPr>
    </w:p>
    <w:p w14:paraId="53AC7E5A" w14:textId="77777777" w:rsidR="0061482C" w:rsidRPr="003E73CD" w:rsidRDefault="009E72EA" w:rsidP="0061482C">
      <w:pPr>
        <w:spacing w:line="480" w:lineRule="auto"/>
        <w:rPr>
          <w:sz w:val="22"/>
          <w:szCs w:val="22"/>
        </w:rPr>
      </w:pPr>
      <w:r>
        <w:rPr>
          <w:noProof/>
          <w:sz w:val="22"/>
          <w:szCs w:val="22"/>
        </w:rPr>
        <w:pict w14:anchorId="4B74D28B">
          <v:shape id="_x0000_s1031" type="#_x0000_t75" style="position:absolute;margin-left:0;margin-top:-25.8pt;width:454.5pt;height:255.75pt;z-index:251664384;mso-wrap-edited:f" wrapcoords="-35 0 -35 21473 21600 21473 21600 0 -35 0" o:allowincell="f">
            <v:imagedata r:id="rId58" o:title=""/>
            <w10:wrap type="through"/>
          </v:shape>
        </w:pict>
      </w:r>
    </w:p>
    <w:p w14:paraId="1B781EA3" w14:textId="77777777" w:rsidR="0061482C" w:rsidRPr="003E73CD" w:rsidRDefault="0061482C" w:rsidP="0061482C">
      <w:pPr>
        <w:spacing w:line="480" w:lineRule="auto"/>
        <w:rPr>
          <w:sz w:val="22"/>
          <w:szCs w:val="22"/>
        </w:rPr>
      </w:pPr>
    </w:p>
    <w:p w14:paraId="6A3C01D1" w14:textId="77777777" w:rsidR="0061482C" w:rsidRPr="003E73CD" w:rsidRDefault="0061482C" w:rsidP="0061482C">
      <w:pPr>
        <w:spacing w:line="480" w:lineRule="auto"/>
        <w:rPr>
          <w:sz w:val="22"/>
          <w:szCs w:val="22"/>
        </w:rPr>
      </w:pPr>
    </w:p>
    <w:p w14:paraId="1B1EAE62" w14:textId="77777777" w:rsidR="0061482C" w:rsidRPr="003E73CD" w:rsidRDefault="0061482C" w:rsidP="0061482C">
      <w:pPr>
        <w:spacing w:line="480" w:lineRule="auto"/>
        <w:rPr>
          <w:sz w:val="22"/>
          <w:szCs w:val="22"/>
        </w:rPr>
      </w:pPr>
    </w:p>
    <w:p w14:paraId="031497F5" w14:textId="77777777" w:rsidR="0061482C" w:rsidRPr="003E73CD" w:rsidRDefault="0061482C" w:rsidP="0061482C">
      <w:pPr>
        <w:spacing w:line="480" w:lineRule="auto"/>
        <w:rPr>
          <w:sz w:val="22"/>
          <w:szCs w:val="22"/>
        </w:rPr>
      </w:pPr>
    </w:p>
    <w:p w14:paraId="481647E1" w14:textId="77777777" w:rsidR="0061482C" w:rsidRPr="003E73CD" w:rsidRDefault="0061482C" w:rsidP="0061482C">
      <w:pPr>
        <w:spacing w:line="480" w:lineRule="auto"/>
        <w:rPr>
          <w:sz w:val="22"/>
          <w:szCs w:val="22"/>
        </w:rPr>
      </w:pPr>
    </w:p>
    <w:p w14:paraId="19D04D39" w14:textId="77777777" w:rsidR="0061482C" w:rsidRPr="003E73CD" w:rsidRDefault="0061482C" w:rsidP="0061482C">
      <w:pPr>
        <w:spacing w:line="480" w:lineRule="auto"/>
        <w:rPr>
          <w:sz w:val="22"/>
          <w:szCs w:val="22"/>
        </w:rPr>
      </w:pPr>
    </w:p>
    <w:p w14:paraId="672F3CF3" w14:textId="77777777" w:rsidR="0061482C" w:rsidRPr="003E73CD" w:rsidRDefault="0061482C" w:rsidP="0061482C">
      <w:pPr>
        <w:spacing w:line="480" w:lineRule="auto"/>
        <w:rPr>
          <w:sz w:val="22"/>
          <w:szCs w:val="22"/>
        </w:rPr>
      </w:pPr>
    </w:p>
    <w:p w14:paraId="1A422DCA" w14:textId="77777777" w:rsidR="0061482C" w:rsidRPr="003E73CD" w:rsidRDefault="0061482C" w:rsidP="0061482C">
      <w:pPr>
        <w:spacing w:line="480" w:lineRule="auto"/>
        <w:rPr>
          <w:sz w:val="22"/>
          <w:szCs w:val="22"/>
        </w:rPr>
      </w:pPr>
    </w:p>
    <w:p w14:paraId="77E36D5B" w14:textId="77777777" w:rsidR="0061482C" w:rsidRPr="003E73CD" w:rsidRDefault="0061482C" w:rsidP="0061482C">
      <w:pPr>
        <w:spacing w:line="480" w:lineRule="auto"/>
        <w:rPr>
          <w:sz w:val="22"/>
          <w:szCs w:val="22"/>
        </w:rPr>
      </w:pPr>
    </w:p>
    <w:p w14:paraId="6AE72721" w14:textId="77777777" w:rsidR="0061482C" w:rsidRPr="003E73CD" w:rsidRDefault="0061482C" w:rsidP="0061482C">
      <w:pPr>
        <w:rPr>
          <w:sz w:val="22"/>
          <w:szCs w:val="22"/>
        </w:rPr>
      </w:pPr>
      <w:r w:rsidRPr="003E73CD">
        <w:rPr>
          <w:sz w:val="22"/>
          <w:szCs w:val="22"/>
        </w:rPr>
        <w:br w:type="page"/>
      </w:r>
    </w:p>
    <w:p w14:paraId="40D50C8F" w14:textId="77777777" w:rsidR="0061482C" w:rsidRPr="003E73CD" w:rsidRDefault="0061482C" w:rsidP="0061482C">
      <w:pPr>
        <w:spacing w:line="480" w:lineRule="auto"/>
        <w:rPr>
          <w:sz w:val="22"/>
          <w:szCs w:val="22"/>
        </w:rPr>
      </w:pPr>
      <w:r w:rsidRPr="003E73CD">
        <w:rPr>
          <w:sz w:val="22"/>
          <w:szCs w:val="22"/>
        </w:rPr>
        <w:t>DISCUSSION</w:t>
      </w:r>
    </w:p>
    <w:p w14:paraId="484F8F42" w14:textId="26A22D2B" w:rsidR="0061482C" w:rsidRPr="003E73CD" w:rsidRDefault="0061482C" w:rsidP="0061482C">
      <w:pPr>
        <w:spacing w:line="480" w:lineRule="auto"/>
        <w:ind w:firstLine="720"/>
        <w:rPr>
          <w:sz w:val="22"/>
          <w:szCs w:val="22"/>
        </w:rPr>
      </w:pPr>
      <w:r w:rsidRPr="003E73CD">
        <w:rPr>
          <w:sz w:val="22"/>
          <w:szCs w:val="22"/>
        </w:rPr>
        <w:t>It remains unclear how to most appropriately manage patients who are SN positive.  Crucial steps to allow determination of best practice in this scenario include establishing the significance of NSN metastases, and determining the efficacy of CLND.  The variability in NSN positivity rates reported in the literature may be due to variations in the type of radiocolloid used for lymphoscintigraphy, interpretation of lymphoscintigrams, the proportion of lymph nodes designated as “sentinel”, or to variations in histologic protocols used for the examination of both SNs and CLND specimens.  The rate of NSN positivity in this study was 18.6%.  The disease-free survival advantage reported from MSLT I was detected in a group of patients undergoing both SNB and CLND, of which 16% had additional positive NSNs identified in CLND specimens.</w:t>
      </w:r>
      <w:r w:rsidRPr="003E73CD">
        <w:rPr>
          <w:sz w:val="22"/>
          <w:szCs w:val="22"/>
        </w:rPr>
        <w:fldChar w:fldCharType="begin" w:fldLock="1"/>
      </w:r>
      <w:r w:rsidR="00217FAC">
        <w:rPr>
          <w:sz w:val="22"/>
          <w:szCs w:val="22"/>
        </w:rPr>
        <w:instrText>ADDIN CSL_CITATION { "citationItems" : [ { "id" : "ITEM-1", "itemData" : { "DOI" : "10.1056/NEJMoa060992", "ISSN" : "1533-4406", "PMID" : "17005948", "abstract" : "BACKGROUND: We evaluated the contribution of sentinel-node biopsy to outcomes in patients with newly diagnosed melanoma.\n\nMETHODS: Patients with a primary cutaneous melanoma were randomly assigned to wide excision and postoperative observation of regional lymph nodes with lymphadenectomy if nodal relapse occurred, or to wide excision and sentinel-node biopsy with immediate lymphadenectomy if nodal micrometastases were detected on biopsy.\n\nRESULTS: Among 1269 patients with an intermediate-thickness primary melanoma, the mean (+/-SE) estimated 5-year disease-free survival rate for the population was 78.3+/-1.6% in the biopsy group and 73.1+/-2.1% in the observation group (hazard ratio for recurrence[corrected], 0.74; 95% confidence interval [CI], 0.59 to 0.93; P=0.009). Five-year melanoma-specific survival rates were similar in the two groups (87.1+/-1.3% and 86.6+/-1.6%, respectively). In the biopsy group, the presence of metastases in the sentinel node was the most important prognostic factor; the 5-year survival rate was 72.3+/-4.6% among patients with tumor-positive sentinel nodes and 90.2+/-1.3% among those with tumor-negative sentinel nodes (hazard ratio for death, 2.48; 95% CI, 1.54 to 3.98; P&lt;0.001). The incidence of sentinel-node micrometastases was 16.0% (122 of 764 patients), and the rate of nodal relapse in the observation group was 15.6% (78 of 500 patients). The corresponding mean number of tumor-involved nodes was 1.4 in the biopsy group and 3.3 in the observation group (P&lt;0.001), indicating disease progression during observation. Among patients with nodal metastases, the 5-year survival rate was higher among those who underwent immediate lymphadenectomy than among those in whom lymphadenectomy was delayed (72.3+/-4.6% vs. 52.4+/-5.9%; hazard ratio for death, 0.51; 95% CI, 0.32 to 0.81; P=0.004).\n\nCONCLUSIONS: The staging of intermediate-thickness (1.2 to 3.5 mm) primary melanomas according to the results of sentinel-node biopsy provides important prognostic information and identifies patients with nodal metastases whose survival can be prolonged by immediate lymphadenectomy. (ClinicalTrials.gov number, NCT00275496 [ClinicalTrials.gov].).", "author" : [ { "dropping-particle" : "", "family" : "Morton", "given" : "Donald L", "non-dropping-particle" : "", "parse-names" : false, "suffix" : "" }, { "dropping-particle" : "", "family" : "Thompson", "given" : "John F", "non-dropping-particle" : "", "parse-names" : false, "suffix" : "" }, { "dropping-particle" : "", "family" : "Cochran", "given" : "Alistair J", "non-dropping-particle" : "", "parse-names" : false, "suffix" : "" }, { "dropping-particle" : "", "family" : "Mozzillo", "given" : "Nicola", "non-dropping-particle" : "", "parse-names" : false, "suffix" : "" }, { "dropping-particle" : "", "family" : "Elashoff", "given" : "Robert", "non-dropping-particle" : "", "parse-names" : false, "suffix" : "" }, { "dropping-particle" : "", "family" : "Essner", "given" : "Richard", "non-dropping-particle" : "", "parse-names" : false, "suffix" : "" }, { "dropping-particle" : "", "family" : "Nieweg", "given" : "Omgo E", "non-dropping-particle" : "", "parse-names" : false, "suffix" : "" }, { "dropping-particle" : "", "family" : "Roses", "given" : "Daniel F", "non-dropping-particle" : "", "parse-names" : false, "suffix" : "" }, { "dropping-particle" : "", "family" : "Hoekstra", "given" : "Harald J", "non-dropping-particle" : "", "parse-names" : false, "suffix" : "" }, { "dropping-particle" : "", "family" : "Karakousis", "given" : "Constantine P", "non-dropping-particle" : "", "parse-names" : false, "suffix" : "" }, { "dropping-particle" : "", "family" : "Reintgen", "given" : "Douglas S", "non-dropping-particle" : "", "parse-names" : false, "suffix" : "" }, { "dropping-particle" : "", "family" : "Coventry", "given" : "Brendon J", "non-dropping-particle" : "", "parse-names" : false, "suffix" : "" }, { "dropping-particle" : "", "family" : "Glass", "given" : "Edwin C", "non-dropping-particle" : "", "parse-names" : false, "suffix" : "" }, { "dropping-particle" : "", "family" : "Wang", "given" : "He-Jing", "non-dropping-particle" : "", "parse-names" : false, "suffix" : "" } ], "container-title" : "The New England journal of medicine", "id" : "ITEM-1", "issue" : "13", "issued" : { "date-parts" : [ [ "2006", "9", "28" ] ] }, "page" : "1307-17", "title" : "Sentinel-node biopsy or nodal observation in melanoma.", "type" : "article-journal", "volume" : "355" }, "uris" : [ "http://www.mendeley.com/documents/?uuid=67a6140a-03c4-49a0-8a19-c5ddadc66872" ] } ], "mendeley" : { "formattedCitation" : "&lt;sup&gt;124&lt;/sup&gt;", "plainTextFormattedCitation" : "124", "previouslyFormattedCitation" : "&lt;sup&gt;124&lt;/sup&gt;" }, "properties" : { "noteIndex" : 0 }, "schema" : "https://github.com/citation-style-language/schema/raw/master/csl-citation.json" }</w:instrText>
      </w:r>
      <w:r w:rsidRPr="003E73CD">
        <w:rPr>
          <w:sz w:val="22"/>
          <w:szCs w:val="22"/>
        </w:rPr>
        <w:fldChar w:fldCharType="separate"/>
      </w:r>
      <w:r w:rsidR="00CE2A17" w:rsidRPr="00CE2A17">
        <w:rPr>
          <w:noProof/>
          <w:sz w:val="22"/>
          <w:szCs w:val="22"/>
          <w:vertAlign w:val="superscript"/>
        </w:rPr>
        <w:t>124</w:t>
      </w:r>
      <w:r w:rsidRPr="003E73CD">
        <w:rPr>
          <w:sz w:val="22"/>
          <w:szCs w:val="22"/>
        </w:rPr>
        <w:fldChar w:fldCharType="end"/>
      </w:r>
      <w:proofErr w:type="gramStart"/>
      <w:r w:rsidRPr="003E73CD">
        <w:rPr>
          <w:sz w:val="22"/>
          <w:szCs w:val="22"/>
        </w:rPr>
        <w:t xml:space="preserve">  A</w:t>
      </w:r>
      <w:proofErr w:type="gramEnd"/>
      <w:r w:rsidRPr="003E73CD">
        <w:rPr>
          <w:sz w:val="22"/>
          <w:szCs w:val="22"/>
        </w:rPr>
        <w:t xml:space="preserve"> logical progression leads one to question whether CLND prolonged survival in any of these patients and if so, which ones?  Assumptions that patients with additional metastases detected at CLND are the only ones benefiting from CLND and that the procedure should be avoided in the remainder are not necessarily valid.  Some NSN positive patients have high tumor load and are likely to die from distant metastases irrespective of their nodal management.  In addition, a proportion of  “NSN negative” cases are likely to be false-negatives due to less intensive analysis of the large number of nodes removed at CLND.  These patients may be gaining a survival advantage from CLND but could be denied this if it became possible to select and perform CLND only for patients with currently detectable NSN metastases.  However, at present, there is no accepted method of reliably identifying a patient’s NSN status prior to CLND.</w:t>
      </w:r>
    </w:p>
    <w:p w14:paraId="2F37B17E" w14:textId="77777777" w:rsidR="0061482C" w:rsidRPr="003E73CD" w:rsidRDefault="0061482C" w:rsidP="0061482C">
      <w:pPr>
        <w:spacing w:line="480" w:lineRule="auto"/>
        <w:ind w:firstLine="720"/>
        <w:rPr>
          <w:sz w:val="22"/>
          <w:szCs w:val="22"/>
        </w:rPr>
      </w:pPr>
      <w:r w:rsidRPr="003E73CD">
        <w:rPr>
          <w:sz w:val="22"/>
          <w:szCs w:val="22"/>
        </w:rPr>
        <w:t xml:space="preserve">Findings from the present study indicate that the vast majority (96.6%) of SN positive patients have metastases in &lt;4 nodes (sentinel +/- non-sentinel) and prognosis worsens as the number of positive NSNs increases.  For the small minority of patients who have </w:t>
      </w:r>
      <w:r w:rsidRPr="003E73CD">
        <w:rPr>
          <w:sz w:val="22"/>
          <w:szCs w:val="22"/>
        </w:rPr>
        <w:sym w:font="Symbol" w:char="F0B3"/>
      </w:r>
      <w:r w:rsidRPr="003E73CD">
        <w:rPr>
          <w:sz w:val="22"/>
          <w:szCs w:val="22"/>
        </w:rPr>
        <w:t xml:space="preserve">4 metastatic nodes the prognosis appears dismal, with a 3-year survival of 21% (95%CI 0 - 46), and this may be irrespective of whether the metastatic nodes are NSNs or SNs.  The number of patients with </w:t>
      </w:r>
      <w:r w:rsidRPr="003E73CD">
        <w:rPr>
          <w:sz w:val="22"/>
          <w:szCs w:val="22"/>
        </w:rPr>
        <w:sym w:font="Symbol" w:char="F0B3"/>
      </w:r>
      <w:r w:rsidRPr="003E73CD">
        <w:rPr>
          <w:sz w:val="22"/>
          <w:szCs w:val="22"/>
        </w:rPr>
        <w:t xml:space="preserve">4 metastatic nodes, and in particular those with </w:t>
      </w:r>
      <w:r w:rsidRPr="003E73CD">
        <w:rPr>
          <w:sz w:val="22"/>
          <w:szCs w:val="22"/>
        </w:rPr>
        <w:sym w:font="Symbol" w:char="F0B3"/>
      </w:r>
      <w:r w:rsidRPr="003E73CD">
        <w:rPr>
          <w:sz w:val="22"/>
          <w:szCs w:val="22"/>
        </w:rPr>
        <w:t>4 positive SNs who are NSN negative, is too small to allow conclusions to be drawn on this issue.  However, these patients will also represent a very small minority in clinical practice.</w:t>
      </w:r>
    </w:p>
    <w:p w14:paraId="06A0F270" w14:textId="23624DE4" w:rsidR="0061482C" w:rsidRPr="003E73CD" w:rsidRDefault="0061482C" w:rsidP="0061482C">
      <w:pPr>
        <w:spacing w:line="480" w:lineRule="auto"/>
        <w:ind w:firstLine="720"/>
        <w:rPr>
          <w:sz w:val="22"/>
          <w:szCs w:val="22"/>
        </w:rPr>
      </w:pPr>
      <w:r w:rsidRPr="003E73CD">
        <w:rPr>
          <w:sz w:val="22"/>
          <w:szCs w:val="22"/>
        </w:rPr>
        <w:t xml:space="preserve">The statistical phenomenon of multicollinearity was encountered during the survival analyses in this study (Table </w:t>
      </w:r>
      <w:r w:rsidR="00155C61">
        <w:rPr>
          <w:sz w:val="22"/>
          <w:szCs w:val="22"/>
        </w:rPr>
        <w:t>3.2</w:t>
      </w:r>
      <w:r w:rsidR="00A234AB" w:rsidRPr="003E73CD">
        <w:rPr>
          <w:sz w:val="22"/>
          <w:szCs w:val="22"/>
        </w:rPr>
        <w:t>.</w:t>
      </w:r>
      <w:r w:rsidRPr="003E73CD">
        <w:rPr>
          <w:sz w:val="22"/>
          <w:szCs w:val="22"/>
        </w:rPr>
        <w:t xml:space="preserve">4).  This problem occurs when explanatory variables related by a linear function are included in the same regression analysis, resulting in inaccurate estimation of regression coefficients.  Total number of positive nodes is the sum of number of positive SNs and number of positive NSNs. Consequently, multicollinearity occurred when total number of positive nodes was included in the same multivariate analysis as the latter two variables.  To overcome this, 3 separate multivariate analyses were performed to establish the relative prognostic importance of each variable (Table </w:t>
      </w:r>
      <w:r w:rsidR="00155C61">
        <w:rPr>
          <w:sz w:val="22"/>
          <w:szCs w:val="22"/>
        </w:rPr>
        <w:t>3.2</w:t>
      </w:r>
      <w:r w:rsidR="00A234AB" w:rsidRPr="003E73CD">
        <w:rPr>
          <w:sz w:val="22"/>
          <w:szCs w:val="22"/>
        </w:rPr>
        <w:t>.</w:t>
      </w:r>
      <w:r w:rsidRPr="003E73CD">
        <w:rPr>
          <w:sz w:val="22"/>
          <w:szCs w:val="22"/>
        </w:rPr>
        <w:t xml:space="preserve">4).  The result, indicating that total number of positive NSNs is a more powerful predictor of survival than total number of positive nodes, is consistent with the theory that prognosis deteriorates as metastases progress through the lymph node field. </w:t>
      </w:r>
    </w:p>
    <w:p w14:paraId="678166FC" w14:textId="77777777" w:rsidR="0061482C" w:rsidRPr="003E73CD" w:rsidRDefault="0061482C" w:rsidP="0061482C">
      <w:pPr>
        <w:spacing w:line="480" w:lineRule="auto"/>
        <w:ind w:firstLine="720"/>
        <w:rPr>
          <w:sz w:val="22"/>
          <w:szCs w:val="22"/>
        </w:rPr>
      </w:pPr>
      <w:r w:rsidRPr="003E73CD">
        <w:rPr>
          <w:sz w:val="22"/>
          <w:szCs w:val="22"/>
        </w:rPr>
        <w:t>The results of the sub-group analysis of patients with a total of 2 or 3 positive nodes also support this conclusion, with NSN status and age being the only statistically significant predictors of survival on univariate analysis, and only NSN status remaining statistically significant in a multivariate model that accounted for total number of positive nodes.  It should be noted that the sample size for this subgroup analysis was relatively small (102 patients) and that multicollinearity may again be an issue, resulting from NSN status and total number of positive nodes being highly correlated variables.</w:t>
      </w:r>
    </w:p>
    <w:p w14:paraId="6A58C981" w14:textId="3E0C3DA8" w:rsidR="0061482C" w:rsidRPr="003E73CD" w:rsidRDefault="0061482C" w:rsidP="0061482C">
      <w:pPr>
        <w:spacing w:line="480" w:lineRule="auto"/>
        <w:ind w:firstLine="720"/>
        <w:rPr>
          <w:sz w:val="22"/>
          <w:szCs w:val="22"/>
        </w:rPr>
      </w:pPr>
      <w:r w:rsidRPr="003E73CD">
        <w:rPr>
          <w:sz w:val="22"/>
          <w:szCs w:val="22"/>
        </w:rPr>
        <w:t>Cascinelli et al. reported that NSN metastasis was a prognostic indicator in a group of 176 SN positive patients, 18.7% of whom had NSN metastasis, a proportion very similar to that in the present study (18.6%).</w:t>
      </w:r>
      <w:r w:rsidRPr="003E73CD">
        <w:rPr>
          <w:sz w:val="22"/>
          <w:szCs w:val="22"/>
        </w:rPr>
        <w:fldChar w:fldCharType="begin" w:fldLock="1"/>
      </w:r>
      <w:r w:rsidR="00217FAC">
        <w:rPr>
          <w:sz w:val="22"/>
          <w:szCs w:val="22"/>
        </w:rPr>
        <w:instrText>ADDIN CSL_CITATION { "citationItems" : [ { "id" : "ITEM-1", "itemData" : { "DOI" : "10.1200/JCO.2006.06.3198", "ISSN" : "1527-7755", "PMID" : "16983115", "abstract" : "PURPOSE: To evaluate the prognostic significance of sentinel node biopsy in the management of stage IB and II melanoma patients, and to evaluate the status of nonsentinel nodes as a \"second step key factor\" to assess the prognosis of these patients.\n\nPATIENTS AND METHODS: We conducted an analysis of data collected in a prospective database.\n\nRESULTS: From February 1994 to June 2005, 1,108 consecutive patients with stage IB and II melanoma were submitted to sentinel node biopsy; 176 patients (15.9%) had occult node metastases. The frequency of positive nodes increased with increasing Breslow's thickness. The largest diameter of metastatic foci and their localization within the lymph node were associated with the risk of nonsentinel node metastases only. The 5-year survival of patients with positive sentinel nodes was 81.4% in patients with one positive node and 39.6% in patients with two positive nodes (P = .056). Multivariate analysis indicated that status of sentinel nodes is a key factor and that sex and Breslow's thickness maintain statistically significant relevance. Ulceration, which was associated with survival when considered as single factor (P &lt; .001) had no impact on survival in the multivariate analysis (P = .10). To evaluate the relevance of metastases to nonsentinel nodes, we identified four groups of patients.\n\nCONCLUSION: Evaluation of the sentinel node is a useful procedure to identify patients to be submitted for complete lymph node dissection. The procedure makes it possible to assess the best prognosis of patients.", "author" : [ { "dropping-particle" : "", "family" : "Cascinelli", "given" : "Natale", "non-dropping-particle" : "", "parse-names" : false, "suffix" : "" }, { "dropping-particle" : "", "family" : "Bombardieri", "given" : "Emilio", "non-dropping-particle" : "", "parse-names" : false, "suffix" : "" }, { "dropping-particle" : "", "family" : "Bufalino", "given" : "Rosaria", "non-dropping-particle" : "", "parse-names" : false, "suffix" : "" }, { "dropping-particle" : "", "family" : "Camerini", "given" : "Tiziana", "non-dropping-particle" : "", "parse-names" : false, "suffix" : "" }, { "dropping-particle" : "", "family" : "Carbone", "given" : "Antonino", "non-dropping-particle" : "", "parse-names" : false, "suffix" : "" }, { "dropping-particle" : "", "family" : "Clemente", "given" : "Claudio", "non-dropping-particle" : "", "parse-names" : false, "suffix" : "" }, { "dropping-particle" : "", "family" : "Lenisa", "given" : "Leonardo", "non-dropping-particle" : "", "parse-names" : false, "suffix" : "" }, { "dropping-particle" : "", "family" : "Mascheroni", "given" : "Luigi", "non-dropping-particle" : "", "parse-names" : false, "suffix" : "" }, { "dropping-particle" : "", "family" : "Maurichi", "given" : "Andrea", "non-dropping-particle" : "", "parse-names" : false, "suffix" : "" }, { "dropping-particle" : "", "family" : "Pennacchioli", "given" : "Elisabetta", "non-dropping-particle" : "", "parse-names" : false, "suffix" : "" }, { "dropping-particle" : "", "family" : "Patuzzo", "given" : "Roberto", "non-dropping-particle" : "", "parse-names" : false, "suffix" : "" }, { "dropping-particle" : "", "family" : "Santinami", "given" : "Mario", "non-dropping-particle" : "", "parse-names" : false, "suffix" : "" }, { "dropping-particle" : "", "family" : "Tragni", "given" : "Gabrina", "non-dropping-particle" : "", "parse-names" : false, "suffix" : "" } ], "container-title" : "Journal of clinical oncology : official journal of the American Society of Clinical Oncology", "id" : "ITEM-1", "issue" : "27", "issued" : { "date-parts" : [ [ "2006", "9", "20" ] ] }, "page" : "4464-71", "title" : "Sentinel and nonsentinel node status in stage IB and II melanoma patients: two-step prognostic indicators of survival.", "type" : "article-journal", "volume" : "24" }, "uris" : [ "http://www.mendeley.com/documents/?uuid=87a2810c-0f27-4812-8c91-b5fcb57b53ff" ] } ], "mendeley" : { "formattedCitation" : "&lt;sup&gt;149&lt;/sup&gt;", "plainTextFormattedCitation" : "149", "previouslyFormattedCitation" : "&lt;sup&gt;149&lt;/sup&gt;" }, "properties" : { "noteIndex" : 0 }, "schema" : "https://github.com/citation-style-language/schema/raw/master/csl-citation.json" }</w:instrText>
      </w:r>
      <w:r w:rsidRPr="003E73CD">
        <w:rPr>
          <w:sz w:val="22"/>
          <w:szCs w:val="22"/>
        </w:rPr>
        <w:fldChar w:fldCharType="separate"/>
      </w:r>
      <w:r w:rsidR="00CE2A17" w:rsidRPr="00CE2A17">
        <w:rPr>
          <w:noProof/>
          <w:sz w:val="22"/>
          <w:szCs w:val="22"/>
          <w:vertAlign w:val="superscript"/>
        </w:rPr>
        <w:t>149</w:t>
      </w:r>
      <w:r w:rsidRPr="003E73CD">
        <w:rPr>
          <w:sz w:val="22"/>
          <w:szCs w:val="22"/>
        </w:rPr>
        <w:fldChar w:fldCharType="end"/>
      </w:r>
      <w:proofErr w:type="gramStart"/>
      <w:r w:rsidRPr="003E73CD">
        <w:rPr>
          <w:sz w:val="22"/>
          <w:szCs w:val="22"/>
        </w:rPr>
        <w:t xml:space="preserve">  However</w:t>
      </w:r>
      <w:proofErr w:type="gramEnd"/>
      <w:r w:rsidRPr="003E73CD">
        <w:rPr>
          <w:sz w:val="22"/>
          <w:szCs w:val="22"/>
        </w:rPr>
        <w:t>, information on the numbers of positive NSNs was not provided.  More recently, Jakub et al. have reported findings that prognosis is not affected by increasing number of positive SNs but is affected by the presence of positive NSNs.</w:t>
      </w:r>
      <w:r w:rsidRPr="003E73CD">
        <w:rPr>
          <w:sz w:val="22"/>
          <w:szCs w:val="22"/>
        </w:rPr>
        <w:fldChar w:fldCharType="begin" w:fldLock="1"/>
      </w:r>
      <w:r w:rsidR="00217FAC">
        <w:rPr>
          <w:sz w:val="22"/>
          <w:szCs w:val="22"/>
        </w:rPr>
        <w:instrText>ADDIN CSL_CITATION { "citationItems" : [ { "id" : "ITEM-1", "itemData" : { "DOI" : "10.1245/s10434-009-0530-5", "ISSN" : "1534-4681", "PMID" : "19517194", "abstract" : "BACKGROUND: In melanoma, a direct relationship exists between the number of nodes involved with metastatic disease and prognosis. This study was undertaken to determine whether an individual with metastatic disease confined to the sentinel lymph nodes (SLNs) would have a better prognosis than individuals with metastatic disease that has spread to the non-SLNs, regardless of the number of nodes involved.\n\nMETHODS: The study group consists of 229 melanoma patients with a positive SLN who underwent regional nodal dissection. Cox proportional hazard regression models were used to assess association of the number of SLNs and non-SLNs involved with disease with overall survival (OS) and disease-free survival (DFS).\n\nRESULTS: DFS and OS were unchanged regardless of how many SLNs were positive, as long as all disease was confined to SLNs. Among 183 patients without involvement of non-SLNs, OS remained the same despite an increasing number of SLNs involved (P = .59). This was true after controlling for ulceration, Breslow depth, age, sex, and adjuvant treatment. Once disease was present beyond the SLN, DFS and OS were negatively affected. Among patients with involvement of non-SLNs, there was no statistically significant association between the number of positive SLNs and survival. The risk of mortality increased with the number of non-SLNs involved with metastatic disease (P &lt; .001).\n\nCONCLUSIONS: The number of regional nodes involved with metastatic disease does not affect DFS and OS if disease is confined to the SLNs. Consideration should be given to specifying SLN versus non-SLN involvement in the American Joint Committee on Cancer staging manual.", "author" : [ { "dropping-particle" : "", "family" : "Jakub", "given" : "James W", "non-dropping-particle" : "", "parse-names" : false, "suffix" : "" }, { "dropping-particle" : "", "family" : "Huebner", "given" : "Marianne", "non-dropping-particle" : "", "parse-names" : false, "suffix" : "" }, { "dropping-particle" : "", "family" : "Shivers", "given" : "Steve", "non-dropping-particle" : "", "parse-names" : false, "suffix" : "" }, { "dropping-particle" : "", "family" : "Nobo", "given" : "Christopher", "non-dropping-particle" : "", "parse-names" : false, "suffix" : "" }, { "dropping-particle" : "", "family" : "Puleo", "given" : "Christopher", "non-dropping-particle" : "", "parse-names" : false, "suffix" : "" }, { "dropping-particle" : "", "family" : "Harmsen", "given" : "William S", "non-dropping-particle" : "", "parse-names" : false, "suffix" : "" }, { "dropping-particle" : "", "family" : "Reintgen", "given" : "Douglas S", "non-dropping-particle" : "", "parse-names" : false, "suffix" : "" } ], "container-title" : "Annals of surgical oncology", "id" : "ITEM-1", "issue" : "8", "issued" : { "date-parts" : [ [ "2009", "8" ] ] }, "page" : "2245-51", "title" : "The number of lymph nodes involved with metastatic disease does not affect outcome in melanoma patients as long as all disease is confined to the sentinel lymph node.", "type" : "article-journal", "volume" : "16" }, "uris" : [ "http://www.mendeley.com/documents/?uuid=fbe213b8-67d5-4eaa-b00e-02735b35827b" ] } ], "mendeley" : { "formattedCitation" : "&lt;sup&gt;164&lt;/sup&gt;", "plainTextFormattedCitation" : "164", "previouslyFormattedCitation" : "&lt;sup&gt;164&lt;/sup&gt;" }, "properties" : { "noteIndex" : 0 }, "schema" : "https://github.com/citation-style-language/schema/raw/master/csl-citation.json" }</w:instrText>
      </w:r>
      <w:r w:rsidRPr="003E73CD">
        <w:rPr>
          <w:sz w:val="22"/>
          <w:szCs w:val="22"/>
        </w:rPr>
        <w:fldChar w:fldCharType="separate"/>
      </w:r>
      <w:r w:rsidR="00CE2A17" w:rsidRPr="00CE2A17">
        <w:rPr>
          <w:noProof/>
          <w:sz w:val="22"/>
          <w:szCs w:val="22"/>
          <w:vertAlign w:val="superscript"/>
        </w:rPr>
        <w:t>164</w:t>
      </w:r>
      <w:r w:rsidRPr="003E73CD">
        <w:rPr>
          <w:sz w:val="22"/>
          <w:szCs w:val="22"/>
        </w:rPr>
        <w:fldChar w:fldCharType="end"/>
      </w:r>
      <w:proofErr w:type="gramStart"/>
      <w:r w:rsidRPr="003E73CD">
        <w:rPr>
          <w:sz w:val="22"/>
          <w:szCs w:val="22"/>
        </w:rPr>
        <w:t xml:space="preserve">  NSN</w:t>
      </w:r>
      <w:proofErr w:type="gramEnd"/>
      <w:r w:rsidRPr="003E73CD">
        <w:rPr>
          <w:sz w:val="22"/>
          <w:szCs w:val="22"/>
        </w:rPr>
        <w:t xml:space="preserve"> positive patients are likely to have a higher average total number of positive nodes than those with only positive SNs.  In the present study, survival varied significantly (p&lt;0.0001) according to the total number of nodes involved (Figure </w:t>
      </w:r>
      <w:r w:rsidR="00155C61">
        <w:rPr>
          <w:sz w:val="22"/>
          <w:szCs w:val="22"/>
        </w:rPr>
        <w:t>3.2</w:t>
      </w:r>
      <w:r w:rsidR="00A234AB" w:rsidRPr="003E73CD">
        <w:rPr>
          <w:sz w:val="22"/>
          <w:szCs w:val="22"/>
        </w:rPr>
        <w:t>.</w:t>
      </w:r>
      <w:r w:rsidRPr="003E73CD">
        <w:rPr>
          <w:sz w:val="22"/>
          <w:szCs w:val="22"/>
        </w:rPr>
        <w:t>1) and the median total number of involved nodes in the NSN negative group was 1 compared to 3 in the NSN positive group.  It was therefore necessary to account for this difference when analyzing the effect of NSN metastasis.  Ariyan et al. have similarly reported results suggesting that survival for patients with two positive nodes was worse when one node was non-sentinel (p=0.05).</w:t>
      </w:r>
      <w:r w:rsidRPr="003E73CD">
        <w:rPr>
          <w:sz w:val="22"/>
          <w:szCs w:val="22"/>
        </w:rPr>
        <w:fldChar w:fldCharType="begin" w:fldLock="1"/>
      </w:r>
      <w:r w:rsidR="005676A9">
        <w:rPr>
          <w:sz w:val="22"/>
          <w:szCs w:val="22"/>
        </w:rPr>
        <w:instrText>ADDIN CSL_CITATION { "citationItems" : [ { "id" : "ITEM-1", "itemData" : { "DOI" : "10.1245/s10434-008-0187-5", "ISSN" : "1534-4681", "PMID" : "18979135", "abstract" : "While sentinel lymph node biopsy (SLN) is a highly accurate and well-tolerated procedure for patients with cutaneous melanoma, the role of the completion lymph node dissection (CLND) for patients with positive SLN biopsy remains unknown. This study aimed to look at the prognostic value of a positive nonsentinel lymph node (NSLN). A prospectively maintained database identified 222 patients with cutaneous melanoma and a positive SLN biopsy, without evidence of distant disease. All of these patients underwent CLND, and 37 patients (17%) had positive NSLN. With median follow-up of 33 months, patients with negative NSLN had median survival of 104 months, while patients with positive NSLN had median survival of 36 months (p &lt; 0.001). There were no survivors in the patients with positive NSLN beyond 6 years. When patients with an equal number of positive nodes were analyzed, the presence of a positive NSLN was still associated with worse melanoma-specific survival (66 months for NSLN- versus 34 months for NSLN+, p = 0.04). While increasing age, tumor thickness, and male sex were associated with an increased risk of death on multivariate analysis, a positive NSLN was the most important predictor of survival (hazard ratio 2.5). We conclude that positive NSLN is an independent predictor of disease-specific survival in patients with cutaneous melanoma.", "author" : [ { "dropping-particle" : "", "family" : "Ariyan", "given" : "Charlotte", "non-dropping-particle" : "", "parse-names" : false, "suffix" : "" }, { "dropping-particle" : "", "family" : "Brady", "given" : "Mary Sue", "non-dropping-particle" : "", "parse-names" : false, "suffix" : "" }, { "dropping-particle" : "", "family" : "G\u00f6nen", "given" : "Mithat", "non-dropping-particle" : "", "parse-names" : false, "suffix" : "" }, { "dropping-particle" : "", "family" : "Busam", "given" : "Klaus", "non-dropping-particle" : "", "parse-names" : false, "suffix" : "" }, { "dropping-particle" : "", "family" : "Coit", "given" : "Daniel", "non-dropping-particle" : "", "parse-names" : false, "suffix" : "" } ], "container-title" : "Annals of surgical oncology", "id" : "ITEM-1", "issue" : "1", "issued" : { "date-parts" : [ [ "2009", "1" ] ] }, "page" : "186-90", "title" : "Positive nonsentinel node status predicts mortality in patients with cutaneous melanoma.", "type" : "article-journal", "volume" : "16" }, "uris" : [ "http://www.mendeley.com/documents/?uuid=95f50211-78eb-42c1-b0bf-03f1224519aa" ] } ], "mendeley" : { "formattedCitation" : "&lt;sup&gt;174&lt;/sup&gt;", "plainTextFormattedCitation" : "174", "previouslyFormattedCitation" : "&lt;sup&gt;174&lt;/sup&gt;" }, "properties" : { "noteIndex" : 0 }, "schema" : "https://github.com/citation-style-language/schema/raw/master/csl-citation.json" }</w:instrText>
      </w:r>
      <w:r w:rsidRPr="003E73CD">
        <w:rPr>
          <w:sz w:val="22"/>
          <w:szCs w:val="22"/>
        </w:rPr>
        <w:fldChar w:fldCharType="separate"/>
      </w:r>
      <w:r w:rsidR="00217FAC" w:rsidRPr="00217FAC">
        <w:rPr>
          <w:noProof/>
          <w:sz w:val="22"/>
          <w:szCs w:val="22"/>
          <w:vertAlign w:val="superscript"/>
        </w:rPr>
        <w:t>174</w:t>
      </w:r>
      <w:r w:rsidRPr="003E73CD">
        <w:rPr>
          <w:sz w:val="22"/>
          <w:szCs w:val="22"/>
        </w:rPr>
        <w:fldChar w:fldCharType="end"/>
      </w:r>
      <w:r w:rsidRPr="003E73CD">
        <w:rPr>
          <w:sz w:val="22"/>
          <w:szCs w:val="22"/>
        </w:rPr>
        <w:t xml:space="preserve"> </w:t>
      </w:r>
    </w:p>
    <w:p w14:paraId="6B3752A5" w14:textId="77777777" w:rsidR="0061482C" w:rsidRPr="003E73CD" w:rsidRDefault="0061482C" w:rsidP="0061482C">
      <w:pPr>
        <w:spacing w:line="480" w:lineRule="auto"/>
        <w:ind w:firstLine="720"/>
        <w:rPr>
          <w:sz w:val="22"/>
          <w:szCs w:val="22"/>
        </w:rPr>
      </w:pPr>
      <w:r w:rsidRPr="003E73CD">
        <w:rPr>
          <w:sz w:val="22"/>
          <w:szCs w:val="22"/>
        </w:rPr>
        <w:t xml:space="preserve">The poorer prognosis detected for patients with positive NSNs occurred despite the fact that these metastatic nodes were excised at CLND.  A possible explanation for this finding is that NSN metastasis identifies patients with a higher prevalence of occult distant hematogenous spread at the time of CLND.  In this scenario, CLND could provide a cure only for the proportion of NSN positive patients without occult distant hematogenous metastasis.  The observation that prognosis worsens in a step-wise fashion from SN negative to SN positive and then to NSN positive patients would fit a theory that associates these </w:t>
      </w:r>
      <w:proofErr w:type="gramStart"/>
      <w:r w:rsidRPr="003E73CD">
        <w:rPr>
          <w:sz w:val="22"/>
          <w:szCs w:val="22"/>
        </w:rPr>
        <w:t>biologically-distinct</w:t>
      </w:r>
      <w:proofErr w:type="gramEnd"/>
      <w:r w:rsidRPr="003E73CD">
        <w:rPr>
          <w:sz w:val="22"/>
          <w:szCs w:val="22"/>
        </w:rPr>
        <w:t xml:space="preserve"> stages with corresponding increases in the prevalence of occult distant hematogenous metastasis.  This “Increasing Relative Risks” model could incorporate not only the increasing relative risk associated with SN and NSN metastasis but also relative risks associated with features of the primary melanoma, if it was assumed that hematogenous metastasis could occur in the absence of lymphatic metastasis.  If melanoma behaves according to this model, the only group of patients who could be completely cured as a direct result of SNB would be those who, following adequate treatment of the primary site, are SN positive but NSN negative and are without occult hematogenous disease.  This is likely to be a relatively small proportion of all patients who undergo SNB.  The potential implication for trials aiming to assess the therapeutic efficacy of SNB or CLND is that small proportions of patients being cured by these procedures may go undetected because it is not yet possible to identify them prior to treatment.</w:t>
      </w:r>
    </w:p>
    <w:p w14:paraId="446A7CA7" w14:textId="76A61DA9" w:rsidR="0061482C" w:rsidRPr="003E73CD" w:rsidRDefault="0061482C" w:rsidP="0061482C">
      <w:pPr>
        <w:spacing w:line="480" w:lineRule="auto"/>
        <w:ind w:firstLine="720"/>
        <w:rPr>
          <w:sz w:val="22"/>
          <w:szCs w:val="22"/>
        </w:rPr>
      </w:pPr>
      <w:r w:rsidRPr="003E73CD">
        <w:rPr>
          <w:sz w:val="22"/>
          <w:szCs w:val="22"/>
        </w:rPr>
        <w:t>Taking CLND as an example, it has not been possible to assess the contribution that the procedure makes to survival in NSN negative versus NSN positive patients.  Wong et al. attempted to determine the contribution that CLND makes to survival using a patient group in which NSN status was unknown.</w:t>
      </w:r>
      <w:r w:rsidRPr="003E73CD">
        <w:rPr>
          <w:sz w:val="22"/>
          <w:szCs w:val="22"/>
        </w:rPr>
        <w:fldChar w:fldCharType="begin" w:fldLock="1"/>
      </w:r>
      <w:r w:rsidR="005676A9">
        <w:rPr>
          <w:sz w:val="22"/>
          <w:szCs w:val="22"/>
        </w:rPr>
        <w:instrText>ADDIN CSL_CITATION { "citationItems" : [ { "id" : "ITEM-1", "itemData" : { "DOI" : "10.1245/ASO.2006.03.058", "ISSN" : "1068-9265", "PMID" : "16604476", "abstract" : "BACKGROUND: Completion lymph node dissection (CLND) is considered the standard of care in melanoma patients found to have sentinel lymph node (SLN) metastasis. However, the therapeutic utility of CLND is not known. The natural history of patients with positive SLNs who do not undergo CLND is undefined. This multi-institutional study was undertaken to characterize patterns of failure and survival rates in these patients and to compare results with those of positive-SLN patients who underwent CLND.\n\nMETHODS: Surgeons from 16 centers contributed data on 134 positive-SLN patients who did not undergo CLND. SLN biopsy was performed by using each institution's established protocols. Patients were followed up for recurrence and survival.\n\nRESULTS: In this study population, the median age was 59 years, and 62% were male. The median tumor thickness was 2.6 mm, 77% of tumors had invasion to Clark level IV/V, and 33% of lesions were ulcerated. The primary melanoma was located on the extremities, trunk, and head/neck in 45%, 43%, and 12%, respectively. The median follow-up was 20 months. The median time to recurrence was 11 months. Nodal recurrence was a component of the first site of recurrence in 20 patients (15%). Nodal recurrence-free survival was statistically insignificantly worse than that seen in a contemporary cohort of patients who underwent CLND. Disease-specific survival for positive-SLN patients who did not undergo CLND was 80% at 36 months, which was not significantly different from that of patients who underwent CLND.\n\nCONCLUSIONS: This study underscores the importance of ongoing prospective randomized trials in determining the therapeutic value of CLND after positive SLN biopsy in melanoma patients.", "author" : [ { "dropping-particle" : "", "family" : "Wong", "given" : "Sandra L", "non-dropping-particle" : "", "parse-names" : false, "suffix" : "" }, { "dropping-particle" : "", "family" : "Morton", "given" : "Donald L", "non-dropping-particle" : "", "parse-names" : false, "suffix" : "" }, { "dropping-particle" : "", "family" : "Thompson", "given" : "John F", "non-dropping-particle" : "", "parse-names" : false, "suffix" : "" }, { "dropping-particle" : "", "family" : "Gershenwald", "given" : "Jeffrey E", "non-dropping-particle" : "", "parse-names" : false, "suffix" : "" }, { "dropping-particle" : "", "family" : "Leong", "given" : "Stanley P L", "non-dropping-particle" : "", "parse-names" : false, "suffix" : "" }, { "dropping-particle" : "", "family" : "Reintgen", "given" : "Douglas S", "non-dropping-particle" : "", "parse-names" : false, "suffix" : "" }, { "dropping-particle" : "", "family" : "Gutman", "given" : "Haim", "non-dropping-particle" : "", "parse-names" : false, "suffix" : "" }, { "dropping-particle" : "", "family" : "Sabel", "given" : "Michael S", "non-dropping-particle" : "", "parse-names" : false, "suffix" : "" }, { "dropping-particle" : "", "family" : "Carlson", "given" : "Grant W", "non-dropping-particle" : "", "parse-names" : false, "suffix" : "" }, { "dropping-particle" : "", "family" : "McMasters", "given" : "Kelly M", "non-dropping-particle" : "", "parse-names" : false, "suffix" : "" }, { "dropping-particle" : "", "family" : "Tyler", "given" : "Douglas S", "non-dropping-particle" : "", "parse-names" : false, "suffix" : "" }, { "dropping-particle" : "", "family" : "Goydos", "given" : "James S", "non-dropping-particle" : "", "parse-names" : false, "suffix" : "" }, { "dropping-particle" : "", "family" : "Eggermont", "given" : "Alexander M M", "non-dropping-particle" : "", "parse-names" : false, "suffix" : "" }, { "dropping-particle" : "", "family" : "Nieweg", "given" : "Omgo E", "non-dropping-particle" : "", "parse-names" : false, "suffix" : "" }, { "dropping-particle" : "", "family" : "Cosimi", "given" : "A Benedict", "non-dropping-particle" : "", "parse-names" : false, "suffix" : "" }, { "dropping-particle" : "", "family" : "Riker", "given" : "Adam I", "non-dropping-particle" : "", "parse-names" : false, "suffix" : "" }, { "dropping-particle" : "", "family" : "G Coit", "given" : "Daniel", "non-dropping-particle" : "", "parse-names" : false, "suffix" : "" } ], "container-title" : "Annals of surgical oncology", "id" : "ITEM-1", "issue" : "6", "issued" : { "date-parts" : [ [ "2006", "6" ] ] }, "page" : "809-16", "title" : "Melanoma patients with positive sentinel nodes who did not undergo completion lymphadenectomy: a multi-institutional study.", "type" : "article-journal", "volume" : "13" }, "uris" : [ "http://www.mendeley.com/documents/?uuid=774ae62e-3ae0-4494-9566-f71679d5c4f3" ] } ], "mendeley" : { "formattedCitation" : "&lt;sup&gt;230&lt;/sup&gt;", "plainTextFormattedCitation" : "230", "previouslyFormattedCitation" : "&lt;sup&gt;230&lt;/sup&gt;" }, "properties" : { "noteIndex" : 0 }, "schema" : "https://github.com/citation-style-language/schema/raw/master/csl-citation.json" }</w:instrText>
      </w:r>
      <w:r w:rsidRPr="003E73CD">
        <w:rPr>
          <w:sz w:val="22"/>
          <w:szCs w:val="22"/>
        </w:rPr>
        <w:fldChar w:fldCharType="separate"/>
      </w:r>
      <w:r w:rsidR="00217FAC" w:rsidRPr="00217FAC">
        <w:rPr>
          <w:noProof/>
          <w:sz w:val="22"/>
          <w:szCs w:val="22"/>
          <w:vertAlign w:val="superscript"/>
        </w:rPr>
        <w:t>230</w:t>
      </w:r>
      <w:r w:rsidRPr="003E73CD">
        <w:rPr>
          <w:sz w:val="22"/>
          <w:szCs w:val="22"/>
        </w:rPr>
        <w:fldChar w:fldCharType="end"/>
      </w:r>
      <w:proofErr w:type="gramStart"/>
      <w:r w:rsidRPr="003E73CD">
        <w:rPr>
          <w:sz w:val="22"/>
          <w:szCs w:val="22"/>
        </w:rPr>
        <w:t xml:space="preserve">  This</w:t>
      </w:r>
      <w:proofErr w:type="gramEnd"/>
      <w:r w:rsidRPr="003E73CD">
        <w:rPr>
          <w:sz w:val="22"/>
          <w:szCs w:val="22"/>
        </w:rPr>
        <w:t xml:space="preserve"> retrospective study combined data from 16 centers worldwide documenting recurrence and survival in 134 SN-positive patients who did not undergo CLND.  The median follow-up time was 20 months and nodal recurrence occurred in 15% of patients, a figure similar to observed rates of NSN metastasis in CLND specimens.  The investigators also selected a comparison group of 164 Memorial Sloan-Kettering Cancer Center patients who had undergone CLND and found that their nodal recurrence rate was 10% with a median follow-up of 36 months.  This difference in recurrence-free survival was not statistically significant.  However, this may have been due to inadequate follow-up time for patients with relatively low tumor burdens.  The present study, with a median follow-up of 40 months (range 4.4 to 160 months) highlights this issue.  The survival difference for patients with a total of 2-3 positive nodes grouped by NSN status (Figure </w:t>
      </w:r>
      <w:r w:rsidR="00155C61">
        <w:rPr>
          <w:sz w:val="22"/>
          <w:szCs w:val="22"/>
        </w:rPr>
        <w:t>3.2.</w:t>
      </w:r>
      <w:r w:rsidRPr="003E73CD">
        <w:rPr>
          <w:sz w:val="22"/>
          <w:szCs w:val="22"/>
        </w:rPr>
        <w:t xml:space="preserve">4) became apparent only after approximately 36 months of follow-up.  The median 3-year survival was similar for both groups (79% (95%CI 68 - 91) in the NSN negative group and 73% (95%CI 60 - 86) in the NSN positive group) but, whilst it remained at approximately the same level at 5 years for the NSN negative group (77% (95%CI 64 - 89), in the NSN positive group it had fallen to 43% (95%CI 26 - 60).  </w:t>
      </w:r>
    </w:p>
    <w:p w14:paraId="443CDE1F" w14:textId="1532429C" w:rsidR="0061482C" w:rsidRPr="003E73CD" w:rsidRDefault="0061482C" w:rsidP="0061482C">
      <w:pPr>
        <w:pStyle w:val="BodyText2"/>
        <w:ind w:firstLine="720"/>
        <w:rPr>
          <w:sz w:val="22"/>
          <w:szCs w:val="22"/>
        </w:rPr>
      </w:pPr>
      <w:r w:rsidRPr="003E73CD">
        <w:rPr>
          <w:sz w:val="22"/>
          <w:szCs w:val="22"/>
        </w:rPr>
        <w:t>The contribution that CLND makes to survival, also using a patient group in which NSN status is unknown, is currently being determined prospectively by MSLT II.</w:t>
      </w:r>
      <w:r w:rsidRPr="003E73CD">
        <w:rPr>
          <w:sz w:val="22"/>
          <w:szCs w:val="22"/>
        </w:rPr>
        <w:fldChar w:fldCharType="begin" w:fldLock="1"/>
      </w:r>
      <w:r w:rsidR="00217FAC">
        <w:rPr>
          <w:sz w:val="22"/>
          <w:szCs w:val="22"/>
        </w:rPr>
        <w:instrText>ADDIN CSL_CITATION { "citationItems" : [ { "id" : "ITEM-1", "itemData" : { "ISSN" : "1068-9265", "PMID" : "15023740", "author" : [ { "dropping-particle" : "", "family" : "Morton", "given" : "Donald L", "non-dropping-particle" : "", "parse-names" : false, "suffix" : "" } ], "container-title" : "Annals of surgical oncology", "id" : "ITEM-1", "issue" : "3 Suppl", "issued" : { "date-parts" : [ [ "2004", "3" ] ] }, "page" : "137S-43S", "title" : "Sentinel node mapping and an International Sentinel Node Society: current issues and future directions.", "type" : "article-journal", "volume" : "11" }, "uris" : [ "http://www.mendeley.com/documents/?uuid=ee2ad31d-b686-44d3-8ad0-dccbc246b048" ] } ], "mendeley" : { "formattedCitation" : "&lt;sup&gt;159&lt;/sup&gt;", "plainTextFormattedCitation" : "159", "previouslyFormattedCitation" : "&lt;sup&gt;159&lt;/sup&gt;" }, "properties" : { "noteIndex" : 0 }, "schema" : "https://github.com/citation-style-language/schema/raw/master/csl-citation.json" }</w:instrText>
      </w:r>
      <w:r w:rsidRPr="003E73CD">
        <w:rPr>
          <w:sz w:val="22"/>
          <w:szCs w:val="22"/>
        </w:rPr>
        <w:fldChar w:fldCharType="separate"/>
      </w:r>
      <w:r w:rsidR="00CE2A17" w:rsidRPr="00CE2A17">
        <w:rPr>
          <w:noProof/>
          <w:sz w:val="22"/>
          <w:szCs w:val="22"/>
          <w:vertAlign w:val="superscript"/>
        </w:rPr>
        <w:t>159</w:t>
      </w:r>
      <w:r w:rsidRPr="003E73CD">
        <w:rPr>
          <w:sz w:val="22"/>
          <w:szCs w:val="22"/>
        </w:rPr>
        <w:fldChar w:fldCharType="end"/>
      </w:r>
      <w:proofErr w:type="gramStart"/>
      <w:r w:rsidRPr="003E73CD">
        <w:rPr>
          <w:sz w:val="22"/>
          <w:szCs w:val="22"/>
        </w:rPr>
        <w:t xml:space="preserve">  If</w:t>
      </w:r>
      <w:proofErr w:type="gramEnd"/>
      <w:r w:rsidRPr="003E73CD">
        <w:rPr>
          <w:sz w:val="22"/>
          <w:szCs w:val="22"/>
        </w:rPr>
        <w:t xml:space="preserve"> no survival advantage or improvement in quality of life is demonstrated from CLND, then the procedure is likely to be abandoned in favor of high-resolution ultrasound follow-up and TLND as required.  However, if CLND </w:t>
      </w:r>
      <w:proofErr w:type="gramStart"/>
      <w:r w:rsidRPr="003E73CD">
        <w:rPr>
          <w:sz w:val="22"/>
          <w:szCs w:val="22"/>
        </w:rPr>
        <w:t>is</w:t>
      </w:r>
      <w:proofErr w:type="gramEnd"/>
      <w:r w:rsidRPr="003E73CD">
        <w:rPr>
          <w:sz w:val="22"/>
          <w:szCs w:val="22"/>
        </w:rPr>
        <w:t xml:space="preserve"> shown to provide a survival advantage then, in order to avoid unnecessary morbidity, it would become necessary to determine whether some or all patients benefit from the procedure.  Achievement of this aim is likely to require a method for reliably identifying patients with NSN metastases, prior to CLND.  The present study examined 6 potential predictors of NSN metastasis (age, gender, tumor thickness, ulceration, mitotic rate and number of SNs removed), and found that ulceration was the only statistically significant predictor of NSN status.  A number of previous studies have examined various characteristics related to the patient, the primary tumor pathology and the SN.</w:t>
      </w:r>
      <w:r w:rsidRPr="003E73CD">
        <w:rPr>
          <w:sz w:val="22"/>
          <w:szCs w:val="22"/>
        </w:rPr>
        <w:fldChar w:fldCharType="begin" w:fldLock="1"/>
      </w:r>
      <w:r w:rsidR="00217FAC">
        <w:rPr>
          <w:sz w:val="22"/>
          <w:szCs w:val="22"/>
        </w:rPr>
        <w:instrText>ADDIN CSL_CITATION { "citationItems" : [ { "id" : "ITEM-1", "itemData" : { "ISSN" : "0008-543X", "PMID" : "10918179", "abstract" : "BACKGROUND: The selection of patients for sentinel lymph node biopsy (SNB) and selective lymphadenectomy for histologically positive sentinel lymph nodes (SLND) are areas of debate. The authors of the current study attempted to identify predictors of metastases to the sentinel and residual nonsentinel lymph nodes in patients with melanoma.\n\nMETHODS: The Indiana University Interdisciplinary Melanoma Program computerized database was queried to identify all patients who underwent SNB for clinically localized cutaneous melanoma. Demographic, surgical, and histopathologic data were recorded. Univariate and multivariate logistic regression analyses were performed to identify associations with SNB and nonsentinel lymph node positivity. Classification tree and logistic procedures were performed to identify the ideal tumor thickness cutpoint at which to perform SNB.\n\nRESULTS: Two hundred seventy-five SNB procedures were performed to stage 348 regional lymph node basins for occult metastases from melanoma. Of the 275 melanomas, 54 (19.6%) had a positive SNB, as did 58 of 348 basins (16.7%). Classification and logistic regression analysis identified a Breslow depth of 1.25 mm to be the most significant cutpoint for SNB positivity (odds ratio 8. 8:1; P = 0.0001). By multivariate analyses, a Breslow thickness cutpoint &gt;/= 1.25 mm (P = 0.0002), ulceration (P = 0.005), and high mitotic index (&gt; 5 mitoses/high-power field; P = 0.04) were significant predictors of SNB results. SLND was performed in 53 SNB positive patients, 15 of whom (28.3%) had at least 1 additional positive lymph node. SLND positivity was noted across a wide range of primary tumor characteristics and was associated significantly with multiple positive SN, but not with any other variable. SNB result correlated significantly with disease free and overall survival.\n\nCONCLUSIONS: Patients with a Breslow tumor thickness &gt;/= 1. 25 mm, ulceration, and high mitotic index are most likely to have positive SNB results. SLND is recommended for all patients after positive SNB because it is difficult to identify patients with residual lymph node disease.", "author" : [ { "dropping-particle" : "", "family" : "Wagner", "given" : "J D", "non-dropping-particle" : "", "parse-names" : false, "suffix" : "" }, { "dropping-particle" : "", "family" : "Gordon", "given" : "M S", "non-dropping-particle" : "", "parse-names" : false, "suffix" : "" }, { "dropping-particle" : "", "family" : "Chuang", "given" : "T Y", "non-dropping-particle" : "", "parse-names" : false, "suffix" : "" }, { "dropping-particle" : "", "family" : "Coleman", "given" : "J J", "non-dropping-particle" : "", "parse-names" : false, "suffix" : "" }, { "dropping-particle" : "", "family" : "Hayes", "given" : "J T", "non-dropping-particle" : "", "parse-names" : false, "suffix" : "" }, { "dropping-particle" : "", "family" : "Jung", "given" : "S H", "non-dropping-particle" : "", "parse-names" : false, "suffix" : "" }, { "dropping-particle" : "", "family" : "Love", "given" : "C", "non-dropping-particle" : "", "parse-names" : false, "suffix" : "" } ], "container-title" : "Cancer", "id" : "ITEM-1", "issue" : "2", "issued" : { "date-parts" : [ [ "2000", "7", "15" ] ] }, "page" : "453-62", "title" : "Predicting sentinel and residual lymph node basin disease after sentinel lymph node biopsy for melanoma.", "type" : "article-journal", "volume" : "89" }, "uris" : [ "http://www.mendeley.com/documents/?uuid=ed565e24-aaa1-45dc-a6b5-8cd38080200d" ] }, { "id" : "ITEM-2", "itemData" : { "ISSN" : "1068-9265", "PMID" : "11888869", "abstract" : "BACKGROUND: Completion lymph node dissection (CLND) may not be necessary for some patients because nodal metastasis is rarely detected beyond the sentinel lymph nodes (SLNs). This analysis was performed to determine, among patients with positive SLNs, the rate of nodal metastasis found in nonsentinel nodes (NSNs).\n\nMETHODS: This analysis includes patients with positive sentinel nodes, detected by hematoxylin and eosin (H&amp;E) staining or immunohistochemistry (IHC), who then underwent CLND.\n\nRESULTS: This analysis included 274 patients with at least one positive SLN who underwent CLND of 282 involved regional nodal basins. Of the 282 SLN-positive nodal basins, 45 (16%) were found to have positive NSNs in the CLND specimen. Breslow thickness, Clark level, presence of ulceration, histological subtype, presence of vertical growth phase, evidence of regression, presence of lymphovascular invasion, number of positive SLNs, age, sex, and presence of multiple draining nodal basins were not predictive of positive nodes in the CLND specimen. Patients with SLN metastases detected only by IHC had an equal likelihood of having positive NSNs as those patients with positive SLNs on H&amp;E examination.\n\nCONCLUSIONS: No patient population could be identified with minimal risk of non-SLN metastasis. When a positive SLN is identified on either H&amp;E staining or IHC, CLND should be performed routinely.", "author" : [ { "dropping-particle" : "", "family" : "McMasters", "given" : "Kelly M", "non-dropping-particle" : "", "parse-names" : false, "suffix" : "" }, { "dropping-particle" : "", "family" : "Wong", "given" : "Sandra L", "non-dropping-particle" : "", "parse-names" : false, "suffix" : "" }, { "dropping-particle" : "", "family" : "Edwards", "given" : "Michael J", "non-dropping-particle" : "", "parse-names" : false, "suffix" : "" }, { "dropping-particle" : "", "family" : "Chao", "given" : "Celia", "non-dropping-particle" : "", "parse-names" : false, "suffix" : "" }, { "dropping-particle" : "", "family" : "Ross", "given" : "Merrick I", "non-dropping-particle" : "", "parse-names" : false, "suffix" : "" }, { "dropping-particle" : "", "family" : "Noyes", "given" : "R Dirk", "non-dropping-particle" : "", "parse-names" : false, "suffix" : "" }, { "dropping-particle" : "", "family" : "Viar", "given" : "Vicki", "non-dropping-particle" : "", "parse-names" : false, "suffix" : "" }, { "dropping-particle" : "", "family" : "Cerrito", "given" : "Patricia B", "non-dropping-particle" : "", "parse-names" : false, "suffix" : "" }, { "dropping-particle" : "", "family" : "Reintgen", "given" : "Douglas S", "non-dropping-particle" : "", "parse-names" : false, "suffix" : "" } ], "container-title" : "Annals of surgical oncology", "id" : "ITEM-2", "issue" : "2", "issued" : { "date-parts" : [ [ "2002", "3" ] ] }, "page" : "137-41", "title" : "Frequency of nonsentinel lymph node metastasis in melanoma.", "type" : "article-journal", "volume" : "9" }, "uris" : [ "http://www.mendeley.com/documents/?uuid=b500c2b9-f2c6-482b-840c-42fe86a3becc" ] }, { "id" : "ITEM-3", "itemData" : { "ISSN" : "0002-9610", "PMID" : "12885597", "abstract" : "BACKGROUND: The incidence of residual occult disease in nonsentinel lymph nodes (NSLN) after a positive sentinel lymph node (SLN) biopsy in patients with melanoma is relatively low. The purpose of this study is to identify factors that may be predictive of occult NSLN metastases after positive SLN biopsy.\n\nMETHODS: Fifty-six consecutive melanoma patients with positive sentinel nodes who subsequently underwent complete lymph node dissection (CLND) were evaluated.\n\nRESULTS: Only the number of positive SLN predicted the status on NSLN by univariate (P = 0.008) and multivariate (P = 0.028) analyses. None of the other variables (characteristics of SLN metastases, number of draining nodal basins, age, sex, thickness, Clark level, ulceration, number of mitoses/mm(2), histological subtype, and location of the primary) significantly predicted CLND results.\n\nCONCLUSIONS: Identifying patients with residual lymph node basin disease remains difficult. Thus, lymph node dissection should be performed in all patients after positive sentinel node biopsy.", "author" : [ { "dropping-particle" : "", "family" : "Salti", "given" : "George I", "non-dropping-particle" : "", "parse-names" : false, "suffix" : "" }, { "dropping-particle" : "", "family" : "Gupta", "given" : "Tapas K", "non-dropping-particle" : "Das", "parse-names" : false, "suffix" : "" } ], "container-title" : "American journal of surgery", "id" : "ITEM-3", "issue" : "2", "issued" : { "date-parts" : [ [ "2003", "8" ] ] }, "page" : "98-101", "title" : "Predicting residual lymph node basin disease in melanoma patients with sentinel lymph node metastases.", "type" : "article-journal", "volume" : "186" }, "uris" : [ "http://www.mendeley.com/documents/?uuid=cd89c604-45f2-4f9d-ac9c-d81ed5254b9f" ] }, { "id" : "ITEM-4", "itemData" : { "ISSN" : "1068-9265", "PMID" : "12513956", "abstract" : "BACKGROUND: Most melanoma patients with a positive sentinel lymph node dissection (SLND) undergo a completion lymph node dissection (CLND) that does not yield additional positive nonsentinel lymph nodes (NSLN). This study was designed to determine if NSLN status can be predicted using patient, primary tumor, and sentinel lymph node (SLN) characteristics. METHODS: The study population includes melanoma patients who had a positive SLND and subsequently underwent CLND retrieved from our prospective institutional melanoma database. The primary tumor and SLN pathologies were prospectively determined. An Size/Ulceration (SU) score was derived by assigning 1 point for primary tumor ulceration and 1 point for SLN tumor size &gt;2 mm. RESULTS: Ninety-eight patients had a positive SLND and underwent CLND. Sixteen of these patients had a positive NSLN. On univariate analysis, primary tumor characteristics (thickness, ulceration, no regression), SLN metastasis characteristics (size &gt;2 mm, location nonsubcapsular), and SU score were all significantly associated with positive NSLN status. However, on multivariate analysis, only the SU score was a significant independent predictor of NSLN status. No patient with an SU score of 0 had a positive NSLN. CONCLUSIONS: The SU score is predictive of NSLN status in patients with a positive SLND. Patients with an SU score of 0 are very unlikely to have positive NSLNs at CLND.", "author" : [ { "dropping-particle" : "", "family" : "Reeves", "given" : "Mark E", "non-dropping-particle" : "", "parse-names" : false, "suffix" : "" }, { "dropping-particle" : "", "family" : "Delgado", "given" : "Ruby", "non-dropping-particle" : "", "parse-names" : false, "suffix" : "" }, { "dropping-particle" : "", "family" : "Busam", "given" : "Klaus J", "non-dropping-particle" : "", "parse-names" : false, "suffix" : "" }, { "dropping-particle" : "", "family" : "Brady", "given" : "Mary S", "non-dropping-particle" : "", "parse-names" : false, "suffix" : "" }, { "dropping-particle" : "", "family" : "Coit", "given" : "Daniel G", "non-dropping-particle" : "", "parse-names" : false, "suffix" : "" } ], "container-title" : "Annals of surgical oncology", "id" : "ITEM-4", "issue" : "1", "issued" : { "date-parts" : [ [ "2003", "1" ] ] }, "page" : "27-31", "title" : "Prediction of nonsentinel lymph node status in melanoma.", "type" : "article-journal", "volume" : "10" }, "uris" : [ "http://www.mendeley.com/documents/?uuid=dd075209-8de4-4cf7-82ea-21bc5154931f" ] }, { "id" : "ITEM-5", "itemData" : { "DOI" : "10.1038/modpathol.3800117", "ISSN" : "0893-3952", "PMID" : "15098011", "abstract" : "Lymphatic mapping and sentinel node biopsy are well-established techniques for staging and managing patients with melanoma, breast cancer and other malignancies that spread initially to the regional lymph nodes. Identification of tumor in the sentinel node is the most precise staging technique currently available. The sentinel node is the site of metastatic melanoma in approximately 20% of melanoma patients and if tumor is present in the sentinel node it is customary to perform a complete dissection of the lymph nodes of the affected nodal basin. This may be overtreatment for some patients as tumor is identified in the nonsentinel nodes of only one-third of sentinel node-positive melanoma patients treated by completion lymphadenectomy. If it were possible accurately to identify the minority of patients with tumor in the nonsentinel nodes, the patients most likely to benefit from lymphadenectomy, the remaining patients could be spared a potentially morbid operation that is unlikely to confer clinical advantage. In 90 patients with a melanoma-positive sentinel node, who subsequently had a completion lymphadenectomy, we evaluated and compared the capacity of characteristics of the primary melanoma and of the sentinel node to predict individuals likely to have tumor in nonsentinel nodes. We assessed the Breslow thickness of the primary, the amount of tumor in the sentinel node (relative tumor area) and, as an index of immune modulation of the sentinel node, the density of dendritic leukocytes in the nodal paracortex. The relative area of tumor in the sentinel node and Breslow thickness of the primary melanoma most accurately predicted the presence of tumor in the nonsentinel nodes (P=0.0001 in both cases-Wilcoxon rank sums). The presence of melanoma in the nonsentinel nodes was also predicted by the density of dendritic leukocytes in the paracortex (P=0.008-Wilcoxon rank sums). These three observations assessed alone and in combination predict the presence of tumor in the nonsentinel nodes with high accuracy. The same characteristics also significantly correlated with tumor recurrence (tumor burden, P=0.0001, Breslow, P=0.0001 and dendritic cell density, P=0.0007) and death from melanoma (tumor burden, P=0.0001, Breslow, P=0.0001 and dendritic cell density, P=0.0026).", "author" : [ { "dropping-particle" : "", "family" : "Cochran", "given" : "Alistair J", "non-dropping-particle" : "", "parse-names" : false, "suffix" : "" }, { "dropping-particle" : "", "family" : "Wen", "given" : "Duan-Ren", "non-dropping-particle" : "", "parse-names" : false, "suffix" : "" }, { "dropping-particle" : "", "family" : "Huang", "given" : "Rong-Rong", "non-dropping-particle" : "", "parse-names" : false, "suffix" : "" }, { "dropping-particle" : "", "family" : "Wang", "given" : "Hei-Jing", "non-dropping-particle" : "", "parse-names" : false, "suffix" : "" }, { "dropping-particle" : "", "family" : "Elashoff", "given" : "Robert", "non-dropping-particle" : "", "parse-names" : false, "suffix" : "" }, { "dropping-particle" : "", "family" : "Morton", "given" : "Donald L", "non-dropping-particle" : "", "parse-names" : false, "suffix" : "" } ], "container-title" : "Modern pathology : an official journal of the United States and Canadian Academy of Pathology, Inc", "id" : "ITEM-5", "issue" : "7", "issued" : { "date-parts" : [ [ "2004", "7" ] ] }, "page" : "747-55", "title" : "Prediction of metastatic melanoma in nonsentinel nodes and clinical outcome based on the primary melanoma and the sentinel node.", "type" : "article-journal", "volume" : "17" }, "uris" : [ "http://www.mendeley.com/documents/?uuid=d0752a8e-70d4-4d94-987d-117669bd61d2" ] }, { "id" : "ITEM-6", "itemData" : { "DOI" : "10.1200/JCO.2004.01.012", "ISSN" : "0732-183X", "PMID" : "15365064", "abstract" : "PURPOSE: Approximately 20% of sentinel node (SN) positive melanoma patients have additional non-SN (NSN) metastasis. The rationale for this study was to identify the factors associated with additional nodal disease, as a method to determine which patients may most benefit from completion lymph node dissection (CLND).\n\nPATIENTS AND METHODS: During 1990 to 2002, 1,599 patients have undergone SN biopsy at our institute. 19.5% underwent CLND for tumor-positive SN. One hundred ninety-one of these patients had clinicopathologic information available for review. Univariate analyses used chi2 test, Wilcoxson rank sum test, and chi2 test for trend. Multivariate analyses used logistic regression and Wald test.\n\nRESULTS: Forty-six (24%) patients had tumor-positive NSN. Univariate analyses showed that primary thickness (Breslow and Clark), primary site, SN tumor size, and number of tumor-positive SNs were significantly associated with tumor-positive NSN. Multivariate analysis (167 patients), confirmed that Breslow and SN tumor size were independently predictive. Sex, histology, ulceration, mitotic index, and SN basin location were not predictive. Risk stratification by the number of prognostic factors present (Breslow &gt; or = 3 mm and SN tumor size &gt; or = 2 mm) showed that probability of finding tumor-positive NSN was 12.3% in the low-risk group (0 factors), 30.9% in the intermediate-risk group (1 factor), and 41.9% in the high-risk group (2 factors).\n\nCONCLUSION: Thicker primary and larger SN tumor size are factors that correlate best with tumor-positive NSN. Although none of these factors are absolutely predictive of residual nodal disease, these factors must be strongly considered if the SN contains metastasis, as they provide enhanced risk assessment for NSN tumor-positivity.", "author" : [ { "dropping-particle" : "", "family" : "Lee", "given" : "J. H.", "non-dropping-particle" : "", "parse-names" : false, "suffix" : "" } ], "container-title" : "Journal of Clinical Oncology", "id" : "ITEM-6", "issue" : "18", "issued" : { "date-parts" : [ [ "2004", "8", "9" ] ] }, "page" : "3677-3684", "title" : "Factors Predictive of Tumor-Positive Nonsentinel Lymph Nodes After Tumor-Positive Sentinel Lymph Node Dissection for Melanoma", "type" : "article-journal", "volume" : "22" }, "uris" : [ "http://www.mendeley.com/documents/?uuid=143cecc4-6e2c-4cf1-b264-d26ab3e23368" ] }, { "id" : "ITEM-7", "itemData" : { "DOI" : "10.1309/TDWJ-TR15-TDM1-TG7Q", "ISSN" : "0002-9173", "PMID" : "15487450", "abstract" : "The aim of the present study was to determine whether micromorphometric features of positive sentinel lymph nodes (SLNs) from patients with melanoma are useful for predicting further nodal involvement in completion lymph node dissection (CLND) specimens. Of 986 patients with melanoma undergoing SLN biopsy between March 1992 and February 2001, 175 (17.7%) had at least 1 positive SLN and 140 had subsequent CLND specimens available for review. Further nodal involvement in CLND specimens was present in 24 (17.1%) of 140 patients. Of 8 micromorphometric features of the SLNs that were assessed, the presence of metastases in CLND specimens was correlated significantly with a tumor penetrative depth (maximum distance of melanoma cells from the inner margin of the SLN capsule) of more than 2 mm (P &lt; .05), a deposit size of more than 10 mm2 (P &lt; .01), the presence of melanoma cells in perinodal lymphatic vessels (P &lt; .01), and the effacement of nodal architecture by metastatic melanoma cells (P &lt; .05). Our results indicate that some morphologic features of melanoma metastases in SLNs predict the likelihood of further nodal involvement in CLND specimens.", "author" : [ { "dropping-particle" : "", "family" : "Scolyer", "given" : "Richard A.", "non-dropping-particle" : "", "parse-names" : false, "suffix" : "" }, { "dropping-particle" : "", "family" : "Li", "given" : "Ling-Xi L.", "non-dropping-particle" : "", "parse-names" : false, "suffix" : "" }, { "dropping-particle" : "", "family" : "McCarthy", "given" : "Stanley W.", "non-dropping-particle" : "", "parse-names" : false, "suffix" : "" }, { "dropping-particle" : "", "family" : "Shaw", "given" : "Helen M.", "non-dropping-particle" : "", "parse-names" : false, "suffix" : "" }, { "dropping-particle" : "", "family" : "Stretch", "given" : "Jonathan R.", "non-dropping-particle" : "", "parse-names" : false, "suffix" : "" }, { "dropping-particle" : "", "family" : "Sharma", "given" : "Raghwa", "non-dropping-particle" : "", "parse-names" : false, "suffix" : "" }, { "dropping-particle" : "", "family" : "Thompson", "given" : "John F.", "non-dropping-particle" : "", "parse-names" : false, "suffix" : "" } ], "container-title" : "American Journal of Clinical Pathology", "id" : "ITEM-7", "issue" : "4", "issued" : { "date-parts" : [ [ "2004", "1", "1" ] ] }, "page" : "532-539", "title" : "Micromorphometric Features of Positive Sentinel Lymph Nodes Predict Involvement of Nonsentinel Nodes in Patients With Melanoma", "type" : "article-journal", "volume" : "122" }, "uris" : [ "http://www.mendeley.com/documents/?uuid=01d47762-5d11-4c90-8aea-5d384b9c7a56" ] }, { "id" : "ITEM-8", "itemData" : { "ISSN" : "1068-9265", "PMID" : "15023745", "abstract" : "The most successful strategies in the management of melanoma have always been based on early diagnosis and timely surgical removal. Sentinel lymphonodectomy (SLNE) is the most reliable technique for the detection of melanoma micrometastases in regional lymph nodes. The micromorphometric S-classification, a routinely determinable surrogate of tumor burden in the sentinel lymph node (SLN), has high prognostic relevance. SIII metastases, defined by a depth of invasion (d) greater than 1 mm below the capsular level, imply a risk of more than 50% for the presence of nonsentinel lymph node metastases in the same basin and for the emergence of distant metastases within 5 years of follow-up. Corresponding risks with SI metastases (d &lt;/= 0.3 mm) and SII metastases (0.3 mm &lt; d &lt;/= 1 mm) do not exceed 15%. The survival curve for patients with SIII metastases approaches that of patients in the pre-SLNE era who underwent delayed lymph node dissection for subsequently detected nodal macrometastases. The survival of patients with initially removed SI and SII metastases is much better, similar to that of patients with S0 metastases. This explains the significant survival benefit of SLN-guided surgery in the entire population of patients with melanomas thicker than 0.75 mm, although the outcome of the subgroup without nodal metastases is not influenced by SLNE.", "author" : [ { "dropping-particle" : "", "family" : "Starz", "given" : "Hans", "non-dropping-particle" : "", "parse-names" : false, "suffix" : "" }, { "dropping-particle" : "", "family" : "Siedlecki", "given" : "Katharina", "non-dropping-particle" : "", "parse-names" : false, "suffix" : "" }, { "dropping-particle" : "", "family" : "Balda", "given" : "Bernd-R\u00fcdiger", "non-dropping-particle" : "", "parse-names" : false, "suffix" : "" } ], "container-title" : "Annals of surgical oncology", "id" : "ITEM-8", "issue" : "3 Suppl", "issued" : { "date-parts" : [ [ "2004", "3" ] ] }, "page" : "162S-8S", "title" : "Sentinel lymphonodectomy and s-classification: a successful strategy for better prediction and improvement of outcome of melanoma.", "type" : "article-journal", "volume" : "11" }, "uris" : [ "http://www.mendeley.com/documents/?uuid=a13a8b9a-f140-4674-8fb0-453c2e6a863a" ] }, { "id" : "ITEM-9", "itemData" : { "DOI" : "10.1200/JCO.2004.12.177", "ISSN" : "0732-183X", "PMID" : "15310779", "abstract" : "PURPOSE: Sentinel node biopsy is now widely accepted as the most accurate prognostic indicator in melanoma, and is important in guiding management of patients with clinical stage I or II disease. Patients with a positive sentinel node have conventionally undergone completion lymphadenectomy (CLND) of the involved basin, but only 20% have involvement beyond the sentinel node, suggesting that CLND may be unnecessary for the other 80% of patients. This study seeks to identify criteria that might be used to be more restrictive in selecting those who should undergo CLND.\n\nMETHODS: A total of 146 patients were identified who had had a positive sentinel node biopsy for malignant melanoma. Their sentinel nodes and lymphadenectomy specimens were re-evaluated pathologically. The metastatic melanoma in each sentinel node was assessed according to its microanatomic location within the node (subcapsular, combined subcapsular and parenchymal, parenchymal, multifocal, or extensive), and this was correlated with the presence of involved nonsentinel nodes in the CLND. The depth of the metastases from the sentinel node capsule was also recorded.\n\nRESULTS: The metastatic deposits in the sentinel node were subcapsular in 26.0% of patients. None of these patients had any nonsentinel nodes involved on CLND. In the patients whose sentinel node metastases had a different microanatomic location, the rate of nonsentinel node involvement was 22.2% overall.\n\nCONCLUSION: The microanatomic location of metastases within sentinel nodes predicts nonsentinel lymph node involvement. In patients with only subcapsular deposits in the sentinel node, it is possible that CLND could safely be avoided.", "author" : [ { "dropping-particle" : "", "family" : "Dewar", "given" : "D J", "non-dropping-particle" : "", "parse-names" : false, "suffix" : "" }, { "dropping-particle" : "", "family" : "Newell", "given" : "B", "non-dropping-particle" : "", "parse-names" : false, "suffix" : "" }, { "dropping-particle" : "", "family" : "Green", "given" : "M A", "non-dropping-particle" : "", "parse-names" : false, "suffix" : "" }, { "dropping-particle" : "", "family" : "Topping", "given" : "A P", "non-dropping-particle" : "", "parse-names" : false, "suffix" : "" }, { "dropping-particle" : "", "family" : "Powell", "given" : "B W E M", "non-dropping-particle" : "", "parse-names" : false, "suffix" : "" }, { "dropping-particle" : "", "family" : "Cook", "given" : "M G", "non-dropping-particle" : "", "parse-names" : false, "suffix" : "" } ], "container-title" : "Journal of clinical oncology : official journal of the American Society of Clinical Oncology", "id" : "ITEM-9", "issue" : "16", "issued" : { "date-parts" : [ [ "2004", "8", "15" ] ] }, "page" : "3345-9", "title" : "The microanatomic location of metastatic melanoma in sentinel lymph nodes predicts nonsentinel lymph node involvement.", "type" : "article-journal", "volume" : "22" }, "uris" : [ "http://www.mendeley.com/documents/?uuid=4506cae2-267b-47ed-99e3-fa46fed76ab8" ] }, { "id" : "ITEM-10", "itemData" : { "ISSN" : "0960-8931", "PMID" : "16034304", "abstract" : "The purpose of this study was to identify melanoma patients with positive sentinel lymph nodes (SLNs) at increased risk for further metastases in this specific lymph node basin. A series of consecutive patients with primary malignant melanoma stage I and II were evaluated retrospectively. The results of SLN biopsy in 26 patients with positive SLNs were compared with those of complete regional lymph node dissection (RLND) using the recently published S-classification of SLNs. The results of S-classification of SLNs were correlated with the outcome of complete RLND. There was a significant correlation between the S stage of positive SLNs and the results of complete RLND (P=0.02). Only patients with SIII stage (n=4) SLNs were found to have further metastases in the residual lymph node basin. The present study indicates that patients with SI stage and SII stage SLNs rarely have further metastases in the specific lymph node basin.", "author" : [ { "dropping-particle" : "", "family" : "Fink", "given" : "Astrid M", "non-dropping-particle" : "", "parse-names" : false, "suffix" : "" }, { "dropping-particle" : "", "family" : "Weihsengruber", "given" : "Felix", "non-dropping-particle" : "", "parse-names" : false, "suffix" : "" }, { "dropping-particle" : "", "family" : "Spangl", "given" : "Bernhard", "non-dropping-particle" : "", "parse-names" : false, "suffix" : "" }, { "dropping-particle" : "", "family" : "Feichtinger", "given" : "Hans", "non-dropping-particle" : "", "parse-names" : false, "suffix" : "" }, { "dropping-particle" : "", "family" : "Lilgenau", "given" : "Nikolaus", "non-dropping-particle" : "", "parse-names" : false, "suffix" : "" }, { "dropping-particle" : "", "family" : "Rappersberger", "given" : "Klemens", "non-dropping-particle" : "", "parse-names" : false, "suffix" : "" }, { "dropping-particle" : "", "family" : "Jurecka", "given" : "Wolfgang", "non-dropping-particle" : "", "parse-names" : false, "suffix" : "" }, { "dropping-particle" : "", "family" : "Steiner", "given" : "Andreas", "non-dropping-particle" : "", "parse-names" : false, "suffix" : "" } ], "container-title" : "Melanoma research", "id" : "ITEM-10", "issue" : "4", "issued" : { "date-parts" : [ [ "2005", "8" ] ] }, "page" : "267-71", "title" : "S-classification of sentinel lymph node biopsy predicts the results of complete regional lymph node dissection.", "type" : "article-journal", "volume" : "15" }, "uris" : [ "http://www.mendeley.com/documents/?uuid=06d1b817-430a-43de-bb2e-a318041dcac1" ] }, { "id" : "ITEM-11", "itemData" : { "abstract" : "BACKGROUND: Patients found to harbor melanoma micrometastases in the sentinel lymph node (SLN) are recommended to proceed to complete lymph node dissection (CLND), although the majority of patients will have no additional disease identified in the nonsentinel lymph nodes (NSLNs). We sought to assess predictive factors associated with finding positive NSLNs, and identify a subset of patients with low likelihood of finding additional disease on CLND. STUDY DESIGN: We queried our prospective melanoma database for patients from January 1996 to August 2003 with a positive SLN. Univariable logistic regression models were fit for multiple factors and a positive NSLN. To derive a probabilistic model for occurrence of one or more positive NSLN(s), a multivariable logistic model was fit using a stepwise variable selection method. RESULTS: Of 980 patients who underwent SLN biopsy for cutaneous melanoma, 232 (24%) had a positive SLN; 221 (23%) followed by CLND. Of these patients, 34 (15%) had one or more positive NSLN(s). In multivariable analysis, male gender (odds ratio [OR] 3.6 [95% CI 1.33, 9.71]; p = 0.01), Breslow thickness (OR 4.58 [95% CI 1.28, 16.36]; p = 0.019), extranodal extension (OR 3.2 [95% CI 1.0, 10.5]; p = 0.05), and three or more positive sentinel nodes (OR 65.81 [95% CI 5.2, 825.7]; p = 0.001) were all associated with the likelihood of finding additional positive nodes on CLND. Of 47 patients with minimal tumor burden in the SLN, only 1 (2%) had additional disease in the NSLN. CONCLUSIONS: These results provide additional data to plan clinical trials to answer the question of who can safely avoid CLND after a positive SLN. Patients with minimal tumor burden in the SLN might be the most likely group, although defining \"minimal tumor burden\" must be standardized. Serial sectioning and immunohistochemistry on the NSLN in any \"low-risk\" group must be performed in a clinical trial to confirm that residual disease is unlikely before avoiding CLND can be recommended. \u00a9 2005 by the American College of Surgeons.", "author" : [ { "dropping-particle" : "", "family" : "Sabel", "given" : "Michael S.", "non-dropping-particle" : "", "parse-names" : false, "suffix" : "" }, { "dropping-particle" : "", "family" : "Griffith", "given" : "Kent", "non-dropping-particle" : "", "parse-names" : false, "suffix" : "" }, { "dropping-particle" : "", "family" : "Sondak", "given" : "Vernon K.", "non-dropping-particle" : "", "parse-names" : false, "suffix" : "" }, { "dropping-particle" : "", "family" : "Lowe", "given" : "Lori", "non-dropping-particle" : "", "parse-names" : false, "suffix" : "" }, { "dropping-particle" : "", "family" : "Schwartz", "given" : "Jennifer L.", "non-dropping-particle" : "", "parse-names" : false, "suffix" : "" }, { "dropping-particle" : "", "family" : "Cimmino", "given" : "Vincent M.", "non-dropping-particle" : "", "parse-names" : false, "suffix" : "" }, { "dropping-particle" : "", "family" : "Chang", "given" : "Alfred E.", "non-dropping-particle" : "", "parse-names" : false, "suffix" : "" }, { "dropping-particle" : "", "family" : "Rees", "given" : "Riley S.", "non-dropping-particle" : "", "parse-names" : false, "suffix" : "" }, { "dropping-particle" : "", "family" : "Bradford", "given" : "Carol R.", "non-dropping-particle" : "", "parse-names" : false, "suffix" : "" }, { "dropping-particle" : "", "family" : "Johnson", "given" : "Timothy M.", "non-dropping-particle" : "", "parse-names" : false, "suffix" : "" } ], "container-title" : "Journal of the American College of Surgeons", "id" : "ITEM-11", "issue" : "1", "issued" : { "date-parts" : [ [ "2005" ] ] }, "page" : "37-47", "title" : "Predictors of nonsentinel lymph node positivity in patients with a positive sentinel node for melanoma", "type" : "article-journal", "volume" : "201" }, "uris" : [ "http://www.mendeley.com/documents/?uuid=ba42c37e-0beb-4757-b901-754a60fc6450" ] }, { "id" : "ITEM-12", "itemData" : { "DOI" : "10.1245/ASO.2005.06.013", "ISSN" : "1068-9265", "PMID" : "15864481", "abstract" : "BACKGROUND: Even though 60% to 80% of melanoma patients with a positive sentinel lymph node (SLN) have no positive additional lymph nodes (ALNs), all these patients are subjected to an ALN dissection (ALND) with its associated morbidity. The aim of this study was to predict the absence of ALN metastases in patients with a positive SLN by using features of the primary melanoma and SLN tumor load.\n\nMETHODS: Of 71 SLN-positive patients, 52 had metastasis limited to the SLN (group 1), and 19 had &gt; or =1 positive ALN after ALND (group 2). The tumor load of the SLN was assessed by measuring the total surface area by computerized morphometry. Breslow thickness, ulceration and lymphatic invasion of the primary tumor, and total SLN metastatic area were tested as covariates predicting the absence of positive ALNs.\n\nRESULTS: The mean SLN metastatic area was 1.18 mm(2) (group 1) and 3.39 mm(2) (group 2) (P = .003) and was the only significant and independent factor after multivariate analysis (P = .02). None of the patients with both a Breslow thickness &lt;2.5 mm and an SLN metastatic area &lt;.3 mm(2) had a positive ALN.\n\nCONCLUSIONS: SLN metastatic area can be used to predict the absence of positive ALNs in melanoma patients. In this study, patients with a Breslow thickness &lt;2.5 mm and an SLN tumor load &lt;.3 mm(2 )seemed to have no positive ALN and had excellent survival. We hypothesize that this subgroup might not benefit from ALND. Prospective larger trials, using this model and randomizing between ALND and no ALND, should confirm this hypothesis.", "author" : [ { "dropping-particle" : "", "family" : "Vuylsteke", "given" : "Ronald J C L M", "non-dropping-particle" : "", "parse-names" : false, "suffix" : "" }, { "dropping-particle" : "", "family" : "Borgstein", "given" : "Paul J", "non-dropping-particle" : "", "parse-names" : false, "suffix" : "" }, { "dropping-particle" : "", "family" : "Leeuwen", "given" : "Paul A M", "non-dropping-particle" : "van", "parse-names" : false, "suffix" : "" }, { "dropping-particle" : "", "family" : "Gietema", "given" : "Hester A", "non-dropping-particle" : "", "parse-names" : false, "suffix" : "" }, { "dropping-particle" : "", "family" : "Molenkamp", "given" : "Barbara G", "non-dropping-particle" : "", "parse-names" : false, "suffix" : "" }, { "dropping-particle" : "", "family" : "Statius Muller", "given" : "Markwin G", "non-dropping-particle" : "", "parse-names" : false, "suffix" : "" }, { "dropping-particle" : "", "family" : "Diest", "given" : "Paul J", "non-dropping-particle" : "van", "parse-names" : false, "suffix" : "" }, { "dropping-particle" : "", "family" : "Sijp", "given" : "Joost R M", "non-dropping-particle" : "van der", "parse-names" : false, "suffix" : "" }, { "dropping-particle" : "", "family" : "Meijer", "given" : "Sybren", "non-dropping-particle" : "", "parse-names" : false, "suffix" : "" } ], "container-title" : "Annals of surgical oncology", "id" : "ITEM-12", "issue" : "6", "issued" : { "date-parts" : [ [ "2005", "6" ] ] }, "page" : "440-8", "title" : "Sentinel lymph node tumor load: an independent predictor of additional lymph node involvement and survival in melanoma.", "type" : "article-journal", "volume" : "12" }, "uris" : [ "http://www.mendeley.com/documents/?uuid=f4008c8d-246b-45be-954c-bbd5d8af0390" ] }, { "id" : "ITEM-13", "itemData" : { "DOI" : "10.1016/j.amjsurg.2006.08.062", "ISSN" : "1879-1883", "PMID" : "17161112", "abstract" : "BACKGROUND: A positive sentinel lymph node (SLN) biopsy is an indication for completion lymph node dissection (CLND) in malignant melanoma; however, most CLNDs are negative. We hypothesized SLN metastatic size of &lt; or =2 mm would predict CLND status and prognosis.\n\nMETHODS: We evaluated 80 consecutive patients undergoing CLND for positive SLNs over a 10-year period. Incidence of positive nonsentinel nodes and survival were compared for patients with SLN metastases &lt; or =2 mm and &gt;2 mm.\n\nRESULTS: Of 504 patients undergoing SLN biopsy, 49 patients had SLN deposits &lt; or =2 mm and a 6% incidence of positive CLNDs. Five-year survival was 85%, essentially the same as negative SLN biopsies. In contrast, 31 had SLN metastases &gt;2 mm, a 45% incidence of addition disease at CLND, and 5-year survival of 47% (P &lt; .0001).\n\nCONCLUSION: An SLN metastatic cut point of 2 mm is an efficient predictor of CLND status and survival in malignant melanoma.", "author" : [ { "dropping-particle" : "", "family" : "Pearlman", "given" : "Nathan W", "non-dropping-particle" : "", "parse-names" : false, "suffix" : "" }, { "dropping-particle" : "", "family" : "McCarter", "given" : "Martin D", "non-dropping-particle" : "", "parse-names" : false, "suffix" : "" }, { "dropping-particle" : "", "family" : "Frank", "given" : "Matthew", "non-dropping-particle" : "", "parse-names" : false, "suffix" : "" }, { "dropping-particle" : "", "family" : "Hurtubis", "given" : "Cheryl", "non-dropping-particle" : "", "parse-names" : false, "suffix" : "" }, { "dropping-particle" : "", "family" : "Merkow", "given" : "Ryan P", "non-dropping-particle" : "", "parse-names" : false, "suffix" : "" }, { "dropping-particle" : "", "family" : "Franklin", "given" : "Wilbur A", "non-dropping-particle" : "", "parse-names" : false, "suffix" : "" }, { "dropping-particle" : "", "family" : "Gonzalez", "given" : "Rene", "non-dropping-particle" : "", "parse-names" : false, "suffix" : "" }, { "dropping-particle" : "", "family" : "Lewis", "given" : "Karl", "non-dropping-particle" : "", "parse-names" : false, "suffix" : "" }, { "dropping-particle" : "", "family" : "Roaten", "given" : "J Brent", "non-dropping-particle" : "", "parse-names" : false, "suffix" : "" }, { "dropping-particle" : "", "family" : "Robinson", "given" : "William A", "non-dropping-particle" : "", "parse-names" : false, "suffix" : "" } ], "container-title" : "American journal of surgery", "id" : "ITEM-13", "issue" : "6", "issued" : { "date-parts" : [ [ "2006", "12" ] ] }, "page" : "878-81", "title" : "Size of sentinel node metastases predicts other nodal disease and survival in malignant melanoma.", "type" : "article-journal", "volume" : "192" }, "uris" : [ "http://www.mendeley.com/documents/?uuid=8b561a6b-e631-4cc0-9a77-6864402b5a97" ] }, { "id" : "ITEM-14", "itemData" : { "DOI" : "10.1200/JCO.2006.06.3198", "ISSN" : "1527-7755", "PMID" : "16983115", "abstract" : "PURPOSE: To evaluate the prognostic significance of sentinel node biopsy in the management of stage IB and II melanoma patients, and to evaluate the status of nonsentinel nodes as a \"second step key factor\" to assess the prognosis of these patients.\n\nPATIENTS AND METHODS: We conducted an analysis of data collected in a prospective database.\n\nRESULTS: From February 1994 to June 2005, 1,108 consecutive patients with stage IB and II melanoma were submitted to sentinel node biopsy; 176 patients (15.9%) had occult node metastases. The frequency of positive nodes increased with increasing Breslow's thickness. The largest diameter of metastatic foci and their localization within the lymph node were associated with the risk of nonsentinel node metastases only. The 5-year survival of patients with positive sentinel nodes was 81.4% in patients with one positive node and 39.6% in patients with two positive nodes (P = .056). Multivariate analysis indicated that status of sentinel nodes is a key factor and that sex and Breslow's thickness maintain statistically significant relevance. Ulceration, which was associated with survival when considered as single factor (P &lt; .001) had no impact on survival in the multivariate analysis (P = .10). To evaluate the relevance of metastases to nonsentinel nodes, we identified four groups of patients.\n\nCONCLUSION: Evaluation of the sentinel node is a useful procedure to identify patients to be submitted for complete lymph node dissection. The procedure makes it possible to assess the best prognosis of patients.", "author" : [ { "dropping-particle" : "", "family" : "Cascinelli", "given" : "Natale", "non-dropping-particle" : "", "parse-names" : false, "suffix" : "" }, { "dropping-particle" : "", "family" : "Bombardieri", "given" : "Emilio", "non-dropping-particle" : "", "parse-names" : false, "suffix" : "" }, { "dropping-particle" : "", "family" : "Bufalino", "given" : "Rosaria", "non-dropping-particle" : "", "parse-names" : false, "suffix" : "" }, { "dropping-particle" : "", "family" : "Camerini", "given" : "Tiziana", "non-dropping-particle" : "", "parse-names" : false, "suffix" : "" }, { "dropping-particle" : "", "family" : "Carbone", "given" : "Antonino", "non-dropping-particle" : "", "parse-names" : false, "suffix" : "" }, { "dropping-particle" : "", "family" : "Clemente", "given" : "Claudio", "non-dropping-particle" : "", "parse-names" : false, "suffix" : "" }, { "dropping-particle" : "", "family" : "Lenisa", "given" : "Leonardo", "non-dropping-particle" : "", "parse-names" : false, "suffix" : "" }, { "dropping-particle" : "", "family" : "Mascheroni", "given" : "Luigi", "non-dropping-particle" : "", "parse-names" : false, "suffix" : "" }, { "dropping-particle" : "", "family" : "Maurichi", "given" : "Andrea", "non-dropping-particle" : "", "parse-names" : false, "suffix" : "" }, { "dropping-particle" : "", "family" : "Pennacchioli", "given" : "Elisabetta", "non-dropping-particle" : "", "parse-names" : false, "suffix" : "" }, { "dropping-particle" : "", "family" : "Patuzzo", "given" : "Roberto", "non-dropping-particle" : "", "parse-names" : false, "suffix" : "" }, { "dropping-particle" : "", "family" : "Santinami", "given" : "Mario", "non-dropping-particle" : "", "parse-names" : false, "suffix" : "" }, { "dropping-particle" : "", "family" : "Tragni", "given" : "Gabrina", "non-dropping-particle" : "", "parse-names" : false, "suffix" : "" } ], "container-title" : "Journal of clinical oncology : official journal of the American Society of Clinical Oncology", "id" : "ITEM-14", "issue" : "27", "issued" : { "date-parts" : [ [ "2006", "9", "20" ] ] }, "page" : "4464-71", "title" : "Sentinel and nonsentinel node status in stage IB and II melanoma patients: two-step prognostic indicators of survival.", "type" : "article-journal", "volume" : "24" }, "uris" : [ "http://www.mendeley.com/documents/?uuid=87a2810c-0f27-4812-8c91-b5fcb57b53ff" ] }, { "id" : "ITEM-15", "itemData" : { "DOI" : "10.1111/j.1365-2133.2007.07937.x", "ISSN" : "0007-0963", "PMID" : "17501957", "abstract" : "BACKGROUND: Sentinel lymph node (SLN) positivity has been found to be strongly associated with a poor prognosis in melanoma.\n\nOBJECTIVES: This large referral centre study was conducted: (i) to confirm the powerful prognostic value of SLN biopsy (SLNB); (ii) to correlate patient prognosis to the micromorphometric features of SLN metastasis in SLN-positive patients; and (iii) to correlate these micromorphometric features to the likelihood of positive completion lymph node dissection (CLND).\n\nPATIENTS AND METHODS: SLNB was performed in 455 cases of primary melanoma between January 1999 and December 2004; for patients with positive SLN, the following micromorphometric features were registered: size of the largest metastasis (two diameters), depth of metastasis, number of millimetric slices involved, maximum number of metastases on a single section, presence of intracapsular lymphatic invasion and extracapsular spread. Kaplan-Meier survival curves were compared with the log-rank test; multivariate analysis was performed using a Cox regression model. Dependence of CLND status on micromorphometric features of SLN was assessed by the chi(2) test and predictive values of the different features were evaluated by multivariate analysis using a logistic regression model.\n\nRESULTS: A positive SLN was identified in 98 of our 455 cases. Survival was significantly shorter in SLN-positive patients than in SLN-negative patients. Extracapsular invasion was found to be an independent prognostic factor of disease-free survival; ulceration of the primary and the maximum diameter of the largest metastasis were identified as independent predictive factors of disease-specific survival. Age and the lowest diameter of the largest metastasis were identified as independent predictive criteria of positive CLND, whereas depth of metastasis was not. Positivity of CLND was not significantly associated with a worse prognosis.\n\nCONCLUSIONS: Our study confirms the previously demonstrated strong prognostic value of SLNB. It also confirms the relationship between tumour burden in the SLN (evaluated by the maximum diameter of the largest metastasis) and clinical outcome. We point out a new micromorphometric feature of SLN, which seems to be predictive of CLND status: the lowest diameter of the largest metastasis.", "author" : [ { "dropping-particle" : "", "family" : "Debarbieux", "given" : "S", "non-dropping-particle" : "", "parse-names" : false, "suffix" : "" }, { "dropping-particle" : "", "family" : "Duru", "given" : "G", "non-dropping-particle" : "", "parse-names" : false, "suffix" : "" }, { "dropping-particle" : "", "family" : "Dalle", "given" : "S", "non-dropping-particle" : "", "parse-names" : false, "suffix" : "" }, { "dropping-particle" : "", "family" : "B\u00e9atrix", "given" : "O", "non-dropping-particle" : "", "parse-names" : false, "suffix" : "" }, { "dropping-particle" : "", "family" : "Balme", "given" : "B", "non-dropping-particle" : "", "parse-names" : false, "suffix" : "" }, { "dropping-particle" : "", "family" : "Thomas", "given" : "L", "non-dropping-particle" : "", "parse-names" : false, "suffix" : "" } ], "container-title" : "The British journal of dermatology", "id" : "ITEM-15", "issue" : "1", "issued" : { "date-parts" : [ [ "2007", "7" ] ] }, "page" : "58-67", "title" : "Sentinel lymph node biopsy in melanoma: a micromorphometric study relating to prognosis and completion lymph node dissection.", "type" : "article-journal", "volume" : "157" }, "uris" : [ "http://www.mendeley.com/documents/?uuid=21e3987a-d610-454e-98d8-9ef8eb629ad1" ] }, { "id" : "ITEM-16", "itemData" : { "ISSN" : "0003-1348", "PMID" : "17674939", "abstract" : "Completion lymph node dissection (CLND) is routinely performed after metastatic melanoma is detected at sentinel lymph node (SLN) biopsy. Nonsentinel lymph node (NSLN) involvement is found in less than one-third of the cases. Possible predictors of NSLN involvement are examined. A retrospective review of 70 patients with a positive SLN biopsy for melanoma and drainage to one lymphatic basin was performed. The size of metastatic deposits was defined as macrometastases (&gt;2 mm), micrometastases (&lt; or =2 mm), a cluster of cells (10-30 grouped cells) in the subcapsular space or interfollicular zone, or isolated melanoma cells (1-20 or more individual cells) in subcapsular sinuses. Tumor stage, ulceration, SLN tumor burden, mitoses, number of positive SLNs, and total number of lymph nodes removed were examined as predictors of NSLN involvement after CLND. Two additional models based on SLN tumor burden and the number of nodes biopsied were designed. Nineteen patients (24.3%) were found to have NSLN metastases after CLND. Tumor stage, ulceration, SLN tumor burden, mitoses, number of positive SLN, and number of lymph nodes removed were not statistically significant. Residual disease at CLND stratified by SLN tumor burden was: isolated melanoma cells, 0; cluster of cells, 8 (38.1%); &lt; or =2 mm, 5 (20.8%); and &gt;2 mm, 6 (27.3%). A comparison of the means for the models was not predictive of NSLN involvement. None of the risk factors or models examined could predict nonsentinel lymph node involvement with melanoma. The SLN sample and minimal SLN metastatic disease when defined as isolated clusters of cells warrant further study as a potential indicator against CLND after positive SLN.", "author" : [ { "dropping-particle" : "", "family" : "Page", "given" : "Andrew J", "non-dropping-particle" : "", "parse-names" : false, "suffix" : "" }, { "dropping-particle" : "", "family" : "Carlson", "given" : "Grant W", "non-dropping-particle" : "", "parse-names" : false, "suffix" : "" }, { "dropping-particle" : "", "family" : "Delman", "given" : "Keith A", "non-dropping-particle" : "", "parse-names" : false, "suffix" : "" }, { "dropping-particle" : "", "family" : "Murray", "given" : "Douglas", "non-dropping-particle" : "", "parse-names" : false, "suffix" : "" }, { "dropping-particle" : "", "family" : "Hestley", "given" : "Andrea", "non-dropping-particle" : "", "parse-names" : false, "suffix" : "" }, { "dropping-particle" : "", "family" : "Cohen", "given" : "Cynthia", "non-dropping-particle" : "", "parse-names" : false, "suffix" : "" } ], "container-title" : "The American surgeon", "id" : "ITEM-16", "issue" : "7", "issued" : { "date-parts" : [ [ "2007", "7" ] ] }, "page" : "674-8; discussion 678-9", "title" : "Prediction of nonsentinel lymph node involvement in patients with a positive sentinel lymph node in malignant melanoma.", "type" : "article-journal", "volume" : "73" }, "uris" : [ "http://www.mendeley.com/documents/?uuid=fbc4895b-4b30-4cf2-93e9-c881a9f56cd1" ] }, { "id" : "ITEM-17", "itemData" : { "DOI" : "10.1245/s10434-007-9734-8", "ISSN" : "1534-4681", "PMID" : "18165880", "abstract" : "BACKGROUND: Identification of melanoma patients who need completion lymphadenectomy and adjuvant treatment after positive sentinel lymph node (SLN) biopsy would be a fundamental step forward toward personalized medicine. This study tested the hypothesis that the microscopic features of metastatic SLNs might predict not only nonsentinel lymph node (NSLN) status, but also patients' clinical outcomes.\n\nMETHODS: A retrospective analysis was performed on 96 consecutive melanoma patients who underwent completion lymphadenectomy after positive SLN biopsy. Patients' age and sex, primary tumor Breslow thickness, number of positive SLNs, the largest diameter and depth of invasion of metastatic deposits in the SLN, S stage, and pattern of nodal involvement were correlated with the presence of metastatic disease in NSLNs as well as with the likelihood of tumor recurrence and patient death.\n\nRESULTS: At pathological examination, 20 patients (20.8%) had metastatic melanoma in the NSLN. Pattern of nodal involvement, depth of invasion of SLN by metastatic disease, and S stage were statistically significantly associated with the presence of metastatic disease in NSLN. Multivariate analysis revealed that only the SLN depth of invasion was an independent predictor of NSLN status (P = .0035). This parameter was also significantly associated with disease-free and overall survival, both by univariate (P &lt; .0001 and P = .0006, respectively) and multivariate (P &lt; .0001 and P = .0013, respectively) survival analysis.\n\nCONCLUSIONS: These findings support further investigation of SLN depth of invasion as a predictive factor of potential clinical use to select patients as candidates for completion lymphadenectomy and adjuvant treatment.", "author" : [ { "dropping-particle" : "", "family" : "Rossi", "given" : "Carlo Riccardo", "non-dropping-particle" : "", "parse-names" : false, "suffix" : "" }, { "dropping-particle" : "", "family" : "Salvo", "given" : "Gian Luca", "non-dropping-particle" : "De", "parse-names" : false, "suffix" : "" }, { "dropping-particle" : "", "family" : "Bonandini", "given" : "Elena", "non-dropping-particle" : "", "parse-names" : false, "suffix" : "" }, { "dropping-particle" : "", "family" : "Mocellin", "given" : "Simone", "non-dropping-particle" : "", "parse-names" : false, "suffix" : "" }, { "dropping-particle" : "", "family" : "Foletto", "given" : "Mirto", "non-dropping-particle" : "", "parse-names" : false, "suffix" : "" }, { "dropping-particle" : "", "family" : "Pasquali", "given" : "Sandro", "non-dropping-particle" : "", "parse-names" : false, "suffix" : "" }, { "dropping-particle" : "", "family" : "Pilati", "given" : "Pierluigi", "non-dropping-particle" : "", "parse-names" : false, "suffix" : "" }, { "dropping-particle" : "", "family" : "Lise", "given" : "Mario", "non-dropping-particle" : "", "parse-names" : false, "suffix" : "" }, { "dropping-particle" : "", "family" : "Nitti", "given" : "Donato", "non-dropping-particle" : "", "parse-names" : false, "suffix" : "" }, { "dropping-particle" : "", "family" : "Rizzo", "given" : "Elisa", "non-dropping-particle" : "", "parse-names" : false, "suffix" : "" }, { "dropping-particle" : "", "family" : "Montesco", "given" : "Maria Cristina", "non-dropping-particle" : "", "parse-names" : false, "suffix" : "" } ], "container-title" : "Annals of surgical oncology", "id" : "ITEM-17", "issue" : "4", "issued" : { "date-parts" : [ [ "2008", "4" ] ] }, "page" : "1202-10", "title" : "Factors predictive of nonsentinel lymph node involvement and clinical outcome in melanoma patients with metastatic sentinel lymph node.", "type" : "article-journal", "volume" : "15" }, "uris" : [ "http://www.mendeley.com/documents/?uuid=1eae11c2-e4cc-4656-8016-e49758758783" ] }, { "id" : "ITEM-18", "itemData" : { "DOI" : "10.1245/s10434-008-9888-z", "ISSN" : "1534-4681", "PMID" : "18389323", "abstract" : "BACKGROUND: Previous studies described various criteria in sentinel lymph nodes (SLN) of melanoma patients that predict the involvement of further, nonsentinel lymph nodes (NSLN). Such criteria may facilitate the selection of patients who might benefit from a completion lymph node dissection (CLND). However, it is currently unclear which parameters are most important.\n\nMETHODS: A total of 180 melanoma patients with positive SLNB and subsequent CLND were investigated. Histopathologic parameters in the SLN were systematically evaluated and compared with regard to NSLN positivity. Twenty-eight of these patients (16.0%) had positive NSLN.\n\nRESULTS: By univariate analysis several criteria with regard to tumor burden and location of melanoma cells in the SLN correlated with NSLN involvement, such as positivity by hematoxylin-eosin (H&amp;E) staining (P &lt; .001), largest diameter of clusters (P &lt; .001), capsular involvement (P = .001), extranodal extension (P &lt; .001), and tumor penetrative depth (P &lt; .001). Multivariate analysis revealed three independent parameters: (1) positivity of the SLN by H&amp;E staining (versus by immunohistochemistry alone), (2) relative tumor burden &gt; 10% of total lymph node tissue, and (3) perinodal intralymphatic tumor. In 23 of 28 patients with positive NSLN the SLN was positive by H&amp;E staining, in 15 of 28 patients the relative tumor burden was &gt; 10%, and 13 of 28 showed perinodal intralymphatic tumor. In 5 of 28 patients with NSLN involvement, these three parameters were negative.\n\nCONCLUSIONS: Histopathologic examination of the SLN can identify patients at risk for NSLN positivity.", "author" : [ { "dropping-particle" : "", "family" : "Satzger", "given" : "Imke", "non-dropping-particle" : "", "parse-names" : false, "suffix" : "" }, { "dropping-particle" : "", "family" : "V\u00f6lker", "given" : "Bernward", "non-dropping-particle" : "", "parse-names" : false, "suffix" : "" }, { "dropping-particle" : "", "family" : "Meier", "given" : "Andre", "non-dropping-particle" : "", "parse-names" : false, "suffix" : "" }, { "dropping-particle" : "", "family" : "Kapp", "given" : "Alexander", "non-dropping-particle" : "", "parse-names" : false, "suffix" : "" }, { "dropping-particle" : "", "family" : "Gutzmer", "given" : "Ralf", "non-dropping-particle" : "", "parse-names" : false, "suffix" : "" } ], "container-title" : "Annals of surgical oncology", "id" : "ITEM-18", "issue" : "6", "issued" : { "date-parts" : [ [ "2008", "6" ] ] }, "page" : "1723-32", "title" : "Criteria in sentinel lymph nodes of melanoma patients that predict involvement of nonsentinel lymph nodes.", "type" : "article-journal", "volume" : "15" }, "uris" : [ "http://www.mendeley.com/documents/?uuid=a8f6bd8b-14f6-4b65-a100-7171b12ba9ba" ] }, { "id" : "ITEM-19", "itemData" : { "DOI" : "10.1200/JCO.2007.15.4179", "ISSN" : "1527-7755", "PMID" : "18606982", "abstract" : "PURPOSE: We and others have demonstrated that additional positive lymph nodes (LNs) are identified in only 8% to 33% of patients with melanoma who have positive sentinel LNs (SLNs) and undergo complete therapeutic LN dissection (cTLND). We sought to determine predictors of additional regional LN involvement in patients with positive SLNs.\n\nPATIENTS AND METHODS: Patients with clinically node-negative melanoma who underwent SLN biopsy (1991 to 2003) and had positive SLNs were identified. Clinicopathologic factors, including extent of microscopic disease within SLNs, were evaluated as potential predictors of positive non-SLNs.\n\nRESULTS: Overall, 359 (16.3%) of the 2,203 patients identified had a positive SLN. Positive non-SLNs were identified in 48 (14.0%) of the 343 patients with positive SLNs who underwent cTLND. On univariate analysis, several measures of SLN microscopic tumor burden, one versus three or more SLNs harvested, tumor thickness more than 2 mm, age older than 50 years, and Clark level higher than III were predictive of positive non-SLNs; primary tumor ulceration and number of positive SLNs had no apparent impact. On multivariable logistic regression analysis, measures of SLN microscopic tumor burden were the most significant independent predictors of positive non-SLNs; tumor thickness more than 2 mm and number of SLNs harvested also predicted additional disease. A model was developed that stratified patients according to their risk for non-SLN involvement.\n\nCONCLUSION: In melanoma patients with positive SLNs, SLN tumor burden, primary tumor thickness, and number of SLNs harvested may be useful in identifying a group at low risk for positive non-SLNs and be spared the potential morbidity of a cTLND.", "author" : [ { "dropping-particle" : "", "family" : "Gershenwald", "given" : "Jeffrey E", "non-dropping-particle" : "", "parse-names" : false, "suffix" : "" }, { "dropping-particle" : "", "family" : "Andtbacka", "given" : "Robert H I", "non-dropping-particle" : "", "parse-names" : false, "suffix" : "" }, { "dropping-particle" : "", "family" : "Prieto", "given" : "Victor G", "non-dropping-particle" : "", "parse-names" : false, "suffix" : "" }, { "dropping-particle" : "", "family" : "Johnson", "given" : "Marcella M", "non-dropping-particle" : "", "parse-names" : false, "suffix" : "" }, { "dropping-particle" : "", "family" : "Diwan", "given" : "A Hafeez", "non-dropping-particle" : "", "parse-names" : false, "suffix" : "" }, { "dropping-particle" : "", "family" : "Lee", "given" : "Jeffrey E", "non-dropping-particle" : "", "parse-names" : false, "suffix" : "" }, { "dropping-particle" : "", "family" : "Mansfield", "given" : "Paul F", "non-dropping-particle" : "", "parse-names" : false, "suffix" : "" }, { "dropping-particle" : "", "family" : "Cormier", "given" : "Janice N", "non-dropping-particle" : "", "parse-names" : false, "suffix" : "" }, { "dropping-particle" : "", "family" : "Schacherer", "given" : "Christopher W", "non-dropping-particle" : "", "parse-names" : false, "suffix" : "" }, { "dropping-particle" : "", "family" : "Ross", "given" : "Merrick I", "non-dropping-particle" : "", "parse-names" : false, "suffix" : "" } ], "container-title" : "Journal of clinical oncology : official journal of the American Society of Clinical Oncology", "id" : "ITEM-19", "issue" : "26", "issued" : { "date-parts" : [ [ "2008", "9", "10" ] ] }, "page" : "4296-303", "title" : "Microscopic tumor burden in sentinel lymph nodes predicts synchronous nonsentinel lymph node involvement in patients with melanoma.", "type" : "article-journal", "volume" : "26" }, "uris" : [ "http://www.mendeley.com/documents/?uuid=123e0a9a-4b3c-4a5f-8e41-9b53cd07a69f" ] }, { "id" : "ITEM-20", "itemData" : { "DOI" : "10.1093/annonc/mdl176", "ISSN" : "0923-7534", "PMID" : "16968875", "abstract" : "As only about 20% of sentinel node (SN) positive melanoma patients have additional non-SN lymph node involvement in the Completion Lymph Node Dissection (CLND) specimen, we tried to identify a SN positive patient group, which can be spared CLND. Micro anatomic analyses of metastatic SNs were performed to identify patient/tumor and/or SN factors predicting additional non-SN positivity as well as disease-free and overall survival. SN positivity was found in 77 of 262 stage I/II patients, included into a prospective database (10/97-5/04). Of 74 patients pathology material was available for re-evaluation. Micro anatomic analyses categorized topography of SN-metastases, Starz classification and amount of SN tumor burden. Additional non-SN positivity, DFS, OS and was calculated for all analyses. Mean Breslow thickness was 3.5 mm (0.8-12.0); mean FU was 35 (6-81) months. There was no additional non-SN positivity for SN-micrometastases &lt;0.1 mm. Topography of SN involvement had no impact on OS. Estimated 5-year OS rates for the different groups of &lt;0.1 mm, 0.1-1.0 mm and &gt;1.0 mm SN tumor burden were 100%, 63% and 35% respectively. Distant metastases were exceedingly rare (1/16 = 6.3%) in &lt;0.1 mm SN-positive patients. On multivariate analysis the SN tumor burden was the most important prognostic factor for DFS (P = 0.005) and OS (P = 0.03). Distant metastasis-free survival was identical (91%) to the 5-yr OS of SN negative patients, the estimated 5-yr OS was 100% for these patients and additional non-SN positivity was not observed. Therefore, our data suggest that patients with sub-micrometastases (&lt;0.1 mm) in the SN may be judged as SN negative, as non-stage III, and are highly unlikely to benefit from CLND, which we no longer recommend.", "author" : [ { "dropping-particle" : "", "family" : "Akkooi", "given" : "A C J", "non-dropping-particle" : "van", "parse-names" : false, "suffix" : "" }, { "dropping-particle" : "", "family" : "Wilt", "given" : "J H W", "non-dropping-particle" : "de", "parse-names" : false, "suffix" : "" }, { "dropping-particle" : "", "family" : "Verhoef", "given" : "C", "non-dropping-particle" : "", "parse-names" : false, "suffix" : "" }, { "dropping-particle" : "", "family" : "Schmitz", "given" : "P I M", "non-dropping-particle" : "", "parse-names" : false, "suffix" : "" }, { "dropping-particle" : "", "family" : "Geel", "given" : "A N", "non-dropping-particle" : "van", "parse-names" : false, "suffix" : "" }, { "dropping-particle" : "", "family" : "Eggermont", "given" : "A M M", "non-dropping-particle" : "", "parse-names" : false, "suffix" : "" }, { "dropping-particle" : "", "family" : "Kliffen", "given" : "M", "non-dropping-particle" : "", "parse-names" : false, "suffix" : "" } ], "container-title" : "Annals of oncology : official journal of the European Society for Medical Oncology / ESMO", "id" : "ITEM-20", "issue" : "10", "issued" : { "date-parts" : [ [ "2006", "10" ] ] }, "page" : "1578-85", "title" : "Clinical relevance of melanoma micrometastases (&lt;0.1 mm) in sentinel nodes: are these nodes to be considered negative?", "type" : "article-journal", "volume" : "17" }, "uris" : [ "http://www.mendeley.com/documents/?uuid=e3711798-85d5-422c-b79d-c94fe0973202" ] }, { "id" : "ITEM-21", "itemData" : { "abstract" : "Aims: Sentinel lymph node (SLN) -positive melanoma patients are usually recommended completion lymph node dissection (CLND) with the aim to provide regional disease control and improve survival. Nevertheless, only 20% these patients have additional metastases in non-sentinel lymph nodes (NSLN), indicating that CLND may be unnecessary in the majority of patients. In this retrospective study, we (i) sought to identify clinico-pathological features predicting NSLN status, as well as disease-free (DFS) and -specific (DSS) survival and (ii) evaluated the applicability of previously published algorithms, which were able to define a group of patients at zero-risk for NSLN-metastasis. Methods: This analysis included 504 consecutive melanoma patients stage I and II who underwent successful SLN-biopsy (SLNB) at our institute between 1998 and 2005. Metastatic SLN were re-evaluated for tumor burden and categorized according to two different micro-anatomic classifications and the S/U-score (Size of the sentinel node metastasis &gt;2 mm/Ulceration of the primary melanoma) was assessed. DFS and DSS were calculated for all analyses. Results: Out of 504 melanoma patients stage I or II, 85 (17%) were SLN-positive and 18 of 85 (21%) were found with positive NSLN in the CLND specimen. Median follow-up was 31 months. Neither primary tumor characteristics (age, gender, Clark level, Breslow thickness, ulceration of the primary melanoma, site and histological subtype of the primary melanoma), nor features of the sentinel node tumor (number and site of draining lymph node basins, number of positive sentinel nodes and size of sentinel node tumor (&lt;2 mm vs. \u22652 mm) were able to predict additional positive lymph nodes in the CLND specimen. Likewise the implementation of published algorithms was not able to identify patients at negligible risk for harboring NSLN metastases. Upon univariate analysis, disease-free survival in SLN-positive patients was correlated with Breslow thickness, sentinel node tumor size &gt;2 mm and S/U score. In respect to disease-specific survival the significant prognostic parameters were Breslow thickness, ulceration, sentinel node tumor size &gt;2 mm and the S/U score. After a median follow-up of 31 months recurrence rates (37% vs. 78%, p = 0.02) and death from disease (24% vs. 50%, p &lt; 0.01) were significantly different in patients with SLN-metastasis only as compared to patients with NSLN-metastasis. Conclusion: NSLN status cannot be predicted in this data analys\u2026", "author" : [ { "dropping-particle" : "", "family" : "Roka", "given" : "F.", "non-dropping-particle" : "", "parse-names" : false, "suffix" : "" }, { "dropping-particle" : "", "family" : "Mastan", "given" : "P.", "non-dropping-particle" : "", "parse-names" : false, "suffix" : "" }, { "dropping-particle" : "", "family" : "Binder", "given" : "M.", "non-dropping-particle" : "", "parse-names" : false, "suffix" : "" }, { "dropping-particle" : "", "family" : "Okamoto", "given" : "I.", "non-dropping-particle" : "", "parse-names" : false, "suffix" : "" }, { "dropping-particle" : "", "family" : "Mittlboeck", "given" : "M.", "non-dropping-particle" : "", "parse-names" : false, "suffix" : "" }, { "dropping-particle" : "", "family" : "Horvat", "given" : "R.", "non-dropping-particle" : "", "parse-names" : false, "suffix" : "" }, { "dropping-particle" : "", "family" : "Pehamberger", "given" : "H.", "non-dropping-particle" : "", "parse-names" : false, "suffix" : "" }, { "dropping-particle" : "", "family" : "Diem", "given" : "E.", "non-dropping-particle" : "", "parse-names" : false, "suffix" : "" } ], "container-title" : "European Journal of Surgical Oncology", "id" : "ITEM-21", "issue" : "1", "issued" : { "date-parts" : [ [ "2008" ] ] }, "page" : "82-88", "title" : "Prediction of non-sentinel node status and outcome in sentinel node-positive melanoma patients", "type" : "article-journal", "volume" : "34" }, "uris" : [ "http://www.mendeley.com/documents/?uuid=d5930a2d-7bb7-4c4a-a437-72ecc437a08e" ] } ], "mendeley" : { "formattedCitation" : "&lt;sup&gt;123,136\u2013155&lt;/sup&gt;", "plainTextFormattedCitation" : "123,136\u2013155", "previouslyFormattedCitation" : "&lt;sup&gt;123,136\u2013155&lt;/sup&gt;" }, "properties" : { "noteIndex" : 0 }, "schema" : "https://github.com/citation-style-language/schema/raw/master/csl-citation.json" }</w:instrText>
      </w:r>
      <w:r w:rsidRPr="003E73CD">
        <w:rPr>
          <w:sz w:val="22"/>
          <w:szCs w:val="22"/>
        </w:rPr>
        <w:fldChar w:fldCharType="separate"/>
      </w:r>
      <w:r w:rsidR="00CE2A17" w:rsidRPr="00CE2A17">
        <w:rPr>
          <w:noProof/>
          <w:sz w:val="22"/>
          <w:szCs w:val="22"/>
          <w:vertAlign w:val="superscript"/>
        </w:rPr>
        <w:t>123,136–155</w:t>
      </w:r>
      <w:r w:rsidRPr="003E73CD">
        <w:rPr>
          <w:sz w:val="22"/>
          <w:szCs w:val="22"/>
        </w:rPr>
        <w:fldChar w:fldCharType="end"/>
      </w:r>
      <w:proofErr w:type="gramStart"/>
      <w:r w:rsidRPr="003E73CD">
        <w:rPr>
          <w:sz w:val="22"/>
          <w:szCs w:val="22"/>
        </w:rPr>
        <w:t xml:space="preserve">  Table</w:t>
      </w:r>
      <w:proofErr w:type="gramEnd"/>
      <w:r w:rsidRPr="003E73CD">
        <w:rPr>
          <w:sz w:val="22"/>
          <w:szCs w:val="22"/>
        </w:rPr>
        <w:t xml:space="preserve"> </w:t>
      </w:r>
      <w:r w:rsidR="00155C61">
        <w:rPr>
          <w:sz w:val="22"/>
          <w:szCs w:val="22"/>
        </w:rPr>
        <w:t>3.2</w:t>
      </w:r>
      <w:r w:rsidR="00A234AB" w:rsidRPr="003E73CD">
        <w:rPr>
          <w:sz w:val="22"/>
          <w:szCs w:val="22"/>
        </w:rPr>
        <w:t>.</w:t>
      </w:r>
      <w:r w:rsidRPr="003E73CD">
        <w:rPr>
          <w:sz w:val="22"/>
          <w:szCs w:val="22"/>
        </w:rPr>
        <w:t>6 summarizes studies reporting multivariate analyses of potential predictors of NSN positivity and demonstrates the lack of any consistent predictors relating to patient or primary melanoma characteristics.  The present study contains the second largest sample size reported to date (323 patients) and found an association only with primary tumor ulceration.  The largest published report found no association with ulceration but an association with primary tumor thickness &gt;2mm on multivariate analysis of 343 patients.</w:t>
      </w:r>
      <w:r w:rsidRPr="003E73CD">
        <w:rPr>
          <w:sz w:val="22"/>
          <w:szCs w:val="22"/>
        </w:rPr>
        <w:fldChar w:fldCharType="begin" w:fldLock="1"/>
      </w:r>
      <w:r w:rsidR="00217FAC">
        <w:rPr>
          <w:sz w:val="22"/>
          <w:szCs w:val="22"/>
        </w:rPr>
        <w:instrText>ADDIN CSL_CITATION { "citationItems" : [ { "id" : "ITEM-1", "itemData" : { "DOI" : "10.1200/JCO.2007.15.4179", "ISSN" : "1527-7755", "PMID" : "18606982", "abstract" : "PURPOSE: We and others have demonstrated that additional positive lymph nodes (LNs) are identified in only 8% to 33% of patients with melanoma who have positive sentinel LNs (SLNs) and undergo complete therapeutic LN dissection (cTLND). We sought to determine predictors of additional regional LN involvement in patients with positive SLNs.\n\nPATIENTS AND METHODS: Patients with clinically node-negative melanoma who underwent SLN biopsy (1991 to 2003) and had positive SLNs were identified. Clinicopathologic factors, including extent of microscopic disease within SLNs, were evaluated as potential predictors of positive non-SLNs.\n\nRESULTS: Overall, 359 (16.3%) of the 2,203 patients identified had a positive SLN. Positive non-SLNs were identified in 48 (14.0%) of the 343 patients with positive SLNs who underwent cTLND. On univariate analysis, several measures of SLN microscopic tumor burden, one versus three or more SLNs harvested, tumor thickness more than 2 mm, age older than 50 years, and Clark level higher than III were predictive of positive non-SLNs; primary tumor ulceration and number of positive SLNs had no apparent impact. On multivariable logistic regression analysis, measures of SLN microscopic tumor burden were the most significant independent predictors of positive non-SLNs; tumor thickness more than 2 mm and number of SLNs harvested also predicted additional disease. A model was developed that stratified patients according to their risk for non-SLN involvement.\n\nCONCLUSION: In melanoma patients with positive SLNs, SLN tumor burden, primary tumor thickness, and number of SLNs harvested may be useful in identifying a group at low risk for positive non-SLNs and be spared the potential morbidity of a cTLND.", "author" : [ { "dropping-particle" : "", "family" : "Gershenwald", "given" : "Jeffrey E", "non-dropping-particle" : "", "parse-names" : false, "suffix" : "" }, { "dropping-particle" : "", "family" : "Andtbacka", "given" : "Robert H I", "non-dropping-particle" : "", "parse-names" : false, "suffix" : "" }, { "dropping-particle" : "", "family" : "Prieto", "given" : "Victor G", "non-dropping-particle" : "", "parse-names" : false, "suffix" : "" }, { "dropping-particle" : "", "family" : "Johnson", "given" : "Marcella M", "non-dropping-particle" : "", "parse-names" : false, "suffix" : "" }, { "dropping-particle" : "", "family" : "Diwan", "given" : "A Hafeez", "non-dropping-particle" : "", "parse-names" : false, "suffix" : "" }, { "dropping-particle" : "", "family" : "Lee", "given" : "Jeffrey E", "non-dropping-particle" : "", "parse-names" : false, "suffix" : "" }, { "dropping-particle" : "", "family" : "Mansfield", "given" : "Paul F", "non-dropping-particle" : "", "parse-names" : false, "suffix" : "" }, { "dropping-particle" : "", "family" : "Cormier", "given" : "Janice N", "non-dropping-particle" : "", "parse-names" : false, "suffix" : "" }, { "dropping-particle" : "", "family" : "Schacherer", "given" : "Christopher W", "non-dropping-particle" : "", "parse-names" : false, "suffix" : "" }, { "dropping-particle" : "", "family" : "Ross", "given" : "Merrick I", "non-dropping-particle" : "", "parse-names" : false, "suffix" : "" } ], "container-title" : "Journal of clinical oncology : official journal of the American Society of Clinical Oncology", "id" : "ITEM-1", "issue" : "26", "issued" : { "date-parts" : [ [ "2008", "9", "10" ] ] }, "page" : "4296-303", "title" : "Microscopic tumor burden in sentinel lymph nodes predicts synchronous nonsentinel lymph node involvement in patients with melanoma.", "type" : "article-journal", "volume" : "26" }, "uris" : [ "http://www.mendeley.com/documents/?uuid=123e0a9a-4b3c-4a5f-8e41-9b53cd07a69f" ] } ], "mendeley" : { "formattedCitation" : "&lt;sup&gt;123&lt;/sup&gt;", "plainTextFormattedCitation" : "123", "previouslyFormattedCitation" : "&lt;sup&gt;123&lt;/sup&gt;" }, "properties" : { "noteIndex" : 0 }, "schema" : "https://github.com/citation-style-language/schema/raw/master/csl-citation.json" }</w:instrText>
      </w:r>
      <w:r w:rsidRPr="003E73CD">
        <w:rPr>
          <w:sz w:val="22"/>
          <w:szCs w:val="22"/>
        </w:rPr>
        <w:fldChar w:fldCharType="separate"/>
      </w:r>
      <w:r w:rsidR="00CE2A17" w:rsidRPr="00CE2A17">
        <w:rPr>
          <w:noProof/>
          <w:sz w:val="22"/>
          <w:szCs w:val="22"/>
          <w:vertAlign w:val="superscript"/>
        </w:rPr>
        <w:t>123</w:t>
      </w:r>
      <w:r w:rsidRPr="003E73CD">
        <w:rPr>
          <w:sz w:val="22"/>
          <w:szCs w:val="22"/>
        </w:rPr>
        <w:fldChar w:fldCharType="end"/>
      </w:r>
      <w:proofErr w:type="gramStart"/>
      <w:r w:rsidRPr="003E73CD">
        <w:rPr>
          <w:sz w:val="22"/>
          <w:szCs w:val="22"/>
        </w:rPr>
        <w:t xml:space="preserve">  Tumor</w:t>
      </w:r>
      <w:proofErr w:type="gramEnd"/>
      <w:r w:rsidRPr="003E73CD">
        <w:rPr>
          <w:sz w:val="22"/>
          <w:szCs w:val="22"/>
        </w:rPr>
        <w:t xml:space="preserve"> load and location within the SN have also been investigated and, despite some reports to the contrary, most studies have suggested that various measurements of tumor load and/or location are predictors of NSN positivity.</w:t>
      </w:r>
      <w:r w:rsidRPr="003E73CD">
        <w:rPr>
          <w:sz w:val="22"/>
          <w:szCs w:val="22"/>
        </w:rPr>
        <w:fldChar w:fldCharType="begin" w:fldLock="1"/>
      </w:r>
      <w:r w:rsidR="00217FAC">
        <w:rPr>
          <w:sz w:val="22"/>
          <w:szCs w:val="22"/>
        </w:rPr>
        <w:instrText>ADDIN CSL_CITATION { "citationItems" : [ { "id" : "ITEM-1", "itemData" : { "ISSN" : "0008-543X", "PMID" : "10918179", "abstract" : "BACKGROUND: The selection of patients for sentinel lymph node biopsy (SNB) and selective lymphadenectomy for histologically positive sentinel lymph nodes (SLND) are areas of debate. The authors of the current study attempted to identify predictors of metastases to the sentinel and residual nonsentinel lymph nodes in patients with melanoma.\n\nMETHODS: The Indiana University Interdisciplinary Melanoma Program computerized database was queried to identify all patients who underwent SNB for clinically localized cutaneous melanoma. Demographic, surgical, and histopathologic data were recorded. Univariate and multivariate logistic regression analyses were performed to identify associations with SNB and nonsentinel lymph node positivity. Classification tree and logistic procedures were performed to identify the ideal tumor thickness cutpoint at which to perform SNB.\n\nRESULTS: Two hundred seventy-five SNB procedures were performed to stage 348 regional lymph node basins for occult metastases from melanoma. Of the 275 melanomas, 54 (19.6%) had a positive SNB, as did 58 of 348 basins (16.7%). Classification and logistic regression analysis identified a Breslow depth of 1.25 mm to be the most significant cutpoint for SNB positivity (odds ratio 8. 8:1; P = 0.0001). By multivariate analyses, a Breslow thickness cutpoint &gt;/= 1.25 mm (P = 0.0002), ulceration (P = 0.005), and high mitotic index (&gt; 5 mitoses/high-power field; P = 0.04) were significant predictors of SNB results. SLND was performed in 53 SNB positive patients, 15 of whom (28.3%) had at least 1 additional positive lymph node. SLND positivity was noted across a wide range of primary tumor characteristics and was associated significantly with multiple positive SN, but not with any other variable. SNB result correlated significantly with disease free and overall survival.\n\nCONCLUSIONS: Patients with a Breslow tumor thickness &gt;/= 1. 25 mm, ulceration, and high mitotic index are most likely to have positive SNB results. SLND is recommended for all patients after positive SNB because it is difficult to identify patients with residual lymph node disease.", "author" : [ { "dropping-particle" : "", "family" : "Wagner", "given" : "J D", "non-dropping-particle" : "", "parse-names" : false, "suffix" : "" }, { "dropping-particle" : "", "family" : "Gordon", "given" : "M S", "non-dropping-particle" : "", "parse-names" : false, "suffix" : "" }, { "dropping-particle" : "", "family" : "Chuang", "given" : "T Y", "non-dropping-particle" : "", "parse-names" : false, "suffix" : "" }, { "dropping-particle" : "", "family" : "Coleman", "given" : "J J", "non-dropping-particle" : "", "parse-names" : false, "suffix" : "" }, { "dropping-particle" : "", "family" : "Hayes", "given" : "J T", "non-dropping-particle" : "", "parse-names" : false, "suffix" : "" }, { "dropping-particle" : "", "family" : "Jung", "given" : "S H", "non-dropping-particle" : "", "parse-names" : false, "suffix" : "" }, { "dropping-particle" : "", "family" : "Love", "given" : "C", "non-dropping-particle" : "", "parse-names" : false, "suffix" : "" } ], "container-title" : "Cancer", "id" : "ITEM-1", "issue" : "2", "issued" : { "date-parts" : [ [ "2000", "7", "15" ] ] }, "page" : "453-62", "title" : "Predicting sentinel and residual lymph node basin disease after sentinel lymph node biopsy for melanoma.", "type" : "article-journal", "volume" : "89" }, "uris" : [ "http://www.mendeley.com/documents/?uuid=ed565e24-aaa1-45dc-a6b5-8cd38080200d" ] }, { "id" : "ITEM-2", "itemData" : { "ISSN" : "1068-9265", "PMID" : "11888869", "abstract" : "BACKGROUND: Completion lymph node dissection (CLND) may not be necessary for some patients because nodal metastasis is rarely detected beyond the sentinel lymph nodes (SLNs). This analysis was performed to determine, among patients with positive SLNs, the rate of nodal metastasis found in nonsentinel nodes (NSNs).\n\nMETHODS: This analysis includes patients with positive sentinel nodes, detected by hematoxylin and eosin (H&amp;E) staining or immunohistochemistry (IHC), who then underwent CLND.\n\nRESULTS: This analysis included 274 patients with at least one positive SLN who underwent CLND of 282 involved regional nodal basins. Of the 282 SLN-positive nodal basins, 45 (16%) were found to have positive NSNs in the CLND specimen. Breslow thickness, Clark level, presence of ulceration, histological subtype, presence of vertical growth phase, evidence of regression, presence of lymphovascular invasion, number of positive SLNs, age, sex, and presence of multiple draining nodal basins were not predictive of positive nodes in the CLND specimen. Patients with SLN metastases detected only by IHC had an equal likelihood of having positive NSNs as those patients with positive SLNs on H&amp;E examination.\n\nCONCLUSIONS: No patient population could be identified with minimal risk of non-SLN metastasis. When a positive SLN is identified on either H&amp;E staining or IHC, CLND should be performed routinely.", "author" : [ { "dropping-particle" : "", "family" : "McMasters", "given" : "Kelly M", "non-dropping-particle" : "", "parse-names" : false, "suffix" : "" }, { "dropping-particle" : "", "family" : "Wong", "given" : "Sandra L", "non-dropping-particle" : "", "parse-names" : false, "suffix" : "" }, { "dropping-particle" : "", "family" : "Edwards", "given" : "Michael J", "non-dropping-particle" : "", "parse-names" : false, "suffix" : "" }, { "dropping-particle" : "", "family" : "Chao", "given" : "Celia", "non-dropping-particle" : "", "parse-names" : false, "suffix" : "" }, { "dropping-particle" : "", "family" : "Ross", "given" : "Merrick I", "non-dropping-particle" : "", "parse-names" : false, "suffix" : "" }, { "dropping-particle" : "", "family" : "Noyes", "given" : "R Dirk", "non-dropping-particle" : "", "parse-names" : false, "suffix" : "" }, { "dropping-particle" : "", "family" : "Viar", "given" : "Vicki", "non-dropping-particle" : "", "parse-names" : false, "suffix" : "" }, { "dropping-particle" : "", "family" : "Cerrito", "given" : "Patricia B", "non-dropping-particle" : "", "parse-names" : false, "suffix" : "" }, { "dropping-particle" : "", "family" : "Reintgen", "given" : "Douglas S", "non-dropping-particle" : "", "parse-names" : false, "suffix" : "" } ], "container-title" : "Annals of surgical oncology", "id" : "ITEM-2", "issue" : "2", "issued" : { "date-parts" : [ [ "2002", "3" ] ] }, "page" : "137-41", "title" : "Frequency of nonsentinel lymph node metastasis in melanoma.", "type" : "article-journal", "volume" : "9" }, "uris" : [ "http://www.mendeley.com/documents/?uuid=b500c2b9-f2c6-482b-840c-42fe86a3becc" ] }, { "id" : "ITEM-3", "itemData" : { "ISSN" : "0002-9610", "PMID" : "12885597", "abstract" : "BACKGROUND: The incidence of residual occult disease in nonsentinel lymph nodes (NSLN) after a positive sentinel lymph node (SLN) biopsy in patients with melanoma is relatively low. The purpose of this study is to identify factors that may be predictive of occult NSLN metastases after positive SLN biopsy.\n\nMETHODS: Fifty-six consecutive melanoma patients with positive sentinel nodes who subsequently underwent complete lymph node dissection (CLND) were evaluated.\n\nRESULTS: Only the number of positive SLN predicted the status on NSLN by univariate (P = 0.008) and multivariate (P = 0.028) analyses. None of the other variables (characteristics of SLN metastases, number of draining nodal basins, age, sex, thickness, Clark level, ulceration, number of mitoses/mm(2), histological subtype, and location of the primary) significantly predicted CLND results.\n\nCONCLUSIONS: Identifying patients with residual lymph node basin disease remains difficult. Thus, lymph node dissection should be performed in all patients after positive sentinel node biopsy.", "author" : [ { "dropping-particle" : "", "family" : "Salti", "given" : "George I", "non-dropping-particle" : "", "parse-names" : false, "suffix" : "" }, { "dropping-particle" : "", "family" : "Gupta", "given" : "Tapas K", "non-dropping-particle" : "Das", "parse-names" : false, "suffix" : "" } ], "container-title" : "American journal of surgery", "id" : "ITEM-3", "issue" : "2", "issued" : { "date-parts" : [ [ "2003", "8" ] ] }, "page" : "98-101", "title" : "Predicting residual lymph node basin disease in melanoma patients with sentinel lymph node metastases.", "type" : "article-journal", "volume" : "186" }, "uris" : [ "http://www.mendeley.com/documents/?uuid=cd89c604-45f2-4f9d-ac9c-d81ed5254b9f" ] }, { "id" : "ITEM-4", "itemData" : { "ISSN" : "1068-9265", "PMID" : "12513956", "abstract" : "BACKGROUND: Most melanoma patients with a positive sentinel lymph node dissection (SLND) undergo a completion lymph node dissection (CLND) that does not yield additional positive nonsentinel lymph nodes (NSLN). This study was designed to determine if NSLN status can be predicted using patient, primary tumor, and sentinel lymph node (SLN) characteristics. METHODS: The study population includes melanoma patients who had a positive SLND and subsequently underwent CLND retrieved from our prospective institutional melanoma database. The primary tumor and SLN pathologies were prospectively determined. An Size/Ulceration (SU) score was derived by assigning 1 point for primary tumor ulceration and 1 point for SLN tumor size &gt;2 mm. RESULTS: Ninety-eight patients had a positive SLND and underwent CLND. Sixteen of these patients had a positive NSLN. On univariate analysis, primary tumor characteristics (thickness, ulceration, no regression), SLN metastasis characteristics (size &gt;2 mm, location nonsubcapsular), and SU score were all significantly associated with positive NSLN status. However, on multivariate analysis, only the SU score was a significant independent predictor of NSLN status. No patient with an SU score of 0 had a positive NSLN. CONCLUSIONS: The SU score is predictive of NSLN status in patients with a positive SLND. Patients with an SU score of 0 are very unlikely to have positive NSLNs at CLND.", "author" : [ { "dropping-particle" : "", "family" : "Reeves", "given" : "Mark E", "non-dropping-particle" : "", "parse-names" : false, "suffix" : "" }, { "dropping-particle" : "", "family" : "Delgado", "given" : "Ruby", "non-dropping-particle" : "", "parse-names" : false, "suffix" : "" }, { "dropping-particle" : "", "family" : "Busam", "given" : "Klaus J", "non-dropping-particle" : "", "parse-names" : false, "suffix" : "" }, { "dropping-particle" : "", "family" : "Brady", "given" : "Mary S", "non-dropping-particle" : "", "parse-names" : false, "suffix" : "" }, { "dropping-particle" : "", "family" : "Coit", "given" : "Daniel G", "non-dropping-particle" : "", "parse-names" : false, "suffix" : "" } ], "container-title" : "Annals of surgical oncology", "id" : "ITEM-4", "issue" : "1", "issued" : { "date-parts" : [ [ "2003", "1" ] ] }, "page" : "27-31", "title" : "Prediction of nonsentinel lymph node status in melanoma.", "type" : "article-journal", "volume" : "10" }, "uris" : [ "http://www.mendeley.com/documents/?uuid=dd075209-8de4-4cf7-82ea-21bc5154931f" ] }, { "id" : "ITEM-5", "itemData" : { "DOI" : "10.1038/modpathol.3800117", "ISSN" : "0893-3952", "PMID" : "15098011", "abstract" : "Lymphatic mapping and sentinel node biopsy are well-established techniques for staging and managing patients with melanoma, breast cancer and other malignancies that spread initially to the regional lymph nodes. Identification of tumor in the sentinel node is the most precise staging technique currently available. The sentinel node is the site of metastatic melanoma in approximately 20% of melanoma patients and if tumor is present in the sentinel node it is customary to perform a complete dissection of the lymph nodes of the affected nodal basin. This may be overtreatment for some patients as tumor is identified in the nonsentinel nodes of only one-third of sentinel node-positive melanoma patients treated by completion lymphadenectomy. If it were possible accurately to identify the minority of patients with tumor in the nonsentinel nodes, the patients most likely to benefit from lymphadenectomy, the remaining patients could be spared a potentially morbid operation that is unlikely to confer clinical advantage. In 90 patients with a melanoma-positive sentinel node, who subsequently had a completion lymphadenectomy, we evaluated and compared the capacity of characteristics of the primary melanoma and of the sentinel node to predict individuals likely to have tumor in nonsentinel nodes. We assessed the Breslow thickness of the primary, the amount of tumor in the sentinel node (relative tumor area) and, as an index of immune modulation of the sentinel node, the density of dendritic leukocytes in the nodal paracortex. The relative area of tumor in the sentinel node and Breslow thickness of the primary melanoma most accurately predicted the presence of tumor in the nonsentinel nodes (P=0.0001 in both cases-Wilcoxon rank sums). The presence of melanoma in the nonsentinel nodes was also predicted by the density of dendritic leukocytes in the paracortex (P=0.008-Wilcoxon rank sums). These three observations assessed alone and in combination predict the presence of tumor in the nonsentinel nodes with high accuracy. The same characteristics also significantly correlated with tumor recurrence (tumor burden, P=0.0001, Breslow, P=0.0001 and dendritic cell density, P=0.0007) and death from melanoma (tumor burden, P=0.0001, Breslow, P=0.0001 and dendritic cell density, P=0.0026).", "author" : [ { "dropping-particle" : "", "family" : "Cochran", "given" : "Alistair J", "non-dropping-particle" : "", "parse-names" : false, "suffix" : "" }, { "dropping-particle" : "", "family" : "Wen", "given" : "Duan-Ren", "non-dropping-particle" : "", "parse-names" : false, "suffix" : "" }, { "dropping-particle" : "", "family" : "Huang", "given" : "Rong-Rong", "non-dropping-particle" : "", "parse-names" : false, "suffix" : "" }, { "dropping-particle" : "", "family" : "Wang", "given" : "Hei-Jing", "non-dropping-particle" : "", "parse-names" : false, "suffix" : "" }, { "dropping-particle" : "", "family" : "Elashoff", "given" : "Robert", "non-dropping-particle" : "", "parse-names" : false, "suffix" : "" }, { "dropping-particle" : "", "family" : "Morton", "given" : "Donald L", "non-dropping-particle" : "", "parse-names" : false, "suffix" : "" } ], "container-title" : "Modern pathology : an official journal of the United States and Canadian Academy of Pathology, Inc", "id" : "ITEM-5", "issue" : "7", "issued" : { "date-parts" : [ [ "2004", "7" ] ] }, "page" : "747-55", "title" : "Prediction of metastatic melanoma in nonsentinel nodes and clinical outcome based on the primary melanoma and the sentinel node.", "type" : "article-journal", "volume" : "17" }, "uris" : [ "http://www.mendeley.com/documents/?uuid=d0752a8e-70d4-4d94-987d-117669bd61d2" ] }, { "id" : "ITEM-6", "itemData" : { "DOI" : "10.1200/JCO.2004.01.012", "ISSN" : "0732-183X", "PMID" : "15365064", "abstract" : "PURPOSE: Approximately 20% of sentinel node (SN) positive melanoma patients have additional non-SN (NSN) metastasis. The rationale for this study was to identify the factors associated with additional nodal disease, as a method to determine which patients may most benefit from completion lymph node dissection (CLND).\n\nPATIENTS AND METHODS: During 1990 to 2002, 1,599 patients have undergone SN biopsy at our institute. 19.5% underwent CLND for tumor-positive SN. One hundred ninety-one of these patients had clinicopathologic information available for review. Univariate analyses used chi2 test, Wilcoxson rank sum test, and chi2 test for trend. Multivariate analyses used logistic regression and Wald test.\n\nRESULTS: Forty-six (24%) patients had tumor-positive NSN. Univariate analyses showed that primary thickness (Breslow and Clark), primary site, SN tumor size, and number of tumor-positive SNs were significantly associated with tumor-positive NSN. Multivariate analysis (167 patients), confirmed that Breslow and SN tumor size were independently predictive. Sex, histology, ulceration, mitotic index, and SN basin location were not predictive. Risk stratification by the number of prognostic factors present (Breslow &gt; or = 3 mm and SN tumor size &gt; or = 2 mm) showed that probability of finding tumor-positive NSN was 12.3% in the low-risk group (0 factors), 30.9% in the intermediate-risk group (1 factor), and 41.9% in the high-risk group (2 factors).\n\nCONCLUSION: Thicker primary and larger SN tumor size are factors that correlate best with tumor-positive NSN. Although none of these factors are absolutely predictive of residual nodal disease, these factors must be strongly considered if the SN contains metastasis, as they provide enhanced risk assessment for NSN tumor-positivity.", "author" : [ { "dropping-particle" : "", "family" : "Lee", "given" : "J. H.", "non-dropping-particle" : "", "parse-names" : false, "suffix" : "" } ], "container-title" : "Journal of Clinical Oncology", "id" : "ITEM-6", "issue" : "18", "issued" : { "date-parts" : [ [ "2004", "8", "9" ] ] }, "page" : "3677-3684", "title" : "Factors Predictive of Tumor-Positive Nonsentinel Lymph Nodes After Tumor-Positive Sentinel Lymph Node Dissection for Melanoma", "type" : "article-journal", "volume" : "22" }, "uris" : [ "http://www.mendeley.com/documents/?uuid=143cecc4-6e2c-4cf1-b264-d26ab3e23368" ] }, { "id" : "ITEM-7", "itemData" : { "DOI" : "10.1309/TDWJ-TR15-TDM1-TG7Q", "ISSN" : "0002-9173", "PMID" : "15487450", "abstract" : "The aim of the present study was to determine whether micromorphometric features of positive sentinel lymph nodes (SLNs) from patients with melanoma are useful for predicting further nodal involvement in completion lymph node dissection (CLND) specimens. Of 986 patients with melanoma undergoing SLN biopsy between March 1992 and February 2001, 175 (17.7%) had at least 1 positive SLN and 140 had subsequent CLND specimens available for review. Further nodal involvement in CLND specimens was present in 24 (17.1%) of 140 patients. Of 8 micromorphometric features of the SLNs that were assessed, the presence of metastases in CLND specimens was correlated significantly with a tumor penetrative depth (maximum distance of melanoma cells from the inner margin of the SLN capsule) of more than 2 mm (P &lt; .05), a deposit size of more than 10 mm2 (P &lt; .01), the presence of melanoma cells in perinodal lymphatic vessels (P &lt; .01), and the effacement of nodal architecture by metastatic melanoma cells (P &lt; .05). Our results indicate that some morphologic features of melanoma metastases in SLNs predict the likelihood of further nodal involvement in CLND specimens.", "author" : [ { "dropping-particle" : "", "family" : "Scolyer", "given" : "Richard A.", "non-dropping-particle" : "", "parse-names" : false, "suffix" : "" }, { "dropping-particle" : "", "family" : "Li", "given" : "Ling-Xi L.", "non-dropping-particle" : "", "parse-names" : false, "suffix" : "" }, { "dropping-particle" : "", "family" : "McCarthy", "given" : "Stanley W.", "non-dropping-particle" : "", "parse-names" : false, "suffix" : "" }, { "dropping-particle" : "", "family" : "Shaw", "given" : "Helen M.", "non-dropping-particle" : "", "parse-names" : false, "suffix" : "" }, { "dropping-particle" : "", "family" : "Stretch", "given" : "Jonathan R.", "non-dropping-particle" : "", "parse-names" : false, "suffix" : "" }, { "dropping-particle" : "", "family" : "Sharma", "given" : "Raghwa", "non-dropping-particle" : "", "parse-names" : false, "suffix" : "" }, { "dropping-particle" : "", "family" : "Thompson", "given" : "John F.", "non-dropping-particle" : "", "parse-names" : false, "suffix" : "" } ], "container-title" : "American Journal of Clinical Pathology", "id" : "ITEM-7", "issue" : "4", "issued" : { "date-parts" : [ [ "2004", "1", "1" ] ] }, "page" : "532-539", "title" : "Micromorphometric Features of Positive Sentinel Lymph Nodes Predict Involvement of Nonsentinel Nodes in Patients With Melanoma", "type" : "article-journal", "volume" : "122" }, "uris" : [ "http://www.mendeley.com/documents/?uuid=01d47762-5d11-4c90-8aea-5d384b9c7a56" ] }, { "id" : "ITEM-8", "itemData" : { "ISSN" : "1068-9265", "PMID" : "15023745", "abstract" : "The most successful strategies in the management of melanoma have always been based on early diagnosis and timely surgical removal. Sentinel lymphonodectomy (SLNE) is the most reliable technique for the detection of melanoma micrometastases in regional lymph nodes. The micromorphometric S-classification, a routinely determinable surrogate of tumor burden in the sentinel lymph node (SLN), has high prognostic relevance. SIII metastases, defined by a depth of invasion (d) greater than 1 mm below the capsular level, imply a risk of more than 50% for the presence of nonsentinel lymph node metastases in the same basin and for the emergence of distant metastases within 5 years of follow-up. Corresponding risks with SI metastases (d &lt;/= 0.3 mm) and SII metastases (0.3 mm &lt; d &lt;/= 1 mm) do not exceed 15%. The survival curve for patients with SIII metastases approaches that of patients in the pre-SLNE era who underwent delayed lymph node dissection for subsequently detected nodal macrometastases. The survival of patients with initially removed SI and SII metastases is much better, similar to that of patients with S0 metastases. This explains the significant survival benefit of SLN-guided surgery in the entire population of patients with melanomas thicker than 0.75 mm, although the outcome of the subgroup without nodal metastases is not influenced by SLNE.", "author" : [ { "dropping-particle" : "", "family" : "Starz", "given" : "Hans", "non-dropping-particle" : "", "parse-names" : false, "suffix" : "" }, { "dropping-particle" : "", "family" : "Siedlecki", "given" : "Katharina", "non-dropping-particle" : "", "parse-names" : false, "suffix" : "" }, { "dropping-particle" : "", "family" : "Balda", "given" : "Bernd-R\u00fcdiger", "non-dropping-particle" : "", "parse-names" : false, "suffix" : "" } ], "container-title" : "Annals of surgical oncology", "id" : "ITEM-8", "issue" : "3 Suppl", "issued" : { "date-parts" : [ [ "2004", "3" ] ] }, "page" : "162S-8S", "title" : "Sentinel lymphonodectomy and s-classification: a successful strategy for better prediction and improvement of outcome of melanoma.", "type" : "article-journal", "volume" : "11" }, "uris" : [ "http://www.mendeley.com/documents/?uuid=a13a8b9a-f140-4674-8fb0-453c2e6a863a" ] }, { "id" : "ITEM-9", "itemData" : { "DOI" : "10.1200/JCO.2004.12.177", "ISSN" : "0732-183X", "PMID" : "15310779", "abstract" : "PURPOSE: Sentinel node biopsy is now widely accepted as the most accurate prognostic indicator in melanoma, and is important in guiding management of patients with clinical stage I or II disease. Patients with a positive sentinel node have conventionally undergone completion lymphadenectomy (CLND) of the involved basin, but only 20% have involvement beyond the sentinel node, suggesting that CLND may be unnecessary for the other 80% of patients. This study seeks to identify criteria that might be used to be more restrictive in selecting those who should undergo CLND.\n\nMETHODS: A total of 146 patients were identified who had had a positive sentinel node biopsy for malignant melanoma. Their sentinel nodes and lymphadenectomy specimens were re-evaluated pathologically. The metastatic melanoma in each sentinel node was assessed according to its microanatomic location within the node (subcapsular, combined subcapsular and parenchymal, parenchymal, multifocal, or extensive), and this was correlated with the presence of involved nonsentinel nodes in the CLND. The depth of the metastases from the sentinel node capsule was also recorded.\n\nRESULTS: The metastatic deposits in the sentinel node were subcapsular in 26.0% of patients. None of these patients had any nonsentinel nodes involved on CLND. In the patients whose sentinel node metastases had a different microanatomic location, the rate of nonsentinel node involvement was 22.2% overall.\n\nCONCLUSION: The microanatomic location of metastases within sentinel nodes predicts nonsentinel lymph node involvement. In patients with only subcapsular deposits in the sentinel node, it is possible that CLND could safely be avoided.", "author" : [ { "dropping-particle" : "", "family" : "Dewar", "given" : "D J", "non-dropping-particle" : "", "parse-names" : false, "suffix" : "" }, { "dropping-particle" : "", "family" : "Newell", "given" : "B", "non-dropping-particle" : "", "parse-names" : false, "suffix" : "" }, { "dropping-particle" : "", "family" : "Green", "given" : "M A", "non-dropping-particle" : "", "parse-names" : false, "suffix" : "" }, { "dropping-particle" : "", "family" : "Topping", "given" : "A P", "non-dropping-particle" : "", "parse-names" : false, "suffix" : "" }, { "dropping-particle" : "", "family" : "Powell", "given" : "B W E M", "non-dropping-particle" : "", "parse-names" : false, "suffix" : "" }, { "dropping-particle" : "", "family" : "Cook", "given" : "M G", "non-dropping-particle" : "", "parse-names" : false, "suffix" : "" } ], "container-title" : "Journal of clinical oncology : official journal of the American Society of Clinical Oncology", "id" : "ITEM-9", "issue" : "16", "issued" : { "date-parts" : [ [ "2004", "8", "15" ] ] }, "page" : "3345-9", "title" : "The microanatomic location of metastatic melanoma in sentinel lymph nodes predicts nonsentinel lymph node involvement.", "type" : "article-journal", "volume" : "22" }, "uris" : [ "http://www.mendeley.com/documents/?uuid=4506cae2-267b-47ed-99e3-fa46fed76ab8" ] }, { "id" : "ITEM-10", "itemData" : { "ISSN" : "0960-8931", "PMID" : "16034304", "abstract" : "The purpose of this study was to identify melanoma patients with positive sentinel lymph nodes (SLNs) at increased risk for further metastases in this specific lymph node basin. A series of consecutive patients with primary malignant melanoma stage I and II were evaluated retrospectively. The results of SLN biopsy in 26 patients with positive SLNs were compared with those of complete regional lymph node dissection (RLND) using the recently published S-classification of SLNs. The results of S-classification of SLNs were correlated with the outcome of complete RLND. There was a significant correlation between the S stage of positive SLNs and the results of complete RLND (P=0.02). Only patients with SIII stage (n=4) SLNs were found to have further metastases in the residual lymph node basin. The present study indicates that patients with SI stage and SII stage SLNs rarely have further metastases in the specific lymph node basin.", "author" : [ { "dropping-particle" : "", "family" : "Fink", "given" : "Astrid M", "non-dropping-particle" : "", "parse-names" : false, "suffix" : "" }, { "dropping-particle" : "", "family" : "Weihsengruber", "given" : "Felix", "non-dropping-particle" : "", "parse-names" : false, "suffix" : "" }, { "dropping-particle" : "", "family" : "Spangl", "given" : "Bernhard", "non-dropping-particle" : "", "parse-names" : false, "suffix" : "" }, { "dropping-particle" : "", "family" : "Feichtinger", "given" : "Hans", "non-dropping-particle" : "", "parse-names" : false, "suffix" : "" }, { "dropping-particle" : "", "family" : "Lilgenau", "given" : "Nikolaus", "non-dropping-particle" : "", "parse-names" : false, "suffix" : "" }, { "dropping-particle" : "", "family" : "Rappersberger", "given" : "Klemens", "non-dropping-particle" : "", "parse-names" : false, "suffix" : "" }, { "dropping-particle" : "", "family" : "Jurecka", "given" : "Wolfgang", "non-dropping-particle" : "", "parse-names" : false, "suffix" : "" }, { "dropping-particle" : "", "family" : "Steiner", "given" : "Andreas", "non-dropping-particle" : "", "parse-names" : false, "suffix" : "" } ], "container-title" : "Melanoma research", "id" : "ITEM-10", "issue" : "4", "issued" : { "date-parts" : [ [ "2005", "8" ] ] }, "page" : "267-71", "title" : "S-classification of sentinel lymph node biopsy predicts the results of complete regional lymph node dissection.", "type" : "article-journal", "volume" : "15" }, "uris" : [ "http://www.mendeley.com/documents/?uuid=06d1b817-430a-43de-bb2e-a318041dcac1" ] }, { "id" : "ITEM-11", "itemData" : { "abstract" : "BACKGROUND: Patients found to harbor melanoma micrometastases in the sentinel lymph node (SLN) are recommended to proceed to complete lymph node dissection (CLND), although the majority of patients will have no additional disease identified in the nonsentinel lymph nodes (NSLNs). We sought to assess predictive factors associated with finding positive NSLNs, and identify a subset of patients with low likelihood of finding additional disease on CLND. STUDY DESIGN: We queried our prospective melanoma database for patients from January 1996 to August 2003 with a positive SLN. Univariable logistic regression models were fit for multiple factors and a positive NSLN. To derive a probabilistic model for occurrence of one or more positive NSLN(s), a multivariable logistic model was fit using a stepwise variable selection method. RESULTS: Of 980 patients who underwent SLN biopsy for cutaneous melanoma, 232 (24%) had a positive SLN; 221 (23%) followed by CLND. Of these patients, 34 (15%) had one or more positive NSLN(s). In multivariable analysis, male gender (odds ratio [OR] 3.6 [95% CI 1.33, 9.71]; p = 0.01), Breslow thickness (OR 4.58 [95% CI 1.28, 16.36]; p = 0.019), extranodal extension (OR 3.2 [95% CI 1.0, 10.5]; p = 0.05), and three or more positive sentinel nodes (OR 65.81 [95% CI 5.2, 825.7]; p = 0.001) were all associated with the likelihood of finding additional positive nodes on CLND. Of 47 patients with minimal tumor burden in the SLN, only 1 (2%) had additional disease in the NSLN. CONCLUSIONS: These results provide additional data to plan clinical trials to answer the question of who can safely avoid CLND after a positive SLN. Patients with minimal tumor burden in the SLN might be the most likely group, although defining \"minimal tumor burden\" must be standardized. Serial sectioning and immunohistochemistry on the NSLN in any \"low-risk\" group must be performed in a clinical trial to confirm that residual disease is unlikely before avoiding CLND can be recommended. \u00a9 2005 by the American College of Surgeons.", "author" : [ { "dropping-particle" : "", "family" : "Sabel", "given" : "Michael S.", "non-dropping-particle" : "", "parse-names" : false, "suffix" : "" }, { "dropping-particle" : "", "family" : "Griffith", "given" : "Kent", "non-dropping-particle" : "", "parse-names" : false, "suffix" : "" }, { "dropping-particle" : "", "family" : "Sondak", "given" : "Vernon K.", "non-dropping-particle" : "", "parse-names" : false, "suffix" : "" }, { "dropping-particle" : "", "family" : "Lowe", "given" : "Lori", "non-dropping-particle" : "", "parse-names" : false, "suffix" : "" }, { "dropping-particle" : "", "family" : "Schwartz", "given" : "Jennifer L.", "non-dropping-particle" : "", "parse-names" : false, "suffix" : "" }, { "dropping-particle" : "", "family" : "Cimmino", "given" : "Vincent M.", "non-dropping-particle" : "", "parse-names" : false, "suffix" : "" }, { "dropping-particle" : "", "family" : "Chang", "given" : "Alfred E.", "non-dropping-particle" : "", "parse-names" : false, "suffix" : "" }, { "dropping-particle" : "", "family" : "Rees", "given" : "Riley S.", "non-dropping-particle" : "", "parse-names" : false, "suffix" : "" }, { "dropping-particle" : "", "family" : "Bradford", "given" : "Carol R.", "non-dropping-particle" : "", "parse-names" : false, "suffix" : "" }, { "dropping-particle" : "", "family" : "Johnson", "given" : "Timothy M.", "non-dropping-particle" : "", "parse-names" : false, "suffix" : "" } ], "container-title" : "Journal of the American College of Surgeons", "id" : "ITEM-11", "issue" : "1", "issued" : { "date-parts" : [ [ "2005" ] ] }, "page" : "37-47", "title" : "Predictors of nonsentinel lymph node positivity in patients with a positive sentinel node for melanoma", "type" : "article-journal", "volume" : "201" }, "uris" : [ "http://www.mendeley.com/documents/?uuid=ba42c37e-0beb-4757-b901-754a60fc6450" ] }, { "id" : "ITEM-12", "itemData" : { "DOI" : "10.1245/ASO.2005.06.013", "ISSN" : "1068-9265", "PMID" : "15864481", "abstract" : "BACKGROUND: Even though 60% to 80% of melanoma patients with a positive sentinel lymph node (SLN) have no positive additional lymph nodes (ALNs), all these patients are subjected to an ALN dissection (ALND) with its associated morbidity. The aim of this study was to predict the absence of ALN metastases in patients with a positive SLN by using features of the primary melanoma and SLN tumor load.\n\nMETHODS: Of 71 SLN-positive patients, 52 had metastasis limited to the SLN (group 1), and 19 had &gt; or =1 positive ALN after ALND (group 2). The tumor load of the SLN was assessed by measuring the total surface area by computerized morphometry. Breslow thickness, ulceration and lymphatic invasion of the primary tumor, and total SLN metastatic area were tested as covariates predicting the absence of positive ALNs.\n\nRESULTS: The mean SLN metastatic area was 1.18 mm(2) (group 1) and 3.39 mm(2) (group 2) (P = .003) and was the only significant and independent factor after multivariate analysis (P = .02). None of the patients with both a Breslow thickness &lt;2.5 mm and an SLN metastatic area &lt;.3 mm(2) had a positive ALN.\n\nCONCLUSIONS: SLN metastatic area can be used to predict the absence of positive ALNs in melanoma patients. In this study, patients with a Breslow thickness &lt;2.5 mm and an SLN tumor load &lt;.3 mm(2 )seemed to have no positive ALN and had excellent survival. We hypothesize that this subgroup might not benefit from ALND. Prospective larger trials, using this model and randomizing between ALND and no ALND, should confirm this hypothesis.", "author" : [ { "dropping-particle" : "", "family" : "Vuylsteke", "given" : "Ronald J C L M", "non-dropping-particle" : "", "parse-names" : false, "suffix" : "" }, { "dropping-particle" : "", "family" : "Borgstein", "given" : "Paul J", "non-dropping-particle" : "", "parse-names" : false, "suffix" : "" }, { "dropping-particle" : "", "family" : "Leeuwen", "given" : "Paul A M", "non-dropping-particle" : "van", "parse-names" : false, "suffix" : "" }, { "dropping-particle" : "", "family" : "Gietema", "given" : "Hester A", "non-dropping-particle" : "", "parse-names" : false, "suffix" : "" }, { "dropping-particle" : "", "family" : "Molenkamp", "given" : "Barbara G", "non-dropping-particle" : "", "parse-names" : false, "suffix" : "" }, { "dropping-particle" : "", "family" : "Statius Muller", "given" : "Markwin G", "non-dropping-particle" : "", "parse-names" : false, "suffix" : "" }, { "dropping-particle" : "", "family" : "Diest", "given" : "Paul J", "non-dropping-particle" : "van", "parse-names" : false, "suffix" : "" }, { "dropping-particle" : "", "family" : "Sijp", "given" : "Joost R M", "non-dropping-particle" : "van der", "parse-names" : false, "suffix" : "" }, { "dropping-particle" : "", "family" : "Meijer", "given" : "Sybren", "non-dropping-particle" : "", "parse-names" : false, "suffix" : "" } ], "container-title" : "Annals of surgical oncology", "id" : "ITEM-12", "issue" : "6", "issued" : { "date-parts" : [ [ "2005", "6" ] ] }, "page" : "440-8", "title" : "Sentinel lymph node tumor load: an independent predictor of additional lymph node involvement and survival in melanoma.", "type" : "article-journal", "volume" : "12" }, "uris" : [ "http://www.mendeley.com/documents/?uuid=f4008c8d-246b-45be-954c-bbd5d8af0390" ] }, { "id" : "ITEM-13", "itemData" : { "DOI" : "10.1016/j.amjsurg.2006.08.062", "ISSN" : "1879-1883", "PMID" : "17161112", "abstract" : "BACKGROUND: A positive sentinel lymph node (SLN) biopsy is an indication for completion lymph node dissection (CLND) in malignant melanoma; however, most CLNDs are negative. We hypothesized SLN metastatic size of &lt; or =2 mm would predict CLND status and prognosis.\n\nMETHODS: We evaluated 80 consecutive patients undergoing CLND for positive SLNs over a 10-year period. Incidence of positive nonsentinel nodes and survival were compared for patients with SLN metastases &lt; or =2 mm and &gt;2 mm.\n\nRESULTS: Of 504 patients undergoing SLN biopsy, 49 patients had SLN deposits &lt; or =2 mm and a 6% incidence of positive CLNDs. Five-year survival was 85%, essentially the same as negative SLN biopsies. In contrast, 31 had SLN metastases &gt;2 mm, a 45% incidence of addition disease at CLND, and 5-year survival of 47% (P &lt; .0001).\n\nCONCLUSION: An SLN metastatic cut point of 2 mm is an efficient predictor of CLND status and survival in malignant melanoma.", "author" : [ { "dropping-particle" : "", "family" : "Pearlman", "given" : "Nathan W", "non-dropping-particle" : "", "parse-names" : false, "suffix" : "" }, { "dropping-particle" : "", "family" : "McCarter", "given" : "Martin D", "non-dropping-particle" : "", "parse-names" : false, "suffix" : "" }, { "dropping-particle" : "", "family" : "Frank", "given" : "Matthew", "non-dropping-particle" : "", "parse-names" : false, "suffix" : "" }, { "dropping-particle" : "", "family" : "Hurtubis", "given" : "Cheryl", "non-dropping-particle" : "", "parse-names" : false, "suffix" : "" }, { "dropping-particle" : "", "family" : "Merkow", "given" : "Ryan P", "non-dropping-particle" : "", "parse-names" : false, "suffix" : "" }, { "dropping-particle" : "", "family" : "Franklin", "given" : "Wilbur A", "non-dropping-particle" : "", "parse-names" : false, "suffix" : "" }, { "dropping-particle" : "", "family" : "Gonzalez", "given" : "Rene", "non-dropping-particle" : "", "parse-names" : false, "suffix" : "" }, { "dropping-particle" : "", "family" : "Lewis", "given" : "Karl", "non-dropping-particle" : "", "parse-names" : false, "suffix" : "" }, { "dropping-particle" : "", "family" : "Roaten", "given" : "J Brent", "non-dropping-particle" : "", "parse-names" : false, "suffix" : "" }, { "dropping-particle" : "", "family" : "Robinson", "given" : "William A", "non-dropping-particle" : "", "parse-names" : false, "suffix" : "" } ], "container-title" : "American journal of surgery", "id" : "ITEM-13", "issue" : "6", "issued" : { "date-parts" : [ [ "2006", "12" ] ] }, "page" : "878-81", "title" : "Size of sentinel node metastases predicts other nodal disease and survival in malignant melanoma.", "type" : "article-journal", "volume" : "192" }, "uris" : [ "http://www.mendeley.com/documents/?uuid=8b561a6b-e631-4cc0-9a77-6864402b5a97" ] }, { "id" : "ITEM-14", "itemData" : { "DOI" : "10.1200/JCO.2006.06.3198", "ISSN" : "1527-7755", "PMID" : "16983115", "abstract" : "PURPOSE: To evaluate the prognostic significance of sentinel node biopsy in the management of stage IB and II melanoma patients, and to evaluate the status of nonsentinel nodes as a \"second step key factor\" to assess the prognosis of these patients.\n\nPATIENTS AND METHODS: We conducted an analysis of data collected in a prospective database.\n\nRESULTS: From February 1994 to June 2005, 1,108 consecutive patients with stage IB and II melanoma were submitted to sentinel node biopsy; 176 patients (15.9%) had occult node metastases. The frequency of positive nodes increased with increasing Breslow's thickness. The largest diameter of metastatic foci and their localization within the lymph node were associated with the risk of nonsentinel node metastases only. The 5-year survival of patients with positive sentinel nodes was 81.4% in patients with one positive node and 39.6% in patients with two positive nodes (P = .056). Multivariate analysis indicated that status of sentinel nodes is a key factor and that sex and Breslow's thickness maintain statistically significant relevance. Ulceration, which was associated with survival when considered as single factor (P &lt; .001) had no impact on survival in the multivariate analysis (P = .10). To evaluate the relevance of metastases to nonsentinel nodes, we identified four groups of patients.\n\nCONCLUSION: Evaluation of the sentinel node is a useful procedure to identify patients to be submitted for complete lymph node dissection. The procedure makes it possible to assess the best prognosis of patients.", "author" : [ { "dropping-particle" : "", "family" : "Cascinelli", "given" : "Natale", "non-dropping-particle" : "", "parse-names" : false, "suffix" : "" }, { "dropping-particle" : "", "family" : "Bombardieri", "given" : "Emilio", "non-dropping-particle" : "", "parse-names" : false, "suffix" : "" }, { "dropping-particle" : "", "family" : "Bufalino", "given" : "Rosaria", "non-dropping-particle" : "", "parse-names" : false, "suffix" : "" }, { "dropping-particle" : "", "family" : "Camerini", "given" : "Tiziana", "non-dropping-particle" : "", "parse-names" : false, "suffix" : "" }, { "dropping-particle" : "", "family" : "Carbone", "given" : "Antonino", "non-dropping-particle" : "", "parse-names" : false, "suffix" : "" }, { "dropping-particle" : "", "family" : "Clemente", "given" : "Claudio", "non-dropping-particle" : "", "parse-names" : false, "suffix" : "" }, { "dropping-particle" : "", "family" : "Lenisa", "given" : "Leonardo", "non-dropping-particle" : "", "parse-names" : false, "suffix" : "" }, { "dropping-particle" : "", "family" : "Mascheroni", "given" : "Luigi", "non-dropping-particle" : "", "parse-names" : false, "suffix" : "" }, { "dropping-particle" : "", "family" : "Maurichi", "given" : "Andrea", "non-dropping-particle" : "", "parse-names" : false, "suffix" : "" }, { "dropping-particle" : "", "family" : "Pennacchioli", "given" : "Elisabetta", "non-dropping-particle" : "", "parse-names" : false, "suffix" : "" }, { "dropping-particle" : "", "family" : "Patuzzo", "given" : "Roberto", "non-dropping-particle" : "", "parse-names" : false, "suffix" : "" }, { "dropping-particle" : "", "family" : "Santinami", "given" : "Mario", "non-dropping-particle" : "", "parse-names" : false, "suffix" : "" }, { "dropping-particle" : "", "family" : "Tragni", "given" : "Gabrina", "non-dropping-particle" : "", "parse-names" : false, "suffix" : "" } ], "container-title" : "Journal of clinical oncology : official journal of the American Society of Clinical Oncology", "id" : "ITEM-14", "issue" : "27", "issued" : { "date-parts" : [ [ "2006", "9", "20" ] ] }, "page" : "4464-71", "title" : "Sentinel and nonsentinel node status in stage IB and II melanoma patients: two-step prognostic indicators of survival.", "type" : "article-journal", "volume" : "24" }, "uris" : [ "http://www.mendeley.com/documents/?uuid=87a2810c-0f27-4812-8c91-b5fcb57b53ff" ] }, { "id" : "ITEM-15", "itemData" : { "DOI" : "10.1111/j.1365-2133.2007.07937.x", "ISSN" : "0007-0963", "PMID" : "17501957", "abstract" : "BACKGROUND: Sentinel lymph node (SLN) positivity has been found to be strongly associated with a poor prognosis in melanoma.\n\nOBJECTIVES: This large referral centre study was conducted: (i) to confirm the powerful prognostic value of SLN biopsy (SLNB); (ii) to correlate patient prognosis to the micromorphometric features of SLN metastasis in SLN-positive patients; and (iii) to correlate these micromorphometric features to the likelihood of positive completion lymph node dissection (CLND).\n\nPATIENTS AND METHODS: SLNB was performed in 455 cases of primary melanoma between January 1999 and December 2004; for patients with positive SLN, the following micromorphometric features were registered: size of the largest metastasis (two diameters), depth of metastasis, number of millimetric slices involved, maximum number of metastases on a single section, presence of intracapsular lymphatic invasion and extracapsular spread. Kaplan-Meier survival curves were compared with the log-rank test; multivariate analysis was performed using a Cox regression model. Dependence of CLND status on micromorphometric features of SLN was assessed by the chi(2) test and predictive values of the different features were evaluated by multivariate analysis using a logistic regression model.\n\nRESULTS: A positive SLN was identified in 98 of our 455 cases. Survival was significantly shorter in SLN-positive patients than in SLN-negative patients. Extracapsular invasion was found to be an independent prognostic factor of disease-free survival; ulceration of the primary and the maximum diameter of the largest metastasis were identified as independent predictive factors of disease-specific survival. Age and the lowest diameter of the largest metastasis were identified as independent predictive criteria of positive CLND, whereas depth of metastasis was not. Positivity of CLND was not significantly associated with a worse prognosis.\n\nCONCLUSIONS: Our study confirms the previously demonstrated strong prognostic value of SLNB. It also confirms the relationship between tumour burden in the SLN (evaluated by the maximum diameter of the largest metastasis) and clinical outcome. We point out a new micromorphometric feature of SLN, which seems to be predictive of CLND status: the lowest diameter of the largest metastasis.", "author" : [ { "dropping-particle" : "", "family" : "Debarbieux", "given" : "S", "non-dropping-particle" : "", "parse-names" : false, "suffix" : "" }, { "dropping-particle" : "", "family" : "Duru", "given" : "G", "non-dropping-particle" : "", "parse-names" : false, "suffix" : "" }, { "dropping-particle" : "", "family" : "Dalle", "given" : "S", "non-dropping-particle" : "", "parse-names" : false, "suffix" : "" }, { "dropping-particle" : "", "family" : "B\u00e9atrix", "given" : "O", "non-dropping-particle" : "", "parse-names" : false, "suffix" : "" }, { "dropping-particle" : "", "family" : "Balme", "given" : "B", "non-dropping-particle" : "", "parse-names" : false, "suffix" : "" }, { "dropping-particle" : "", "family" : "Thomas", "given" : "L", "non-dropping-particle" : "", "parse-names" : false, "suffix" : "" } ], "container-title" : "The British journal of dermatology", "id" : "ITEM-15", "issue" : "1", "issued" : { "date-parts" : [ [ "2007", "7" ] ] }, "page" : "58-67", "title" : "Sentinel lymph node biopsy in melanoma: a micromorphometric study relating to prognosis and completion lymph node dissection.", "type" : "article-journal", "volume" : "157" }, "uris" : [ "http://www.mendeley.com/documents/?uuid=21e3987a-d610-454e-98d8-9ef8eb629ad1" ] }, { "id" : "ITEM-16", "itemData" : { "ISSN" : "0003-1348", "PMID" : "17674939", "abstract" : "Completion lymph node dissection (CLND) is routinely performed after metastatic melanoma is detected at sentinel lymph node (SLN) biopsy. Nonsentinel lymph node (NSLN) involvement is found in less than one-third of the cases. Possible predictors of NSLN involvement are examined. A retrospective review of 70 patients with a positive SLN biopsy for melanoma and drainage to one lymphatic basin was performed. The size of metastatic deposits was defined as macrometastases (&gt;2 mm), micrometastases (&lt; or =2 mm), a cluster of cells (10-30 grouped cells) in the subcapsular space or interfollicular zone, or isolated melanoma cells (1-20 or more individual cells) in subcapsular sinuses. Tumor stage, ulceration, SLN tumor burden, mitoses, number of positive SLNs, and total number of lymph nodes removed were examined as predictors of NSLN involvement after CLND. Two additional models based on SLN tumor burden and the number of nodes biopsied were designed. Nineteen patients (24.3%) were found to have NSLN metastases after CLND. Tumor stage, ulceration, SLN tumor burden, mitoses, number of positive SLN, and number of lymph nodes removed were not statistically significant. Residual disease at CLND stratified by SLN tumor burden was: isolated melanoma cells, 0; cluster of cells, 8 (38.1%); &lt; or =2 mm, 5 (20.8%); and &gt;2 mm, 6 (27.3%). A comparison of the means for the models was not predictive of NSLN involvement. None of the risk factors or models examined could predict nonsentinel lymph node involvement with melanoma. The SLN sample and minimal SLN metastatic disease when defined as isolated clusters of cells warrant further study as a potential indicator against CLND after positive SLN.", "author" : [ { "dropping-particle" : "", "family" : "Page", "given" : "Andrew J", "non-dropping-particle" : "", "parse-names" : false, "suffix" : "" }, { "dropping-particle" : "", "family" : "Carlson", "given" : "Grant W", "non-dropping-particle" : "", "parse-names" : false, "suffix" : "" }, { "dropping-particle" : "", "family" : "Delman", "given" : "Keith A", "non-dropping-particle" : "", "parse-names" : false, "suffix" : "" }, { "dropping-particle" : "", "family" : "Murray", "given" : "Douglas", "non-dropping-particle" : "", "parse-names" : false, "suffix" : "" }, { "dropping-particle" : "", "family" : "Hestley", "given" : "Andrea", "non-dropping-particle" : "", "parse-names" : false, "suffix" : "" }, { "dropping-particle" : "", "family" : "Cohen", "given" : "Cynthia", "non-dropping-particle" : "", "parse-names" : false, "suffix" : "" } ], "container-title" : "The American surgeon", "id" : "ITEM-16", "issue" : "7", "issued" : { "date-parts" : [ [ "2007", "7" ] ] }, "page" : "674-8; discussion 678-9", "title" : "Prediction of nonsentinel lymph node involvement in patients with a positive sentinel lymph node in malignant melanoma.", "type" : "article-journal", "volume" : "73" }, "uris" : [ "http://www.mendeley.com/documents/?uuid=fbc4895b-4b30-4cf2-93e9-c881a9f56cd1" ] }, { "id" : "ITEM-17", "itemData" : { "DOI" : "10.1245/s10434-007-9734-8", "ISSN" : "1534-4681", "PMID" : "18165880", "abstract" : "BACKGROUND: Identification of melanoma patients who need completion lymphadenectomy and adjuvant treatment after positive sentinel lymph node (SLN) biopsy would be a fundamental step forward toward personalized medicine. This study tested the hypothesis that the microscopic features of metastatic SLNs might predict not only nonsentinel lymph node (NSLN) status, but also patients' clinical outcomes.\n\nMETHODS: A retrospective analysis was performed on 96 consecutive melanoma patients who underwent completion lymphadenectomy after positive SLN biopsy. Patients' age and sex, primary tumor Breslow thickness, number of positive SLNs, the largest diameter and depth of invasion of metastatic deposits in the SLN, S stage, and pattern of nodal involvement were correlated with the presence of metastatic disease in NSLNs as well as with the likelihood of tumor recurrence and patient death.\n\nRESULTS: At pathological examination, 20 patients (20.8%) had metastatic melanoma in the NSLN. Pattern of nodal involvement, depth of invasion of SLN by metastatic disease, and S stage were statistically significantly associated with the presence of metastatic disease in NSLN. Multivariate analysis revealed that only the SLN depth of invasion was an independent predictor of NSLN status (P = .0035). This parameter was also significantly associated with disease-free and overall survival, both by univariate (P &lt; .0001 and P = .0006, respectively) and multivariate (P &lt; .0001 and P = .0013, respectively) survival analysis.\n\nCONCLUSIONS: These findings support further investigation of SLN depth of invasion as a predictive factor of potential clinical use to select patients as candidates for completion lymphadenectomy and adjuvant treatment.", "author" : [ { "dropping-particle" : "", "family" : "Rossi", "given" : "Carlo Riccardo", "non-dropping-particle" : "", "parse-names" : false, "suffix" : "" }, { "dropping-particle" : "", "family" : "Salvo", "given" : "Gian Luca", "non-dropping-particle" : "De", "parse-names" : false, "suffix" : "" }, { "dropping-particle" : "", "family" : "Bonandini", "given" : "Elena", "non-dropping-particle" : "", "parse-names" : false, "suffix" : "" }, { "dropping-particle" : "", "family" : "Mocellin", "given" : "Simone", "non-dropping-particle" : "", "parse-names" : false, "suffix" : "" }, { "dropping-particle" : "", "family" : "Foletto", "given" : "Mirto", "non-dropping-particle" : "", "parse-names" : false, "suffix" : "" }, { "dropping-particle" : "", "family" : "Pasquali", "given" : "Sandro", "non-dropping-particle" : "", "parse-names" : false, "suffix" : "" }, { "dropping-particle" : "", "family" : "Pilati", "given" : "Pierluigi", "non-dropping-particle" : "", "parse-names" : false, "suffix" : "" }, { "dropping-particle" : "", "family" : "Lise", "given" : "Mario", "non-dropping-particle" : "", "parse-names" : false, "suffix" : "" }, { "dropping-particle" : "", "family" : "Nitti", "given" : "Donato", "non-dropping-particle" : "", "parse-names" : false, "suffix" : "" }, { "dropping-particle" : "", "family" : "Rizzo", "given" : "Elisa", "non-dropping-particle" : "", "parse-names" : false, "suffix" : "" }, { "dropping-particle" : "", "family" : "Montesco", "given" : "Maria Cristina", "non-dropping-particle" : "", "parse-names" : false, "suffix" : "" } ], "container-title" : "Annals of surgical oncology", "id" : "ITEM-17", "issue" : "4", "issued" : { "date-parts" : [ [ "2008", "4" ] ] }, "page" : "1202-10", "title" : "Factors predictive of nonsentinel lymph node involvement and clinical outcome in melanoma patients with metastatic sentinel lymph node.", "type" : "article-journal", "volume" : "15" }, "uris" : [ "http://www.mendeley.com/documents/?uuid=1eae11c2-e4cc-4656-8016-e49758758783" ] }, { "id" : "ITEM-18", "itemData" : { "DOI" : "10.1245/s10434-008-9888-z", "ISSN" : "1534-4681", "PMID" : "18389323", "abstract" : "BACKGROUND: Previous studies described various criteria in sentinel lymph nodes (SLN) of melanoma patients that predict the involvement of further, nonsentinel lymph nodes (NSLN). Such criteria may facilitate the selection of patients who might benefit from a completion lymph node dissection (CLND). However, it is currently unclear which parameters are most important.\n\nMETHODS: A total of 180 melanoma patients with positive SLNB and subsequent CLND were investigated. Histopathologic parameters in the SLN were systematically evaluated and compared with regard to NSLN positivity. Twenty-eight of these patients (16.0%) had positive NSLN.\n\nRESULTS: By univariate analysis several criteria with regard to tumor burden and location of melanoma cells in the SLN correlated with NSLN involvement, such as positivity by hematoxylin-eosin (H&amp;E) staining (P &lt; .001), largest diameter of clusters (P &lt; .001), capsular involvement (P = .001), extranodal extension (P &lt; .001), and tumor penetrative depth (P &lt; .001). Multivariate analysis revealed three independent parameters: (1) positivity of the SLN by H&amp;E staining (versus by immunohistochemistry alone), (2) relative tumor burden &gt; 10% of total lymph node tissue, and (3) perinodal intralymphatic tumor. In 23 of 28 patients with positive NSLN the SLN was positive by H&amp;E staining, in 15 of 28 patients the relative tumor burden was &gt; 10%, and 13 of 28 showed perinodal intralymphatic tumor. In 5 of 28 patients with NSLN involvement, these three parameters were negative.\n\nCONCLUSIONS: Histopathologic examination of the SLN can identify patients at risk for NSLN positivity.", "author" : [ { "dropping-particle" : "", "family" : "Satzger", "given" : "Imke", "non-dropping-particle" : "", "parse-names" : false, "suffix" : "" }, { "dropping-particle" : "", "family" : "V\u00f6lker", "given" : "Bernward", "non-dropping-particle" : "", "parse-names" : false, "suffix" : "" }, { "dropping-particle" : "", "family" : "Meier", "given" : "Andre", "non-dropping-particle" : "", "parse-names" : false, "suffix" : "" }, { "dropping-particle" : "", "family" : "Kapp", "given" : "Alexander", "non-dropping-particle" : "", "parse-names" : false, "suffix" : "" }, { "dropping-particle" : "", "family" : "Gutzmer", "given" : "Ralf", "non-dropping-particle" : "", "parse-names" : false, "suffix" : "" } ], "container-title" : "Annals of surgical oncology", "id" : "ITEM-18", "issue" : "6", "issued" : { "date-parts" : [ [ "2008", "6" ] ] }, "page" : "1723-32", "title" : "Criteria in sentinel lymph nodes of melanoma patients that predict involvement of nonsentinel lymph nodes.", "type" : "article-journal", "volume" : "15" }, "uris" : [ "http://www.mendeley.com/documents/?uuid=a8f6bd8b-14f6-4b65-a100-7171b12ba9ba" ] }, { "id" : "ITEM-19", "itemData" : { "DOI" : "10.1200/JCO.2007.15.4179", "ISSN" : "1527-7755", "PMID" : "18606982", "abstract" : "PURPOSE: We and others have demonstrated that additional positive lymph nodes (LNs) are identified in only 8% to 33% of patients with melanoma who have positive sentinel LNs (SLNs) and undergo complete therapeutic LN dissection (cTLND). We sought to determine predictors of additional regional LN involvement in patients with positive SLNs.\n\nPATIENTS AND METHODS: Patients with clinically node-negative melanoma who underwent SLN biopsy (1991 to 2003) and had positive SLNs were identified. Clinicopathologic factors, including extent of microscopic disease within SLNs, were evaluated as potential predictors of positive non-SLNs.\n\nRESULTS: Overall, 359 (16.3%) of the 2,203 patients identified had a positive SLN. Positive non-SLNs were identified in 48 (14.0%) of the 343 patients with positive SLNs who underwent cTLND. On univariate analysis, several measures of SLN microscopic tumor burden, one versus three or more SLNs harvested, tumor thickness more than 2 mm, age older than 50 years, and Clark level higher than III were predictive of positive non-SLNs; primary tumor ulceration and number of positive SLNs had no apparent impact. On multivariable logistic regression analysis, measures of SLN microscopic tumor burden were the most significant independent predictors of positive non-SLNs; tumor thickness more than 2 mm and number of SLNs harvested also predicted additional disease. A model was developed that stratified patients according to their risk for non-SLN involvement.\n\nCONCLUSION: In melanoma patients with positive SLNs, SLN tumor burden, primary tumor thickness, and number of SLNs harvested may be useful in identifying a group at low risk for positive non-SLNs and be spared the potential morbidity of a cTLND.", "author" : [ { "dropping-particle" : "", "family" : "Gershenwald", "given" : "Jeffrey E", "non-dropping-particle" : "", "parse-names" : false, "suffix" : "" }, { "dropping-particle" : "", "family" : "Andtbacka", "given" : "Robert H I", "non-dropping-particle" : "", "parse-names" : false, "suffix" : "" }, { "dropping-particle" : "", "family" : "Prieto", "given" : "Victor G", "non-dropping-particle" : "", "parse-names" : false, "suffix" : "" }, { "dropping-particle" : "", "family" : "Johnson", "given" : "Marcella M", "non-dropping-particle" : "", "parse-names" : false, "suffix" : "" }, { "dropping-particle" : "", "family" : "Diwan", "given" : "A Hafeez", "non-dropping-particle" : "", "parse-names" : false, "suffix" : "" }, { "dropping-particle" : "", "family" : "Lee", "given" : "Jeffrey E", "non-dropping-particle" : "", "parse-names" : false, "suffix" : "" }, { "dropping-particle" : "", "family" : "Mansfield", "given" : "Paul F", "non-dropping-particle" : "", "parse-names" : false, "suffix" : "" }, { "dropping-particle" : "", "family" : "Cormier", "given" : "Janice N", "non-dropping-particle" : "", "parse-names" : false, "suffix" : "" }, { "dropping-particle" : "", "family" : "Schacherer", "given" : "Christopher W", "non-dropping-particle" : "", "parse-names" : false, "suffix" : "" }, { "dropping-particle" : "", "family" : "Ross", "given" : "Merrick I", "non-dropping-particle" : "", "parse-names" : false, "suffix" : "" } ], "container-title" : "Journal of clinical oncology : official journal of the American Society of Clinical Oncology", "id" : "ITEM-19", "issue" : "26", "issued" : { "date-parts" : [ [ "2008", "9", "10" ] ] }, "page" : "4296-303", "title" : "Microscopic tumor burden in sentinel lymph nodes predicts synchronous nonsentinel lymph node involvement in patients with melanoma.", "type" : "article-journal", "volume" : "26" }, "uris" : [ "http://www.mendeley.com/documents/?uuid=123e0a9a-4b3c-4a5f-8e41-9b53cd07a69f" ] }, { "id" : "ITEM-20", "itemData" : { "DOI" : "10.1093/annonc/mdl176", "ISSN" : "0923-7534", "PMID" : "16968875", "abstract" : "As only about 20% of sentinel node (SN) positive melanoma patients have additional non-SN lymph node involvement in the Completion Lymph Node Dissection (CLND) specimen, we tried to identify a SN positive patient group, which can be spared CLND. Micro anatomic analyses of metastatic SNs were performed to identify patient/tumor and/or SN factors predicting additional non-SN positivity as well as disease-free and overall survival. SN positivity was found in 77 of 262 stage I/II patients, included into a prospective database (10/97-5/04). Of 74 patients pathology material was available for re-evaluation. Micro anatomic analyses categorized topography of SN-metastases, Starz classification and amount of SN tumor burden. Additional non-SN positivity, DFS, OS and was calculated for all analyses. Mean Breslow thickness was 3.5 mm (0.8-12.0); mean FU was 35 (6-81) months. There was no additional non-SN positivity for SN-micrometastases &lt;0.1 mm. Topography of SN involvement had no impact on OS. Estimated 5-year OS rates for the different groups of &lt;0.1 mm, 0.1-1.0 mm and &gt;1.0 mm SN tumor burden were 100%, 63% and 35% respectively. Distant metastases were exceedingly rare (1/16 = 6.3%) in &lt;0.1 mm SN-positive patients. On multivariate analysis the SN tumor burden was the most important prognostic factor for DFS (P = 0.005) and OS (P = 0.03). Distant metastasis-free survival was identical (91%) to the 5-yr OS of SN negative patients, the estimated 5-yr OS was 100% for these patients and additional non-SN positivity was not observed. Therefore, our data suggest that patients with sub-micrometastases (&lt;0.1 mm) in the SN may be judged as SN negative, as non-stage III, and are highly unlikely to benefit from CLND, which we no longer recommend.", "author" : [ { "dropping-particle" : "", "family" : "Akkooi", "given" : "A C J", "non-dropping-particle" : "van", "parse-names" : false, "suffix" : "" }, { "dropping-particle" : "", "family" : "Wilt", "given" : "J H W", "non-dropping-particle" : "de", "parse-names" : false, "suffix" : "" }, { "dropping-particle" : "", "family" : "Verhoef", "given" : "C", "non-dropping-particle" : "", "parse-names" : false, "suffix" : "" }, { "dropping-particle" : "", "family" : "Schmitz", "given" : "P I M", "non-dropping-particle" : "", "parse-names" : false, "suffix" : "" }, { "dropping-particle" : "", "family" : "Geel", "given" : "A N", "non-dropping-particle" : "van", "parse-names" : false, "suffix" : "" }, { "dropping-particle" : "", "family" : "Eggermont", "given" : "A M M", "non-dropping-particle" : "", "parse-names" : false, "suffix" : "" }, { "dropping-particle" : "", "family" : "Kliffen", "given" : "M", "non-dropping-particle" : "", "parse-names" : false, "suffix" : "" } ], "container-title" : "Annals of oncology : official journal of the European Society for Medical Oncology / ESMO", "id" : "ITEM-20", "issue" : "10", "issued" : { "date-parts" : [ [ "2006", "10" ] ] }, "page" : "1578-85", "title" : "Clinical relevance of melanoma micrometastases (&lt;0.1 mm) in sentinel nodes: are these nodes to be considered negative?", "type" : "article-journal", "volume" : "17" }, "uris" : [ "http://www.mendeley.com/documents/?uuid=e3711798-85d5-422c-b79d-c94fe0973202" ] }, { "id" : "ITEM-21", "itemData" : { "abstract" : "Aims: Sentinel lymph node (SLN) -positive melanoma patients are usually recommended completion lymph node dissection (CLND) with the aim to provide regional disease control and improve survival. Nevertheless, only 20% these patients have additional metastases in non-sentinel lymph nodes (NSLN), indicating that CLND may be unnecessary in the majority of patients. In this retrospective study, we (i) sought to identify clinico-pathological features predicting NSLN status, as well as disease-free (DFS) and -specific (DSS) survival and (ii) evaluated the applicability of previously published algorithms, which were able to define a group of patients at zero-risk for NSLN-metastasis. Methods: This analysis included 504 consecutive melanoma patients stage I and II who underwent successful SLN-biopsy (SLNB) at our institute between 1998 and 2005. Metastatic SLN were re-evaluated for tumor burden and categorized according to two different micro-anatomic classifications and the S/U-score (Size of the sentinel node metastasis &gt;2 mm/Ulceration of the primary melanoma) was assessed. DFS and DSS were calculated for all analyses. Results: Out of 504 melanoma patients stage I or II, 85 (17%) were SLN-positive and 18 of 85 (21%) were found with positive NSLN in the CLND specimen. Median follow-up was 31 months. Neither primary tumor characteristics (age, gender, Clark level, Breslow thickness, ulceration of the primary melanoma, site and histological subtype of the primary melanoma), nor features of the sentinel node tumor (number and site of draining lymph node basins, number of positive sentinel nodes and size of sentinel node tumor (&lt;2 mm vs. \u22652 mm) were able to predict additional positive lymph nodes in the CLND specimen. Likewise the implementation of published algorithms was not able to identify patients at negligible risk for harboring NSLN metastases. Upon univariate analysis, disease-free survival in SLN-positive patients was correlated with Breslow thickness, sentinel node tumor size &gt;2 mm and S/U score. In respect to disease-specific survival the significant prognostic parameters were Breslow thickness, ulceration, sentinel node tumor size &gt;2 mm and the S/U score. After a median follow-up of 31 months recurrence rates (37% vs. 78%, p = 0.02) and death from disease (24% vs. 50%, p &lt; 0.01) were significantly different in patients with SLN-metastasis only as compared to patients with NSLN-metastasis. Conclusion: NSLN status cannot be predicted in this data analys\u2026", "author" : [ { "dropping-particle" : "", "family" : "Roka", "given" : "F.", "non-dropping-particle" : "", "parse-names" : false, "suffix" : "" }, { "dropping-particle" : "", "family" : "Mastan", "given" : "P.", "non-dropping-particle" : "", "parse-names" : false, "suffix" : "" }, { "dropping-particle" : "", "family" : "Binder", "given" : "M.", "non-dropping-particle" : "", "parse-names" : false, "suffix" : "" }, { "dropping-particle" : "", "family" : "Okamoto", "given" : "I.", "non-dropping-particle" : "", "parse-names" : false, "suffix" : "" }, { "dropping-particle" : "", "family" : "Mittlboeck", "given" : "M.", "non-dropping-particle" : "", "parse-names" : false, "suffix" : "" }, { "dropping-particle" : "", "family" : "Horvat", "given" : "R.", "non-dropping-particle" : "", "parse-names" : false, "suffix" : "" }, { "dropping-particle" : "", "family" : "Pehamberger", "given" : "H.", "non-dropping-particle" : "", "parse-names" : false, "suffix" : "" }, { "dropping-particle" : "", "family" : "Diem", "given" : "E.", "non-dropping-particle" : "", "parse-names" : false, "suffix" : "" } ], "container-title" : "European Journal of Surgical Oncology", "id" : "ITEM-21", "issue" : "1", "issued" : { "date-parts" : [ [ "2008" ] ] }, "page" : "82-88", "title" : "Prediction of non-sentinel node status and outcome in sentinel node-positive melanoma patients", "type" : "article-journal", "volume" : "34" }, "uris" : [ "http://www.mendeley.com/documents/?uuid=d5930a2d-7bb7-4c4a-a437-72ecc437a08e" ] }, { "id" : "ITEM-22", "itemData" : { "DOI" : "10.1245/s10434-006-9241-3", "ISSN" : "1068-9265", "PMID" : "17136471", "abstract" : "BACKGROUND: The current recommendation for patients with cutaneous melanoma and a positive sentinel lymph node (SLN) biopsy is a completion lymph node dissection (CLND). This study sought to define a population of SLN-positive patients, based on their histological pattern of SLN metastases, who may not require CLND.\n\nMETHODS: All patients with SLN-positive cutaneous melanoma who underwent CLND between March 1999 and December 2004 at a single academic institution were enrolled. Metastatic deposits in the SLN were categorized by their histological zone of involvement (subcapsular, parenchymal and/or sinusoidal). Logistic regression was used to examine the effect of SLN zone, size of nodal metastases, and other histological factors on CLND positivity. Kaplan-Meier and Cox models were used to study disease recurrence.\n\nRESULTS: A total of 127 patients were included, and 15.8% had positive non-sentinel nodes. In adjusted analyses, the size of the largest tumor deposit in the SLN was the only factor associated with CLND status. No patients with a tumor deposit &lt;or=0.20 mm had a positive CLND. Although a specific zone of tumor involvement was not predictive of CLND status, involvement of all three zones was independently associated with increased recurrence. Size of the largest tumor deposit was also associated with recurrence, with no recurrences in patients with nodal deposits &lt;or=0.20 mm.\n\nCONCLUSION: Histologic features of tumor metastases in positive SLN may be useful in defining a population of patients who may be spared CLND and a group at high risk of recurrence.", "author" : [ { "dropping-particle" : "", "family" : "Govindarajan", "given" : "Anand", "non-dropping-particle" : "", "parse-names" : false, "suffix" : "" }, { "dropping-particle" : "", "family" : "Ghazarian", "given" : "Danny M", "non-dropping-particle" : "", "parse-names" : false, "suffix" : "" }, { "dropping-particle" : "", "family" : "McCready", "given" : "David R", "non-dropping-particle" : "", "parse-names" : false, "suffix" : "" }, { "dropping-particle" : "", "family" : "Leong", "given" : "Wey L", "non-dropping-particle" : "", "parse-names" : false, "suffix" : "" } ], "container-title" : "Annals of surgical oncology", "id" : "ITEM-22", "issue" : "2", "issued" : { "date-parts" : [ [ "2007", "2" ] ] }, "page" : "906-12", "title" : "Histological features of melanoma sentinel lymph node metastases associated with status of the completion lymphadenectomy and rate of subsequent relapse.", "type" : "article-journal", "volume" : "14" }, "uris" : [ "http://www.mendeley.com/documents/?uuid=5d1c5c06-15f1-4039-9649-b05dcb8a12f0" ] } ], "mendeley" : { "formattedCitation" : "&lt;sup&gt;123,136\u2013155,162&lt;/sup&gt;", "plainTextFormattedCitation" : "123,136\u2013155,162", "previouslyFormattedCitation" : "&lt;sup&gt;123,136\u2013155,162&lt;/sup&gt;" }, "properties" : { "noteIndex" : 0 }, "schema" : "https://github.com/citation-style-language/schema/raw/master/csl-citation.json" }</w:instrText>
      </w:r>
      <w:r w:rsidRPr="003E73CD">
        <w:rPr>
          <w:sz w:val="22"/>
          <w:szCs w:val="22"/>
        </w:rPr>
        <w:fldChar w:fldCharType="separate"/>
      </w:r>
      <w:r w:rsidR="00CE2A17" w:rsidRPr="00CE2A17">
        <w:rPr>
          <w:noProof/>
          <w:sz w:val="22"/>
          <w:szCs w:val="22"/>
          <w:vertAlign w:val="superscript"/>
        </w:rPr>
        <w:t>123,136–155,162</w:t>
      </w:r>
      <w:r w:rsidRPr="003E73CD">
        <w:rPr>
          <w:sz w:val="22"/>
          <w:szCs w:val="22"/>
        </w:rPr>
        <w:fldChar w:fldCharType="end"/>
      </w:r>
      <w:proofErr w:type="gramStart"/>
      <w:r w:rsidRPr="003E73CD">
        <w:rPr>
          <w:sz w:val="22"/>
          <w:szCs w:val="22"/>
        </w:rPr>
        <w:t xml:space="preserve">  However</w:t>
      </w:r>
      <w:proofErr w:type="gramEnd"/>
      <w:r w:rsidRPr="003E73CD">
        <w:rPr>
          <w:sz w:val="22"/>
          <w:szCs w:val="22"/>
        </w:rPr>
        <w:t xml:space="preserve">, the accurate and reproducible identification of all NSN negative patients by any method remains an elusive goal. </w:t>
      </w:r>
    </w:p>
    <w:p w14:paraId="6E2221BA" w14:textId="4560A6F4" w:rsidR="0061482C" w:rsidRPr="003E73CD" w:rsidRDefault="0061482C" w:rsidP="0061482C">
      <w:pPr>
        <w:spacing w:line="480" w:lineRule="auto"/>
        <w:ind w:firstLine="720"/>
        <w:rPr>
          <w:sz w:val="22"/>
          <w:szCs w:val="22"/>
        </w:rPr>
      </w:pPr>
      <w:r w:rsidRPr="003E73CD">
        <w:rPr>
          <w:sz w:val="22"/>
          <w:szCs w:val="22"/>
        </w:rPr>
        <w:t>The final aim of the present study was to perform a classification tree analysis for SN positive patients that produced groups with distinctly different survival outcomes.  Classification of melanoma patients by exponential survival tree analysis has become increasingly popular due to its superior ability over regression analyses to define distinct prognostic groups.</w:t>
      </w:r>
      <w:r w:rsidRPr="003E73CD">
        <w:rPr>
          <w:sz w:val="22"/>
          <w:szCs w:val="22"/>
        </w:rPr>
        <w:fldChar w:fldCharType="begin" w:fldLock="1"/>
      </w:r>
      <w:r w:rsidR="005676A9">
        <w:rPr>
          <w:sz w:val="22"/>
          <w:szCs w:val="22"/>
        </w:rPr>
        <w:instrText>ADDIN CSL_CITATION { "citationItems" : [ { "id" : "ITEM-1", "itemData" : { "ISSN" : "0008-543X", "PMID" : "9070489", "abstract" : "BACKGROUND: Over the past 2 decades, remarkable progress has been made in the identification of clinical and pathologic factors that affect the survival of patients with melanoma. Through the use of multivariate regression methods, key prognostic factors, such as tumor thickness, tumor ulceration, invasion level, and lesion location, have been identified. Clinical investigators are often interested in developing criteria to classify melanoma patients into different risk groups based on the key prognostic factors identified. However, classical multivariate regression models are generally less efficient in accomplishing this task than newly developed tree-based methods.\n\nMETHODS: In this study, the authors applied the exponential survival trees method to analyze a combined data set (n = 4568) from the University of Alabama at Birmingham and the Sydney Melanoma Unit in Camperdown, Australia. A survival tree was created according to prognostic factors that classified patients into homogeneous subgroups by survival. Six clinical and pathologic factors were included in the analysis. This tree-based method provided a superior means of prognostic classification and was shown to have greater ability to detect interactions among the variables than regression models.\n\nRESULTS: Tumor thickness was found to be the most important prognostic factor, followed by tumor ulceration and primary lesion site. Some important interactions among these prognostic factors were identified. Five distinct risk groups, defined by tumor thickness, ulceration, and primary lesion site, were created. Patients who had tumor thickness less than or equal to 0.75 mm and lesions on their arms or legs had the best prognosis. Patients who had ulcerated tumors with thickness greater than 4.50 mm had the poorest prognosis.\n\nCONCLUSIONS: The authors' analysis, based on exponential survival trees, provides a comprehensive, easy-to-use risk grouping system for classifying patients with localized melanoma. This grouping system would be useful in the clinical management of melanoma patients and in designing and analyzing clinical trials.", "author" : [ { "dropping-particle" : "", "family" : "Huang", "given" : "X", "non-dropping-particle" : "", "parse-names" : false, "suffix" : "" }, { "dropping-particle" : "", "family" : "Soong", "given" : "S", "non-dropping-particle" : "", "parse-names" : false, "suffix" : "" }, { "dropping-particle" : "", "family" : "McCarthy", "given" : "W H", "non-dropping-particle" : "", "parse-names" : false, "suffix" : "" }, { "dropping-particle" : "", "family" : "Urist", "given" : "M M", "non-dropping-particle" : "", "parse-names" : false, "suffix" : "" }, { "dropping-particle" : "", "family" : "Balch", "given" : "C M", "non-dropping-particle" : "", "parse-names" : false, "suffix" : "" } ], "container-title" : "Cancer", "id" : "ITEM-1", "issue" : "6", "issued" : { "date-parts" : [ [ "1997", "3", "15" ] ] }, "page" : "1122-8", "title" : "Classification of localized melanoma by the exponential survival trees method.", "type" : "article-journal", "volume" : "79" }, "uris" : [ "http://www.mendeley.com/documents/?uuid=4a9e1c22-e5ab-4772-bc6d-c39bef988bb9" ] }, { "id" : "ITEM-2", "itemData" : { "ISSN" : "0008-543X", "PMID" : "10918179", "abstract" : "BACKGROUND: The selection of patients for sentinel lymph node biopsy (SNB) and selective lymphadenectomy for histologically positive sentinel lymph nodes (SLND) are areas of debate. The authors of the current study attempted to identify predictors of metastases to the sentinel and residual nonsentinel lymph nodes in patients with melanoma.\n\nMETHODS: The Indiana University Interdisciplinary Melanoma Program computerized database was queried to identify all patients who underwent SNB for clinically localized cutaneous melanoma. Demographic, surgical, and histopathologic data were recorded. Univariate and multivariate logistic regression analyses were performed to identify associations with SNB and nonsentinel lymph node positivity. Classification tree and logistic procedures were performed to identify the ideal tumor thickness cutpoint at which to perform SNB.\n\nRESULTS: Two hundred seventy-five SNB procedures were performed to stage 348 regional lymph node basins for occult metastases from melanoma. Of the 275 melanomas, 54 (19.6%) had a positive SNB, as did 58 of 348 basins (16.7%). Classification and logistic regression analysis identified a Breslow depth of 1.25 mm to be the most significant cutpoint for SNB positivity (odds ratio 8. 8:1; P = 0.0001). By multivariate analyses, a Breslow thickness cutpoint &gt;/= 1.25 mm (P = 0.0002), ulceration (P = 0.005), and high mitotic index (&gt; 5 mitoses/high-power field; P = 0.04) were significant predictors of SNB results. SLND was performed in 53 SNB positive patients, 15 of whom (28.3%) had at least 1 additional positive lymph node. SLND positivity was noted across a wide range of primary tumor characteristics and was associated significantly with multiple positive SN, but not with any other variable. SNB result correlated significantly with disease free and overall survival.\n\nCONCLUSIONS: Patients with a Breslow tumor thickness &gt;/= 1. 25 mm, ulceration, and high mitotic index are most likely to have positive SNB results. SLND is recommended for all patients after positive SNB because it is difficult to identify patients with residual lymph node disease.", "author" : [ { "dropping-particle" : "", "family" : "Wagner", "given" : "J D", "non-dropping-particle" : "", "parse-names" : false, "suffix" : "" }, { "dropping-particle" : "", "family" : "Gordon", "given" : "M S", "non-dropping-particle" : "", "parse-names" : false, "suffix" : "" }, { "dropping-particle" : "", "family" : "Chuang", "given" : "T Y", "non-dropping-particle" : "", "parse-names" : false, "suffix" : "" }, { "dropping-particle" : "", "family" : "Coleman", "given" : "J J", "non-dropping-particle" : "", "parse-names" : false, "suffix" : "" }, { "dropping-particle" : "", "family" : "Hayes", "given" : "J T", "non-dropping-particle" : "", "parse-names" : false, "suffix" : "" }, { "dropping-particle" : "", "family" : "Jung", "given" : "S H", "non-dropping-particle" : "", "parse-names" : false, "suffix" : "" }, { "dropping-particle" : "", "family" : "Love", "given" : "C", "non-dropping-particle" : "", "parse-names" : false, "suffix" : "" } ], "container-title" : "Cancer", "id" : "ITEM-2", "issue" : "2", "issued" : { "date-parts" : [ [ "2000", "7", "15" ] ] }, "page" : "453-62", "title" : "Predicting sentinel and residual lymph node basin disease after sentinel lymph node biopsy for melanoma.", "type" : "article-journal", "volume" : "89" }, "uris" : [ "http://www.mendeley.com/documents/?uuid=ed565e24-aaa1-45dc-a6b5-8cd38080200d" ] }, { "id" : "ITEM-3", "itemData" : { "DOI" : "10.1002/cncr.22295", "ISSN" : "0008-543X", "PMID" : "17058288", "abstract" : "BACKGROUND: Sentinel lymph node (SLN) status is an important prognostic factor for survival for patients with primary cutaneous melanoma. To address the issue of selecting patients at high and low risk for a positive SLN, prognostic factors were sought that predict SLN involvement by examining characteristics of both the primary tumor and the patient within the context of a biological model of melanoma progression.\n\nMETHODS: The study included 682 patients with primary vertical growth phase (VGP) melanoma and no clinical evidence of metastatic disease who underwent SLN biopsy (1995-2003). Logistic regression and classification tree analyses were used to investigate the association between SLN positivity and Breslow thickness, Clark level, tumor infiltrating lymphocytes (TIL), ulceration, mitotic rate (MR), lesion site, gender, and age. RESULTS.: In all, 88 of the 682 patients had &gt; or =1 positive SLN (12.9%). In the multivariate analysis, MR, TIL, and thickness were found to be independent prognostic factors for SLN positivity. In the classification tree, four different risk groups were defined, ranging from minimal risk (2.1%) to high risk (40.4%). In lesions &lt; r =2.0 mm, MR was important in risk-stratifying patients, and in lesions &gt;2.0 mm TIL was important.\n\nCONCLUSIONS: By incorporating biologically based variables such as VGP, TIL, and MR along with thickness into a prognostic model, both patients at high risk and minimal risk for SLN positivity can be identified. If validated, this model can be used in patient management and trial design to select patients to undergo or be spared SLN biopsy.", "author" : [ { "dropping-particle" : "", "family" : "Kruper", "given" : "Laura L", "non-dropping-particle" : "", "parse-names" : false, "suffix" : "" }, { "dropping-particle" : "", "family" : "Spitz", "given" : "Francis R", "non-dropping-particle" : "", "parse-names" : false, "suffix" : "" }, { "dropping-particle" : "", "family" : "Czerniecki", "given" : "Brian J", "non-dropping-particle" : "", "parse-names" : false, "suffix" : "" }, { "dropping-particle" : "", "family" : "Fraker", "given" : "Douglas L", "non-dropping-particle" : "", "parse-names" : false, "suffix" : "" }, { "dropping-particle" : "", "family" : "Blackwood-Chirchir", "given" : "Anne", "non-dropping-particle" : "", "parse-names" : false, "suffix" : "" }, { "dropping-particle" : "", "family" : "Ming", "given" : "Michael E", "non-dropping-particle" : "", "parse-names" : false, "suffix" : "" }, { "dropping-particle" : "", "family" : "Elder", "given" : "David E", "non-dropping-particle" : "", "parse-names" : false, "suffix" : "" }, { "dropping-particle" : "", "family" : "Elenitsas", "given" : "Rosalie", "non-dropping-particle" : "", "parse-names" : false, "suffix" : "" }, { "dropping-particle" : "", "family" : "Guerry", "given" : "Dupont", "non-dropping-particle" : "", "parse-names" : false, "suffix" : "" }, { "dropping-particle" : "", "family" : "Gimotty", "given" : "Phyllis A", "non-dropping-particle" : "", "parse-names" : false, "suffix" : "" } ], "container-title" : "Cancer", "id" : "ITEM-3", "issue" : "10", "issued" : { "date-parts" : [ [ "2006", "11", "15" ] ] }, "page" : "2436-45", "title" : "Predicting sentinel node status in AJCC stage I/II primary cutaneous melanoma.", "type" : "article-journal", "volume" : "107" }, "uris" : [ "http://www.mendeley.com/documents/?uuid=b055ff9d-2d9d-47fd-a594-a14e60a0c942" ] }, { "id" : "ITEM-4", "itemData" : { "DOI" : "10.1080/10543400701199585", "ISSN" : "1054-3406", "PMID" : "17479393", "abstract" : "We propose an integrated tree-based approach for prognostic grouping of localized melanoma patients. This approach incorporates the survival tree model with the agglomerative hierarchical clustering to group terminal subgroups with similar prognoses together. The Brier score is used to evaluate the goodness of fit and the k-fold cross-validation test is used to evaluate the reproducibility of the scheme for prediction. The proposed approach is applied to an American Joint Committee on Cancer (AJCC) localized melanoma data set and compared with the current AJCC staging system. This approach performs more efficiently than the standard tree methods and has made improvement over the current AJCC melanoma staging system.", "author" : [ { "dropping-particle" : "", "family" : "Tsai", "given" : "Chen-An", "non-dropping-particle" : "", "parse-names" : false, "suffix" : "" }, { "dropping-particle" : "", "family" : "Chen", "given" : "Dung-Tsa", "non-dropping-particle" : "", "parse-names" : false, "suffix" : "" }, { "dropping-particle" : "", "family" : "Chen", "given" : "James J", "non-dropping-particle" : "", "parse-names" : false, "suffix" : "" }, { "dropping-particle" : "", "family" : "Balch", "given" : "Charles M", "non-dropping-particle" : "", "parse-names" : false, "suffix" : "" }, { "dropping-particle" : "", "family" : "Thompson", "given" : "John F", "non-dropping-particle" : "", "parse-names" : false, "suffix" : "" }, { "dropping-particle" : "", "family" : "Soong", "given" : "Seng-Jaw", "non-dropping-particle" : "", "parse-names" : false, "suffix" : "" } ], "container-title" : "Journal of biopharmaceutical statistics", "id" : "ITEM-4", "issue" : "3", "issued" : { "date-parts" : [ [ "2007", "1" ] ] }, "page" : "445-60", "title" : "An integrated tree-based classification approach to prognostic grouping with application to localized melanoma patients.", "type" : "article-journal", "volume" : "17" }, "uris" : [ "http://www.mendeley.com/documents/?uuid=66921e91-351f-46e1-a8f5-97bdb5b74112" ] } ], "mendeley" : { "formattedCitation" : "&lt;sup&gt;121,136,229,231&lt;/sup&gt;", "plainTextFormattedCitation" : "121,136,229,231", "previouslyFormattedCitation" : "&lt;sup&gt;121,136,229,231&lt;/sup&gt;" }, "properties" : { "noteIndex" : 0 }, "schema" : "https://github.com/citation-style-language/schema/raw/master/csl-citation.json" }</w:instrText>
      </w:r>
      <w:r w:rsidRPr="003E73CD">
        <w:rPr>
          <w:sz w:val="22"/>
          <w:szCs w:val="22"/>
        </w:rPr>
        <w:fldChar w:fldCharType="separate"/>
      </w:r>
      <w:r w:rsidR="00217FAC" w:rsidRPr="00217FAC">
        <w:rPr>
          <w:noProof/>
          <w:sz w:val="22"/>
          <w:szCs w:val="22"/>
          <w:vertAlign w:val="superscript"/>
        </w:rPr>
        <w:t>121,136,229,231</w:t>
      </w:r>
      <w:r w:rsidRPr="003E73CD">
        <w:rPr>
          <w:sz w:val="22"/>
          <w:szCs w:val="22"/>
        </w:rPr>
        <w:fldChar w:fldCharType="end"/>
      </w:r>
      <w:proofErr w:type="gramStart"/>
      <w:r w:rsidRPr="003E73CD">
        <w:rPr>
          <w:sz w:val="22"/>
          <w:szCs w:val="22"/>
        </w:rPr>
        <w:t xml:space="preserve">  Analysis</w:t>
      </w:r>
      <w:proofErr w:type="gramEnd"/>
      <w:r w:rsidRPr="003E73CD">
        <w:rPr>
          <w:sz w:val="22"/>
          <w:szCs w:val="22"/>
        </w:rPr>
        <w:t xml:space="preserve"> of the current data resulted in the classification tree (Figure </w:t>
      </w:r>
      <w:r w:rsidR="00155C61">
        <w:rPr>
          <w:sz w:val="22"/>
          <w:szCs w:val="22"/>
        </w:rPr>
        <w:t>3.2</w:t>
      </w:r>
      <w:r w:rsidR="00E261E9" w:rsidRPr="003E73CD">
        <w:rPr>
          <w:sz w:val="22"/>
          <w:szCs w:val="22"/>
        </w:rPr>
        <w:t>.</w:t>
      </w:r>
      <w:r w:rsidRPr="003E73CD">
        <w:rPr>
          <w:sz w:val="22"/>
          <w:szCs w:val="22"/>
        </w:rPr>
        <w:t xml:space="preserve">5) and four prognostic groups with distinctly different survival curves (Figure </w:t>
      </w:r>
      <w:r w:rsidR="002A0DBC">
        <w:rPr>
          <w:sz w:val="22"/>
          <w:szCs w:val="22"/>
        </w:rPr>
        <w:t>3.2</w:t>
      </w:r>
      <w:r w:rsidR="00E261E9" w:rsidRPr="003E73CD">
        <w:rPr>
          <w:sz w:val="22"/>
          <w:szCs w:val="22"/>
        </w:rPr>
        <w:t>.</w:t>
      </w:r>
      <w:r w:rsidRPr="003E73CD">
        <w:rPr>
          <w:sz w:val="22"/>
          <w:szCs w:val="22"/>
        </w:rPr>
        <w:t>6).  Group 4 (patients with a total of &gt;3 positive nodes) had a 5-year survival rate of 21% (95%CI 0 - 46).  Group 1 patients, who were NSN negative with a total of &lt;4 positive nodes and primary tumor thickness of 2mm or less, had a 5-year survival rate of 92% (95%CI 85 - 99), which is similar to that of SN-negative patients.  Five-year survival rates for Group 2 and Group 3 were 70% (95%CI 58 - 81) and 39% (95%CI 29 - 49) respectively.</w:t>
      </w:r>
    </w:p>
    <w:p w14:paraId="2E74CDF0" w14:textId="77777777" w:rsidR="0061482C" w:rsidRPr="003E73CD" w:rsidRDefault="0061482C" w:rsidP="0061482C">
      <w:pPr>
        <w:spacing w:line="480" w:lineRule="auto"/>
        <w:ind w:firstLine="720"/>
        <w:rPr>
          <w:sz w:val="22"/>
          <w:szCs w:val="22"/>
        </w:rPr>
      </w:pPr>
      <w:r w:rsidRPr="003E73CD">
        <w:rPr>
          <w:sz w:val="22"/>
          <w:szCs w:val="22"/>
        </w:rPr>
        <w:t xml:space="preserve">Thus it can be seen that SN positive patients constitute a truly heterogeneous group in terms of survival, from a level similar to that for SN negative patients to only marginally better than that for patients with some forms of distant metastases.  Such diversity in the prognosis of SN positive patients leads to the suggestion that equally diverse therapeutic strategies may be required to provide the most effective treatment for this group of patients.  The information that this classification provides should enhance decision-making.  All SN positive patients who have had CLND can be grouped and the risks versus benefits for particular therapies weighed against their likely prognosis.  Each group is simply defined using variables that are routinely collected by most centers, and could therefore be used to form inclusion criteria for entry into multicenter trials. </w:t>
      </w:r>
    </w:p>
    <w:p w14:paraId="520D4348" w14:textId="77777777" w:rsidR="0061482C" w:rsidRPr="003E73CD" w:rsidRDefault="0061482C" w:rsidP="0061482C">
      <w:pPr>
        <w:spacing w:line="480" w:lineRule="auto"/>
        <w:ind w:firstLine="720"/>
        <w:rPr>
          <w:sz w:val="22"/>
          <w:szCs w:val="22"/>
        </w:rPr>
      </w:pPr>
      <w:r w:rsidRPr="003E73CD">
        <w:rPr>
          <w:sz w:val="22"/>
          <w:szCs w:val="22"/>
        </w:rPr>
        <w:t>One of the limitations of this study is that the data reflect the activities of a single center.  Variation in factors such as the type of radiocolloid used for lymphoscintigraphy and local interpretations of the definition of SNs could affect the proportion of lymph nodes designated “sentinel”, and thus the reproducibility of these findings.  The fact that this study suggests a survival difference between NSN positive and NSN negative patients, independent of the total number of nodes involved, lends support to the technique of SNB and the definition of SNs used at the SMU.  It could however, be argued that the difference in survival between NSN negative and NSN positive patients may have resulted from metastatic nodes being present in NSN positive patients for an additional time period between SNB and CLND, during which hematogenous spread could have occurred.  In order to minimize any such effect, the study was designed to exclude patients in whom CLND was performed &gt;12 weeks following SNB.  Further large-scale studies are needed to confirm the influence of NSN status on the survival of melanoma patients and in particular to determine whether incorporating a differentiation between metastatic disease in SNs and NSNs would improve the prognostic power of the AJCC staging system.</w:t>
      </w:r>
    </w:p>
    <w:p w14:paraId="61DB0BDA" w14:textId="77777777" w:rsidR="0061482C" w:rsidRPr="003E73CD" w:rsidRDefault="0061482C" w:rsidP="0061482C">
      <w:pPr>
        <w:spacing w:line="480" w:lineRule="auto"/>
        <w:rPr>
          <w:sz w:val="22"/>
          <w:szCs w:val="22"/>
        </w:rPr>
      </w:pPr>
    </w:p>
    <w:p w14:paraId="2B629D36" w14:textId="7E45039A" w:rsidR="0061482C" w:rsidRPr="003E73CD" w:rsidRDefault="0061482C" w:rsidP="0061482C">
      <w:pPr>
        <w:spacing w:line="480" w:lineRule="auto"/>
        <w:rPr>
          <w:sz w:val="28"/>
          <w:szCs w:val="28"/>
        </w:rPr>
      </w:pPr>
      <w:r w:rsidRPr="003E73CD">
        <w:rPr>
          <w:sz w:val="22"/>
          <w:szCs w:val="22"/>
        </w:rPr>
        <w:br w:type="page"/>
      </w:r>
      <w:r w:rsidR="002A0DBC">
        <w:rPr>
          <w:sz w:val="28"/>
          <w:szCs w:val="28"/>
        </w:rPr>
        <w:t>3.3</w:t>
      </w:r>
      <w:r w:rsidRPr="003E73CD">
        <w:rPr>
          <w:sz w:val="28"/>
          <w:szCs w:val="28"/>
        </w:rPr>
        <w:t>: Sentinel node positive melanoma patients: Validation and comparison of a survival tree model.</w:t>
      </w:r>
    </w:p>
    <w:p w14:paraId="0135F37E" w14:textId="77777777" w:rsidR="0061482C" w:rsidRPr="003E73CD" w:rsidRDefault="0061482C" w:rsidP="0061482C">
      <w:pPr>
        <w:spacing w:line="480" w:lineRule="auto"/>
        <w:rPr>
          <w:sz w:val="22"/>
          <w:szCs w:val="22"/>
        </w:rPr>
      </w:pPr>
      <w:r w:rsidRPr="003E73CD">
        <w:rPr>
          <w:sz w:val="22"/>
          <w:szCs w:val="22"/>
        </w:rPr>
        <w:tab/>
      </w:r>
    </w:p>
    <w:p w14:paraId="0DCAD835" w14:textId="77777777" w:rsidR="0061482C" w:rsidRPr="003E73CD" w:rsidRDefault="0061482C" w:rsidP="0061482C">
      <w:pPr>
        <w:spacing w:line="480" w:lineRule="auto"/>
        <w:rPr>
          <w:b/>
          <w:sz w:val="22"/>
          <w:szCs w:val="22"/>
        </w:rPr>
      </w:pPr>
      <w:r w:rsidRPr="003E73CD">
        <w:rPr>
          <w:b/>
          <w:sz w:val="22"/>
          <w:szCs w:val="22"/>
        </w:rPr>
        <w:t>Abstract</w:t>
      </w:r>
    </w:p>
    <w:p w14:paraId="39D51BE8" w14:textId="77777777" w:rsidR="0061482C" w:rsidRPr="003E73CD" w:rsidRDefault="0061482C" w:rsidP="0061482C">
      <w:pPr>
        <w:spacing w:line="480" w:lineRule="auto"/>
        <w:rPr>
          <w:sz w:val="22"/>
          <w:szCs w:val="22"/>
        </w:rPr>
      </w:pPr>
      <w:r w:rsidRPr="003E73CD">
        <w:rPr>
          <w:sz w:val="22"/>
          <w:szCs w:val="22"/>
        </w:rPr>
        <w:t>BACKGROUND</w:t>
      </w:r>
    </w:p>
    <w:p w14:paraId="3F9C7088" w14:textId="31F32327" w:rsidR="0061482C" w:rsidRPr="003E73CD" w:rsidRDefault="0061482C" w:rsidP="0061482C">
      <w:pPr>
        <w:spacing w:line="480" w:lineRule="auto"/>
        <w:rPr>
          <w:sz w:val="22"/>
          <w:szCs w:val="22"/>
        </w:rPr>
      </w:pPr>
      <w:r w:rsidRPr="003E73CD">
        <w:rPr>
          <w:sz w:val="22"/>
          <w:szCs w:val="22"/>
        </w:rPr>
        <w:t>A survival tree model for melanoma has been developed from an Australian population who underwent sentinel node biopsy and completion lymph node dissection.  This identified four groups (1-4) with estimated 5-year survival rates of 92%, 70%, 39% and 21% respectively, but has not yet been validated.  The aims of this study were to validate the survival tree model using a UK melanoma patient population, to compare t</w:t>
      </w:r>
      <w:r w:rsidR="000B642E" w:rsidRPr="003E73CD">
        <w:rPr>
          <w:sz w:val="22"/>
          <w:szCs w:val="22"/>
        </w:rPr>
        <w:t>he prognostic accuracy with other widely available</w:t>
      </w:r>
      <w:r w:rsidRPr="003E73CD">
        <w:rPr>
          <w:sz w:val="22"/>
          <w:szCs w:val="22"/>
        </w:rPr>
        <w:t xml:space="preserve"> prognostic calculator</w:t>
      </w:r>
      <w:r w:rsidR="000B642E" w:rsidRPr="003E73CD">
        <w:rPr>
          <w:sz w:val="22"/>
          <w:szCs w:val="22"/>
        </w:rPr>
        <w:t>s</w:t>
      </w:r>
      <w:r w:rsidRPr="003E73CD">
        <w:rPr>
          <w:sz w:val="22"/>
          <w:szCs w:val="22"/>
        </w:rPr>
        <w:t xml:space="preserve"> and to investigate patterns of rec</w:t>
      </w:r>
      <w:r w:rsidR="000B642E" w:rsidRPr="003E73CD">
        <w:rPr>
          <w:sz w:val="22"/>
          <w:szCs w:val="22"/>
        </w:rPr>
        <w:t>urrence</w:t>
      </w:r>
      <w:r w:rsidRPr="003E73CD">
        <w:rPr>
          <w:sz w:val="22"/>
          <w:szCs w:val="22"/>
        </w:rPr>
        <w:t>.</w:t>
      </w:r>
    </w:p>
    <w:p w14:paraId="6F95DA16" w14:textId="77777777" w:rsidR="0061482C" w:rsidRPr="003E73CD" w:rsidRDefault="0061482C" w:rsidP="0061482C">
      <w:pPr>
        <w:spacing w:line="480" w:lineRule="auto"/>
        <w:rPr>
          <w:sz w:val="22"/>
          <w:szCs w:val="22"/>
        </w:rPr>
      </w:pPr>
    </w:p>
    <w:p w14:paraId="62DC5F2C" w14:textId="77777777" w:rsidR="0061482C" w:rsidRPr="003E73CD" w:rsidRDefault="0061482C" w:rsidP="0061482C">
      <w:pPr>
        <w:spacing w:line="480" w:lineRule="auto"/>
        <w:rPr>
          <w:sz w:val="22"/>
          <w:szCs w:val="22"/>
        </w:rPr>
      </w:pPr>
      <w:r w:rsidRPr="003E73CD">
        <w:rPr>
          <w:sz w:val="22"/>
          <w:szCs w:val="22"/>
        </w:rPr>
        <w:t>METHOD</w:t>
      </w:r>
    </w:p>
    <w:p w14:paraId="3B3C0B74" w14:textId="5E934019" w:rsidR="0061482C" w:rsidRPr="003E73CD" w:rsidRDefault="0061482C" w:rsidP="0061482C">
      <w:pPr>
        <w:spacing w:line="480" w:lineRule="auto"/>
        <w:rPr>
          <w:sz w:val="22"/>
          <w:szCs w:val="22"/>
        </w:rPr>
      </w:pPr>
      <w:r w:rsidRPr="003E73CD">
        <w:rPr>
          <w:sz w:val="22"/>
          <w:szCs w:val="22"/>
        </w:rPr>
        <w:t xml:space="preserve">All melanoma patients who had undergone sentinel node biopsy and completion lymph node dissection at this institution, between January 2000 and December 2005, were eligible for inclusion.  Patients were included if their primary melanoma pathology had been reviewed at this institution and included all variables required </w:t>
      </w:r>
      <w:r w:rsidR="000B642E" w:rsidRPr="003E73CD">
        <w:rPr>
          <w:sz w:val="22"/>
          <w:szCs w:val="22"/>
        </w:rPr>
        <w:t>to obtain a group allocation in</w:t>
      </w:r>
      <w:r w:rsidRPr="003E73CD">
        <w:rPr>
          <w:sz w:val="22"/>
          <w:szCs w:val="22"/>
        </w:rPr>
        <w:t xml:space="preserve"> the survival tree model.  </w:t>
      </w:r>
      <w:r w:rsidR="000B642E" w:rsidRPr="003E73CD">
        <w:rPr>
          <w:sz w:val="22"/>
          <w:szCs w:val="22"/>
        </w:rPr>
        <w:t>S</w:t>
      </w:r>
      <w:r w:rsidRPr="003E73CD">
        <w:rPr>
          <w:sz w:val="22"/>
          <w:szCs w:val="22"/>
        </w:rPr>
        <w:t xml:space="preserve">urvival tree model </w:t>
      </w:r>
      <w:r w:rsidR="000B642E" w:rsidRPr="003E73CD">
        <w:rPr>
          <w:sz w:val="22"/>
          <w:szCs w:val="22"/>
        </w:rPr>
        <w:t xml:space="preserve">grouping was calculated for all patients </w:t>
      </w:r>
      <w:r w:rsidRPr="003E73CD">
        <w:rPr>
          <w:sz w:val="22"/>
          <w:szCs w:val="22"/>
        </w:rPr>
        <w:t xml:space="preserve">and </w:t>
      </w:r>
      <w:r w:rsidR="000B642E" w:rsidRPr="003E73CD">
        <w:rPr>
          <w:sz w:val="22"/>
          <w:szCs w:val="22"/>
        </w:rPr>
        <w:t xml:space="preserve">predicted 5-year survival rate was </w:t>
      </w:r>
      <w:r w:rsidR="00FD4E61" w:rsidRPr="003E73CD">
        <w:rPr>
          <w:sz w:val="22"/>
          <w:szCs w:val="22"/>
        </w:rPr>
        <w:t xml:space="preserve">also </w:t>
      </w:r>
      <w:r w:rsidR="000B642E" w:rsidRPr="003E73CD">
        <w:rPr>
          <w:sz w:val="22"/>
          <w:szCs w:val="22"/>
        </w:rPr>
        <w:t>calculated using 3 different prognostic calculators</w:t>
      </w:r>
      <w:r w:rsidRPr="003E73CD">
        <w:rPr>
          <w:sz w:val="22"/>
          <w:szCs w:val="22"/>
        </w:rPr>
        <w:t xml:space="preserve">.  </w:t>
      </w:r>
      <w:r w:rsidR="000B642E" w:rsidRPr="003E73CD">
        <w:rPr>
          <w:sz w:val="22"/>
          <w:szCs w:val="22"/>
        </w:rPr>
        <w:t>Survival time, s</w:t>
      </w:r>
      <w:r w:rsidRPr="003E73CD">
        <w:rPr>
          <w:sz w:val="22"/>
          <w:szCs w:val="22"/>
        </w:rPr>
        <w:t>urvival status</w:t>
      </w:r>
      <w:r w:rsidR="000B642E" w:rsidRPr="003E73CD">
        <w:rPr>
          <w:sz w:val="22"/>
          <w:szCs w:val="22"/>
        </w:rPr>
        <w:t xml:space="preserve"> at 5 years</w:t>
      </w:r>
      <w:r w:rsidR="00261058" w:rsidRPr="003E73CD">
        <w:rPr>
          <w:sz w:val="22"/>
          <w:szCs w:val="22"/>
        </w:rPr>
        <w:t xml:space="preserve"> of </w:t>
      </w:r>
      <w:r w:rsidRPr="003E73CD">
        <w:rPr>
          <w:sz w:val="22"/>
          <w:szCs w:val="22"/>
        </w:rPr>
        <w:t>follow-up and details of any recurrences were determined.</w:t>
      </w:r>
      <w:r w:rsidR="00FD4E61" w:rsidRPr="003E73CD">
        <w:rPr>
          <w:sz w:val="22"/>
          <w:szCs w:val="22"/>
        </w:rPr>
        <w:t xml:space="preserve">  Survival curves and the ability to predict outcome at 5 years were compared for the different prognostic calculators. </w:t>
      </w:r>
    </w:p>
    <w:p w14:paraId="09902D45" w14:textId="77777777" w:rsidR="0061482C" w:rsidRPr="003E73CD" w:rsidRDefault="0061482C" w:rsidP="0061482C">
      <w:pPr>
        <w:spacing w:line="480" w:lineRule="auto"/>
        <w:rPr>
          <w:sz w:val="22"/>
          <w:szCs w:val="22"/>
        </w:rPr>
      </w:pPr>
    </w:p>
    <w:p w14:paraId="7B257885" w14:textId="77777777" w:rsidR="0061482C" w:rsidRPr="003E73CD" w:rsidRDefault="0061482C" w:rsidP="0061482C">
      <w:pPr>
        <w:spacing w:line="480" w:lineRule="auto"/>
        <w:rPr>
          <w:sz w:val="22"/>
          <w:szCs w:val="22"/>
        </w:rPr>
      </w:pPr>
      <w:r w:rsidRPr="003E73CD">
        <w:rPr>
          <w:sz w:val="22"/>
          <w:szCs w:val="22"/>
        </w:rPr>
        <w:t>RESULTS</w:t>
      </w:r>
    </w:p>
    <w:p w14:paraId="678D78F4" w14:textId="3095F9B6" w:rsidR="0061482C" w:rsidRPr="003E73CD" w:rsidRDefault="0061482C" w:rsidP="0061482C">
      <w:pPr>
        <w:spacing w:line="480" w:lineRule="auto"/>
        <w:rPr>
          <w:sz w:val="22"/>
          <w:szCs w:val="22"/>
        </w:rPr>
      </w:pPr>
      <w:r w:rsidRPr="003E73CD">
        <w:rPr>
          <w:sz w:val="22"/>
          <w:szCs w:val="22"/>
        </w:rPr>
        <w:t>Forty-four patients were included in the analysis.  Group 1 (n=12) patients (median follow-up 64 months) were all alive without evidence of metastasis, with 2 patients having had recurrence, Group 2 (n=15) patients (median follow-up 73 months) had 6 cases of recurrence and 3 deaths from melanoma, Group 3 (n=14) patients (median follow-up 70 months) had 7 cases of recurrence and 6 deaths from melanoma and Group 4 (n=3) patients had all died from melanoma.  The type of initial recurrence appeared to differ between Group 2, with mainly loc</w:t>
      </w:r>
      <w:r w:rsidR="00FD4E61" w:rsidRPr="003E73CD">
        <w:rPr>
          <w:sz w:val="22"/>
          <w:szCs w:val="22"/>
        </w:rPr>
        <w:t>al or in</w:t>
      </w:r>
      <w:r w:rsidR="009B1E00">
        <w:rPr>
          <w:sz w:val="22"/>
          <w:szCs w:val="22"/>
        </w:rPr>
        <w:t>-</w:t>
      </w:r>
      <w:r w:rsidR="00FD4E61" w:rsidRPr="003E73CD">
        <w:rPr>
          <w:sz w:val="22"/>
          <w:szCs w:val="22"/>
        </w:rPr>
        <w:t xml:space="preserve">transit recurrences, compared </w:t>
      </w:r>
      <w:r w:rsidRPr="003E73CD">
        <w:rPr>
          <w:sz w:val="22"/>
          <w:szCs w:val="22"/>
        </w:rPr>
        <w:t>with mainly distant recurrence</w:t>
      </w:r>
      <w:r w:rsidR="00FD4E61" w:rsidRPr="003E73CD">
        <w:rPr>
          <w:sz w:val="22"/>
          <w:szCs w:val="22"/>
        </w:rPr>
        <w:t xml:space="preserve"> in Group</w:t>
      </w:r>
      <w:r w:rsidR="00AA411E" w:rsidRPr="003E73CD">
        <w:rPr>
          <w:sz w:val="22"/>
          <w:szCs w:val="22"/>
        </w:rPr>
        <w:t>s</w:t>
      </w:r>
      <w:r w:rsidR="00FD4E61" w:rsidRPr="003E73CD">
        <w:rPr>
          <w:sz w:val="22"/>
          <w:szCs w:val="22"/>
        </w:rPr>
        <w:t xml:space="preserve"> 3</w:t>
      </w:r>
      <w:r w:rsidR="00AA411E" w:rsidRPr="003E73CD">
        <w:rPr>
          <w:sz w:val="22"/>
          <w:szCs w:val="22"/>
        </w:rPr>
        <w:t xml:space="preserve"> and 4</w:t>
      </w:r>
      <w:r w:rsidRPr="003E73CD">
        <w:rPr>
          <w:sz w:val="22"/>
          <w:szCs w:val="22"/>
        </w:rPr>
        <w:t>.</w:t>
      </w:r>
    </w:p>
    <w:p w14:paraId="3966258C" w14:textId="77777777" w:rsidR="0061482C" w:rsidRPr="003E73CD" w:rsidRDefault="0061482C" w:rsidP="0061482C">
      <w:pPr>
        <w:spacing w:line="480" w:lineRule="auto"/>
        <w:rPr>
          <w:sz w:val="22"/>
          <w:szCs w:val="22"/>
        </w:rPr>
      </w:pPr>
    </w:p>
    <w:p w14:paraId="1EBB3DD5" w14:textId="77777777" w:rsidR="0061482C" w:rsidRPr="003E73CD" w:rsidRDefault="0061482C" w:rsidP="0061482C">
      <w:pPr>
        <w:spacing w:line="480" w:lineRule="auto"/>
        <w:rPr>
          <w:sz w:val="22"/>
          <w:szCs w:val="22"/>
        </w:rPr>
      </w:pPr>
      <w:r w:rsidRPr="003E73CD">
        <w:rPr>
          <w:sz w:val="22"/>
          <w:szCs w:val="22"/>
        </w:rPr>
        <w:t>CONCLUSIONS</w:t>
      </w:r>
    </w:p>
    <w:p w14:paraId="103FE348" w14:textId="105EEDD4" w:rsidR="0061482C" w:rsidRPr="003E73CD" w:rsidRDefault="00FD4E61" w:rsidP="0061482C">
      <w:pPr>
        <w:spacing w:line="480" w:lineRule="auto"/>
        <w:rPr>
          <w:sz w:val="22"/>
          <w:szCs w:val="22"/>
        </w:rPr>
      </w:pPr>
      <w:r w:rsidRPr="003E73CD">
        <w:rPr>
          <w:sz w:val="22"/>
          <w:szCs w:val="22"/>
        </w:rPr>
        <w:t>Using a survival tree model</w:t>
      </w:r>
      <w:r w:rsidR="0061482C" w:rsidRPr="003E73CD">
        <w:rPr>
          <w:sz w:val="22"/>
          <w:szCs w:val="22"/>
        </w:rPr>
        <w:t xml:space="preserve"> developed from an Australian melanoma patient popula</w:t>
      </w:r>
      <w:r w:rsidR="005725D4" w:rsidRPr="003E73CD">
        <w:rPr>
          <w:sz w:val="22"/>
          <w:szCs w:val="22"/>
        </w:rPr>
        <w:t>tion</w:t>
      </w:r>
      <w:r w:rsidR="0061482C" w:rsidRPr="003E73CD">
        <w:rPr>
          <w:sz w:val="22"/>
          <w:szCs w:val="22"/>
        </w:rPr>
        <w:t xml:space="preserve">, sentinel node positive melanoma patients </w:t>
      </w:r>
      <w:r w:rsidR="005725D4" w:rsidRPr="003E73CD">
        <w:rPr>
          <w:sz w:val="22"/>
          <w:szCs w:val="22"/>
        </w:rPr>
        <w:t xml:space="preserve">in a UK institution </w:t>
      </w:r>
      <w:r w:rsidR="0061482C" w:rsidRPr="003E73CD">
        <w:rPr>
          <w:sz w:val="22"/>
          <w:szCs w:val="22"/>
        </w:rPr>
        <w:t xml:space="preserve">who underwent completion lymph node dissection could be grouped into one of four prognostic groups with distinctly different survival characteristics and patterns of recurrence, based on the total number of positive nodes, Breslow thickness, patient age, non-sentinel node status and primary melanoma mitotic rate. </w:t>
      </w:r>
    </w:p>
    <w:p w14:paraId="7DFEFEE5" w14:textId="77777777" w:rsidR="0061482C" w:rsidRPr="003E73CD" w:rsidRDefault="0061482C" w:rsidP="0061482C">
      <w:pPr>
        <w:spacing w:line="480" w:lineRule="auto"/>
        <w:rPr>
          <w:sz w:val="22"/>
          <w:szCs w:val="22"/>
        </w:rPr>
      </w:pPr>
    </w:p>
    <w:p w14:paraId="3A858ACE" w14:textId="77777777" w:rsidR="0061482C" w:rsidRPr="003E73CD" w:rsidRDefault="0061482C" w:rsidP="0061482C">
      <w:pPr>
        <w:spacing w:line="480" w:lineRule="auto"/>
        <w:rPr>
          <w:sz w:val="22"/>
          <w:szCs w:val="22"/>
        </w:rPr>
      </w:pPr>
      <w:r w:rsidRPr="003E73CD">
        <w:rPr>
          <w:sz w:val="22"/>
          <w:szCs w:val="22"/>
        </w:rPr>
        <w:br w:type="page"/>
        <w:t>INTRODUCTION</w:t>
      </w:r>
    </w:p>
    <w:p w14:paraId="24D69756" w14:textId="2877AC83" w:rsidR="005725D4" w:rsidRPr="003E73CD" w:rsidRDefault="0061482C" w:rsidP="0061482C">
      <w:pPr>
        <w:spacing w:line="480" w:lineRule="auto"/>
        <w:ind w:firstLine="720"/>
        <w:rPr>
          <w:sz w:val="22"/>
          <w:szCs w:val="22"/>
        </w:rPr>
      </w:pPr>
      <w:r w:rsidRPr="003E73CD">
        <w:rPr>
          <w:sz w:val="22"/>
          <w:szCs w:val="22"/>
        </w:rPr>
        <w:t>It is important that prognostic information for patients with melanoma is as accurate as possible.  Inaccurate prognostic information can result in unnecessary patient anxiety and may lead the patient to take actions or make life decisions that they will later regret.  A number of tools are widely available for health professi</w:t>
      </w:r>
      <w:r w:rsidR="00545554" w:rsidRPr="003E73CD">
        <w:rPr>
          <w:sz w:val="22"/>
          <w:szCs w:val="22"/>
        </w:rPr>
        <w:t xml:space="preserve">onals </w:t>
      </w:r>
      <w:r w:rsidRPr="003E73CD">
        <w:rPr>
          <w:sz w:val="22"/>
          <w:szCs w:val="22"/>
        </w:rPr>
        <w:t>to use in order to determine their</w:t>
      </w:r>
      <w:r w:rsidR="00545554" w:rsidRPr="003E73CD">
        <w:rPr>
          <w:sz w:val="22"/>
          <w:szCs w:val="22"/>
        </w:rPr>
        <w:t xml:space="preserve"> patient’s</w:t>
      </w:r>
      <w:r w:rsidRPr="003E73CD">
        <w:rPr>
          <w:sz w:val="22"/>
          <w:szCs w:val="22"/>
        </w:rPr>
        <w:t xml:space="preserve"> prognosis.  These tools are applicable to patients with primary cutaneous melanoma who undergo </w:t>
      </w:r>
      <w:r w:rsidR="00693128" w:rsidRPr="003E73CD">
        <w:rPr>
          <w:sz w:val="22"/>
          <w:szCs w:val="22"/>
        </w:rPr>
        <w:t xml:space="preserve">wide local </w:t>
      </w:r>
      <w:r w:rsidRPr="003E73CD">
        <w:rPr>
          <w:sz w:val="22"/>
          <w:szCs w:val="22"/>
        </w:rPr>
        <w:t xml:space="preserve">excision and sentinel node biopsy.  The </w:t>
      </w:r>
      <w:r w:rsidRPr="003E73CD">
        <w:rPr>
          <w:rFonts w:asciiTheme="minorHAnsi" w:hAnsiTheme="minorHAnsi"/>
          <w:sz w:val="22"/>
          <w:szCs w:val="22"/>
        </w:rPr>
        <w:t>most widely available are</w:t>
      </w:r>
      <w:r w:rsidR="00162B3A" w:rsidRPr="003E73CD">
        <w:rPr>
          <w:rFonts w:asciiTheme="minorHAnsi" w:hAnsiTheme="minorHAnsi"/>
          <w:sz w:val="22"/>
          <w:szCs w:val="22"/>
        </w:rPr>
        <w:t xml:space="preserve"> an</w:t>
      </w:r>
      <w:r w:rsidRPr="003E73CD">
        <w:rPr>
          <w:rFonts w:asciiTheme="minorHAnsi" w:hAnsiTheme="minorHAnsi"/>
          <w:sz w:val="22"/>
          <w:szCs w:val="22"/>
        </w:rPr>
        <w:t xml:space="preserve"> AJCC-endorsed prognostic calculator (available at </w:t>
      </w:r>
      <w:r w:rsidR="00CC2039" w:rsidRPr="003E73CD">
        <w:rPr>
          <w:sz w:val="22"/>
          <w:szCs w:val="22"/>
        </w:rPr>
        <w:t>www.melanomaprognosis.org</w:t>
      </w:r>
      <w:r w:rsidR="00B33B9A" w:rsidRPr="003E73CD">
        <w:fldChar w:fldCharType="begin"/>
      </w:r>
      <w:r w:rsidR="00B33B9A" w:rsidRPr="003E73CD">
        <w:rPr>
          <w:rFonts w:asciiTheme="minorHAnsi" w:hAnsiTheme="minorHAnsi"/>
          <w:sz w:val="22"/>
          <w:szCs w:val="22"/>
        </w:rPr>
        <w:instrText xml:space="preserve">"http://www.melanomaprognosis.org" </w:instrText>
      </w:r>
      <w:r w:rsidR="00B33B9A" w:rsidRPr="003E73CD">
        <w:fldChar w:fldCharType="separate"/>
      </w:r>
      <w:r w:rsidRPr="003E73CD">
        <w:rPr>
          <w:rStyle w:val="Hyperlink"/>
          <w:rFonts w:asciiTheme="minorHAnsi" w:hAnsiTheme="minorHAnsi"/>
          <w:color w:val="auto"/>
          <w:sz w:val="22"/>
          <w:szCs w:val="22"/>
        </w:rPr>
        <w:t>www.melanomaprognosis.org</w:t>
      </w:r>
      <w:r w:rsidR="00B33B9A" w:rsidRPr="003E73CD">
        <w:rPr>
          <w:rStyle w:val="Hyperlink"/>
          <w:rFonts w:asciiTheme="minorHAnsi" w:hAnsiTheme="minorHAnsi"/>
          <w:color w:val="auto"/>
          <w:sz w:val="22"/>
          <w:szCs w:val="22"/>
        </w:rPr>
        <w:fldChar w:fldCharType="end"/>
      </w:r>
      <w:r w:rsidR="00545554" w:rsidRPr="003E73CD">
        <w:rPr>
          <w:rFonts w:asciiTheme="minorHAnsi" w:hAnsiTheme="minorHAnsi"/>
          <w:sz w:val="22"/>
          <w:szCs w:val="22"/>
        </w:rPr>
        <w:t>), a web calculator devised by the Laboratory for Quantitative Medicine at Massachusetts General Hospital (available at</w:t>
      </w:r>
      <w:r w:rsidRPr="003E73CD">
        <w:rPr>
          <w:rFonts w:asciiTheme="minorHAnsi" w:hAnsiTheme="minorHAnsi"/>
          <w:sz w:val="22"/>
          <w:szCs w:val="22"/>
        </w:rPr>
        <w:t xml:space="preserve"> </w:t>
      </w:r>
      <w:r w:rsidR="004F1A2D" w:rsidRPr="003E73CD">
        <w:rPr>
          <w:sz w:val="22"/>
          <w:szCs w:val="22"/>
        </w:rPr>
        <w:t>www.lifemath.net</w:t>
      </w:r>
      <w:r w:rsidR="00B33B9A" w:rsidRPr="003E73CD">
        <w:fldChar w:fldCharType="begin"/>
      </w:r>
      <w:r w:rsidR="00BD5073" w:rsidRPr="003E73CD">
        <w:rPr>
          <w:rFonts w:asciiTheme="minorHAnsi" w:hAnsiTheme="minorHAnsi"/>
          <w:sz w:val="22"/>
          <w:szCs w:val="22"/>
        </w:rPr>
        <w:instrText xml:space="preserve"> </w:instrText>
      </w:r>
      <w:r w:rsidR="00B33B9A" w:rsidRPr="003E73CD">
        <w:rPr>
          <w:rFonts w:asciiTheme="minorHAnsi" w:hAnsiTheme="minorHAnsi"/>
          <w:sz w:val="22"/>
          <w:szCs w:val="22"/>
        </w:rPr>
        <w:instrText xml:space="preserve"> "http://www.lifemath.net" </w:instrText>
      </w:r>
      <w:r w:rsidR="00B33B9A" w:rsidRPr="003E73CD">
        <w:fldChar w:fldCharType="separate"/>
      </w:r>
      <w:r w:rsidRPr="003E73CD">
        <w:rPr>
          <w:rStyle w:val="Hyperlink"/>
          <w:rFonts w:asciiTheme="minorHAnsi" w:hAnsiTheme="minorHAnsi"/>
          <w:color w:val="auto"/>
          <w:sz w:val="22"/>
          <w:szCs w:val="22"/>
        </w:rPr>
        <w:t>www.lifemath.net</w:t>
      </w:r>
      <w:r w:rsidR="00B33B9A" w:rsidRPr="003E73CD">
        <w:rPr>
          <w:rStyle w:val="Hyperlink"/>
          <w:rFonts w:asciiTheme="minorHAnsi" w:hAnsiTheme="minorHAnsi"/>
          <w:color w:val="auto"/>
          <w:sz w:val="22"/>
          <w:szCs w:val="22"/>
        </w:rPr>
        <w:fldChar w:fldCharType="end"/>
      </w:r>
      <w:r w:rsidR="00545554" w:rsidRPr="003E73CD">
        <w:rPr>
          <w:rStyle w:val="Hyperlink"/>
          <w:rFonts w:asciiTheme="minorHAnsi" w:hAnsiTheme="minorHAnsi"/>
          <w:color w:val="auto"/>
          <w:sz w:val="22"/>
          <w:szCs w:val="22"/>
        </w:rPr>
        <w:t>)</w:t>
      </w:r>
      <w:r w:rsidRPr="003E73CD">
        <w:rPr>
          <w:rFonts w:asciiTheme="minorHAnsi" w:hAnsiTheme="minorHAnsi"/>
          <w:sz w:val="22"/>
          <w:szCs w:val="22"/>
        </w:rPr>
        <w:t xml:space="preserve"> </w:t>
      </w:r>
      <w:r w:rsidR="00545554" w:rsidRPr="003E73CD">
        <w:rPr>
          <w:rFonts w:asciiTheme="minorHAnsi" w:hAnsiTheme="minorHAnsi"/>
          <w:sz w:val="22"/>
          <w:szCs w:val="22"/>
        </w:rPr>
        <w:t xml:space="preserve">and a calculator developed by the University of Louisville School of Medicine in conjunction with Advertek Inc. Healthcare Data (available at </w:t>
      </w:r>
      <w:r w:rsidR="00CC2039" w:rsidRPr="003E73CD">
        <w:rPr>
          <w:sz w:val="22"/>
          <w:szCs w:val="22"/>
        </w:rPr>
        <w:t>www.melanomacalculator.com</w:t>
      </w:r>
      <w:r w:rsidR="00B33B9A" w:rsidRPr="003E73CD">
        <w:fldChar w:fldCharType="begin"/>
      </w:r>
      <w:r w:rsidR="00BD5073" w:rsidRPr="003E73CD">
        <w:rPr>
          <w:rFonts w:asciiTheme="minorHAnsi" w:hAnsiTheme="minorHAnsi"/>
          <w:sz w:val="22"/>
          <w:szCs w:val="22"/>
        </w:rPr>
        <w:instrText xml:space="preserve"> </w:instrText>
      </w:r>
      <w:r w:rsidR="00B33B9A" w:rsidRPr="003E73CD">
        <w:rPr>
          <w:rFonts w:asciiTheme="minorHAnsi" w:hAnsiTheme="minorHAnsi"/>
          <w:sz w:val="22"/>
          <w:szCs w:val="22"/>
        </w:rPr>
        <w:instrText xml:space="preserve"> "http://www.melanomacalculator.com" </w:instrText>
      </w:r>
      <w:r w:rsidR="00B33B9A" w:rsidRPr="003E73CD">
        <w:fldChar w:fldCharType="separate"/>
      </w:r>
      <w:r w:rsidR="00545554" w:rsidRPr="003E73CD">
        <w:rPr>
          <w:rStyle w:val="Hyperlink"/>
          <w:rFonts w:asciiTheme="minorHAnsi" w:hAnsiTheme="minorHAnsi"/>
          <w:color w:val="auto"/>
          <w:sz w:val="22"/>
          <w:szCs w:val="22"/>
        </w:rPr>
        <w:t>www.melanomacalculator.com</w:t>
      </w:r>
      <w:r w:rsidR="00B33B9A" w:rsidRPr="003E73CD">
        <w:rPr>
          <w:rStyle w:val="Hyperlink"/>
          <w:rFonts w:asciiTheme="minorHAnsi" w:hAnsiTheme="minorHAnsi"/>
          <w:color w:val="auto"/>
          <w:sz w:val="22"/>
          <w:szCs w:val="22"/>
        </w:rPr>
        <w:fldChar w:fldCharType="end"/>
      </w:r>
      <w:r w:rsidR="00545554" w:rsidRPr="003E73CD">
        <w:rPr>
          <w:rFonts w:asciiTheme="minorHAnsi" w:hAnsiTheme="minorHAnsi"/>
          <w:sz w:val="22"/>
          <w:szCs w:val="22"/>
        </w:rPr>
        <w:t>)</w:t>
      </w:r>
      <w:r w:rsidR="009332BD" w:rsidRPr="003E73CD">
        <w:rPr>
          <w:rFonts w:asciiTheme="minorHAnsi" w:hAnsiTheme="minorHAnsi"/>
          <w:sz w:val="22"/>
          <w:szCs w:val="22"/>
        </w:rPr>
        <w:t>.</w:t>
      </w:r>
      <w:r w:rsidR="00545554" w:rsidRPr="003E73CD">
        <w:rPr>
          <w:rFonts w:asciiTheme="minorHAnsi" w:hAnsiTheme="minorHAnsi"/>
          <w:sz w:val="22"/>
          <w:szCs w:val="22"/>
        </w:rPr>
        <w:t xml:space="preserve"> </w:t>
      </w:r>
      <w:r w:rsidRPr="003E73CD">
        <w:rPr>
          <w:rFonts w:asciiTheme="minorHAnsi" w:hAnsiTheme="minorHAnsi"/>
          <w:sz w:val="22"/>
          <w:szCs w:val="22"/>
        </w:rPr>
        <w:t xml:space="preserve"> </w:t>
      </w:r>
      <w:r w:rsidR="00162B3A" w:rsidRPr="003E73CD">
        <w:rPr>
          <w:rFonts w:asciiTheme="minorHAnsi" w:hAnsiTheme="minorHAnsi"/>
          <w:sz w:val="22"/>
          <w:szCs w:val="22"/>
        </w:rPr>
        <w:t>These calculators require the input of a variable number</w:t>
      </w:r>
      <w:r w:rsidR="00162B3A" w:rsidRPr="003E73CD">
        <w:rPr>
          <w:sz w:val="22"/>
          <w:szCs w:val="22"/>
        </w:rPr>
        <w:t xml:space="preserve"> of patient and pathology characteristics and produce predictions on prognosis for an individual patient.   The variables required for each model to calculate prognosis for a</w:t>
      </w:r>
      <w:r w:rsidR="00BD5073" w:rsidRPr="003E73CD">
        <w:rPr>
          <w:sz w:val="22"/>
          <w:szCs w:val="22"/>
        </w:rPr>
        <w:t xml:space="preserve"> patient with clinically localis</w:t>
      </w:r>
      <w:r w:rsidR="00162B3A" w:rsidRPr="003E73CD">
        <w:rPr>
          <w:sz w:val="22"/>
          <w:szCs w:val="22"/>
        </w:rPr>
        <w:t xml:space="preserve">ed melanoma who has undergone sentinel node biopsy and completion lymph node dissection are shown in </w:t>
      </w:r>
      <w:r w:rsidR="002A0DBC">
        <w:rPr>
          <w:sz w:val="22"/>
          <w:szCs w:val="22"/>
        </w:rPr>
        <w:t>Table 3.3</w:t>
      </w:r>
      <w:r w:rsidR="00E261E9" w:rsidRPr="003E73CD">
        <w:rPr>
          <w:sz w:val="22"/>
          <w:szCs w:val="22"/>
        </w:rPr>
        <w:t>.1</w:t>
      </w:r>
      <w:r w:rsidR="00162B3A" w:rsidRPr="003E73CD">
        <w:rPr>
          <w:sz w:val="22"/>
          <w:szCs w:val="22"/>
        </w:rPr>
        <w:t>.</w:t>
      </w:r>
    </w:p>
    <w:p w14:paraId="1450C48C" w14:textId="77777777" w:rsidR="00162B3A" w:rsidRPr="003E73CD" w:rsidRDefault="00162B3A" w:rsidP="00E261E9">
      <w:pPr>
        <w:spacing w:line="480" w:lineRule="auto"/>
        <w:rPr>
          <w:sz w:val="22"/>
          <w:szCs w:val="22"/>
        </w:rPr>
      </w:pPr>
    </w:p>
    <w:p w14:paraId="731EBE95" w14:textId="77777777" w:rsidR="000C2BAA" w:rsidRPr="003E73CD" w:rsidRDefault="000C2BAA">
      <w:pPr>
        <w:rPr>
          <w:sz w:val="22"/>
          <w:szCs w:val="22"/>
        </w:rPr>
      </w:pPr>
      <w:r w:rsidRPr="003E73CD">
        <w:rPr>
          <w:sz w:val="22"/>
          <w:szCs w:val="22"/>
        </w:rPr>
        <w:br w:type="page"/>
      </w:r>
    </w:p>
    <w:p w14:paraId="6ECD4E14" w14:textId="3C0429CC" w:rsidR="00E261E9" w:rsidRPr="003E73CD" w:rsidRDefault="002A0DBC" w:rsidP="00E261E9">
      <w:pPr>
        <w:spacing w:line="480" w:lineRule="auto"/>
        <w:rPr>
          <w:sz w:val="22"/>
          <w:szCs w:val="22"/>
        </w:rPr>
      </w:pPr>
      <w:r>
        <w:rPr>
          <w:sz w:val="22"/>
          <w:szCs w:val="22"/>
        </w:rPr>
        <w:t>Table 3.3</w:t>
      </w:r>
      <w:r w:rsidR="00E261E9" w:rsidRPr="003E73CD">
        <w:rPr>
          <w:sz w:val="22"/>
          <w:szCs w:val="22"/>
        </w:rPr>
        <w:t>.1.  Prognostic tools that are available to estimate prognosis for sentinel node positive melanoma patients.</w:t>
      </w:r>
    </w:p>
    <w:p w14:paraId="1CB33A51" w14:textId="77777777" w:rsidR="00BD5073" w:rsidRPr="003E73CD" w:rsidRDefault="00BD5073" w:rsidP="00E261E9">
      <w:pPr>
        <w:spacing w:line="480" w:lineRule="auto"/>
        <w:rPr>
          <w:sz w:val="22"/>
          <w:szCs w:val="22"/>
        </w:rPr>
      </w:pPr>
    </w:p>
    <w:tbl>
      <w:tblPr>
        <w:tblStyle w:val="TableGrid"/>
        <w:tblW w:w="0" w:type="auto"/>
        <w:tblLook w:val="04A0" w:firstRow="1" w:lastRow="0" w:firstColumn="1" w:lastColumn="0" w:noHBand="0" w:noVBand="1"/>
      </w:tblPr>
      <w:tblGrid>
        <w:gridCol w:w="1523"/>
        <w:gridCol w:w="1513"/>
        <w:gridCol w:w="1591"/>
        <w:gridCol w:w="2574"/>
        <w:gridCol w:w="1513"/>
      </w:tblGrid>
      <w:tr w:rsidR="00B128EF" w:rsidRPr="003E73CD" w14:paraId="225370B5" w14:textId="77777777" w:rsidTr="00B128EF">
        <w:tc>
          <w:tcPr>
            <w:tcW w:w="1703" w:type="dxa"/>
          </w:tcPr>
          <w:p w14:paraId="542C862A" w14:textId="2ED09CCA" w:rsidR="00B128EF" w:rsidRPr="003E73CD" w:rsidRDefault="00B128EF" w:rsidP="000C2BAA">
            <w:pPr>
              <w:spacing w:line="360" w:lineRule="auto"/>
              <w:rPr>
                <w:sz w:val="22"/>
                <w:szCs w:val="22"/>
              </w:rPr>
            </w:pPr>
            <w:r w:rsidRPr="003E73CD">
              <w:rPr>
                <w:sz w:val="22"/>
                <w:szCs w:val="22"/>
              </w:rPr>
              <w:t>Prognostic calculator</w:t>
            </w:r>
          </w:p>
        </w:tc>
        <w:tc>
          <w:tcPr>
            <w:tcW w:w="1703" w:type="dxa"/>
          </w:tcPr>
          <w:p w14:paraId="4B23DD23" w14:textId="6064A900" w:rsidR="00B128EF" w:rsidRPr="003E73CD" w:rsidRDefault="00B128EF" w:rsidP="000C2BAA">
            <w:pPr>
              <w:spacing w:line="360" w:lineRule="auto"/>
              <w:rPr>
                <w:sz w:val="22"/>
                <w:szCs w:val="22"/>
              </w:rPr>
            </w:pPr>
            <w:r w:rsidRPr="003E73CD">
              <w:rPr>
                <w:sz w:val="22"/>
                <w:szCs w:val="22"/>
              </w:rPr>
              <w:t>AJCC endorsed</w:t>
            </w:r>
          </w:p>
        </w:tc>
        <w:tc>
          <w:tcPr>
            <w:tcW w:w="1703" w:type="dxa"/>
          </w:tcPr>
          <w:p w14:paraId="39E7666D" w14:textId="10B45ED6" w:rsidR="00B128EF" w:rsidRPr="003E73CD" w:rsidRDefault="00B128EF" w:rsidP="000C2BAA">
            <w:pPr>
              <w:spacing w:line="360" w:lineRule="auto"/>
              <w:rPr>
                <w:sz w:val="22"/>
                <w:szCs w:val="22"/>
              </w:rPr>
            </w:pPr>
            <w:r w:rsidRPr="003E73CD">
              <w:rPr>
                <w:sz w:val="22"/>
                <w:szCs w:val="22"/>
              </w:rPr>
              <w:t>Lifemath.net</w:t>
            </w:r>
          </w:p>
        </w:tc>
        <w:tc>
          <w:tcPr>
            <w:tcW w:w="1703" w:type="dxa"/>
          </w:tcPr>
          <w:p w14:paraId="7D512DD9" w14:textId="456B57C9" w:rsidR="00B128EF" w:rsidRPr="003E73CD" w:rsidRDefault="00B128EF" w:rsidP="000C2BAA">
            <w:pPr>
              <w:spacing w:line="360" w:lineRule="auto"/>
              <w:rPr>
                <w:sz w:val="22"/>
                <w:szCs w:val="22"/>
              </w:rPr>
            </w:pPr>
            <w:r w:rsidRPr="003E73CD">
              <w:rPr>
                <w:sz w:val="22"/>
                <w:szCs w:val="22"/>
              </w:rPr>
              <w:t>Melanomacalculator.com</w:t>
            </w:r>
          </w:p>
        </w:tc>
        <w:tc>
          <w:tcPr>
            <w:tcW w:w="1704" w:type="dxa"/>
          </w:tcPr>
          <w:p w14:paraId="2E58DE43" w14:textId="42139F19" w:rsidR="00B128EF" w:rsidRPr="003E73CD" w:rsidRDefault="00B128EF" w:rsidP="000C2BAA">
            <w:pPr>
              <w:spacing w:line="360" w:lineRule="auto"/>
              <w:rPr>
                <w:sz w:val="22"/>
                <w:szCs w:val="22"/>
              </w:rPr>
            </w:pPr>
            <w:r w:rsidRPr="003E73CD">
              <w:rPr>
                <w:sz w:val="22"/>
                <w:szCs w:val="22"/>
              </w:rPr>
              <w:t>Survival tree model</w:t>
            </w:r>
          </w:p>
        </w:tc>
      </w:tr>
      <w:tr w:rsidR="00B128EF" w:rsidRPr="003E73CD" w14:paraId="522D4C30" w14:textId="77777777" w:rsidTr="00B128EF">
        <w:tc>
          <w:tcPr>
            <w:tcW w:w="1703" w:type="dxa"/>
          </w:tcPr>
          <w:p w14:paraId="7617845A" w14:textId="059E65EE" w:rsidR="00B128EF" w:rsidRPr="003E73CD" w:rsidRDefault="00B128EF" w:rsidP="000C2BAA">
            <w:pPr>
              <w:spacing w:line="360" w:lineRule="auto"/>
              <w:rPr>
                <w:sz w:val="22"/>
                <w:szCs w:val="22"/>
              </w:rPr>
            </w:pPr>
            <w:r w:rsidRPr="003E73CD">
              <w:rPr>
                <w:sz w:val="22"/>
                <w:szCs w:val="22"/>
              </w:rPr>
              <w:t>Variables required*</w:t>
            </w:r>
          </w:p>
        </w:tc>
        <w:tc>
          <w:tcPr>
            <w:tcW w:w="1703" w:type="dxa"/>
          </w:tcPr>
          <w:p w14:paraId="05CB5D33" w14:textId="6D5E76DC" w:rsidR="00B128EF" w:rsidRPr="003E73CD" w:rsidRDefault="00C1014C" w:rsidP="000C2BAA">
            <w:pPr>
              <w:spacing w:line="360" w:lineRule="auto"/>
              <w:rPr>
                <w:sz w:val="22"/>
                <w:szCs w:val="22"/>
              </w:rPr>
            </w:pPr>
            <w:r w:rsidRPr="003E73CD">
              <w:rPr>
                <w:sz w:val="22"/>
                <w:szCs w:val="22"/>
              </w:rPr>
              <w:t xml:space="preserve">- </w:t>
            </w:r>
            <w:r w:rsidR="00B128EF" w:rsidRPr="003E73CD">
              <w:rPr>
                <w:sz w:val="22"/>
                <w:szCs w:val="22"/>
              </w:rPr>
              <w:t>Age</w:t>
            </w:r>
          </w:p>
          <w:p w14:paraId="091DFD51" w14:textId="5C02BFF2" w:rsidR="00B128EF" w:rsidRPr="003E73CD" w:rsidRDefault="00C1014C" w:rsidP="000C2BAA">
            <w:pPr>
              <w:spacing w:line="360" w:lineRule="auto"/>
              <w:rPr>
                <w:sz w:val="22"/>
                <w:szCs w:val="22"/>
              </w:rPr>
            </w:pPr>
            <w:r w:rsidRPr="003E73CD">
              <w:rPr>
                <w:sz w:val="22"/>
                <w:szCs w:val="22"/>
              </w:rPr>
              <w:t xml:space="preserve">- </w:t>
            </w:r>
            <w:r w:rsidR="00B128EF" w:rsidRPr="003E73CD">
              <w:rPr>
                <w:sz w:val="22"/>
                <w:szCs w:val="22"/>
              </w:rPr>
              <w:t>Site</w:t>
            </w:r>
          </w:p>
          <w:p w14:paraId="755B84EA" w14:textId="708A8D30" w:rsidR="00B128EF" w:rsidRPr="003E73CD" w:rsidRDefault="00C1014C" w:rsidP="000C2BAA">
            <w:pPr>
              <w:spacing w:line="360" w:lineRule="auto"/>
              <w:rPr>
                <w:sz w:val="22"/>
                <w:szCs w:val="22"/>
              </w:rPr>
            </w:pPr>
            <w:r w:rsidRPr="003E73CD">
              <w:rPr>
                <w:sz w:val="22"/>
                <w:szCs w:val="22"/>
              </w:rPr>
              <w:t xml:space="preserve">- </w:t>
            </w:r>
            <w:r w:rsidR="00B128EF" w:rsidRPr="003E73CD">
              <w:rPr>
                <w:sz w:val="22"/>
                <w:szCs w:val="22"/>
              </w:rPr>
              <w:t>Number of metastatic nodes</w:t>
            </w:r>
          </w:p>
          <w:p w14:paraId="53070775" w14:textId="0E576852" w:rsidR="00B128EF" w:rsidRPr="003E73CD" w:rsidRDefault="00C1014C" w:rsidP="000C2BAA">
            <w:pPr>
              <w:spacing w:line="360" w:lineRule="auto"/>
              <w:rPr>
                <w:sz w:val="22"/>
                <w:szCs w:val="22"/>
              </w:rPr>
            </w:pPr>
            <w:r w:rsidRPr="003E73CD">
              <w:rPr>
                <w:sz w:val="22"/>
                <w:szCs w:val="22"/>
              </w:rPr>
              <w:t xml:space="preserve">- </w:t>
            </w:r>
            <w:r w:rsidR="00B128EF" w:rsidRPr="003E73CD">
              <w:rPr>
                <w:sz w:val="22"/>
                <w:szCs w:val="22"/>
              </w:rPr>
              <w:t>Ulceration</w:t>
            </w:r>
          </w:p>
          <w:p w14:paraId="7F3D5E29" w14:textId="4A49CB42" w:rsidR="00B128EF" w:rsidRPr="003E73CD" w:rsidRDefault="00C1014C" w:rsidP="000C2BAA">
            <w:pPr>
              <w:spacing w:line="360" w:lineRule="auto"/>
              <w:rPr>
                <w:sz w:val="22"/>
                <w:szCs w:val="22"/>
              </w:rPr>
            </w:pPr>
            <w:r w:rsidRPr="003E73CD">
              <w:rPr>
                <w:sz w:val="22"/>
                <w:szCs w:val="22"/>
              </w:rPr>
              <w:t>-</w:t>
            </w:r>
            <w:r w:rsidR="00B128EF" w:rsidRPr="003E73CD">
              <w:rPr>
                <w:sz w:val="22"/>
                <w:szCs w:val="22"/>
              </w:rPr>
              <w:t>Breslow thickness</w:t>
            </w:r>
          </w:p>
        </w:tc>
        <w:tc>
          <w:tcPr>
            <w:tcW w:w="1703" w:type="dxa"/>
          </w:tcPr>
          <w:p w14:paraId="664C91C0" w14:textId="77777777" w:rsidR="00071820" w:rsidRPr="003E73CD" w:rsidRDefault="00071820" w:rsidP="000C2BAA">
            <w:pPr>
              <w:spacing w:line="360" w:lineRule="auto"/>
              <w:rPr>
                <w:sz w:val="22"/>
                <w:szCs w:val="22"/>
              </w:rPr>
            </w:pPr>
            <w:r w:rsidRPr="003E73CD">
              <w:rPr>
                <w:sz w:val="22"/>
                <w:szCs w:val="22"/>
              </w:rPr>
              <w:t>- Age</w:t>
            </w:r>
          </w:p>
          <w:p w14:paraId="22805475" w14:textId="77777777" w:rsidR="00071820" w:rsidRPr="003E73CD" w:rsidRDefault="00071820" w:rsidP="000C2BAA">
            <w:pPr>
              <w:spacing w:line="360" w:lineRule="auto"/>
              <w:rPr>
                <w:sz w:val="22"/>
                <w:szCs w:val="22"/>
              </w:rPr>
            </w:pPr>
            <w:r w:rsidRPr="003E73CD">
              <w:rPr>
                <w:sz w:val="22"/>
                <w:szCs w:val="22"/>
              </w:rPr>
              <w:t>- Site</w:t>
            </w:r>
          </w:p>
          <w:p w14:paraId="3034E0F3" w14:textId="77777777" w:rsidR="00071820" w:rsidRPr="003E73CD" w:rsidRDefault="00071820" w:rsidP="000C2BAA">
            <w:pPr>
              <w:spacing w:line="360" w:lineRule="auto"/>
              <w:rPr>
                <w:sz w:val="22"/>
                <w:szCs w:val="22"/>
              </w:rPr>
            </w:pPr>
            <w:r w:rsidRPr="003E73CD">
              <w:rPr>
                <w:sz w:val="22"/>
                <w:szCs w:val="22"/>
              </w:rPr>
              <w:t>- Number of metastatic nodes</w:t>
            </w:r>
          </w:p>
          <w:p w14:paraId="77A698F3" w14:textId="77777777" w:rsidR="00071820" w:rsidRPr="003E73CD" w:rsidRDefault="00071820" w:rsidP="000C2BAA">
            <w:pPr>
              <w:spacing w:line="360" w:lineRule="auto"/>
              <w:rPr>
                <w:sz w:val="22"/>
                <w:szCs w:val="22"/>
              </w:rPr>
            </w:pPr>
            <w:r w:rsidRPr="003E73CD">
              <w:rPr>
                <w:sz w:val="22"/>
                <w:szCs w:val="22"/>
              </w:rPr>
              <w:t>- Ulceration</w:t>
            </w:r>
          </w:p>
          <w:p w14:paraId="7CA7FE33" w14:textId="4D4697D7" w:rsidR="00071820" w:rsidRPr="003E73CD" w:rsidRDefault="00071820" w:rsidP="000C2BAA">
            <w:pPr>
              <w:spacing w:line="360" w:lineRule="auto"/>
              <w:rPr>
                <w:sz w:val="22"/>
                <w:szCs w:val="22"/>
              </w:rPr>
            </w:pPr>
            <w:r w:rsidRPr="003E73CD">
              <w:rPr>
                <w:sz w:val="22"/>
                <w:szCs w:val="22"/>
              </w:rPr>
              <w:t>-Breslow thickness</w:t>
            </w:r>
          </w:p>
          <w:p w14:paraId="48B26D79" w14:textId="77777777" w:rsidR="00071820" w:rsidRPr="003E73CD" w:rsidRDefault="00071820" w:rsidP="000C2BAA">
            <w:pPr>
              <w:spacing w:line="360" w:lineRule="auto"/>
              <w:rPr>
                <w:sz w:val="22"/>
                <w:szCs w:val="22"/>
              </w:rPr>
            </w:pPr>
            <w:r w:rsidRPr="003E73CD">
              <w:rPr>
                <w:sz w:val="22"/>
                <w:szCs w:val="22"/>
              </w:rPr>
              <w:t>-Sex</w:t>
            </w:r>
          </w:p>
          <w:p w14:paraId="14C8F692" w14:textId="77777777" w:rsidR="00071820" w:rsidRPr="003E73CD" w:rsidRDefault="00071820" w:rsidP="000C2BAA">
            <w:pPr>
              <w:spacing w:line="360" w:lineRule="auto"/>
              <w:rPr>
                <w:sz w:val="22"/>
                <w:szCs w:val="22"/>
              </w:rPr>
            </w:pPr>
            <w:r w:rsidRPr="003E73CD">
              <w:rPr>
                <w:sz w:val="22"/>
                <w:szCs w:val="22"/>
              </w:rPr>
              <w:t>-Histological subtype</w:t>
            </w:r>
          </w:p>
          <w:p w14:paraId="283BECCC" w14:textId="1DF811D9" w:rsidR="00071820" w:rsidRPr="003E73CD" w:rsidRDefault="00071820" w:rsidP="000C2BAA">
            <w:pPr>
              <w:spacing w:line="360" w:lineRule="auto"/>
              <w:rPr>
                <w:sz w:val="22"/>
                <w:szCs w:val="22"/>
              </w:rPr>
            </w:pPr>
            <w:r w:rsidRPr="003E73CD">
              <w:rPr>
                <w:sz w:val="22"/>
                <w:szCs w:val="22"/>
              </w:rPr>
              <w:t>-Clark level</w:t>
            </w:r>
          </w:p>
          <w:p w14:paraId="705259A1" w14:textId="59B87763" w:rsidR="00071820" w:rsidRPr="003E73CD" w:rsidRDefault="00071820" w:rsidP="000C2BAA">
            <w:pPr>
              <w:spacing w:line="360" w:lineRule="auto"/>
              <w:rPr>
                <w:sz w:val="22"/>
                <w:szCs w:val="22"/>
              </w:rPr>
            </w:pPr>
          </w:p>
        </w:tc>
        <w:tc>
          <w:tcPr>
            <w:tcW w:w="1703" w:type="dxa"/>
          </w:tcPr>
          <w:p w14:paraId="50D16D1A" w14:textId="77777777" w:rsidR="00B128EF" w:rsidRPr="003E73CD" w:rsidRDefault="00071820" w:rsidP="000C2BAA">
            <w:pPr>
              <w:spacing w:line="360" w:lineRule="auto"/>
              <w:rPr>
                <w:sz w:val="22"/>
                <w:szCs w:val="22"/>
              </w:rPr>
            </w:pPr>
            <w:r w:rsidRPr="003E73CD">
              <w:rPr>
                <w:sz w:val="22"/>
                <w:szCs w:val="22"/>
              </w:rPr>
              <w:t>-Age</w:t>
            </w:r>
          </w:p>
          <w:p w14:paraId="4F946F88" w14:textId="77777777" w:rsidR="00071820" w:rsidRPr="003E73CD" w:rsidRDefault="00071820" w:rsidP="000C2BAA">
            <w:pPr>
              <w:spacing w:line="360" w:lineRule="auto"/>
              <w:rPr>
                <w:sz w:val="22"/>
                <w:szCs w:val="22"/>
              </w:rPr>
            </w:pPr>
            <w:r w:rsidRPr="003E73CD">
              <w:rPr>
                <w:sz w:val="22"/>
                <w:szCs w:val="22"/>
              </w:rPr>
              <w:t>-Site</w:t>
            </w:r>
          </w:p>
          <w:p w14:paraId="45C24B92" w14:textId="77777777" w:rsidR="00071820" w:rsidRPr="003E73CD" w:rsidRDefault="00071820" w:rsidP="000C2BAA">
            <w:pPr>
              <w:spacing w:line="360" w:lineRule="auto"/>
              <w:rPr>
                <w:sz w:val="22"/>
                <w:szCs w:val="22"/>
              </w:rPr>
            </w:pPr>
            <w:r w:rsidRPr="003E73CD">
              <w:rPr>
                <w:sz w:val="22"/>
                <w:szCs w:val="22"/>
              </w:rPr>
              <w:t>-Number of positive sentinel nodes</w:t>
            </w:r>
          </w:p>
          <w:p w14:paraId="490F2D06" w14:textId="5FF82EE6" w:rsidR="00071820" w:rsidRPr="003E73CD" w:rsidRDefault="00071820" w:rsidP="000C2BAA">
            <w:pPr>
              <w:spacing w:line="360" w:lineRule="auto"/>
              <w:rPr>
                <w:sz w:val="22"/>
                <w:szCs w:val="22"/>
              </w:rPr>
            </w:pPr>
            <w:r w:rsidRPr="003E73CD">
              <w:rPr>
                <w:sz w:val="22"/>
                <w:szCs w:val="22"/>
              </w:rPr>
              <w:t>-Non</w:t>
            </w:r>
            <w:r w:rsidR="0043722E" w:rsidRPr="003E73CD">
              <w:rPr>
                <w:sz w:val="22"/>
                <w:szCs w:val="22"/>
              </w:rPr>
              <w:t>-</w:t>
            </w:r>
            <w:r w:rsidRPr="003E73CD">
              <w:rPr>
                <w:sz w:val="22"/>
                <w:szCs w:val="22"/>
              </w:rPr>
              <w:t>sentinel node status</w:t>
            </w:r>
          </w:p>
          <w:p w14:paraId="1E6A7E16" w14:textId="77777777" w:rsidR="00071820" w:rsidRPr="003E73CD" w:rsidRDefault="00071820" w:rsidP="000C2BAA">
            <w:pPr>
              <w:spacing w:line="360" w:lineRule="auto"/>
              <w:rPr>
                <w:sz w:val="22"/>
                <w:szCs w:val="22"/>
              </w:rPr>
            </w:pPr>
            <w:r w:rsidRPr="003E73CD">
              <w:rPr>
                <w:sz w:val="22"/>
                <w:szCs w:val="22"/>
              </w:rPr>
              <w:t>-Ulceration</w:t>
            </w:r>
          </w:p>
          <w:p w14:paraId="5273FDE0" w14:textId="77777777" w:rsidR="00071820" w:rsidRPr="003E73CD" w:rsidRDefault="00071820" w:rsidP="000C2BAA">
            <w:pPr>
              <w:spacing w:line="360" w:lineRule="auto"/>
              <w:rPr>
                <w:sz w:val="22"/>
                <w:szCs w:val="22"/>
              </w:rPr>
            </w:pPr>
            <w:r w:rsidRPr="003E73CD">
              <w:rPr>
                <w:sz w:val="22"/>
                <w:szCs w:val="22"/>
              </w:rPr>
              <w:t>-Breslow thickness</w:t>
            </w:r>
          </w:p>
          <w:p w14:paraId="224576BE" w14:textId="0485A76D" w:rsidR="00071820" w:rsidRPr="003E73CD" w:rsidRDefault="00071820" w:rsidP="000C2BAA">
            <w:pPr>
              <w:spacing w:line="360" w:lineRule="auto"/>
              <w:rPr>
                <w:sz w:val="22"/>
                <w:szCs w:val="22"/>
              </w:rPr>
            </w:pPr>
            <w:r w:rsidRPr="003E73CD">
              <w:rPr>
                <w:sz w:val="22"/>
                <w:szCs w:val="22"/>
              </w:rPr>
              <w:t>-Sex</w:t>
            </w:r>
          </w:p>
        </w:tc>
        <w:tc>
          <w:tcPr>
            <w:tcW w:w="1704" w:type="dxa"/>
          </w:tcPr>
          <w:p w14:paraId="1674BDAB" w14:textId="77777777" w:rsidR="00B128EF" w:rsidRPr="003E73CD" w:rsidRDefault="00071820" w:rsidP="000C2BAA">
            <w:pPr>
              <w:spacing w:line="360" w:lineRule="auto"/>
              <w:rPr>
                <w:sz w:val="22"/>
                <w:szCs w:val="22"/>
              </w:rPr>
            </w:pPr>
            <w:r w:rsidRPr="003E73CD">
              <w:rPr>
                <w:sz w:val="22"/>
                <w:szCs w:val="22"/>
              </w:rPr>
              <w:t>-Age</w:t>
            </w:r>
          </w:p>
          <w:p w14:paraId="7CC9E8CB" w14:textId="77777777" w:rsidR="00071820" w:rsidRPr="003E73CD" w:rsidRDefault="00071820" w:rsidP="000C2BAA">
            <w:pPr>
              <w:spacing w:line="360" w:lineRule="auto"/>
              <w:rPr>
                <w:sz w:val="22"/>
                <w:szCs w:val="22"/>
              </w:rPr>
            </w:pPr>
            <w:r w:rsidRPr="003E73CD">
              <w:rPr>
                <w:sz w:val="22"/>
                <w:szCs w:val="22"/>
              </w:rPr>
              <w:t>-Number of metastatic nodes</w:t>
            </w:r>
          </w:p>
          <w:p w14:paraId="0E5AA672" w14:textId="4F2C1C4C" w:rsidR="00071820" w:rsidRPr="003E73CD" w:rsidRDefault="00071820" w:rsidP="000C2BAA">
            <w:pPr>
              <w:spacing w:line="360" w:lineRule="auto"/>
              <w:rPr>
                <w:sz w:val="22"/>
                <w:szCs w:val="22"/>
              </w:rPr>
            </w:pPr>
            <w:r w:rsidRPr="003E73CD">
              <w:rPr>
                <w:sz w:val="22"/>
                <w:szCs w:val="22"/>
              </w:rPr>
              <w:t>-Non</w:t>
            </w:r>
            <w:r w:rsidR="0043722E" w:rsidRPr="003E73CD">
              <w:rPr>
                <w:sz w:val="22"/>
                <w:szCs w:val="22"/>
              </w:rPr>
              <w:t>-</w:t>
            </w:r>
            <w:r w:rsidRPr="003E73CD">
              <w:rPr>
                <w:sz w:val="22"/>
                <w:szCs w:val="22"/>
              </w:rPr>
              <w:t>sentinel node status</w:t>
            </w:r>
          </w:p>
          <w:p w14:paraId="6BC721DF" w14:textId="77777777" w:rsidR="00071820" w:rsidRPr="003E73CD" w:rsidRDefault="00071820" w:rsidP="000C2BAA">
            <w:pPr>
              <w:spacing w:line="360" w:lineRule="auto"/>
              <w:rPr>
                <w:sz w:val="22"/>
                <w:szCs w:val="22"/>
              </w:rPr>
            </w:pPr>
            <w:r w:rsidRPr="003E73CD">
              <w:rPr>
                <w:sz w:val="22"/>
                <w:szCs w:val="22"/>
              </w:rPr>
              <w:t>-Breslow thickness</w:t>
            </w:r>
          </w:p>
          <w:p w14:paraId="5DE9173C" w14:textId="1B6DF280" w:rsidR="00071820" w:rsidRPr="003E73CD" w:rsidRDefault="00071820" w:rsidP="000C2BAA">
            <w:pPr>
              <w:spacing w:line="360" w:lineRule="auto"/>
              <w:rPr>
                <w:sz w:val="22"/>
                <w:szCs w:val="22"/>
              </w:rPr>
            </w:pPr>
            <w:r w:rsidRPr="003E73CD">
              <w:rPr>
                <w:sz w:val="22"/>
                <w:szCs w:val="22"/>
              </w:rPr>
              <w:t>-Tumour mitotic rate</w:t>
            </w:r>
          </w:p>
        </w:tc>
      </w:tr>
      <w:tr w:rsidR="00071820" w:rsidRPr="003E73CD" w14:paraId="168A44F4" w14:textId="77777777" w:rsidTr="00B128EF">
        <w:tc>
          <w:tcPr>
            <w:tcW w:w="1703" w:type="dxa"/>
          </w:tcPr>
          <w:p w14:paraId="2E8C5AE8" w14:textId="51841197" w:rsidR="00071820" w:rsidRPr="003E73CD" w:rsidRDefault="00071820" w:rsidP="000C2BAA">
            <w:pPr>
              <w:spacing w:line="360" w:lineRule="auto"/>
              <w:rPr>
                <w:sz w:val="22"/>
                <w:szCs w:val="22"/>
              </w:rPr>
            </w:pPr>
            <w:r w:rsidRPr="003E73CD">
              <w:rPr>
                <w:sz w:val="22"/>
                <w:szCs w:val="22"/>
              </w:rPr>
              <w:t>Total number of variables required</w:t>
            </w:r>
          </w:p>
        </w:tc>
        <w:tc>
          <w:tcPr>
            <w:tcW w:w="1703" w:type="dxa"/>
          </w:tcPr>
          <w:p w14:paraId="59884900" w14:textId="52A3BC99" w:rsidR="00071820" w:rsidRPr="003E73CD" w:rsidRDefault="00071820" w:rsidP="000C2BAA">
            <w:pPr>
              <w:spacing w:line="360" w:lineRule="auto"/>
              <w:rPr>
                <w:sz w:val="22"/>
                <w:szCs w:val="22"/>
              </w:rPr>
            </w:pPr>
            <w:r w:rsidRPr="003E73CD">
              <w:rPr>
                <w:sz w:val="22"/>
                <w:szCs w:val="22"/>
              </w:rPr>
              <w:t>5</w:t>
            </w:r>
          </w:p>
        </w:tc>
        <w:tc>
          <w:tcPr>
            <w:tcW w:w="1703" w:type="dxa"/>
          </w:tcPr>
          <w:p w14:paraId="5C657338" w14:textId="6E872540" w:rsidR="00071820" w:rsidRPr="003E73CD" w:rsidRDefault="00071820" w:rsidP="000C2BAA">
            <w:pPr>
              <w:spacing w:line="360" w:lineRule="auto"/>
              <w:rPr>
                <w:sz w:val="22"/>
                <w:szCs w:val="22"/>
              </w:rPr>
            </w:pPr>
            <w:r w:rsidRPr="003E73CD">
              <w:rPr>
                <w:sz w:val="22"/>
                <w:szCs w:val="22"/>
              </w:rPr>
              <w:t>8</w:t>
            </w:r>
          </w:p>
        </w:tc>
        <w:tc>
          <w:tcPr>
            <w:tcW w:w="1703" w:type="dxa"/>
          </w:tcPr>
          <w:p w14:paraId="3B020C9A" w14:textId="51AD0920" w:rsidR="00071820" w:rsidRPr="003E73CD" w:rsidRDefault="00071820" w:rsidP="000C2BAA">
            <w:pPr>
              <w:spacing w:line="360" w:lineRule="auto"/>
              <w:rPr>
                <w:sz w:val="22"/>
                <w:szCs w:val="22"/>
              </w:rPr>
            </w:pPr>
            <w:r w:rsidRPr="003E73CD">
              <w:rPr>
                <w:sz w:val="22"/>
                <w:szCs w:val="22"/>
              </w:rPr>
              <w:t>7</w:t>
            </w:r>
          </w:p>
        </w:tc>
        <w:tc>
          <w:tcPr>
            <w:tcW w:w="1704" w:type="dxa"/>
          </w:tcPr>
          <w:p w14:paraId="58AA40F1" w14:textId="7643FAA5" w:rsidR="00071820" w:rsidRPr="003E73CD" w:rsidRDefault="00071820" w:rsidP="000C2BAA">
            <w:pPr>
              <w:spacing w:line="360" w:lineRule="auto"/>
              <w:rPr>
                <w:sz w:val="22"/>
                <w:szCs w:val="22"/>
              </w:rPr>
            </w:pPr>
            <w:r w:rsidRPr="003E73CD">
              <w:rPr>
                <w:sz w:val="22"/>
                <w:szCs w:val="22"/>
              </w:rPr>
              <w:t>5</w:t>
            </w:r>
          </w:p>
        </w:tc>
      </w:tr>
    </w:tbl>
    <w:p w14:paraId="7990FD88" w14:textId="516B461F" w:rsidR="00162B3A" w:rsidRPr="003E73CD" w:rsidRDefault="00B128EF" w:rsidP="0061482C">
      <w:pPr>
        <w:spacing w:line="480" w:lineRule="auto"/>
        <w:ind w:firstLine="720"/>
        <w:rPr>
          <w:sz w:val="22"/>
          <w:szCs w:val="22"/>
        </w:rPr>
      </w:pPr>
      <w:r w:rsidRPr="003E73CD">
        <w:rPr>
          <w:sz w:val="22"/>
          <w:szCs w:val="22"/>
        </w:rPr>
        <w:t xml:space="preserve">*To calculate prognosis for a patient with clinically localized melanoma </w:t>
      </w:r>
      <w:proofErr w:type="gramStart"/>
      <w:r w:rsidRPr="003E73CD">
        <w:rPr>
          <w:sz w:val="22"/>
          <w:szCs w:val="22"/>
        </w:rPr>
        <w:t>who</w:t>
      </w:r>
      <w:proofErr w:type="gramEnd"/>
      <w:r w:rsidRPr="003E73CD">
        <w:rPr>
          <w:sz w:val="22"/>
          <w:szCs w:val="22"/>
        </w:rPr>
        <w:t xml:space="preserve"> has undergone sentinel node biopsy and completion lymph node dissection.</w:t>
      </w:r>
    </w:p>
    <w:p w14:paraId="4A5B3FF8" w14:textId="77777777" w:rsidR="00162B3A" w:rsidRPr="003E73CD" w:rsidRDefault="00162B3A" w:rsidP="0061482C">
      <w:pPr>
        <w:spacing w:line="480" w:lineRule="auto"/>
        <w:ind w:firstLine="720"/>
        <w:rPr>
          <w:sz w:val="22"/>
          <w:szCs w:val="22"/>
        </w:rPr>
      </w:pPr>
    </w:p>
    <w:p w14:paraId="445B5964" w14:textId="77777777" w:rsidR="00BD5073" w:rsidRPr="003E73CD" w:rsidRDefault="00BD5073">
      <w:pPr>
        <w:rPr>
          <w:sz w:val="22"/>
          <w:szCs w:val="22"/>
        </w:rPr>
      </w:pPr>
      <w:r w:rsidRPr="003E73CD">
        <w:rPr>
          <w:sz w:val="22"/>
          <w:szCs w:val="22"/>
        </w:rPr>
        <w:br w:type="page"/>
      </w:r>
    </w:p>
    <w:p w14:paraId="302AE52B" w14:textId="231D451C" w:rsidR="0061482C" w:rsidRPr="003E73CD" w:rsidRDefault="0061482C" w:rsidP="0061482C">
      <w:pPr>
        <w:spacing w:line="480" w:lineRule="auto"/>
        <w:ind w:firstLine="720"/>
        <w:rPr>
          <w:sz w:val="22"/>
          <w:szCs w:val="22"/>
        </w:rPr>
      </w:pPr>
      <w:r w:rsidRPr="003E73CD">
        <w:rPr>
          <w:sz w:val="22"/>
          <w:szCs w:val="22"/>
        </w:rPr>
        <w:t xml:space="preserve">Sentinel node status is the single most important prognostic indicator </w:t>
      </w:r>
      <w:r w:rsidR="00091193" w:rsidRPr="003E73CD">
        <w:rPr>
          <w:sz w:val="22"/>
          <w:szCs w:val="22"/>
        </w:rPr>
        <w:t xml:space="preserve">for patients with clinically localized melanoma </w:t>
      </w:r>
      <w:r w:rsidRPr="003E73CD">
        <w:rPr>
          <w:sz w:val="22"/>
          <w:szCs w:val="22"/>
        </w:rPr>
        <w:t>and 5-year survival for patients who are sentinel node positive is 72% versus 90% for the sentinel node negative population.</w:t>
      </w:r>
      <w:r w:rsidRPr="003E73CD">
        <w:rPr>
          <w:sz w:val="22"/>
          <w:szCs w:val="22"/>
        </w:rPr>
        <w:fldChar w:fldCharType="begin" w:fldLock="1"/>
      </w:r>
      <w:r w:rsidR="00217FAC">
        <w:rPr>
          <w:sz w:val="22"/>
          <w:szCs w:val="22"/>
        </w:rPr>
        <w:instrText>ADDIN CSL_CITATION { "citationItems" : [ { "id" : "ITEM-1", "itemData" : { "DOI" : "10.1056/NEJMoa060992", "ISSN" : "1533-4406", "PMID" : "17005948", "abstract" : "BACKGROUND: We evaluated the contribution of sentinel-node biopsy to outcomes in patients with newly diagnosed melanoma.\n\nMETHODS: Patients with a primary cutaneous melanoma were randomly assigned to wide excision and postoperative observation of regional lymph nodes with lymphadenectomy if nodal relapse occurred, or to wide excision and sentinel-node biopsy with immediate lymphadenectomy if nodal micrometastases were detected on biopsy.\n\nRESULTS: Among 1269 patients with an intermediate-thickness primary melanoma, the mean (+/-SE) estimated 5-year disease-free survival rate for the population was 78.3+/-1.6% in the biopsy group and 73.1+/-2.1% in the observation group (hazard ratio for recurrence[corrected], 0.74; 95% confidence interval [CI], 0.59 to 0.93; P=0.009). Five-year melanoma-specific survival rates were similar in the two groups (87.1+/-1.3% and 86.6+/-1.6%, respectively). In the biopsy group, the presence of metastases in the sentinel node was the most important prognostic factor; the 5-year survival rate was 72.3+/-4.6% among patients with tumor-positive sentinel nodes and 90.2+/-1.3% among those with tumor-negative sentinel nodes (hazard ratio for death, 2.48; 95% CI, 1.54 to 3.98; P&lt;0.001). The incidence of sentinel-node micrometastases was 16.0% (122 of 764 patients), and the rate of nodal relapse in the observation group was 15.6% (78 of 500 patients). The corresponding mean number of tumor-involved nodes was 1.4 in the biopsy group and 3.3 in the observation group (P&lt;0.001), indicating disease progression during observation. Among patients with nodal metastases, the 5-year survival rate was higher among those who underwent immediate lymphadenectomy than among those in whom lymphadenectomy was delayed (72.3+/-4.6% vs. 52.4+/-5.9%; hazard ratio for death, 0.51; 95% CI, 0.32 to 0.81; P=0.004).\n\nCONCLUSIONS: The staging of intermediate-thickness (1.2 to 3.5 mm) primary melanomas according to the results of sentinel-node biopsy provides important prognostic information and identifies patients with nodal metastases whose survival can be prolonged by immediate lymphadenectomy. (ClinicalTrials.gov number, NCT00275496 [ClinicalTrials.gov].).", "author" : [ { "dropping-particle" : "", "family" : "Morton", "given" : "Donald L", "non-dropping-particle" : "", "parse-names" : false, "suffix" : "" }, { "dropping-particle" : "", "family" : "Thompson", "given" : "John F", "non-dropping-particle" : "", "parse-names" : false, "suffix" : "" }, { "dropping-particle" : "", "family" : "Cochran", "given" : "Alistair J", "non-dropping-particle" : "", "parse-names" : false, "suffix" : "" }, { "dropping-particle" : "", "family" : "Mozzillo", "given" : "Nicola", "non-dropping-particle" : "", "parse-names" : false, "suffix" : "" }, { "dropping-particle" : "", "family" : "Elashoff", "given" : "Robert", "non-dropping-particle" : "", "parse-names" : false, "suffix" : "" }, { "dropping-particle" : "", "family" : "Essner", "given" : "Richard", "non-dropping-particle" : "", "parse-names" : false, "suffix" : "" }, { "dropping-particle" : "", "family" : "Nieweg", "given" : "Omgo E", "non-dropping-particle" : "", "parse-names" : false, "suffix" : "" }, { "dropping-particle" : "", "family" : "Roses", "given" : "Daniel F", "non-dropping-particle" : "", "parse-names" : false, "suffix" : "" }, { "dropping-particle" : "", "family" : "Hoekstra", "given" : "Harald J", "non-dropping-particle" : "", "parse-names" : false, "suffix" : "" }, { "dropping-particle" : "", "family" : "Karakousis", "given" : "Constantine P", "non-dropping-particle" : "", "parse-names" : false, "suffix" : "" }, { "dropping-particle" : "", "family" : "Reintgen", "given" : "Douglas S", "non-dropping-particle" : "", "parse-names" : false, "suffix" : "" }, { "dropping-particle" : "", "family" : "Coventry", "given" : "Brendon J", "non-dropping-particle" : "", "parse-names" : false, "suffix" : "" }, { "dropping-particle" : "", "family" : "Glass", "given" : "Edwin C", "non-dropping-particle" : "", "parse-names" : false, "suffix" : "" }, { "dropping-particle" : "", "family" : "Wang", "given" : "He-Jing", "non-dropping-particle" : "", "parse-names" : false, "suffix" : "" } ], "container-title" : "The New England journal of medicine", "id" : "ITEM-1", "issue" : "13", "issued" : { "date-parts" : [ [ "2006", "9", "28" ] ] }, "page" : "1307-17", "title" : "Sentinel-node biopsy or nodal observation in melanoma.", "type" : "article-journal", "volume" : "355" }, "uris" : [ "http://www.mendeley.com/documents/?uuid=67a6140a-03c4-49a0-8a19-c5ddadc66872" ] } ], "mendeley" : { "formattedCitation" : "&lt;sup&gt;124&lt;/sup&gt;", "plainTextFormattedCitation" : "124", "previouslyFormattedCitation" : "&lt;sup&gt;124&lt;/sup&gt;" }, "properties" : { "noteIndex" : 0 }, "schema" : "https://github.com/citation-style-language/schema/raw/master/csl-citation.json" }</w:instrText>
      </w:r>
      <w:r w:rsidRPr="003E73CD">
        <w:rPr>
          <w:sz w:val="22"/>
          <w:szCs w:val="22"/>
        </w:rPr>
        <w:fldChar w:fldCharType="separate"/>
      </w:r>
      <w:r w:rsidR="00CE2A17" w:rsidRPr="00CE2A17">
        <w:rPr>
          <w:noProof/>
          <w:sz w:val="22"/>
          <w:szCs w:val="22"/>
          <w:vertAlign w:val="superscript"/>
        </w:rPr>
        <w:t>124</w:t>
      </w:r>
      <w:r w:rsidRPr="003E73CD">
        <w:rPr>
          <w:sz w:val="22"/>
          <w:szCs w:val="22"/>
        </w:rPr>
        <w:fldChar w:fldCharType="end"/>
      </w:r>
      <w:proofErr w:type="gramStart"/>
      <w:r w:rsidRPr="003E73CD">
        <w:rPr>
          <w:sz w:val="22"/>
          <w:szCs w:val="22"/>
        </w:rPr>
        <w:t xml:space="preserve">  </w:t>
      </w:r>
      <w:r w:rsidR="009332BD" w:rsidRPr="003E73CD">
        <w:rPr>
          <w:sz w:val="22"/>
          <w:szCs w:val="22"/>
        </w:rPr>
        <w:t>However</w:t>
      </w:r>
      <w:proofErr w:type="gramEnd"/>
      <w:r w:rsidR="009332BD" w:rsidRPr="003E73CD">
        <w:rPr>
          <w:sz w:val="22"/>
          <w:szCs w:val="22"/>
        </w:rPr>
        <w:t>, sentinel node positive melanoma patients can have widely varying survival times and so it would be useful to be able to separate them into subgroups based on their prognosis so that decisions on adjuvant therapy</w:t>
      </w:r>
      <w:r w:rsidR="005E732E" w:rsidRPr="003E73CD">
        <w:rPr>
          <w:sz w:val="22"/>
          <w:szCs w:val="22"/>
        </w:rPr>
        <w:t xml:space="preserve"> and eligibility for clinical trials</w:t>
      </w:r>
      <w:r w:rsidR="009332BD" w:rsidRPr="003E73CD">
        <w:rPr>
          <w:sz w:val="22"/>
          <w:szCs w:val="22"/>
        </w:rPr>
        <w:t xml:space="preserve"> can be</w:t>
      </w:r>
      <w:r w:rsidR="005E732E" w:rsidRPr="003E73CD">
        <w:rPr>
          <w:sz w:val="22"/>
          <w:szCs w:val="22"/>
        </w:rPr>
        <w:t xml:space="preserve"> made mor</w:t>
      </w:r>
      <w:r w:rsidR="002A0DBC">
        <w:rPr>
          <w:sz w:val="22"/>
          <w:szCs w:val="22"/>
        </w:rPr>
        <w:t>e appropriately.  In section 3.2</w:t>
      </w:r>
      <w:r w:rsidR="005E732E" w:rsidRPr="003E73CD">
        <w:rPr>
          <w:sz w:val="22"/>
          <w:szCs w:val="22"/>
        </w:rPr>
        <w:t xml:space="preserve"> of this thesis a</w:t>
      </w:r>
      <w:r w:rsidRPr="003E73CD">
        <w:rPr>
          <w:sz w:val="22"/>
          <w:szCs w:val="22"/>
        </w:rPr>
        <w:t xml:space="preserve"> survival tree model has been developed for the sentinel node positive population who undergo completion lymph node dissection (see Figure </w:t>
      </w:r>
      <w:r w:rsidR="002A0DBC">
        <w:rPr>
          <w:sz w:val="22"/>
          <w:szCs w:val="22"/>
        </w:rPr>
        <w:t>3.2</w:t>
      </w:r>
      <w:r w:rsidR="00E261E9" w:rsidRPr="003E73CD">
        <w:rPr>
          <w:sz w:val="22"/>
          <w:szCs w:val="22"/>
        </w:rPr>
        <w:t>.5</w:t>
      </w:r>
      <w:r w:rsidRPr="003E73CD">
        <w:rPr>
          <w:sz w:val="22"/>
          <w:szCs w:val="22"/>
        </w:rPr>
        <w:t xml:space="preserve">). </w:t>
      </w:r>
      <w:r w:rsidRPr="003E73CD">
        <w:rPr>
          <w:sz w:val="22"/>
          <w:szCs w:val="22"/>
        </w:rPr>
        <w:fldChar w:fldCharType="begin" w:fldLock="1"/>
      </w:r>
      <w:r w:rsidR="00217FAC">
        <w:rPr>
          <w:sz w:val="22"/>
          <w:szCs w:val="22"/>
        </w:rPr>
        <w:instrText>ADDIN CSL_CITATION { "citationItems" : [ { "id" : "ITEM-1", "itemData" : { "DOI" : "10.1245/s10434-010-1049-5", "ISSN" : "1534-4681", "PMID" : "20490699", "abstract" : "BACKGROUND: Completion lymph node dissection (CLND) following positive sentinel node biopsy (SNB) for melanoma detects additional nonsentinel node (NSN) metastases in approximately 20% of cases. This study aimed to establish whether NSN status can be predicted, to determine its effect on survival, and to develop survival tree models for the sentinel node (SN) positive population.\n\nMATERIALS AND METHODS: Sydney Melanoma Unit (SMU) patients with at least 1 positive SN, meeting inclusion criteria and treated between October 1992 and June 2005, were identified from the Unit database. Survival characteristics, potential predictors of survival, and NSN status were assessed using the Kaplan-Meier method, Cox regression model, and logistic regression analyses, respectively. Classification tree analysis was performed to identify groups with distinctly different survival characteristics.\n\nRESULTS: A total of 323 SN-positive melanoma patients met the inclusion criteria. On multivariate analysis, age, gender, primary tumor thickness, mitotic rate, number of positive NSNs, or total number of positive nodes were statistically significant predictors of survival. NSN metastasis, found at CLND in 19% of patients, was only predicted to a statistically significant degree by ulceration. Multivariate analyses demonstrated that survival was more closely related to number of positive NSNs than total number of positive nodes. Classification tree analysis revealed 4 prognostically distinct survival groups.\n\nCONCLUSIONS: Patients with NSN metastases could not be reliably identified prior to CLND. Prognosis following CLND was more closely related to number of positive NSNs than total number of positive nodes. Classification tree analysis defined distinctly different survival groups more accurately than use of single-factor analysis.", "author" : [ { "dropping-particle" : "", "family" : "Wiener", "given" : "Martin", "non-dropping-particle" : "", "parse-names" : false, "suffix" : "" }, { "dropping-particle" : "", "family" : "Acland", "given" : "Katharine M", "non-dropping-particle" : "", "parse-names" : false, "suffix" : "" }, { "dropping-particle" : "", "family" : "Shaw", "given" : "Helen M", "non-dropping-particle" : "", "parse-names" : false, "suffix" : "" }, { "dropping-particle" : "", "family" : "Soong", "given" : "Seng-Jaw", "non-dropping-particle" : "", "parse-names" : false, "suffix" : "" }, { "dropping-particle" : "", "family" : "Lin", "given" : "Hui-Yi", "non-dropping-particle" : "", "parse-names" : false, "suffix" : "" }, { "dropping-particle" : "", "family" : "Chen", "given" : "Dung-Tsa", "non-dropping-particle" : "", "parse-names" : false, "suffix" : "" }, { "dropping-particle" : "", "family" : "Scolyer", "given" : "Richard A", "non-dropping-particle" : "", "parse-names" : false, "suffix" : "" }, { "dropping-particle" : "", "family" : "Winstanley", "given" : "Julie B", "non-dropping-particle" : "", "parse-names" : false, "suffix" : "" }, { "dropping-particle" : "", "family" : "Thompson", "given" : "John F", "non-dropping-particle" : "", "parse-names" : false, "suffix" : "" } ], "container-title" : "Annals of surgical oncology", "id" : "ITEM-1", "issue" : "8", "issued" : { "date-parts" : [ [ "2010", "8" ] ] }, "page" : "1995-2005", "title" : "Sentinel node positive melanoma patients: prediction and prognostic significance of nonsentinel node metastases and development of a survival tree model.", "type" : "article-journal", "volume" : "17" }, "uris" : [ "http://www.mendeley.com/documents/?uuid=f4126b0e-1dfd-4ac9-a748-0e48d0c17c53" ] } ], "mendeley" : { "formattedCitation" : "&lt;sup&gt;161&lt;/sup&gt;", "plainTextFormattedCitation" : "161", "previouslyFormattedCitation" : "&lt;sup&gt;161&lt;/sup&gt;" }, "properties" : { "noteIndex" : 0 }, "schema" : "https://github.com/citation-style-language/schema/raw/master/csl-citation.json" }</w:instrText>
      </w:r>
      <w:r w:rsidRPr="003E73CD">
        <w:rPr>
          <w:sz w:val="22"/>
          <w:szCs w:val="22"/>
        </w:rPr>
        <w:fldChar w:fldCharType="separate"/>
      </w:r>
      <w:r w:rsidR="00CE2A17" w:rsidRPr="00CE2A17">
        <w:rPr>
          <w:noProof/>
          <w:sz w:val="22"/>
          <w:szCs w:val="22"/>
          <w:vertAlign w:val="superscript"/>
        </w:rPr>
        <w:t>161</w:t>
      </w:r>
      <w:r w:rsidRPr="003E73CD">
        <w:rPr>
          <w:sz w:val="22"/>
          <w:szCs w:val="22"/>
        </w:rPr>
        <w:fldChar w:fldCharType="end"/>
      </w:r>
      <w:proofErr w:type="gramStart"/>
      <w:r w:rsidRPr="003E73CD">
        <w:rPr>
          <w:sz w:val="22"/>
          <w:szCs w:val="22"/>
        </w:rPr>
        <w:t xml:space="preserve">  This</w:t>
      </w:r>
      <w:proofErr w:type="gramEnd"/>
      <w:r w:rsidRPr="003E73CD">
        <w:rPr>
          <w:sz w:val="22"/>
          <w:szCs w:val="22"/>
        </w:rPr>
        <w:t xml:space="preserve"> was based on an Australian patient population in the era prior to the introduction of targeted therapies for patients with metastatic disease.  The survival tree that was produced included five variables (age, Breslow thickness, tumour mitotic rate, total number of positive nodes and non-sentinel node status) and separated patients into 4 prognostic categories with </w:t>
      </w:r>
      <w:r w:rsidR="00545554" w:rsidRPr="003E73CD">
        <w:rPr>
          <w:sz w:val="22"/>
          <w:szCs w:val="22"/>
        </w:rPr>
        <w:t xml:space="preserve">estimated </w:t>
      </w:r>
      <w:r w:rsidRPr="003E73CD">
        <w:rPr>
          <w:sz w:val="22"/>
          <w:szCs w:val="22"/>
        </w:rPr>
        <w:t xml:space="preserve">5-year survival of 21%, 39%, 70% and 92% respectively </w:t>
      </w:r>
      <w:r w:rsidR="002A0DBC">
        <w:rPr>
          <w:sz w:val="22"/>
          <w:szCs w:val="22"/>
        </w:rPr>
        <w:t>(see Figures 3.2.5 and 3.2</w:t>
      </w:r>
      <w:r w:rsidR="00E261E9" w:rsidRPr="003E73CD">
        <w:rPr>
          <w:sz w:val="22"/>
          <w:szCs w:val="22"/>
        </w:rPr>
        <w:t>.6</w:t>
      </w:r>
      <w:r w:rsidRPr="003E73CD">
        <w:rPr>
          <w:sz w:val="22"/>
          <w:szCs w:val="22"/>
        </w:rPr>
        <w:t xml:space="preserve">).  The present study aimed to determine the validity of this survival tree in predicting overall survival when applied to a UK population.  Secondary aims were to compare </w:t>
      </w:r>
      <w:r w:rsidR="002C0422" w:rsidRPr="003E73CD">
        <w:rPr>
          <w:sz w:val="22"/>
          <w:szCs w:val="22"/>
        </w:rPr>
        <w:t xml:space="preserve">outcomes at 5 years and survival curves for patients using the survival tree and the 3 prognostic tools, </w:t>
      </w:r>
      <w:r w:rsidRPr="003E73CD">
        <w:rPr>
          <w:sz w:val="22"/>
          <w:szCs w:val="22"/>
        </w:rPr>
        <w:t>and to investigate the patterns of recur</w:t>
      </w:r>
      <w:r w:rsidR="009B3FCC" w:rsidRPr="003E73CD">
        <w:rPr>
          <w:sz w:val="22"/>
          <w:szCs w:val="22"/>
        </w:rPr>
        <w:t xml:space="preserve">rence </w:t>
      </w:r>
      <w:r w:rsidR="002C0422" w:rsidRPr="003E73CD">
        <w:rPr>
          <w:sz w:val="22"/>
          <w:szCs w:val="22"/>
        </w:rPr>
        <w:t>of the study</w:t>
      </w:r>
      <w:r w:rsidRPr="003E73CD">
        <w:rPr>
          <w:sz w:val="22"/>
          <w:szCs w:val="22"/>
        </w:rPr>
        <w:t xml:space="preserve"> population</w:t>
      </w:r>
      <w:r w:rsidR="009B3FCC" w:rsidRPr="003E73CD">
        <w:rPr>
          <w:sz w:val="22"/>
          <w:szCs w:val="22"/>
        </w:rPr>
        <w:t xml:space="preserve"> grouped according to the survival tree</w:t>
      </w:r>
      <w:r w:rsidRPr="003E73CD">
        <w:rPr>
          <w:sz w:val="22"/>
          <w:szCs w:val="22"/>
        </w:rPr>
        <w:t>.</w:t>
      </w:r>
    </w:p>
    <w:p w14:paraId="78A65E69" w14:textId="77777777" w:rsidR="0061482C" w:rsidRPr="003E73CD" w:rsidRDefault="0061482C" w:rsidP="0061482C">
      <w:pPr>
        <w:spacing w:line="480" w:lineRule="auto"/>
        <w:rPr>
          <w:sz w:val="22"/>
          <w:szCs w:val="22"/>
        </w:rPr>
      </w:pPr>
    </w:p>
    <w:p w14:paraId="2180E067" w14:textId="77777777" w:rsidR="0061482C" w:rsidRPr="003E73CD" w:rsidRDefault="0061482C" w:rsidP="0061482C">
      <w:pPr>
        <w:spacing w:line="480" w:lineRule="auto"/>
        <w:rPr>
          <w:sz w:val="22"/>
          <w:szCs w:val="22"/>
        </w:rPr>
      </w:pPr>
      <w:r w:rsidRPr="003E73CD">
        <w:rPr>
          <w:sz w:val="22"/>
          <w:szCs w:val="22"/>
        </w:rPr>
        <w:t>METHODS</w:t>
      </w:r>
    </w:p>
    <w:p w14:paraId="1DB7A803" w14:textId="77777777" w:rsidR="00DC5648" w:rsidRDefault="0061482C" w:rsidP="0061482C">
      <w:pPr>
        <w:spacing w:line="480" w:lineRule="auto"/>
        <w:ind w:firstLine="720"/>
        <w:rPr>
          <w:sz w:val="22"/>
          <w:szCs w:val="22"/>
        </w:rPr>
      </w:pPr>
      <w:r w:rsidRPr="003E73CD">
        <w:rPr>
          <w:sz w:val="22"/>
          <w:szCs w:val="22"/>
        </w:rPr>
        <w:t xml:space="preserve">The study was carried out </w:t>
      </w:r>
      <w:r w:rsidR="004354C8" w:rsidRPr="003E73CD">
        <w:rPr>
          <w:sz w:val="22"/>
          <w:szCs w:val="22"/>
        </w:rPr>
        <w:t>using anonymised data from</w:t>
      </w:r>
      <w:r w:rsidRPr="003E73CD">
        <w:rPr>
          <w:sz w:val="22"/>
          <w:szCs w:val="22"/>
        </w:rPr>
        <w:t xml:space="preserve"> a UK population attending a tertiary referral centre for melanoma.  All melanoma patients who had undergone lymphoscintigraphy and sentinel node biopsy at this institution between January 2000 and December 2005, with at least 1 positive sentinel node, were eligible for inclusion.  </w:t>
      </w:r>
      <w:r w:rsidR="002352DA" w:rsidRPr="003E73CD">
        <w:rPr>
          <w:sz w:val="22"/>
          <w:szCs w:val="22"/>
        </w:rPr>
        <w:t>Patients on the database had had their p</w:t>
      </w:r>
      <w:r w:rsidRPr="003E73CD">
        <w:rPr>
          <w:sz w:val="22"/>
          <w:szCs w:val="22"/>
        </w:rPr>
        <w:t xml:space="preserve">rimary </w:t>
      </w:r>
      <w:r w:rsidR="002352DA" w:rsidRPr="003E73CD">
        <w:rPr>
          <w:sz w:val="22"/>
          <w:szCs w:val="22"/>
        </w:rPr>
        <w:t xml:space="preserve">melanoma pathology reports </w:t>
      </w:r>
      <w:r w:rsidR="0000169F" w:rsidRPr="003E73CD">
        <w:rPr>
          <w:sz w:val="22"/>
          <w:szCs w:val="22"/>
        </w:rPr>
        <w:t>reviewed and</w:t>
      </w:r>
      <w:r w:rsidRPr="003E73CD">
        <w:rPr>
          <w:sz w:val="22"/>
          <w:szCs w:val="22"/>
        </w:rPr>
        <w:t xml:space="preserve"> were included if </w:t>
      </w:r>
      <w:r w:rsidR="005E732E" w:rsidRPr="003E73CD">
        <w:rPr>
          <w:sz w:val="22"/>
          <w:szCs w:val="22"/>
        </w:rPr>
        <w:t xml:space="preserve">they had undergone both dermatopathological review of </w:t>
      </w:r>
      <w:r w:rsidRPr="003E73CD">
        <w:rPr>
          <w:sz w:val="22"/>
          <w:szCs w:val="22"/>
        </w:rPr>
        <w:t>their primary mel</w:t>
      </w:r>
      <w:r w:rsidR="005E732E" w:rsidRPr="003E73CD">
        <w:rPr>
          <w:sz w:val="22"/>
          <w:szCs w:val="22"/>
        </w:rPr>
        <w:t>anoma histology and</w:t>
      </w:r>
      <w:r w:rsidRPr="003E73CD">
        <w:rPr>
          <w:sz w:val="22"/>
          <w:szCs w:val="22"/>
        </w:rPr>
        <w:t xml:space="preserve"> complet</w:t>
      </w:r>
      <w:r w:rsidR="0000169F" w:rsidRPr="003E73CD">
        <w:rPr>
          <w:sz w:val="22"/>
          <w:szCs w:val="22"/>
        </w:rPr>
        <w:t>ion lymph node dissection at the</w:t>
      </w:r>
      <w:r w:rsidRPr="003E73CD">
        <w:rPr>
          <w:sz w:val="22"/>
          <w:szCs w:val="22"/>
        </w:rPr>
        <w:t xml:space="preserve"> institution.  Patients with missing prognostic variables that were requi</w:t>
      </w:r>
      <w:r w:rsidR="0000169F" w:rsidRPr="003E73CD">
        <w:rPr>
          <w:sz w:val="22"/>
          <w:szCs w:val="22"/>
        </w:rPr>
        <w:t>red for the survival</w:t>
      </w:r>
      <w:r w:rsidRPr="003E73CD">
        <w:rPr>
          <w:sz w:val="22"/>
          <w:szCs w:val="22"/>
        </w:rPr>
        <w:t xml:space="preserve"> tree prognostic grouping were excluded, as were patients with no follow-up details.  </w:t>
      </w:r>
      <w:r w:rsidR="00BD5073" w:rsidRPr="003E73CD">
        <w:rPr>
          <w:sz w:val="22"/>
          <w:szCs w:val="22"/>
        </w:rPr>
        <w:t>Patients were then categoris</w:t>
      </w:r>
      <w:r w:rsidRPr="003E73CD">
        <w:rPr>
          <w:sz w:val="22"/>
          <w:szCs w:val="22"/>
        </w:rPr>
        <w:t xml:space="preserve">ed into the four prognostic groups based on the total number of positive nodes, Breslow thickness, patient age, </w:t>
      </w:r>
      <w:proofErr w:type="gramStart"/>
      <w:r w:rsidRPr="003E73CD">
        <w:rPr>
          <w:sz w:val="22"/>
          <w:szCs w:val="22"/>
        </w:rPr>
        <w:t>non</w:t>
      </w:r>
      <w:proofErr w:type="gramEnd"/>
      <w:r w:rsidRPr="003E73CD">
        <w:rPr>
          <w:sz w:val="22"/>
          <w:szCs w:val="22"/>
        </w:rPr>
        <w:t>-sentinel node status and primary melanoma mitotic rate.  For each prognostic group</w:t>
      </w:r>
      <w:proofErr w:type="gramStart"/>
      <w:r w:rsidR="002352DA" w:rsidRPr="003E73CD">
        <w:rPr>
          <w:sz w:val="22"/>
          <w:szCs w:val="22"/>
        </w:rPr>
        <w:t>;</w:t>
      </w:r>
      <w:proofErr w:type="gramEnd"/>
      <w:r w:rsidRPr="003E73CD">
        <w:rPr>
          <w:sz w:val="22"/>
          <w:szCs w:val="22"/>
        </w:rPr>
        <w:t xml:space="preserve"> survival, follow-up status and details of any recurrences were</w:t>
      </w:r>
      <w:r w:rsidR="002352DA" w:rsidRPr="003E73CD">
        <w:rPr>
          <w:sz w:val="22"/>
          <w:szCs w:val="22"/>
        </w:rPr>
        <w:t xml:space="preserve"> then recorded</w:t>
      </w:r>
      <w:r w:rsidRPr="003E73CD">
        <w:rPr>
          <w:sz w:val="22"/>
          <w:szCs w:val="22"/>
        </w:rPr>
        <w:t>.  Survival time was calculated from the time of wide local excision and sentinel node biopsy.  For each of the study pa</w:t>
      </w:r>
      <w:r w:rsidR="00091FF1" w:rsidRPr="003E73CD">
        <w:rPr>
          <w:sz w:val="22"/>
          <w:szCs w:val="22"/>
        </w:rPr>
        <w:t>tients the relevant data were entered into</w:t>
      </w:r>
      <w:r w:rsidR="00F70F4B" w:rsidRPr="003E73CD">
        <w:rPr>
          <w:sz w:val="22"/>
          <w:szCs w:val="22"/>
        </w:rPr>
        <w:t xml:space="preserve"> three online </w:t>
      </w:r>
      <w:r w:rsidRPr="003E73CD">
        <w:rPr>
          <w:sz w:val="22"/>
          <w:szCs w:val="22"/>
        </w:rPr>
        <w:t>prognostic calculator</w:t>
      </w:r>
      <w:r w:rsidR="00F70F4B" w:rsidRPr="003E73CD">
        <w:rPr>
          <w:sz w:val="22"/>
          <w:szCs w:val="22"/>
        </w:rPr>
        <w:t>s</w:t>
      </w:r>
      <w:r w:rsidRPr="003E73CD">
        <w:rPr>
          <w:sz w:val="22"/>
          <w:szCs w:val="22"/>
        </w:rPr>
        <w:t xml:space="preserve"> (www.melanomaprognosis.org</w:t>
      </w:r>
      <w:r w:rsidR="004F1A2D">
        <w:rPr>
          <w:rStyle w:val="Hyperlink"/>
          <w:color w:val="auto"/>
          <w:sz w:val="22"/>
          <w:szCs w:val="22"/>
          <w:u w:val="none"/>
        </w:rPr>
        <w:t>,</w:t>
      </w:r>
      <w:r w:rsidR="00F70F4B" w:rsidRPr="003E73CD">
        <w:rPr>
          <w:rStyle w:val="Hyperlink"/>
          <w:color w:val="auto"/>
          <w:sz w:val="22"/>
          <w:szCs w:val="22"/>
          <w:u w:val="none"/>
        </w:rPr>
        <w:t xml:space="preserve"> </w:t>
      </w:r>
      <w:r w:rsidR="00F70F4B" w:rsidRPr="003E73CD">
        <w:rPr>
          <w:sz w:val="22"/>
          <w:szCs w:val="22"/>
        </w:rPr>
        <w:t>www.lifemath.net</w:t>
      </w:r>
      <w:r w:rsidR="00F70F4B" w:rsidRPr="003E73CD">
        <w:rPr>
          <w:rStyle w:val="Hyperlink"/>
          <w:color w:val="auto"/>
          <w:sz w:val="22"/>
          <w:szCs w:val="22"/>
          <w:u w:val="none"/>
        </w:rPr>
        <w:t xml:space="preserve"> and </w:t>
      </w:r>
      <w:r w:rsidR="00F70F4B" w:rsidRPr="003E73CD">
        <w:rPr>
          <w:sz w:val="22"/>
          <w:szCs w:val="22"/>
        </w:rPr>
        <w:t>www.melanomacalculator.com</w:t>
      </w:r>
      <w:r w:rsidRPr="003E73CD">
        <w:rPr>
          <w:sz w:val="22"/>
          <w:szCs w:val="22"/>
        </w:rPr>
        <w:t>)</w:t>
      </w:r>
      <w:r w:rsidR="00F70F4B" w:rsidRPr="003E73CD">
        <w:rPr>
          <w:sz w:val="22"/>
          <w:szCs w:val="22"/>
        </w:rPr>
        <w:t xml:space="preserve"> in order to obtain</w:t>
      </w:r>
      <w:r w:rsidRPr="003E73CD">
        <w:rPr>
          <w:sz w:val="22"/>
          <w:szCs w:val="22"/>
        </w:rPr>
        <w:t xml:space="preserve"> </w:t>
      </w:r>
      <w:r w:rsidR="00F70F4B" w:rsidRPr="003E73CD">
        <w:rPr>
          <w:sz w:val="22"/>
          <w:szCs w:val="22"/>
        </w:rPr>
        <w:t xml:space="preserve">and record the </w:t>
      </w:r>
      <w:r w:rsidRPr="003E73CD">
        <w:rPr>
          <w:sz w:val="22"/>
          <w:szCs w:val="22"/>
        </w:rPr>
        <w:t>predicted 5-yea</w:t>
      </w:r>
      <w:r w:rsidR="00F70F4B" w:rsidRPr="003E73CD">
        <w:rPr>
          <w:sz w:val="22"/>
          <w:szCs w:val="22"/>
        </w:rPr>
        <w:t>r survival rate</w:t>
      </w:r>
      <w:r w:rsidR="002352DA" w:rsidRPr="003E73CD">
        <w:rPr>
          <w:sz w:val="22"/>
          <w:szCs w:val="22"/>
        </w:rPr>
        <w:t>s</w:t>
      </w:r>
      <w:r w:rsidRPr="003E73CD">
        <w:rPr>
          <w:sz w:val="22"/>
          <w:szCs w:val="22"/>
        </w:rPr>
        <w:t>.</w:t>
      </w:r>
    </w:p>
    <w:p w14:paraId="0F5C2982" w14:textId="77777777" w:rsidR="00DC5648" w:rsidRDefault="00DC5648" w:rsidP="00DC5648">
      <w:pPr>
        <w:spacing w:line="480" w:lineRule="auto"/>
        <w:rPr>
          <w:sz w:val="22"/>
          <w:szCs w:val="22"/>
        </w:rPr>
      </w:pPr>
    </w:p>
    <w:p w14:paraId="4D71C31F" w14:textId="748C852A" w:rsidR="00DC5648" w:rsidRDefault="00DC5648" w:rsidP="00DC5648">
      <w:pPr>
        <w:spacing w:line="480" w:lineRule="auto"/>
        <w:rPr>
          <w:sz w:val="22"/>
          <w:szCs w:val="22"/>
        </w:rPr>
      </w:pPr>
      <w:r>
        <w:rPr>
          <w:sz w:val="22"/>
          <w:szCs w:val="22"/>
        </w:rPr>
        <w:t>Statistical methods</w:t>
      </w:r>
    </w:p>
    <w:p w14:paraId="55E48706" w14:textId="77777777" w:rsidR="005E0144" w:rsidRDefault="006602C1" w:rsidP="0061482C">
      <w:pPr>
        <w:spacing w:line="480" w:lineRule="auto"/>
        <w:ind w:firstLine="720"/>
        <w:rPr>
          <w:sz w:val="22"/>
          <w:szCs w:val="22"/>
        </w:rPr>
      </w:pPr>
      <w:r w:rsidRPr="003E73CD">
        <w:rPr>
          <w:sz w:val="22"/>
          <w:szCs w:val="22"/>
        </w:rPr>
        <w:t xml:space="preserve">Statistical comparisons were made using SPSS version 22.  Kaplan-Meier survival curves were calculated for the four survival tree groups and the log rank test was used to test for differences between the groups.  </w:t>
      </w:r>
      <w:r w:rsidR="00091FF1" w:rsidRPr="003E73CD">
        <w:rPr>
          <w:sz w:val="22"/>
          <w:szCs w:val="22"/>
        </w:rPr>
        <w:t xml:space="preserve">The values for predicted 5-year survival determined by each online prognostic calculator were used to divide the study population into quartiles (Group 1: predicted survival 76-100%, Group 2: predicted survival 51-75%, Group 3: predicted survival 26-50% and Group 4: predicted survival 0-25%).  </w:t>
      </w:r>
      <w:r w:rsidR="00011A73" w:rsidRPr="003E73CD">
        <w:rPr>
          <w:sz w:val="22"/>
          <w:szCs w:val="22"/>
        </w:rPr>
        <w:t xml:space="preserve">Separate </w:t>
      </w:r>
      <w:r w:rsidR="00F70F4B" w:rsidRPr="003E73CD">
        <w:rPr>
          <w:sz w:val="22"/>
          <w:szCs w:val="22"/>
        </w:rPr>
        <w:t>Kaplan</w:t>
      </w:r>
      <w:r w:rsidR="00091FF1" w:rsidRPr="003E73CD">
        <w:rPr>
          <w:sz w:val="22"/>
          <w:szCs w:val="22"/>
        </w:rPr>
        <w:t>-Meier survival curves were then</w:t>
      </w:r>
      <w:r w:rsidR="00F70F4B" w:rsidRPr="003E73CD">
        <w:rPr>
          <w:sz w:val="22"/>
          <w:szCs w:val="22"/>
        </w:rPr>
        <w:t xml:space="preserve"> calculated for the study patients according to th</w:t>
      </w:r>
      <w:r w:rsidR="00011A73" w:rsidRPr="003E73CD">
        <w:rPr>
          <w:sz w:val="22"/>
          <w:szCs w:val="22"/>
        </w:rPr>
        <w:t>eir predicted 5-year survival</w:t>
      </w:r>
      <w:r w:rsidR="00F70F4B" w:rsidRPr="003E73CD">
        <w:rPr>
          <w:sz w:val="22"/>
          <w:szCs w:val="22"/>
        </w:rPr>
        <w:t xml:space="preserve"> </w:t>
      </w:r>
      <w:r w:rsidR="00011A73" w:rsidRPr="003E73CD">
        <w:rPr>
          <w:sz w:val="22"/>
          <w:szCs w:val="22"/>
        </w:rPr>
        <w:t xml:space="preserve">as </w:t>
      </w:r>
      <w:r w:rsidR="00F70F4B" w:rsidRPr="003E73CD">
        <w:rPr>
          <w:sz w:val="22"/>
          <w:szCs w:val="22"/>
        </w:rPr>
        <w:t>determined by each online prognost</w:t>
      </w:r>
      <w:r w:rsidR="00011A73" w:rsidRPr="003E73CD">
        <w:rPr>
          <w:sz w:val="22"/>
          <w:szCs w:val="22"/>
        </w:rPr>
        <w:t>ic calculator and then grouped into quartiles.</w:t>
      </w:r>
      <w:r w:rsidR="00F86D71" w:rsidRPr="003E73CD">
        <w:rPr>
          <w:sz w:val="22"/>
          <w:szCs w:val="22"/>
        </w:rPr>
        <w:t xml:space="preserve"> </w:t>
      </w:r>
      <w:r w:rsidR="00011A73" w:rsidRPr="003E73CD">
        <w:rPr>
          <w:sz w:val="22"/>
          <w:szCs w:val="22"/>
        </w:rPr>
        <w:t xml:space="preserve"> </w:t>
      </w:r>
    </w:p>
    <w:p w14:paraId="682D8570" w14:textId="34F10FF9" w:rsidR="0061482C" w:rsidRPr="003E73CD" w:rsidRDefault="006602C1" w:rsidP="0061482C">
      <w:pPr>
        <w:spacing w:line="480" w:lineRule="auto"/>
        <w:ind w:firstLine="720"/>
        <w:rPr>
          <w:sz w:val="22"/>
          <w:szCs w:val="22"/>
        </w:rPr>
      </w:pPr>
      <w:proofErr w:type="gramStart"/>
      <w:r w:rsidRPr="003E73CD">
        <w:rPr>
          <w:sz w:val="22"/>
          <w:szCs w:val="22"/>
        </w:rPr>
        <w:t>Compa</w:t>
      </w:r>
      <w:r w:rsidR="00091FF1" w:rsidRPr="003E73CD">
        <w:rPr>
          <w:sz w:val="22"/>
          <w:szCs w:val="22"/>
        </w:rPr>
        <w:t>rison</w:t>
      </w:r>
      <w:r w:rsidR="00F70F4B" w:rsidRPr="003E73CD">
        <w:rPr>
          <w:sz w:val="22"/>
          <w:szCs w:val="22"/>
        </w:rPr>
        <w:t xml:space="preserve"> between the online </w:t>
      </w:r>
      <w:r w:rsidRPr="003E73CD">
        <w:rPr>
          <w:sz w:val="22"/>
          <w:szCs w:val="22"/>
        </w:rPr>
        <w:t>prognostic calculator</w:t>
      </w:r>
      <w:r w:rsidR="00F70F4B" w:rsidRPr="003E73CD">
        <w:rPr>
          <w:sz w:val="22"/>
          <w:szCs w:val="22"/>
        </w:rPr>
        <w:t>s</w:t>
      </w:r>
      <w:r w:rsidRPr="003E73CD">
        <w:rPr>
          <w:sz w:val="22"/>
          <w:szCs w:val="22"/>
        </w:rPr>
        <w:t xml:space="preserve"> and the</w:t>
      </w:r>
      <w:r w:rsidR="00F70F4B" w:rsidRPr="003E73CD">
        <w:rPr>
          <w:sz w:val="22"/>
          <w:szCs w:val="22"/>
        </w:rPr>
        <w:t xml:space="preserve"> s</w:t>
      </w:r>
      <w:r w:rsidR="00091FF1" w:rsidRPr="003E73CD">
        <w:rPr>
          <w:sz w:val="22"/>
          <w:szCs w:val="22"/>
        </w:rPr>
        <w:t>urvival tree classification was</w:t>
      </w:r>
      <w:r w:rsidRPr="003E73CD">
        <w:rPr>
          <w:sz w:val="22"/>
          <w:szCs w:val="22"/>
        </w:rPr>
        <w:t xml:space="preserve"> performed by</w:t>
      </w:r>
      <w:r w:rsidR="00B90035" w:rsidRPr="003E73CD">
        <w:rPr>
          <w:sz w:val="22"/>
          <w:szCs w:val="22"/>
        </w:rPr>
        <w:t xml:space="preserve"> plotting the receiver operator</w:t>
      </w:r>
      <w:r w:rsidRPr="003E73CD">
        <w:rPr>
          <w:sz w:val="22"/>
          <w:szCs w:val="22"/>
        </w:rPr>
        <w:t xml:space="preserve"> characteristic (ROC) curves for each classifier as a determinant of status at 5 years (alive or dead)</w:t>
      </w:r>
      <w:r w:rsidR="00F70F4B" w:rsidRPr="003E73CD">
        <w:rPr>
          <w:sz w:val="22"/>
          <w:szCs w:val="22"/>
        </w:rPr>
        <w:t xml:space="preserve"> and determining the area beneath the curve in each case</w:t>
      </w:r>
      <w:proofErr w:type="gramEnd"/>
      <w:r w:rsidRPr="003E73CD">
        <w:rPr>
          <w:sz w:val="22"/>
          <w:szCs w:val="22"/>
        </w:rPr>
        <w:t xml:space="preserve">.  </w:t>
      </w:r>
      <w:r w:rsidR="009A6111">
        <w:rPr>
          <w:sz w:val="22"/>
          <w:szCs w:val="22"/>
        </w:rPr>
        <w:t xml:space="preserve">ROC curves are a plot of the false positive rate (1-specificity) on the </w:t>
      </w:r>
      <w:proofErr w:type="gramStart"/>
      <w:r w:rsidR="009A6111">
        <w:rPr>
          <w:sz w:val="22"/>
          <w:szCs w:val="22"/>
        </w:rPr>
        <w:t>x axis</w:t>
      </w:r>
      <w:proofErr w:type="gramEnd"/>
      <w:r w:rsidR="009A6111">
        <w:rPr>
          <w:sz w:val="22"/>
          <w:szCs w:val="22"/>
        </w:rPr>
        <w:t xml:space="preserve"> against the true positive rate (sensitivity) on the y axis.  A test that is non-discriminatory i.e. gives the same outcome as flipping a coin</w:t>
      </w:r>
      <w:r w:rsidR="002A0DBC">
        <w:rPr>
          <w:sz w:val="22"/>
          <w:szCs w:val="22"/>
        </w:rPr>
        <w:t>,</w:t>
      </w:r>
      <w:r w:rsidR="009A6111">
        <w:rPr>
          <w:sz w:val="22"/>
          <w:szCs w:val="22"/>
        </w:rPr>
        <w:t xml:space="preserve"> would produce a straight diagonal</w:t>
      </w:r>
      <w:r w:rsidR="008A7951">
        <w:rPr>
          <w:sz w:val="22"/>
          <w:szCs w:val="22"/>
        </w:rPr>
        <w:t xml:space="preserve"> line from the point (0,0) to (1,1)</w:t>
      </w:r>
      <w:r w:rsidR="005E0144">
        <w:rPr>
          <w:sz w:val="22"/>
          <w:szCs w:val="22"/>
        </w:rPr>
        <w:t xml:space="preserve"> with an area under the line of 0.5</w:t>
      </w:r>
      <w:r w:rsidR="009A6111">
        <w:rPr>
          <w:sz w:val="22"/>
          <w:szCs w:val="22"/>
        </w:rPr>
        <w:t>.  The more sensitive and speci</w:t>
      </w:r>
      <w:r w:rsidR="004541F8">
        <w:rPr>
          <w:sz w:val="22"/>
          <w:szCs w:val="22"/>
        </w:rPr>
        <w:t xml:space="preserve">fic the test the closer it forms a curve that rises steeply following the </w:t>
      </w:r>
      <w:proofErr w:type="gramStart"/>
      <w:r w:rsidR="004541F8">
        <w:rPr>
          <w:sz w:val="22"/>
          <w:szCs w:val="22"/>
        </w:rPr>
        <w:t>y axis</w:t>
      </w:r>
      <w:proofErr w:type="gramEnd"/>
      <w:r w:rsidR="004541F8">
        <w:rPr>
          <w:sz w:val="22"/>
          <w:szCs w:val="22"/>
        </w:rPr>
        <w:t xml:space="preserve">.  Thus, the </w:t>
      </w:r>
      <w:r w:rsidR="005E0144">
        <w:rPr>
          <w:sz w:val="22"/>
          <w:szCs w:val="22"/>
        </w:rPr>
        <w:t>greater will be the area under</w:t>
      </w:r>
      <w:r w:rsidR="004541F8">
        <w:rPr>
          <w:sz w:val="22"/>
          <w:szCs w:val="22"/>
        </w:rPr>
        <w:t xml:space="preserve"> the curve in such cases</w:t>
      </w:r>
      <w:r w:rsidR="005E0144">
        <w:rPr>
          <w:sz w:val="22"/>
          <w:szCs w:val="22"/>
        </w:rPr>
        <w:t>, with the maximum possible being 1.0</w:t>
      </w:r>
      <w:r w:rsidR="004541F8">
        <w:rPr>
          <w:sz w:val="22"/>
          <w:szCs w:val="22"/>
        </w:rPr>
        <w:t xml:space="preserve">.  </w:t>
      </w:r>
      <w:r w:rsidR="005E0144">
        <w:rPr>
          <w:sz w:val="22"/>
          <w:szCs w:val="22"/>
        </w:rPr>
        <w:t xml:space="preserve">For each ROC curve the standard error of the area under the curve was calculated and the asymptotic p value was calculated against the null hypothesis that the area under the curve = 0.5.  </w:t>
      </w:r>
      <w:r w:rsidRPr="003E73CD">
        <w:rPr>
          <w:sz w:val="22"/>
          <w:szCs w:val="22"/>
        </w:rPr>
        <w:t>In all cases a p value &lt;0.05 was considered significant.</w:t>
      </w:r>
    </w:p>
    <w:p w14:paraId="35651878" w14:textId="77777777" w:rsidR="0061482C" w:rsidRPr="003E73CD" w:rsidRDefault="0061482C" w:rsidP="0061482C">
      <w:pPr>
        <w:spacing w:line="480" w:lineRule="auto"/>
        <w:rPr>
          <w:sz w:val="22"/>
          <w:szCs w:val="22"/>
        </w:rPr>
      </w:pPr>
    </w:p>
    <w:p w14:paraId="026873F6" w14:textId="77777777" w:rsidR="0061482C" w:rsidRPr="003E73CD" w:rsidRDefault="0061482C" w:rsidP="0061482C">
      <w:pPr>
        <w:spacing w:line="480" w:lineRule="auto"/>
        <w:rPr>
          <w:sz w:val="22"/>
          <w:szCs w:val="22"/>
        </w:rPr>
      </w:pPr>
      <w:r w:rsidRPr="003E73CD">
        <w:rPr>
          <w:sz w:val="22"/>
          <w:szCs w:val="22"/>
        </w:rPr>
        <w:t>RESULTS</w:t>
      </w:r>
    </w:p>
    <w:p w14:paraId="0A2945A9" w14:textId="0D65B2AB" w:rsidR="006D73EB" w:rsidRPr="003E73CD" w:rsidRDefault="004A3EC2" w:rsidP="0061482C">
      <w:pPr>
        <w:spacing w:line="480" w:lineRule="auto"/>
        <w:ind w:firstLine="720"/>
        <w:rPr>
          <w:sz w:val="22"/>
          <w:szCs w:val="22"/>
        </w:rPr>
      </w:pPr>
      <w:r w:rsidRPr="003E73CD">
        <w:rPr>
          <w:sz w:val="22"/>
          <w:szCs w:val="22"/>
        </w:rPr>
        <w:t xml:space="preserve">There were 63 eligible patients.  Fifteen patients were excluded as they did not undergo completion lymph node dissection and 4 patients were excluded as they had undergone follow-up at a different institution.  </w:t>
      </w:r>
      <w:r w:rsidR="0061482C" w:rsidRPr="003E73CD">
        <w:rPr>
          <w:sz w:val="22"/>
          <w:szCs w:val="22"/>
        </w:rPr>
        <w:t xml:space="preserve">After exclusions there were 44 patients suitable for analysis.  The characteristics of the study patients are shown in </w:t>
      </w:r>
      <w:r w:rsidR="002A0DBC">
        <w:rPr>
          <w:sz w:val="22"/>
          <w:szCs w:val="22"/>
        </w:rPr>
        <w:t>Table 3.3</w:t>
      </w:r>
      <w:r w:rsidR="00E261E9" w:rsidRPr="003E73CD">
        <w:rPr>
          <w:sz w:val="22"/>
          <w:szCs w:val="22"/>
        </w:rPr>
        <w:t>.2</w:t>
      </w:r>
      <w:r w:rsidR="0061482C" w:rsidRPr="003E73CD">
        <w:rPr>
          <w:sz w:val="22"/>
          <w:szCs w:val="22"/>
        </w:rPr>
        <w:t xml:space="preserve">.  The distribution of occult metastases within sentinel and non-sentinel nodes is shown in </w:t>
      </w:r>
      <w:r w:rsidR="002A0DBC">
        <w:rPr>
          <w:sz w:val="22"/>
          <w:szCs w:val="22"/>
        </w:rPr>
        <w:t>Table 3.3</w:t>
      </w:r>
      <w:r w:rsidR="00E261E9" w:rsidRPr="003E73CD">
        <w:rPr>
          <w:sz w:val="22"/>
          <w:szCs w:val="22"/>
        </w:rPr>
        <w:t>.3</w:t>
      </w:r>
      <w:r w:rsidR="0061482C" w:rsidRPr="003E73CD">
        <w:rPr>
          <w:sz w:val="22"/>
          <w:szCs w:val="22"/>
        </w:rPr>
        <w:t xml:space="preserve">.  </w:t>
      </w:r>
      <w:r w:rsidR="003F5D8F" w:rsidRPr="003E73CD">
        <w:rPr>
          <w:sz w:val="22"/>
          <w:szCs w:val="22"/>
        </w:rPr>
        <w:t xml:space="preserve">The details regarding recurrences and deaths by </w:t>
      </w:r>
      <w:r w:rsidR="007A0057" w:rsidRPr="003E73CD">
        <w:rPr>
          <w:sz w:val="22"/>
          <w:szCs w:val="22"/>
        </w:rPr>
        <w:t xml:space="preserve">survival tree </w:t>
      </w:r>
      <w:r w:rsidR="003F5D8F" w:rsidRPr="003E73CD">
        <w:rPr>
          <w:sz w:val="22"/>
          <w:szCs w:val="22"/>
        </w:rPr>
        <w:t xml:space="preserve">group are contained in </w:t>
      </w:r>
      <w:r w:rsidR="002A0DBC">
        <w:rPr>
          <w:sz w:val="22"/>
          <w:szCs w:val="22"/>
        </w:rPr>
        <w:t>Table 3.3</w:t>
      </w:r>
      <w:r w:rsidR="00E261E9" w:rsidRPr="003E73CD">
        <w:rPr>
          <w:sz w:val="22"/>
          <w:szCs w:val="22"/>
        </w:rPr>
        <w:t>.4</w:t>
      </w:r>
      <w:r w:rsidR="003F5D8F" w:rsidRPr="003E73CD">
        <w:rPr>
          <w:sz w:val="22"/>
          <w:szCs w:val="22"/>
        </w:rPr>
        <w:t xml:space="preserve">.  </w:t>
      </w:r>
    </w:p>
    <w:p w14:paraId="4EAC6B28" w14:textId="77777777" w:rsidR="006D73EB" w:rsidRPr="003E73CD" w:rsidRDefault="006D73EB">
      <w:pPr>
        <w:rPr>
          <w:sz w:val="22"/>
          <w:szCs w:val="22"/>
        </w:rPr>
      </w:pPr>
    </w:p>
    <w:p w14:paraId="4797C322" w14:textId="77777777" w:rsidR="006D73EB" w:rsidRPr="003E73CD" w:rsidRDefault="006D73EB">
      <w:pPr>
        <w:rPr>
          <w:sz w:val="22"/>
          <w:szCs w:val="22"/>
        </w:rPr>
      </w:pPr>
    </w:p>
    <w:p w14:paraId="210D2899" w14:textId="77777777" w:rsidR="0056219D" w:rsidRDefault="0056219D">
      <w:pPr>
        <w:rPr>
          <w:sz w:val="22"/>
          <w:szCs w:val="22"/>
        </w:rPr>
      </w:pPr>
      <w:r>
        <w:rPr>
          <w:sz w:val="22"/>
          <w:szCs w:val="22"/>
        </w:rPr>
        <w:br w:type="page"/>
      </w:r>
    </w:p>
    <w:p w14:paraId="2425D4E2" w14:textId="632517C1" w:rsidR="006D73EB" w:rsidRPr="003E73CD" w:rsidRDefault="002A0DBC" w:rsidP="006D73EB">
      <w:pPr>
        <w:spacing w:line="480" w:lineRule="auto"/>
        <w:rPr>
          <w:sz w:val="22"/>
          <w:szCs w:val="22"/>
        </w:rPr>
      </w:pPr>
      <w:r>
        <w:rPr>
          <w:sz w:val="22"/>
          <w:szCs w:val="22"/>
        </w:rPr>
        <w:t>Table 3.3</w:t>
      </w:r>
      <w:r w:rsidR="006D73EB" w:rsidRPr="003E73CD">
        <w:rPr>
          <w:sz w:val="22"/>
          <w:szCs w:val="22"/>
        </w:rPr>
        <w:t>.2.  Characteristics of the study patients (n=44) compared to the original Australian population (n=323) on which survival tree was based.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7"/>
        <w:gridCol w:w="2966"/>
        <w:gridCol w:w="2531"/>
      </w:tblGrid>
      <w:tr w:rsidR="006D73EB" w:rsidRPr="003E73CD" w14:paraId="31FC5131" w14:textId="77777777" w:rsidTr="006D73EB">
        <w:trPr>
          <w:trHeight w:val="104"/>
        </w:trPr>
        <w:tc>
          <w:tcPr>
            <w:tcW w:w="1846" w:type="pct"/>
            <w:vMerge w:val="restart"/>
            <w:shd w:val="clear" w:color="auto" w:fill="auto"/>
          </w:tcPr>
          <w:p w14:paraId="5A649A4C" w14:textId="77777777" w:rsidR="006D73EB" w:rsidRPr="003E73CD" w:rsidRDefault="006D73EB" w:rsidP="006D73EB">
            <w:pPr>
              <w:rPr>
                <w:sz w:val="22"/>
                <w:szCs w:val="22"/>
              </w:rPr>
            </w:pPr>
            <w:r w:rsidRPr="003E73CD">
              <w:rPr>
                <w:sz w:val="22"/>
                <w:szCs w:val="22"/>
              </w:rPr>
              <w:t>Variable</w:t>
            </w:r>
          </w:p>
        </w:tc>
        <w:tc>
          <w:tcPr>
            <w:tcW w:w="3154" w:type="pct"/>
            <w:gridSpan w:val="2"/>
            <w:shd w:val="clear" w:color="auto" w:fill="auto"/>
          </w:tcPr>
          <w:p w14:paraId="6080384A" w14:textId="77777777" w:rsidR="006D73EB" w:rsidRPr="003E73CD" w:rsidRDefault="006D73EB" w:rsidP="006D73EB">
            <w:pPr>
              <w:rPr>
                <w:sz w:val="22"/>
                <w:szCs w:val="22"/>
              </w:rPr>
            </w:pPr>
            <w:r w:rsidRPr="003E73CD">
              <w:rPr>
                <w:sz w:val="22"/>
                <w:szCs w:val="22"/>
              </w:rPr>
              <w:t>Mean (</w:t>
            </w:r>
            <w:r w:rsidRPr="003E73CD">
              <w:rPr>
                <w:rFonts w:eastAsia="ＭＳ ゴシック"/>
                <w:color w:val="000000"/>
                <w:sz w:val="22"/>
                <w:szCs w:val="22"/>
              </w:rPr>
              <w:t>±</w:t>
            </w:r>
            <w:r w:rsidRPr="003E73CD">
              <w:rPr>
                <w:sz w:val="22"/>
                <w:szCs w:val="22"/>
              </w:rPr>
              <w:t>standard deviation) or Number (%)</w:t>
            </w:r>
          </w:p>
        </w:tc>
      </w:tr>
      <w:tr w:rsidR="006D73EB" w:rsidRPr="003E73CD" w14:paraId="292D2D6E" w14:textId="77777777" w:rsidTr="006D73EB">
        <w:trPr>
          <w:trHeight w:val="526"/>
        </w:trPr>
        <w:tc>
          <w:tcPr>
            <w:tcW w:w="1846" w:type="pct"/>
            <w:vMerge/>
            <w:shd w:val="clear" w:color="auto" w:fill="auto"/>
          </w:tcPr>
          <w:p w14:paraId="37C38444" w14:textId="77777777" w:rsidR="006D73EB" w:rsidRPr="003E73CD" w:rsidRDefault="006D73EB" w:rsidP="006D73EB">
            <w:pPr>
              <w:rPr>
                <w:sz w:val="22"/>
                <w:szCs w:val="22"/>
              </w:rPr>
            </w:pPr>
          </w:p>
        </w:tc>
        <w:tc>
          <w:tcPr>
            <w:tcW w:w="1702" w:type="pct"/>
            <w:shd w:val="clear" w:color="auto" w:fill="auto"/>
          </w:tcPr>
          <w:p w14:paraId="62B5F8C5" w14:textId="77777777" w:rsidR="006D73EB" w:rsidRPr="003E73CD" w:rsidRDefault="006D73EB" w:rsidP="006D73EB">
            <w:pPr>
              <w:rPr>
                <w:sz w:val="22"/>
                <w:szCs w:val="22"/>
              </w:rPr>
            </w:pPr>
            <w:r w:rsidRPr="003E73CD">
              <w:rPr>
                <w:sz w:val="22"/>
                <w:szCs w:val="22"/>
              </w:rPr>
              <w:t>Current study (n=44)</w:t>
            </w:r>
          </w:p>
        </w:tc>
        <w:tc>
          <w:tcPr>
            <w:tcW w:w="1452" w:type="pct"/>
          </w:tcPr>
          <w:p w14:paraId="7A15961F" w14:textId="77777777" w:rsidR="006D73EB" w:rsidRPr="003E73CD" w:rsidRDefault="006D73EB" w:rsidP="006D73EB">
            <w:pPr>
              <w:rPr>
                <w:sz w:val="22"/>
                <w:szCs w:val="22"/>
              </w:rPr>
            </w:pPr>
            <w:r w:rsidRPr="003E73CD">
              <w:rPr>
                <w:sz w:val="22"/>
                <w:szCs w:val="22"/>
              </w:rPr>
              <w:t>Original study (n=323)</w:t>
            </w:r>
          </w:p>
        </w:tc>
      </w:tr>
      <w:tr w:rsidR="006D73EB" w:rsidRPr="003E73CD" w14:paraId="2B6307EE" w14:textId="77777777" w:rsidTr="006D73EB">
        <w:tc>
          <w:tcPr>
            <w:tcW w:w="1846" w:type="pct"/>
            <w:shd w:val="clear" w:color="auto" w:fill="auto"/>
          </w:tcPr>
          <w:p w14:paraId="4534ACB4" w14:textId="77777777" w:rsidR="006D73EB" w:rsidRPr="003E73CD" w:rsidRDefault="006D73EB" w:rsidP="006D73EB">
            <w:pPr>
              <w:rPr>
                <w:sz w:val="22"/>
                <w:szCs w:val="22"/>
              </w:rPr>
            </w:pPr>
            <w:r w:rsidRPr="003E73CD">
              <w:rPr>
                <w:sz w:val="22"/>
                <w:szCs w:val="22"/>
              </w:rPr>
              <w:t>Age at sentinel node biopsy</w:t>
            </w:r>
          </w:p>
        </w:tc>
        <w:tc>
          <w:tcPr>
            <w:tcW w:w="1702" w:type="pct"/>
            <w:shd w:val="clear" w:color="auto" w:fill="auto"/>
          </w:tcPr>
          <w:p w14:paraId="10D243C5" w14:textId="77777777" w:rsidR="006D73EB" w:rsidRPr="003E73CD" w:rsidRDefault="006D73EB" w:rsidP="006D73EB">
            <w:pPr>
              <w:rPr>
                <w:sz w:val="22"/>
                <w:szCs w:val="22"/>
              </w:rPr>
            </w:pPr>
            <w:r w:rsidRPr="003E73CD">
              <w:rPr>
                <w:sz w:val="22"/>
                <w:szCs w:val="22"/>
              </w:rPr>
              <w:t>51.4 (</w:t>
            </w:r>
            <w:r w:rsidRPr="003E73CD">
              <w:rPr>
                <w:rFonts w:eastAsia="ＭＳ ゴシック"/>
                <w:color w:val="000000"/>
                <w:sz w:val="22"/>
                <w:szCs w:val="22"/>
              </w:rPr>
              <w:t>±16.8)</w:t>
            </w:r>
          </w:p>
        </w:tc>
        <w:tc>
          <w:tcPr>
            <w:tcW w:w="1452" w:type="pct"/>
          </w:tcPr>
          <w:p w14:paraId="6D7E8FE4" w14:textId="77777777" w:rsidR="006D73EB" w:rsidRPr="003E73CD" w:rsidRDefault="006D73EB" w:rsidP="006D73EB">
            <w:pPr>
              <w:rPr>
                <w:sz w:val="22"/>
                <w:szCs w:val="22"/>
              </w:rPr>
            </w:pPr>
            <w:r w:rsidRPr="003E73CD">
              <w:rPr>
                <w:sz w:val="22"/>
              </w:rPr>
              <w:t>52.3 (± 16.9)</w:t>
            </w:r>
          </w:p>
        </w:tc>
      </w:tr>
      <w:tr w:rsidR="006D73EB" w:rsidRPr="003E73CD" w14:paraId="4EFCDD60" w14:textId="77777777" w:rsidTr="006D73EB">
        <w:tc>
          <w:tcPr>
            <w:tcW w:w="1846" w:type="pct"/>
            <w:shd w:val="clear" w:color="auto" w:fill="auto"/>
          </w:tcPr>
          <w:p w14:paraId="1133F0BB" w14:textId="77777777" w:rsidR="006D73EB" w:rsidRPr="003E73CD" w:rsidRDefault="006D73EB" w:rsidP="006D73EB">
            <w:pPr>
              <w:rPr>
                <w:sz w:val="22"/>
                <w:szCs w:val="22"/>
              </w:rPr>
            </w:pPr>
            <w:r w:rsidRPr="003E73CD">
              <w:rPr>
                <w:sz w:val="22"/>
                <w:szCs w:val="22"/>
              </w:rPr>
              <w:t>Gender</w:t>
            </w:r>
          </w:p>
        </w:tc>
        <w:tc>
          <w:tcPr>
            <w:tcW w:w="1702" w:type="pct"/>
            <w:shd w:val="clear" w:color="auto" w:fill="auto"/>
          </w:tcPr>
          <w:p w14:paraId="10A7036A" w14:textId="77777777" w:rsidR="006D73EB" w:rsidRPr="003E73CD" w:rsidRDefault="006D73EB" w:rsidP="006D73EB">
            <w:pPr>
              <w:rPr>
                <w:sz w:val="22"/>
                <w:szCs w:val="22"/>
              </w:rPr>
            </w:pPr>
          </w:p>
        </w:tc>
        <w:tc>
          <w:tcPr>
            <w:tcW w:w="1452" w:type="pct"/>
          </w:tcPr>
          <w:p w14:paraId="723AA5F0" w14:textId="77777777" w:rsidR="006D73EB" w:rsidRPr="003E73CD" w:rsidRDefault="006D73EB" w:rsidP="006D73EB">
            <w:pPr>
              <w:rPr>
                <w:sz w:val="22"/>
                <w:szCs w:val="22"/>
              </w:rPr>
            </w:pPr>
          </w:p>
        </w:tc>
      </w:tr>
      <w:tr w:rsidR="006D73EB" w:rsidRPr="003E73CD" w14:paraId="2E729919" w14:textId="77777777" w:rsidTr="006D73EB">
        <w:tc>
          <w:tcPr>
            <w:tcW w:w="1846" w:type="pct"/>
            <w:shd w:val="clear" w:color="auto" w:fill="auto"/>
          </w:tcPr>
          <w:p w14:paraId="55C58903" w14:textId="77777777" w:rsidR="006D73EB" w:rsidRPr="003E73CD" w:rsidRDefault="006D73EB" w:rsidP="006D73EB">
            <w:pPr>
              <w:rPr>
                <w:sz w:val="22"/>
                <w:szCs w:val="22"/>
              </w:rPr>
            </w:pPr>
            <w:r w:rsidRPr="003E73CD">
              <w:rPr>
                <w:sz w:val="22"/>
                <w:szCs w:val="22"/>
              </w:rPr>
              <w:t>Male</w:t>
            </w:r>
          </w:p>
        </w:tc>
        <w:tc>
          <w:tcPr>
            <w:tcW w:w="1702" w:type="pct"/>
            <w:shd w:val="clear" w:color="auto" w:fill="auto"/>
          </w:tcPr>
          <w:p w14:paraId="16260977" w14:textId="755E3201" w:rsidR="006D73EB" w:rsidRPr="003E73CD" w:rsidRDefault="006D73EB" w:rsidP="006D73EB">
            <w:pPr>
              <w:rPr>
                <w:sz w:val="22"/>
                <w:szCs w:val="22"/>
              </w:rPr>
            </w:pPr>
            <w:r w:rsidRPr="003E73CD">
              <w:rPr>
                <w:sz w:val="22"/>
                <w:szCs w:val="22"/>
              </w:rPr>
              <w:t>25</w:t>
            </w:r>
            <w:r w:rsidR="00CC2039">
              <w:rPr>
                <w:sz w:val="22"/>
                <w:szCs w:val="22"/>
              </w:rPr>
              <w:t xml:space="preserve"> (56.8)</w:t>
            </w:r>
          </w:p>
        </w:tc>
        <w:tc>
          <w:tcPr>
            <w:tcW w:w="1452" w:type="pct"/>
          </w:tcPr>
          <w:p w14:paraId="4C45D7BF" w14:textId="77777777" w:rsidR="006D73EB" w:rsidRPr="003E73CD" w:rsidRDefault="006D73EB" w:rsidP="006D73EB">
            <w:pPr>
              <w:rPr>
                <w:sz w:val="22"/>
              </w:rPr>
            </w:pPr>
            <w:r w:rsidRPr="003E73CD">
              <w:rPr>
                <w:sz w:val="22"/>
              </w:rPr>
              <w:t>198 (61.3)</w:t>
            </w:r>
          </w:p>
        </w:tc>
      </w:tr>
      <w:tr w:rsidR="006D73EB" w:rsidRPr="003E73CD" w14:paraId="689F16C6" w14:textId="77777777" w:rsidTr="006D73EB">
        <w:tc>
          <w:tcPr>
            <w:tcW w:w="1846" w:type="pct"/>
            <w:shd w:val="clear" w:color="auto" w:fill="auto"/>
          </w:tcPr>
          <w:p w14:paraId="7D681E55" w14:textId="77777777" w:rsidR="006D73EB" w:rsidRPr="003E73CD" w:rsidRDefault="006D73EB" w:rsidP="006D73EB">
            <w:pPr>
              <w:rPr>
                <w:sz w:val="22"/>
                <w:szCs w:val="22"/>
              </w:rPr>
            </w:pPr>
            <w:r w:rsidRPr="003E73CD">
              <w:rPr>
                <w:sz w:val="22"/>
                <w:szCs w:val="22"/>
              </w:rPr>
              <w:t>Female</w:t>
            </w:r>
          </w:p>
        </w:tc>
        <w:tc>
          <w:tcPr>
            <w:tcW w:w="1702" w:type="pct"/>
            <w:shd w:val="clear" w:color="auto" w:fill="auto"/>
          </w:tcPr>
          <w:p w14:paraId="1E60A34F" w14:textId="39B13E95" w:rsidR="006D73EB" w:rsidRPr="003E73CD" w:rsidRDefault="006D73EB" w:rsidP="006D73EB">
            <w:pPr>
              <w:rPr>
                <w:sz w:val="22"/>
                <w:szCs w:val="22"/>
              </w:rPr>
            </w:pPr>
            <w:r w:rsidRPr="003E73CD">
              <w:rPr>
                <w:sz w:val="22"/>
                <w:szCs w:val="22"/>
              </w:rPr>
              <w:t>19</w:t>
            </w:r>
            <w:r w:rsidR="00CC2039">
              <w:rPr>
                <w:sz w:val="22"/>
                <w:szCs w:val="22"/>
              </w:rPr>
              <w:t xml:space="preserve"> (43.2)</w:t>
            </w:r>
          </w:p>
        </w:tc>
        <w:tc>
          <w:tcPr>
            <w:tcW w:w="1452" w:type="pct"/>
          </w:tcPr>
          <w:p w14:paraId="7C65CE0F" w14:textId="77777777" w:rsidR="006D73EB" w:rsidRPr="003E73CD" w:rsidRDefault="006D73EB" w:rsidP="006D73EB">
            <w:pPr>
              <w:rPr>
                <w:sz w:val="22"/>
                <w:szCs w:val="22"/>
              </w:rPr>
            </w:pPr>
            <w:r w:rsidRPr="003E73CD">
              <w:rPr>
                <w:sz w:val="22"/>
              </w:rPr>
              <w:t>125 (38.7)</w:t>
            </w:r>
          </w:p>
        </w:tc>
      </w:tr>
      <w:tr w:rsidR="006D73EB" w:rsidRPr="003E73CD" w14:paraId="26506BFB" w14:textId="77777777" w:rsidTr="006D73EB">
        <w:tc>
          <w:tcPr>
            <w:tcW w:w="1846" w:type="pct"/>
            <w:shd w:val="clear" w:color="auto" w:fill="auto"/>
          </w:tcPr>
          <w:p w14:paraId="3A39978D" w14:textId="77777777" w:rsidR="006D73EB" w:rsidRPr="003E73CD" w:rsidRDefault="006D73EB" w:rsidP="006D73EB">
            <w:pPr>
              <w:rPr>
                <w:sz w:val="22"/>
                <w:szCs w:val="22"/>
              </w:rPr>
            </w:pPr>
            <w:r w:rsidRPr="003E73CD">
              <w:rPr>
                <w:sz w:val="22"/>
                <w:szCs w:val="22"/>
              </w:rPr>
              <w:t>Tumour thickness (mm)</w:t>
            </w:r>
          </w:p>
        </w:tc>
        <w:tc>
          <w:tcPr>
            <w:tcW w:w="1702" w:type="pct"/>
            <w:shd w:val="clear" w:color="auto" w:fill="auto"/>
          </w:tcPr>
          <w:p w14:paraId="4E77CC18" w14:textId="77777777" w:rsidR="006D73EB" w:rsidRPr="003E73CD" w:rsidRDefault="006D73EB" w:rsidP="006D73EB">
            <w:pPr>
              <w:rPr>
                <w:sz w:val="22"/>
                <w:szCs w:val="22"/>
              </w:rPr>
            </w:pPr>
          </w:p>
        </w:tc>
        <w:tc>
          <w:tcPr>
            <w:tcW w:w="1452" w:type="pct"/>
          </w:tcPr>
          <w:p w14:paraId="64DDA6AF" w14:textId="77777777" w:rsidR="006D73EB" w:rsidRPr="003E73CD" w:rsidRDefault="006D73EB" w:rsidP="006D73EB">
            <w:pPr>
              <w:rPr>
                <w:sz w:val="22"/>
                <w:szCs w:val="22"/>
              </w:rPr>
            </w:pPr>
          </w:p>
        </w:tc>
      </w:tr>
      <w:tr w:rsidR="006D73EB" w:rsidRPr="003E73CD" w14:paraId="3801DB02" w14:textId="77777777" w:rsidTr="006D73EB">
        <w:tc>
          <w:tcPr>
            <w:tcW w:w="1846" w:type="pct"/>
            <w:shd w:val="clear" w:color="auto" w:fill="auto"/>
          </w:tcPr>
          <w:p w14:paraId="764B3EF1" w14:textId="77777777" w:rsidR="006D73EB" w:rsidRPr="003E73CD" w:rsidRDefault="006D73EB" w:rsidP="006D73EB">
            <w:pPr>
              <w:rPr>
                <w:sz w:val="22"/>
                <w:szCs w:val="22"/>
              </w:rPr>
            </w:pPr>
            <w:r w:rsidRPr="003E73CD">
              <w:rPr>
                <w:rFonts w:eastAsia="ＭＳ ゴシック"/>
                <w:color w:val="000000"/>
                <w:sz w:val="22"/>
                <w:szCs w:val="22"/>
              </w:rPr>
              <w:t>≤2.0</w:t>
            </w:r>
          </w:p>
        </w:tc>
        <w:tc>
          <w:tcPr>
            <w:tcW w:w="1702" w:type="pct"/>
            <w:shd w:val="clear" w:color="auto" w:fill="auto"/>
          </w:tcPr>
          <w:p w14:paraId="3FBA9DAF" w14:textId="19B675D6" w:rsidR="006D73EB" w:rsidRPr="003E73CD" w:rsidRDefault="006D73EB" w:rsidP="006D73EB">
            <w:pPr>
              <w:rPr>
                <w:sz w:val="22"/>
                <w:szCs w:val="22"/>
              </w:rPr>
            </w:pPr>
            <w:r w:rsidRPr="003E73CD">
              <w:rPr>
                <w:sz w:val="22"/>
                <w:szCs w:val="22"/>
              </w:rPr>
              <w:t>12</w:t>
            </w:r>
            <w:r w:rsidR="00CC2039">
              <w:rPr>
                <w:sz w:val="22"/>
                <w:szCs w:val="22"/>
              </w:rPr>
              <w:t xml:space="preserve"> (27.3)</w:t>
            </w:r>
          </w:p>
        </w:tc>
        <w:tc>
          <w:tcPr>
            <w:tcW w:w="1452" w:type="pct"/>
          </w:tcPr>
          <w:p w14:paraId="75401F68" w14:textId="77777777" w:rsidR="006D73EB" w:rsidRPr="003E73CD" w:rsidRDefault="006D73EB" w:rsidP="006D73EB">
            <w:pPr>
              <w:rPr>
                <w:sz w:val="22"/>
              </w:rPr>
            </w:pPr>
            <w:r w:rsidRPr="003E73CD">
              <w:rPr>
                <w:sz w:val="22"/>
              </w:rPr>
              <w:t>96 (30.0)</w:t>
            </w:r>
          </w:p>
        </w:tc>
      </w:tr>
      <w:tr w:rsidR="006D73EB" w:rsidRPr="003E73CD" w14:paraId="0F332FCE" w14:textId="77777777" w:rsidTr="006D73EB">
        <w:tc>
          <w:tcPr>
            <w:tcW w:w="1846" w:type="pct"/>
            <w:shd w:val="clear" w:color="auto" w:fill="auto"/>
          </w:tcPr>
          <w:p w14:paraId="3A3BA9E1" w14:textId="77777777" w:rsidR="006D73EB" w:rsidRPr="003E73CD" w:rsidRDefault="006D73EB" w:rsidP="006D73EB">
            <w:pPr>
              <w:rPr>
                <w:sz w:val="22"/>
                <w:szCs w:val="22"/>
              </w:rPr>
            </w:pPr>
            <w:r w:rsidRPr="003E73CD">
              <w:rPr>
                <w:sz w:val="22"/>
                <w:szCs w:val="22"/>
              </w:rPr>
              <w:t>2.1 – 4.0</w:t>
            </w:r>
          </w:p>
        </w:tc>
        <w:tc>
          <w:tcPr>
            <w:tcW w:w="1702" w:type="pct"/>
            <w:shd w:val="clear" w:color="auto" w:fill="auto"/>
          </w:tcPr>
          <w:p w14:paraId="1DF0E186" w14:textId="50A3D3B8" w:rsidR="006D73EB" w:rsidRPr="003E73CD" w:rsidRDefault="006D73EB" w:rsidP="006D73EB">
            <w:pPr>
              <w:rPr>
                <w:sz w:val="22"/>
                <w:szCs w:val="22"/>
              </w:rPr>
            </w:pPr>
            <w:r w:rsidRPr="003E73CD">
              <w:rPr>
                <w:sz w:val="22"/>
                <w:szCs w:val="22"/>
              </w:rPr>
              <w:t>23</w:t>
            </w:r>
            <w:r w:rsidR="00CC2039">
              <w:rPr>
                <w:sz w:val="22"/>
                <w:szCs w:val="22"/>
              </w:rPr>
              <w:t xml:space="preserve"> (52.3)</w:t>
            </w:r>
          </w:p>
        </w:tc>
        <w:tc>
          <w:tcPr>
            <w:tcW w:w="1452" w:type="pct"/>
          </w:tcPr>
          <w:p w14:paraId="3D08A1C7" w14:textId="77777777" w:rsidR="006D73EB" w:rsidRPr="003E73CD" w:rsidRDefault="006D73EB" w:rsidP="006D73EB">
            <w:pPr>
              <w:rPr>
                <w:sz w:val="22"/>
                <w:szCs w:val="22"/>
              </w:rPr>
            </w:pPr>
            <w:r w:rsidRPr="003E73CD">
              <w:rPr>
                <w:sz w:val="22"/>
              </w:rPr>
              <w:t>133 (41.7)</w:t>
            </w:r>
          </w:p>
        </w:tc>
      </w:tr>
      <w:tr w:rsidR="006D73EB" w:rsidRPr="003E73CD" w14:paraId="51D0714C" w14:textId="77777777" w:rsidTr="006D73EB">
        <w:tc>
          <w:tcPr>
            <w:tcW w:w="1846" w:type="pct"/>
            <w:shd w:val="clear" w:color="auto" w:fill="auto"/>
          </w:tcPr>
          <w:p w14:paraId="39BDA384" w14:textId="77777777" w:rsidR="006D73EB" w:rsidRPr="003E73CD" w:rsidRDefault="006D73EB" w:rsidP="006D73EB">
            <w:pPr>
              <w:rPr>
                <w:sz w:val="22"/>
                <w:szCs w:val="22"/>
              </w:rPr>
            </w:pPr>
            <w:r w:rsidRPr="003E73CD">
              <w:rPr>
                <w:sz w:val="22"/>
                <w:szCs w:val="22"/>
              </w:rPr>
              <w:t>&gt;4.0</w:t>
            </w:r>
          </w:p>
        </w:tc>
        <w:tc>
          <w:tcPr>
            <w:tcW w:w="1702" w:type="pct"/>
            <w:shd w:val="clear" w:color="auto" w:fill="auto"/>
          </w:tcPr>
          <w:p w14:paraId="3B36C2D7" w14:textId="2BE0D43E" w:rsidR="006D73EB" w:rsidRPr="003E73CD" w:rsidRDefault="006D73EB" w:rsidP="006D73EB">
            <w:pPr>
              <w:rPr>
                <w:sz w:val="22"/>
                <w:szCs w:val="22"/>
              </w:rPr>
            </w:pPr>
            <w:r w:rsidRPr="003E73CD">
              <w:rPr>
                <w:sz w:val="22"/>
                <w:szCs w:val="22"/>
              </w:rPr>
              <w:t>9</w:t>
            </w:r>
            <w:r w:rsidR="00CC2039">
              <w:rPr>
                <w:sz w:val="22"/>
                <w:szCs w:val="22"/>
              </w:rPr>
              <w:t xml:space="preserve"> (20.5)</w:t>
            </w:r>
          </w:p>
        </w:tc>
        <w:tc>
          <w:tcPr>
            <w:tcW w:w="1452" w:type="pct"/>
          </w:tcPr>
          <w:p w14:paraId="3EDD7B50" w14:textId="77777777" w:rsidR="006D73EB" w:rsidRPr="003E73CD" w:rsidRDefault="006D73EB" w:rsidP="006D73EB">
            <w:pPr>
              <w:rPr>
                <w:sz w:val="22"/>
                <w:szCs w:val="22"/>
              </w:rPr>
            </w:pPr>
            <w:r w:rsidRPr="003E73CD">
              <w:rPr>
                <w:sz w:val="22"/>
              </w:rPr>
              <w:t>90 (28.2)</w:t>
            </w:r>
          </w:p>
        </w:tc>
      </w:tr>
      <w:tr w:rsidR="006D73EB" w:rsidRPr="003E73CD" w14:paraId="0B0A36E4" w14:textId="77777777" w:rsidTr="006D73EB">
        <w:tc>
          <w:tcPr>
            <w:tcW w:w="1846" w:type="pct"/>
            <w:shd w:val="clear" w:color="auto" w:fill="auto"/>
          </w:tcPr>
          <w:p w14:paraId="44974428" w14:textId="77777777" w:rsidR="006D73EB" w:rsidRPr="003E73CD" w:rsidRDefault="006D73EB" w:rsidP="006D73EB">
            <w:pPr>
              <w:rPr>
                <w:sz w:val="22"/>
                <w:szCs w:val="22"/>
              </w:rPr>
            </w:pPr>
            <w:r w:rsidRPr="003E73CD">
              <w:rPr>
                <w:sz w:val="22"/>
                <w:szCs w:val="22"/>
              </w:rPr>
              <w:t>Ulceration*</w:t>
            </w:r>
          </w:p>
        </w:tc>
        <w:tc>
          <w:tcPr>
            <w:tcW w:w="1702" w:type="pct"/>
            <w:shd w:val="clear" w:color="auto" w:fill="auto"/>
          </w:tcPr>
          <w:p w14:paraId="7A1E7A4F" w14:textId="77777777" w:rsidR="006D73EB" w:rsidRPr="003E73CD" w:rsidRDefault="006D73EB" w:rsidP="006D73EB">
            <w:pPr>
              <w:rPr>
                <w:sz w:val="22"/>
                <w:szCs w:val="22"/>
              </w:rPr>
            </w:pPr>
          </w:p>
        </w:tc>
        <w:tc>
          <w:tcPr>
            <w:tcW w:w="1452" w:type="pct"/>
          </w:tcPr>
          <w:p w14:paraId="7E472959" w14:textId="77777777" w:rsidR="006D73EB" w:rsidRPr="003E73CD" w:rsidRDefault="006D73EB" w:rsidP="006D73EB">
            <w:pPr>
              <w:rPr>
                <w:sz w:val="22"/>
                <w:szCs w:val="22"/>
              </w:rPr>
            </w:pPr>
          </w:p>
        </w:tc>
      </w:tr>
      <w:tr w:rsidR="006D73EB" w:rsidRPr="003E73CD" w14:paraId="379B2FF2" w14:textId="77777777" w:rsidTr="006D73EB">
        <w:tc>
          <w:tcPr>
            <w:tcW w:w="1846" w:type="pct"/>
            <w:shd w:val="clear" w:color="auto" w:fill="auto"/>
          </w:tcPr>
          <w:p w14:paraId="21E89089" w14:textId="77777777" w:rsidR="006D73EB" w:rsidRPr="003E73CD" w:rsidRDefault="006D73EB" w:rsidP="006D73EB">
            <w:pPr>
              <w:rPr>
                <w:sz w:val="22"/>
                <w:szCs w:val="22"/>
              </w:rPr>
            </w:pPr>
            <w:r w:rsidRPr="003E73CD">
              <w:rPr>
                <w:sz w:val="22"/>
                <w:szCs w:val="22"/>
              </w:rPr>
              <w:t>No</w:t>
            </w:r>
          </w:p>
        </w:tc>
        <w:tc>
          <w:tcPr>
            <w:tcW w:w="1702" w:type="pct"/>
            <w:shd w:val="clear" w:color="auto" w:fill="auto"/>
          </w:tcPr>
          <w:p w14:paraId="71FDAB16" w14:textId="4C5A482B" w:rsidR="006D73EB" w:rsidRPr="003E73CD" w:rsidRDefault="006D73EB" w:rsidP="006D73EB">
            <w:pPr>
              <w:rPr>
                <w:sz w:val="22"/>
                <w:szCs w:val="22"/>
              </w:rPr>
            </w:pPr>
            <w:r w:rsidRPr="003E73CD">
              <w:rPr>
                <w:sz w:val="22"/>
                <w:szCs w:val="22"/>
              </w:rPr>
              <w:t>24</w:t>
            </w:r>
            <w:r w:rsidR="00CC2039">
              <w:rPr>
                <w:sz w:val="22"/>
                <w:szCs w:val="22"/>
              </w:rPr>
              <w:t xml:space="preserve"> (63.2)</w:t>
            </w:r>
          </w:p>
        </w:tc>
        <w:tc>
          <w:tcPr>
            <w:tcW w:w="1452" w:type="pct"/>
          </w:tcPr>
          <w:p w14:paraId="2B996A99" w14:textId="77777777" w:rsidR="006D73EB" w:rsidRPr="003E73CD" w:rsidRDefault="006D73EB" w:rsidP="006D73EB">
            <w:pPr>
              <w:rPr>
                <w:sz w:val="22"/>
                <w:szCs w:val="22"/>
              </w:rPr>
            </w:pPr>
            <w:r w:rsidRPr="003E73CD">
              <w:rPr>
                <w:sz w:val="22"/>
                <w:szCs w:val="22"/>
              </w:rPr>
              <w:t>173 (56.7)</w:t>
            </w:r>
          </w:p>
        </w:tc>
      </w:tr>
      <w:tr w:rsidR="006D73EB" w:rsidRPr="003E73CD" w14:paraId="3687AA69" w14:textId="77777777" w:rsidTr="006D73EB">
        <w:tc>
          <w:tcPr>
            <w:tcW w:w="1846" w:type="pct"/>
            <w:shd w:val="clear" w:color="auto" w:fill="auto"/>
          </w:tcPr>
          <w:p w14:paraId="578B31E0" w14:textId="77777777" w:rsidR="006D73EB" w:rsidRPr="003E73CD" w:rsidRDefault="006D73EB" w:rsidP="006D73EB">
            <w:pPr>
              <w:rPr>
                <w:sz w:val="22"/>
                <w:szCs w:val="22"/>
              </w:rPr>
            </w:pPr>
            <w:r w:rsidRPr="003E73CD">
              <w:rPr>
                <w:sz w:val="22"/>
                <w:szCs w:val="22"/>
              </w:rPr>
              <w:t>Yes</w:t>
            </w:r>
          </w:p>
        </w:tc>
        <w:tc>
          <w:tcPr>
            <w:tcW w:w="1702" w:type="pct"/>
            <w:shd w:val="clear" w:color="auto" w:fill="auto"/>
          </w:tcPr>
          <w:p w14:paraId="12054BD9" w14:textId="3E8F81EC" w:rsidR="006D73EB" w:rsidRPr="003E73CD" w:rsidRDefault="006D73EB" w:rsidP="006D73EB">
            <w:pPr>
              <w:rPr>
                <w:sz w:val="22"/>
                <w:szCs w:val="22"/>
              </w:rPr>
            </w:pPr>
            <w:r w:rsidRPr="003E73CD">
              <w:rPr>
                <w:sz w:val="22"/>
                <w:szCs w:val="22"/>
              </w:rPr>
              <w:t>14</w:t>
            </w:r>
            <w:r w:rsidR="00CC2039">
              <w:rPr>
                <w:sz w:val="22"/>
                <w:szCs w:val="22"/>
              </w:rPr>
              <w:t xml:space="preserve"> (36.8)</w:t>
            </w:r>
          </w:p>
        </w:tc>
        <w:tc>
          <w:tcPr>
            <w:tcW w:w="1452" w:type="pct"/>
          </w:tcPr>
          <w:p w14:paraId="703B85C4" w14:textId="77777777" w:rsidR="006D73EB" w:rsidRPr="003E73CD" w:rsidRDefault="006D73EB" w:rsidP="006D73EB">
            <w:pPr>
              <w:rPr>
                <w:sz w:val="22"/>
                <w:szCs w:val="22"/>
              </w:rPr>
            </w:pPr>
            <w:r w:rsidRPr="003E73CD">
              <w:rPr>
                <w:sz w:val="22"/>
                <w:szCs w:val="22"/>
              </w:rPr>
              <w:t>132 (43.3)</w:t>
            </w:r>
          </w:p>
        </w:tc>
      </w:tr>
      <w:tr w:rsidR="006D73EB" w:rsidRPr="003E73CD" w14:paraId="2F1E2E4A" w14:textId="77777777" w:rsidTr="006D73EB">
        <w:tc>
          <w:tcPr>
            <w:tcW w:w="1846" w:type="pct"/>
            <w:shd w:val="clear" w:color="auto" w:fill="auto"/>
          </w:tcPr>
          <w:p w14:paraId="0DA161E1" w14:textId="77777777" w:rsidR="006D73EB" w:rsidRPr="003E73CD" w:rsidRDefault="006D73EB" w:rsidP="006D73EB">
            <w:pPr>
              <w:rPr>
                <w:sz w:val="22"/>
                <w:szCs w:val="22"/>
                <w:vertAlign w:val="superscript"/>
              </w:rPr>
            </w:pPr>
            <w:r w:rsidRPr="003E73CD">
              <w:rPr>
                <w:sz w:val="22"/>
                <w:szCs w:val="22"/>
              </w:rPr>
              <w:t>Mitotic rate (mitoses/mm</w:t>
            </w:r>
            <w:r w:rsidRPr="003E73CD">
              <w:rPr>
                <w:sz w:val="22"/>
                <w:szCs w:val="22"/>
                <w:vertAlign w:val="superscript"/>
              </w:rPr>
              <w:t>2</w:t>
            </w:r>
            <w:r w:rsidRPr="003E73CD">
              <w:rPr>
                <w:sz w:val="22"/>
                <w:szCs w:val="22"/>
              </w:rPr>
              <w:t>)</w:t>
            </w:r>
            <w:r w:rsidRPr="003E73CD">
              <w:rPr>
                <w:sz w:val="22"/>
                <w:szCs w:val="22"/>
                <w:vertAlign w:val="superscript"/>
              </w:rPr>
              <w:t>$</w:t>
            </w:r>
          </w:p>
        </w:tc>
        <w:tc>
          <w:tcPr>
            <w:tcW w:w="1702" w:type="pct"/>
            <w:shd w:val="clear" w:color="auto" w:fill="auto"/>
          </w:tcPr>
          <w:p w14:paraId="03349F27" w14:textId="77777777" w:rsidR="006D73EB" w:rsidRPr="003E73CD" w:rsidRDefault="006D73EB" w:rsidP="006D73EB">
            <w:pPr>
              <w:rPr>
                <w:sz w:val="22"/>
                <w:szCs w:val="22"/>
              </w:rPr>
            </w:pPr>
          </w:p>
        </w:tc>
        <w:tc>
          <w:tcPr>
            <w:tcW w:w="1452" w:type="pct"/>
          </w:tcPr>
          <w:p w14:paraId="14CA474E" w14:textId="77777777" w:rsidR="006D73EB" w:rsidRPr="003E73CD" w:rsidRDefault="006D73EB" w:rsidP="006D73EB">
            <w:pPr>
              <w:rPr>
                <w:sz w:val="22"/>
                <w:szCs w:val="22"/>
              </w:rPr>
            </w:pPr>
          </w:p>
        </w:tc>
      </w:tr>
      <w:tr w:rsidR="006D73EB" w:rsidRPr="003E73CD" w14:paraId="44EC812D" w14:textId="77777777" w:rsidTr="006D73EB">
        <w:tc>
          <w:tcPr>
            <w:tcW w:w="1846" w:type="pct"/>
            <w:shd w:val="clear" w:color="auto" w:fill="auto"/>
          </w:tcPr>
          <w:p w14:paraId="33E2AB25" w14:textId="77777777" w:rsidR="006D73EB" w:rsidRPr="003E73CD" w:rsidRDefault="006D73EB" w:rsidP="006D73EB">
            <w:pPr>
              <w:rPr>
                <w:sz w:val="22"/>
                <w:szCs w:val="22"/>
              </w:rPr>
            </w:pPr>
            <w:r w:rsidRPr="003E73CD">
              <w:rPr>
                <w:rFonts w:eastAsia="ＭＳ ゴシック"/>
                <w:color w:val="000000"/>
                <w:sz w:val="22"/>
                <w:szCs w:val="22"/>
              </w:rPr>
              <w:t>≤5</w:t>
            </w:r>
          </w:p>
        </w:tc>
        <w:tc>
          <w:tcPr>
            <w:tcW w:w="1702" w:type="pct"/>
            <w:shd w:val="clear" w:color="auto" w:fill="auto"/>
          </w:tcPr>
          <w:p w14:paraId="19CC7140" w14:textId="72D4276B" w:rsidR="006D73EB" w:rsidRPr="003E73CD" w:rsidRDefault="006D73EB" w:rsidP="006D73EB">
            <w:pPr>
              <w:rPr>
                <w:sz w:val="22"/>
                <w:szCs w:val="22"/>
              </w:rPr>
            </w:pPr>
            <w:r w:rsidRPr="003E73CD">
              <w:rPr>
                <w:sz w:val="22"/>
                <w:szCs w:val="22"/>
              </w:rPr>
              <w:t>25</w:t>
            </w:r>
            <w:r w:rsidR="00CC2039">
              <w:rPr>
                <w:sz w:val="22"/>
                <w:szCs w:val="22"/>
              </w:rPr>
              <w:t xml:space="preserve"> (69.4)</w:t>
            </w:r>
          </w:p>
        </w:tc>
        <w:tc>
          <w:tcPr>
            <w:tcW w:w="1452" w:type="pct"/>
          </w:tcPr>
          <w:p w14:paraId="532170AD" w14:textId="77777777" w:rsidR="006D73EB" w:rsidRPr="003E73CD" w:rsidRDefault="006D73EB" w:rsidP="006D73EB">
            <w:pPr>
              <w:rPr>
                <w:sz w:val="22"/>
                <w:szCs w:val="22"/>
              </w:rPr>
            </w:pPr>
            <w:r w:rsidRPr="003E73CD">
              <w:rPr>
                <w:sz w:val="22"/>
                <w:szCs w:val="22"/>
              </w:rPr>
              <w:t>191 (60.8)</w:t>
            </w:r>
          </w:p>
        </w:tc>
      </w:tr>
      <w:tr w:rsidR="006D73EB" w:rsidRPr="003E73CD" w14:paraId="5717CC0B" w14:textId="77777777" w:rsidTr="006D73EB">
        <w:tc>
          <w:tcPr>
            <w:tcW w:w="1846" w:type="pct"/>
            <w:shd w:val="clear" w:color="auto" w:fill="auto"/>
          </w:tcPr>
          <w:p w14:paraId="40247D81" w14:textId="77777777" w:rsidR="006D73EB" w:rsidRPr="003E73CD" w:rsidRDefault="006D73EB" w:rsidP="006D73EB">
            <w:pPr>
              <w:rPr>
                <w:sz w:val="22"/>
                <w:szCs w:val="22"/>
              </w:rPr>
            </w:pPr>
            <w:r w:rsidRPr="003E73CD">
              <w:rPr>
                <w:sz w:val="22"/>
                <w:szCs w:val="22"/>
              </w:rPr>
              <w:t>6-10</w:t>
            </w:r>
          </w:p>
        </w:tc>
        <w:tc>
          <w:tcPr>
            <w:tcW w:w="1702" w:type="pct"/>
            <w:shd w:val="clear" w:color="auto" w:fill="auto"/>
          </w:tcPr>
          <w:p w14:paraId="52EF95C1" w14:textId="23E86A54" w:rsidR="006D73EB" w:rsidRPr="003E73CD" w:rsidRDefault="006D73EB" w:rsidP="006D73EB">
            <w:pPr>
              <w:rPr>
                <w:sz w:val="22"/>
                <w:szCs w:val="22"/>
              </w:rPr>
            </w:pPr>
            <w:r w:rsidRPr="003E73CD">
              <w:rPr>
                <w:sz w:val="22"/>
                <w:szCs w:val="22"/>
              </w:rPr>
              <w:t>7</w:t>
            </w:r>
            <w:r w:rsidR="00CC2039">
              <w:rPr>
                <w:sz w:val="22"/>
                <w:szCs w:val="22"/>
              </w:rPr>
              <w:t xml:space="preserve"> (19.4)</w:t>
            </w:r>
          </w:p>
        </w:tc>
        <w:tc>
          <w:tcPr>
            <w:tcW w:w="1452" w:type="pct"/>
          </w:tcPr>
          <w:p w14:paraId="4C50E96D" w14:textId="77777777" w:rsidR="006D73EB" w:rsidRPr="003E73CD" w:rsidRDefault="006D73EB" w:rsidP="006D73EB">
            <w:pPr>
              <w:rPr>
                <w:sz w:val="22"/>
                <w:szCs w:val="22"/>
              </w:rPr>
            </w:pPr>
            <w:r w:rsidRPr="003E73CD">
              <w:rPr>
                <w:sz w:val="22"/>
                <w:szCs w:val="22"/>
              </w:rPr>
              <w:t>70 (22.3)</w:t>
            </w:r>
          </w:p>
        </w:tc>
      </w:tr>
      <w:tr w:rsidR="006D73EB" w:rsidRPr="003E73CD" w14:paraId="30E394CF" w14:textId="77777777" w:rsidTr="006D73EB">
        <w:tc>
          <w:tcPr>
            <w:tcW w:w="1846" w:type="pct"/>
            <w:shd w:val="clear" w:color="auto" w:fill="auto"/>
          </w:tcPr>
          <w:p w14:paraId="46FBACD8" w14:textId="77777777" w:rsidR="006D73EB" w:rsidRPr="003E73CD" w:rsidRDefault="006D73EB" w:rsidP="006D73EB">
            <w:pPr>
              <w:rPr>
                <w:sz w:val="22"/>
                <w:szCs w:val="22"/>
              </w:rPr>
            </w:pPr>
            <w:r w:rsidRPr="003E73CD">
              <w:rPr>
                <w:sz w:val="22"/>
                <w:szCs w:val="22"/>
              </w:rPr>
              <w:t>&gt;10</w:t>
            </w:r>
          </w:p>
        </w:tc>
        <w:tc>
          <w:tcPr>
            <w:tcW w:w="1702" w:type="pct"/>
            <w:shd w:val="clear" w:color="auto" w:fill="auto"/>
          </w:tcPr>
          <w:p w14:paraId="4022B50F" w14:textId="12DE7679" w:rsidR="006D73EB" w:rsidRPr="003E73CD" w:rsidRDefault="006D73EB" w:rsidP="006D73EB">
            <w:pPr>
              <w:rPr>
                <w:sz w:val="22"/>
                <w:szCs w:val="22"/>
              </w:rPr>
            </w:pPr>
            <w:r w:rsidRPr="003E73CD">
              <w:rPr>
                <w:sz w:val="22"/>
                <w:szCs w:val="22"/>
              </w:rPr>
              <w:t>4</w:t>
            </w:r>
            <w:r w:rsidR="00CC2039">
              <w:rPr>
                <w:sz w:val="22"/>
                <w:szCs w:val="22"/>
              </w:rPr>
              <w:t xml:space="preserve"> (11.1)</w:t>
            </w:r>
          </w:p>
        </w:tc>
        <w:tc>
          <w:tcPr>
            <w:tcW w:w="1452" w:type="pct"/>
          </w:tcPr>
          <w:p w14:paraId="0E88CB15" w14:textId="77777777" w:rsidR="006D73EB" w:rsidRPr="003E73CD" w:rsidRDefault="006D73EB" w:rsidP="006D73EB">
            <w:pPr>
              <w:rPr>
                <w:sz w:val="22"/>
                <w:szCs w:val="22"/>
              </w:rPr>
            </w:pPr>
            <w:r w:rsidRPr="003E73CD">
              <w:rPr>
                <w:sz w:val="22"/>
                <w:szCs w:val="22"/>
              </w:rPr>
              <w:t>53 (16.9)</w:t>
            </w:r>
          </w:p>
        </w:tc>
      </w:tr>
      <w:tr w:rsidR="006D73EB" w:rsidRPr="003E73CD" w14:paraId="11915582" w14:textId="77777777" w:rsidTr="006D73EB">
        <w:tc>
          <w:tcPr>
            <w:tcW w:w="1846" w:type="pct"/>
            <w:shd w:val="clear" w:color="auto" w:fill="auto"/>
          </w:tcPr>
          <w:p w14:paraId="25D09B2C" w14:textId="77777777" w:rsidR="006D73EB" w:rsidRPr="003E73CD" w:rsidRDefault="006D73EB" w:rsidP="006D73EB">
            <w:pPr>
              <w:rPr>
                <w:sz w:val="22"/>
                <w:szCs w:val="22"/>
              </w:rPr>
            </w:pPr>
            <w:r w:rsidRPr="003E73CD">
              <w:rPr>
                <w:sz w:val="22"/>
                <w:szCs w:val="22"/>
              </w:rPr>
              <w:t>Location of primary melanoma</w:t>
            </w:r>
          </w:p>
        </w:tc>
        <w:tc>
          <w:tcPr>
            <w:tcW w:w="1702" w:type="pct"/>
            <w:shd w:val="clear" w:color="auto" w:fill="auto"/>
          </w:tcPr>
          <w:p w14:paraId="4EDDB5E2" w14:textId="77777777" w:rsidR="006D73EB" w:rsidRPr="003E73CD" w:rsidRDefault="006D73EB" w:rsidP="006D73EB">
            <w:pPr>
              <w:rPr>
                <w:sz w:val="22"/>
                <w:szCs w:val="22"/>
              </w:rPr>
            </w:pPr>
          </w:p>
        </w:tc>
        <w:tc>
          <w:tcPr>
            <w:tcW w:w="1452" w:type="pct"/>
          </w:tcPr>
          <w:p w14:paraId="2A978335" w14:textId="77777777" w:rsidR="006D73EB" w:rsidRPr="003E73CD" w:rsidRDefault="006D73EB" w:rsidP="006D73EB">
            <w:pPr>
              <w:rPr>
                <w:sz w:val="22"/>
                <w:szCs w:val="22"/>
              </w:rPr>
            </w:pPr>
          </w:p>
        </w:tc>
      </w:tr>
      <w:tr w:rsidR="006D73EB" w:rsidRPr="003E73CD" w14:paraId="2BEFB64D" w14:textId="77777777" w:rsidTr="006D73EB">
        <w:tc>
          <w:tcPr>
            <w:tcW w:w="1846" w:type="pct"/>
            <w:shd w:val="clear" w:color="auto" w:fill="auto"/>
          </w:tcPr>
          <w:p w14:paraId="0F8A1A1F" w14:textId="77777777" w:rsidR="006D73EB" w:rsidRPr="003E73CD" w:rsidRDefault="006D73EB" w:rsidP="006D73EB">
            <w:pPr>
              <w:rPr>
                <w:sz w:val="22"/>
                <w:szCs w:val="22"/>
              </w:rPr>
            </w:pPr>
            <w:r w:rsidRPr="003E73CD">
              <w:rPr>
                <w:sz w:val="22"/>
                <w:szCs w:val="22"/>
              </w:rPr>
              <w:t>Trunk</w:t>
            </w:r>
          </w:p>
        </w:tc>
        <w:tc>
          <w:tcPr>
            <w:tcW w:w="1702" w:type="pct"/>
            <w:shd w:val="clear" w:color="auto" w:fill="auto"/>
          </w:tcPr>
          <w:p w14:paraId="4018CC16" w14:textId="225E07FD" w:rsidR="006D73EB" w:rsidRPr="003E73CD" w:rsidRDefault="006D73EB" w:rsidP="006D73EB">
            <w:pPr>
              <w:rPr>
                <w:sz w:val="22"/>
                <w:szCs w:val="22"/>
              </w:rPr>
            </w:pPr>
            <w:r w:rsidRPr="003E73CD">
              <w:rPr>
                <w:sz w:val="22"/>
                <w:szCs w:val="22"/>
              </w:rPr>
              <w:t>20</w:t>
            </w:r>
            <w:r w:rsidR="00CC2039">
              <w:rPr>
                <w:sz w:val="22"/>
                <w:szCs w:val="22"/>
              </w:rPr>
              <w:t xml:space="preserve"> (45.5)</w:t>
            </w:r>
          </w:p>
        </w:tc>
        <w:tc>
          <w:tcPr>
            <w:tcW w:w="1452" w:type="pct"/>
          </w:tcPr>
          <w:p w14:paraId="125A4402" w14:textId="77777777" w:rsidR="006D73EB" w:rsidRPr="003E73CD" w:rsidRDefault="006D73EB" w:rsidP="006D73EB">
            <w:pPr>
              <w:rPr>
                <w:sz w:val="22"/>
                <w:szCs w:val="22"/>
              </w:rPr>
            </w:pPr>
            <w:r w:rsidRPr="003E73CD">
              <w:rPr>
                <w:sz w:val="22"/>
                <w:szCs w:val="22"/>
              </w:rPr>
              <w:t>115 (35.6)</w:t>
            </w:r>
          </w:p>
        </w:tc>
      </w:tr>
      <w:tr w:rsidR="006D73EB" w:rsidRPr="003E73CD" w14:paraId="2A9EE77C" w14:textId="77777777" w:rsidTr="006D73EB">
        <w:tc>
          <w:tcPr>
            <w:tcW w:w="1846" w:type="pct"/>
            <w:shd w:val="clear" w:color="auto" w:fill="auto"/>
          </w:tcPr>
          <w:p w14:paraId="26317CF1" w14:textId="77777777" w:rsidR="006D73EB" w:rsidRPr="003E73CD" w:rsidRDefault="006D73EB" w:rsidP="006D73EB">
            <w:pPr>
              <w:rPr>
                <w:sz w:val="22"/>
                <w:szCs w:val="22"/>
              </w:rPr>
            </w:pPr>
            <w:r w:rsidRPr="003E73CD">
              <w:rPr>
                <w:sz w:val="22"/>
                <w:szCs w:val="22"/>
              </w:rPr>
              <w:t>Extremity</w:t>
            </w:r>
          </w:p>
        </w:tc>
        <w:tc>
          <w:tcPr>
            <w:tcW w:w="1702" w:type="pct"/>
            <w:shd w:val="clear" w:color="auto" w:fill="auto"/>
          </w:tcPr>
          <w:p w14:paraId="539302A4" w14:textId="0C653008" w:rsidR="006D73EB" w:rsidRPr="003E73CD" w:rsidRDefault="006D73EB" w:rsidP="006D73EB">
            <w:pPr>
              <w:rPr>
                <w:sz w:val="22"/>
                <w:szCs w:val="22"/>
              </w:rPr>
            </w:pPr>
            <w:r w:rsidRPr="003E73CD">
              <w:rPr>
                <w:sz w:val="22"/>
                <w:szCs w:val="22"/>
              </w:rPr>
              <w:t>21</w:t>
            </w:r>
            <w:r w:rsidR="00CC2039">
              <w:rPr>
                <w:sz w:val="22"/>
                <w:szCs w:val="22"/>
              </w:rPr>
              <w:t xml:space="preserve"> (47.7)</w:t>
            </w:r>
          </w:p>
        </w:tc>
        <w:tc>
          <w:tcPr>
            <w:tcW w:w="1452" w:type="pct"/>
          </w:tcPr>
          <w:p w14:paraId="49D9264B" w14:textId="77777777" w:rsidR="006D73EB" w:rsidRPr="003E73CD" w:rsidRDefault="006D73EB" w:rsidP="006D73EB">
            <w:pPr>
              <w:rPr>
                <w:sz w:val="22"/>
                <w:szCs w:val="22"/>
              </w:rPr>
            </w:pPr>
            <w:r w:rsidRPr="003E73CD">
              <w:rPr>
                <w:sz w:val="22"/>
                <w:szCs w:val="22"/>
              </w:rPr>
              <w:t>168 (52.0)</w:t>
            </w:r>
          </w:p>
        </w:tc>
      </w:tr>
      <w:tr w:rsidR="006D73EB" w:rsidRPr="003E73CD" w14:paraId="6C141B77" w14:textId="77777777" w:rsidTr="006D73EB">
        <w:tc>
          <w:tcPr>
            <w:tcW w:w="1846" w:type="pct"/>
            <w:shd w:val="clear" w:color="auto" w:fill="auto"/>
          </w:tcPr>
          <w:p w14:paraId="2D234A87" w14:textId="77777777" w:rsidR="006D73EB" w:rsidRPr="003E73CD" w:rsidRDefault="006D73EB" w:rsidP="006D73EB">
            <w:pPr>
              <w:rPr>
                <w:sz w:val="22"/>
                <w:szCs w:val="22"/>
              </w:rPr>
            </w:pPr>
            <w:r w:rsidRPr="003E73CD">
              <w:rPr>
                <w:sz w:val="22"/>
                <w:szCs w:val="22"/>
              </w:rPr>
              <w:t>Head + neck</w:t>
            </w:r>
          </w:p>
        </w:tc>
        <w:tc>
          <w:tcPr>
            <w:tcW w:w="1702" w:type="pct"/>
            <w:shd w:val="clear" w:color="auto" w:fill="auto"/>
          </w:tcPr>
          <w:p w14:paraId="3DEEE5A6" w14:textId="20F06273" w:rsidR="006D73EB" w:rsidRPr="003E73CD" w:rsidRDefault="006D73EB" w:rsidP="006D73EB">
            <w:pPr>
              <w:rPr>
                <w:sz w:val="22"/>
                <w:szCs w:val="22"/>
              </w:rPr>
            </w:pPr>
            <w:r w:rsidRPr="003E73CD">
              <w:rPr>
                <w:sz w:val="22"/>
                <w:szCs w:val="22"/>
              </w:rPr>
              <w:t>3</w:t>
            </w:r>
            <w:r w:rsidR="00CC2039">
              <w:rPr>
                <w:sz w:val="22"/>
                <w:szCs w:val="22"/>
              </w:rPr>
              <w:t xml:space="preserve"> (6.8)</w:t>
            </w:r>
          </w:p>
        </w:tc>
        <w:tc>
          <w:tcPr>
            <w:tcW w:w="1452" w:type="pct"/>
          </w:tcPr>
          <w:p w14:paraId="10ECEB86" w14:textId="77777777" w:rsidR="006D73EB" w:rsidRPr="003E73CD" w:rsidRDefault="006D73EB" w:rsidP="006D73EB">
            <w:pPr>
              <w:rPr>
                <w:sz w:val="22"/>
                <w:szCs w:val="22"/>
              </w:rPr>
            </w:pPr>
            <w:r w:rsidRPr="003E73CD">
              <w:rPr>
                <w:sz w:val="22"/>
                <w:szCs w:val="22"/>
              </w:rPr>
              <w:t>39(12.1)</w:t>
            </w:r>
          </w:p>
        </w:tc>
      </w:tr>
      <w:tr w:rsidR="006D73EB" w:rsidRPr="003E73CD" w14:paraId="0412F493" w14:textId="77777777" w:rsidTr="006D73EB">
        <w:tc>
          <w:tcPr>
            <w:tcW w:w="1846" w:type="pct"/>
            <w:shd w:val="clear" w:color="auto" w:fill="auto"/>
          </w:tcPr>
          <w:p w14:paraId="5A6E8F60" w14:textId="77777777" w:rsidR="006D73EB" w:rsidRPr="003E73CD" w:rsidRDefault="006D73EB" w:rsidP="006D73EB">
            <w:pPr>
              <w:rPr>
                <w:sz w:val="22"/>
                <w:szCs w:val="22"/>
              </w:rPr>
            </w:pPr>
            <w:r w:rsidRPr="003E73CD">
              <w:rPr>
                <w:sz w:val="22"/>
                <w:szCs w:val="22"/>
              </w:rPr>
              <w:t>Others</w:t>
            </w:r>
          </w:p>
        </w:tc>
        <w:tc>
          <w:tcPr>
            <w:tcW w:w="1702" w:type="pct"/>
            <w:shd w:val="clear" w:color="auto" w:fill="auto"/>
          </w:tcPr>
          <w:p w14:paraId="5E7F4C7C" w14:textId="40FD8A74" w:rsidR="006D73EB" w:rsidRPr="003E73CD" w:rsidRDefault="006D73EB" w:rsidP="006D73EB">
            <w:pPr>
              <w:rPr>
                <w:sz w:val="22"/>
                <w:szCs w:val="22"/>
              </w:rPr>
            </w:pPr>
            <w:r w:rsidRPr="003E73CD">
              <w:rPr>
                <w:sz w:val="22"/>
                <w:szCs w:val="22"/>
              </w:rPr>
              <w:t>0</w:t>
            </w:r>
            <w:r w:rsidR="00CC2039">
              <w:rPr>
                <w:sz w:val="22"/>
                <w:szCs w:val="22"/>
              </w:rPr>
              <w:t xml:space="preserve"> (0.0)</w:t>
            </w:r>
          </w:p>
        </w:tc>
        <w:tc>
          <w:tcPr>
            <w:tcW w:w="1452" w:type="pct"/>
          </w:tcPr>
          <w:p w14:paraId="54A61F7E" w14:textId="77777777" w:rsidR="006D73EB" w:rsidRPr="003E73CD" w:rsidRDefault="006D73EB" w:rsidP="006D73EB">
            <w:pPr>
              <w:rPr>
                <w:sz w:val="22"/>
                <w:szCs w:val="22"/>
              </w:rPr>
            </w:pPr>
            <w:r w:rsidRPr="003E73CD">
              <w:rPr>
                <w:sz w:val="22"/>
                <w:szCs w:val="22"/>
              </w:rPr>
              <w:t>1 (0.3)</w:t>
            </w:r>
          </w:p>
        </w:tc>
      </w:tr>
    </w:tbl>
    <w:p w14:paraId="663D7009" w14:textId="77777777" w:rsidR="006D73EB" w:rsidRPr="003E73CD" w:rsidRDefault="006D73EB" w:rsidP="006D73EB">
      <w:pPr>
        <w:rPr>
          <w:sz w:val="22"/>
          <w:szCs w:val="22"/>
        </w:rPr>
      </w:pPr>
      <w:r w:rsidRPr="003E73CD">
        <w:rPr>
          <w:sz w:val="22"/>
          <w:szCs w:val="22"/>
        </w:rPr>
        <w:t>*Data missing or not possible to measure in 6 cases in current study</w:t>
      </w:r>
    </w:p>
    <w:p w14:paraId="5DFFF1CB" w14:textId="77777777" w:rsidR="006D73EB" w:rsidRPr="003E73CD" w:rsidRDefault="006D73EB" w:rsidP="006D73EB">
      <w:pPr>
        <w:rPr>
          <w:sz w:val="22"/>
          <w:szCs w:val="22"/>
        </w:rPr>
      </w:pPr>
      <w:r w:rsidRPr="003E73CD">
        <w:rPr>
          <w:sz w:val="22"/>
          <w:szCs w:val="22"/>
          <w:vertAlign w:val="superscript"/>
        </w:rPr>
        <w:t>$</w:t>
      </w:r>
      <w:r w:rsidRPr="003E73CD">
        <w:rPr>
          <w:sz w:val="22"/>
          <w:szCs w:val="22"/>
        </w:rPr>
        <w:t>Data missing in 8 cases in current study</w:t>
      </w:r>
    </w:p>
    <w:p w14:paraId="080FD0A6" w14:textId="77777777" w:rsidR="006D73EB" w:rsidRPr="003E73CD" w:rsidRDefault="006D73EB">
      <w:pPr>
        <w:rPr>
          <w:sz w:val="22"/>
          <w:szCs w:val="22"/>
        </w:rPr>
      </w:pPr>
      <w:r w:rsidRPr="003E73CD">
        <w:rPr>
          <w:sz w:val="22"/>
          <w:szCs w:val="22"/>
        </w:rPr>
        <w:br w:type="page"/>
      </w:r>
    </w:p>
    <w:p w14:paraId="45838AC1" w14:textId="2BF38B00" w:rsidR="006D73EB" w:rsidRPr="003E73CD" w:rsidRDefault="006D73EB" w:rsidP="006D73EB">
      <w:pPr>
        <w:spacing w:line="480" w:lineRule="auto"/>
        <w:rPr>
          <w:sz w:val="22"/>
          <w:szCs w:val="22"/>
        </w:rPr>
      </w:pPr>
      <w:r w:rsidRPr="003E73CD">
        <w:rPr>
          <w:sz w:val="22"/>
          <w:szCs w:val="22"/>
        </w:rPr>
        <w:t>T</w:t>
      </w:r>
      <w:r w:rsidR="002A0DBC">
        <w:rPr>
          <w:sz w:val="22"/>
          <w:szCs w:val="22"/>
        </w:rPr>
        <w:t>able 3.3</w:t>
      </w:r>
      <w:r w:rsidRPr="003E73CD">
        <w:rPr>
          <w:sz w:val="22"/>
          <w:szCs w:val="22"/>
        </w:rPr>
        <w:t xml:space="preserve">.3.  </w:t>
      </w:r>
      <w:proofErr w:type="gramStart"/>
      <w:r w:rsidRPr="003E73CD">
        <w:rPr>
          <w:sz w:val="22"/>
          <w:szCs w:val="22"/>
        </w:rPr>
        <w:t>The distribution of positive nodes within the study population.</w:t>
      </w:r>
      <w:proofErr w:type="gram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9"/>
        <w:gridCol w:w="2129"/>
        <w:gridCol w:w="2129"/>
        <w:gridCol w:w="2129"/>
      </w:tblGrid>
      <w:tr w:rsidR="006D73EB" w:rsidRPr="003E73CD" w14:paraId="67E1F590" w14:textId="77777777" w:rsidTr="006D73EB">
        <w:tc>
          <w:tcPr>
            <w:tcW w:w="2129" w:type="dxa"/>
            <w:shd w:val="clear" w:color="auto" w:fill="auto"/>
          </w:tcPr>
          <w:p w14:paraId="626EEC26" w14:textId="77777777" w:rsidR="006D73EB" w:rsidRPr="003E73CD" w:rsidRDefault="006D73EB" w:rsidP="006D73EB">
            <w:pPr>
              <w:rPr>
                <w:sz w:val="22"/>
                <w:szCs w:val="22"/>
              </w:rPr>
            </w:pPr>
            <w:r w:rsidRPr="003E73CD">
              <w:rPr>
                <w:sz w:val="22"/>
                <w:szCs w:val="22"/>
              </w:rPr>
              <w:t>SN + NSN</w:t>
            </w:r>
          </w:p>
        </w:tc>
        <w:tc>
          <w:tcPr>
            <w:tcW w:w="2129" w:type="dxa"/>
            <w:shd w:val="clear" w:color="auto" w:fill="auto"/>
          </w:tcPr>
          <w:p w14:paraId="54664612" w14:textId="77777777" w:rsidR="006D73EB" w:rsidRPr="003E73CD" w:rsidRDefault="006D73EB" w:rsidP="006D73EB">
            <w:pPr>
              <w:rPr>
                <w:sz w:val="22"/>
                <w:szCs w:val="22"/>
              </w:rPr>
            </w:pPr>
            <w:r w:rsidRPr="003E73CD">
              <w:rPr>
                <w:sz w:val="22"/>
                <w:szCs w:val="22"/>
              </w:rPr>
              <w:t>SN</w:t>
            </w:r>
          </w:p>
        </w:tc>
        <w:tc>
          <w:tcPr>
            <w:tcW w:w="2129" w:type="dxa"/>
            <w:shd w:val="clear" w:color="auto" w:fill="auto"/>
          </w:tcPr>
          <w:p w14:paraId="729AF954" w14:textId="77777777" w:rsidR="006D73EB" w:rsidRPr="003E73CD" w:rsidRDefault="006D73EB" w:rsidP="006D73EB">
            <w:pPr>
              <w:rPr>
                <w:sz w:val="22"/>
                <w:szCs w:val="22"/>
              </w:rPr>
            </w:pPr>
            <w:r w:rsidRPr="003E73CD">
              <w:rPr>
                <w:sz w:val="22"/>
                <w:szCs w:val="22"/>
              </w:rPr>
              <w:t>NSN</w:t>
            </w:r>
          </w:p>
        </w:tc>
        <w:tc>
          <w:tcPr>
            <w:tcW w:w="2129" w:type="dxa"/>
            <w:shd w:val="clear" w:color="auto" w:fill="auto"/>
          </w:tcPr>
          <w:p w14:paraId="3E5BEEB9" w14:textId="77777777" w:rsidR="006D73EB" w:rsidRPr="003E73CD" w:rsidRDefault="006D73EB" w:rsidP="006D73EB">
            <w:pPr>
              <w:rPr>
                <w:sz w:val="22"/>
                <w:szCs w:val="22"/>
              </w:rPr>
            </w:pPr>
            <w:proofErr w:type="gramStart"/>
            <w:r w:rsidRPr="003E73CD">
              <w:rPr>
                <w:sz w:val="22"/>
                <w:szCs w:val="22"/>
              </w:rPr>
              <w:t>n</w:t>
            </w:r>
            <w:proofErr w:type="gramEnd"/>
          </w:p>
        </w:tc>
      </w:tr>
      <w:tr w:rsidR="006D73EB" w:rsidRPr="003E73CD" w14:paraId="328F3171" w14:textId="77777777" w:rsidTr="006D73EB">
        <w:tc>
          <w:tcPr>
            <w:tcW w:w="2129" w:type="dxa"/>
            <w:shd w:val="clear" w:color="auto" w:fill="auto"/>
          </w:tcPr>
          <w:p w14:paraId="629684A7" w14:textId="77777777" w:rsidR="006D73EB" w:rsidRPr="003E73CD" w:rsidRDefault="006D73EB" w:rsidP="006D73EB">
            <w:pPr>
              <w:rPr>
                <w:sz w:val="22"/>
                <w:szCs w:val="22"/>
              </w:rPr>
            </w:pPr>
            <w:r w:rsidRPr="003E73CD">
              <w:rPr>
                <w:sz w:val="22"/>
                <w:szCs w:val="22"/>
              </w:rPr>
              <w:t>1</w:t>
            </w:r>
          </w:p>
        </w:tc>
        <w:tc>
          <w:tcPr>
            <w:tcW w:w="2129" w:type="dxa"/>
            <w:shd w:val="clear" w:color="auto" w:fill="auto"/>
          </w:tcPr>
          <w:p w14:paraId="436BF7B9" w14:textId="77777777" w:rsidR="006D73EB" w:rsidRPr="003E73CD" w:rsidRDefault="006D73EB" w:rsidP="006D73EB">
            <w:pPr>
              <w:rPr>
                <w:sz w:val="22"/>
                <w:szCs w:val="22"/>
              </w:rPr>
            </w:pPr>
            <w:r w:rsidRPr="003E73CD">
              <w:rPr>
                <w:sz w:val="22"/>
                <w:szCs w:val="22"/>
              </w:rPr>
              <w:t>1</w:t>
            </w:r>
          </w:p>
        </w:tc>
        <w:tc>
          <w:tcPr>
            <w:tcW w:w="2129" w:type="dxa"/>
            <w:shd w:val="clear" w:color="auto" w:fill="auto"/>
          </w:tcPr>
          <w:p w14:paraId="200B541E" w14:textId="77777777" w:rsidR="006D73EB" w:rsidRPr="003E73CD" w:rsidRDefault="006D73EB" w:rsidP="006D73EB">
            <w:pPr>
              <w:rPr>
                <w:sz w:val="22"/>
                <w:szCs w:val="22"/>
              </w:rPr>
            </w:pPr>
            <w:r w:rsidRPr="003E73CD">
              <w:rPr>
                <w:sz w:val="22"/>
                <w:szCs w:val="22"/>
              </w:rPr>
              <w:t>0</w:t>
            </w:r>
          </w:p>
        </w:tc>
        <w:tc>
          <w:tcPr>
            <w:tcW w:w="2129" w:type="dxa"/>
            <w:shd w:val="clear" w:color="auto" w:fill="auto"/>
          </w:tcPr>
          <w:p w14:paraId="6DA6C98E" w14:textId="77777777" w:rsidR="006D73EB" w:rsidRPr="003E73CD" w:rsidRDefault="006D73EB" w:rsidP="006D73EB">
            <w:pPr>
              <w:rPr>
                <w:sz w:val="22"/>
                <w:szCs w:val="22"/>
              </w:rPr>
            </w:pPr>
            <w:r w:rsidRPr="003E73CD">
              <w:rPr>
                <w:sz w:val="22"/>
                <w:szCs w:val="22"/>
              </w:rPr>
              <w:t>30</w:t>
            </w:r>
          </w:p>
        </w:tc>
      </w:tr>
      <w:tr w:rsidR="006D73EB" w:rsidRPr="003E73CD" w14:paraId="372AADE7" w14:textId="77777777" w:rsidTr="006D73EB">
        <w:tc>
          <w:tcPr>
            <w:tcW w:w="2129" w:type="dxa"/>
            <w:vMerge w:val="restart"/>
            <w:shd w:val="clear" w:color="auto" w:fill="auto"/>
          </w:tcPr>
          <w:p w14:paraId="3A688269" w14:textId="77777777" w:rsidR="006D73EB" w:rsidRPr="003E73CD" w:rsidRDefault="006D73EB" w:rsidP="006D73EB">
            <w:pPr>
              <w:rPr>
                <w:sz w:val="22"/>
                <w:szCs w:val="22"/>
              </w:rPr>
            </w:pPr>
            <w:r w:rsidRPr="003E73CD">
              <w:rPr>
                <w:sz w:val="22"/>
                <w:szCs w:val="22"/>
              </w:rPr>
              <w:t>2</w:t>
            </w:r>
          </w:p>
        </w:tc>
        <w:tc>
          <w:tcPr>
            <w:tcW w:w="2129" w:type="dxa"/>
            <w:shd w:val="clear" w:color="auto" w:fill="auto"/>
          </w:tcPr>
          <w:p w14:paraId="565FBF20" w14:textId="77777777" w:rsidR="006D73EB" w:rsidRPr="003E73CD" w:rsidRDefault="006D73EB" w:rsidP="006D73EB">
            <w:pPr>
              <w:rPr>
                <w:sz w:val="22"/>
                <w:szCs w:val="22"/>
              </w:rPr>
            </w:pPr>
            <w:r w:rsidRPr="003E73CD">
              <w:rPr>
                <w:sz w:val="22"/>
                <w:szCs w:val="22"/>
              </w:rPr>
              <w:t>2</w:t>
            </w:r>
          </w:p>
        </w:tc>
        <w:tc>
          <w:tcPr>
            <w:tcW w:w="2129" w:type="dxa"/>
            <w:shd w:val="clear" w:color="auto" w:fill="auto"/>
          </w:tcPr>
          <w:p w14:paraId="32340551" w14:textId="77777777" w:rsidR="006D73EB" w:rsidRPr="003E73CD" w:rsidRDefault="006D73EB" w:rsidP="006D73EB">
            <w:pPr>
              <w:rPr>
                <w:sz w:val="22"/>
                <w:szCs w:val="22"/>
              </w:rPr>
            </w:pPr>
            <w:r w:rsidRPr="003E73CD">
              <w:rPr>
                <w:sz w:val="22"/>
                <w:szCs w:val="22"/>
              </w:rPr>
              <w:t>0</w:t>
            </w:r>
          </w:p>
        </w:tc>
        <w:tc>
          <w:tcPr>
            <w:tcW w:w="2129" w:type="dxa"/>
            <w:shd w:val="clear" w:color="auto" w:fill="auto"/>
          </w:tcPr>
          <w:p w14:paraId="10BCD456" w14:textId="77777777" w:rsidR="006D73EB" w:rsidRPr="003E73CD" w:rsidRDefault="006D73EB" w:rsidP="006D73EB">
            <w:pPr>
              <w:rPr>
                <w:sz w:val="22"/>
                <w:szCs w:val="22"/>
              </w:rPr>
            </w:pPr>
            <w:r w:rsidRPr="003E73CD">
              <w:rPr>
                <w:sz w:val="22"/>
                <w:szCs w:val="22"/>
              </w:rPr>
              <w:t>6</w:t>
            </w:r>
          </w:p>
        </w:tc>
      </w:tr>
      <w:tr w:rsidR="006D73EB" w:rsidRPr="003E73CD" w14:paraId="6F05A349" w14:textId="77777777" w:rsidTr="006D73EB">
        <w:tc>
          <w:tcPr>
            <w:tcW w:w="2129" w:type="dxa"/>
            <w:vMerge/>
            <w:shd w:val="clear" w:color="auto" w:fill="auto"/>
          </w:tcPr>
          <w:p w14:paraId="7B5E3568" w14:textId="77777777" w:rsidR="006D73EB" w:rsidRPr="003E73CD" w:rsidRDefault="006D73EB" w:rsidP="006D73EB">
            <w:pPr>
              <w:rPr>
                <w:sz w:val="22"/>
                <w:szCs w:val="22"/>
              </w:rPr>
            </w:pPr>
          </w:p>
        </w:tc>
        <w:tc>
          <w:tcPr>
            <w:tcW w:w="2129" w:type="dxa"/>
            <w:shd w:val="clear" w:color="auto" w:fill="auto"/>
          </w:tcPr>
          <w:p w14:paraId="6833C35A" w14:textId="77777777" w:rsidR="006D73EB" w:rsidRPr="003E73CD" w:rsidRDefault="006D73EB" w:rsidP="006D73EB">
            <w:pPr>
              <w:rPr>
                <w:sz w:val="22"/>
                <w:szCs w:val="22"/>
              </w:rPr>
            </w:pPr>
            <w:r w:rsidRPr="003E73CD">
              <w:rPr>
                <w:sz w:val="22"/>
                <w:szCs w:val="22"/>
              </w:rPr>
              <w:t>1</w:t>
            </w:r>
          </w:p>
        </w:tc>
        <w:tc>
          <w:tcPr>
            <w:tcW w:w="2129" w:type="dxa"/>
            <w:shd w:val="clear" w:color="auto" w:fill="auto"/>
          </w:tcPr>
          <w:p w14:paraId="24DA352E" w14:textId="77777777" w:rsidR="006D73EB" w:rsidRPr="003E73CD" w:rsidRDefault="006D73EB" w:rsidP="006D73EB">
            <w:pPr>
              <w:rPr>
                <w:sz w:val="22"/>
                <w:szCs w:val="22"/>
              </w:rPr>
            </w:pPr>
            <w:r w:rsidRPr="003E73CD">
              <w:rPr>
                <w:sz w:val="22"/>
                <w:szCs w:val="22"/>
              </w:rPr>
              <w:t>1</w:t>
            </w:r>
          </w:p>
        </w:tc>
        <w:tc>
          <w:tcPr>
            <w:tcW w:w="2129" w:type="dxa"/>
            <w:shd w:val="clear" w:color="auto" w:fill="auto"/>
          </w:tcPr>
          <w:p w14:paraId="6236E540" w14:textId="77777777" w:rsidR="006D73EB" w:rsidRPr="003E73CD" w:rsidRDefault="006D73EB" w:rsidP="006D73EB">
            <w:pPr>
              <w:rPr>
                <w:sz w:val="22"/>
                <w:szCs w:val="22"/>
              </w:rPr>
            </w:pPr>
            <w:r w:rsidRPr="003E73CD">
              <w:rPr>
                <w:sz w:val="22"/>
                <w:szCs w:val="22"/>
              </w:rPr>
              <w:t>4</w:t>
            </w:r>
          </w:p>
        </w:tc>
      </w:tr>
      <w:tr w:rsidR="006D73EB" w:rsidRPr="003E73CD" w14:paraId="584076F2" w14:textId="77777777" w:rsidTr="006D73EB">
        <w:tc>
          <w:tcPr>
            <w:tcW w:w="2129" w:type="dxa"/>
            <w:shd w:val="clear" w:color="auto" w:fill="auto"/>
          </w:tcPr>
          <w:p w14:paraId="46561BF5" w14:textId="77777777" w:rsidR="006D73EB" w:rsidRPr="003E73CD" w:rsidRDefault="006D73EB" w:rsidP="006D73EB">
            <w:pPr>
              <w:rPr>
                <w:sz w:val="22"/>
                <w:szCs w:val="22"/>
              </w:rPr>
            </w:pPr>
            <w:r w:rsidRPr="003E73CD">
              <w:rPr>
                <w:sz w:val="22"/>
                <w:szCs w:val="22"/>
              </w:rPr>
              <w:t>3</w:t>
            </w:r>
          </w:p>
        </w:tc>
        <w:tc>
          <w:tcPr>
            <w:tcW w:w="2129" w:type="dxa"/>
            <w:shd w:val="clear" w:color="auto" w:fill="auto"/>
          </w:tcPr>
          <w:p w14:paraId="707B6A55" w14:textId="77777777" w:rsidR="006D73EB" w:rsidRPr="003E73CD" w:rsidRDefault="006D73EB" w:rsidP="006D73EB">
            <w:pPr>
              <w:rPr>
                <w:sz w:val="22"/>
                <w:szCs w:val="22"/>
              </w:rPr>
            </w:pPr>
            <w:r w:rsidRPr="003E73CD">
              <w:rPr>
                <w:sz w:val="22"/>
                <w:szCs w:val="22"/>
              </w:rPr>
              <w:t>1</w:t>
            </w:r>
          </w:p>
        </w:tc>
        <w:tc>
          <w:tcPr>
            <w:tcW w:w="2129" w:type="dxa"/>
            <w:shd w:val="clear" w:color="auto" w:fill="auto"/>
          </w:tcPr>
          <w:p w14:paraId="49AB2109" w14:textId="77777777" w:rsidR="006D73EB" w:rsidRPr="003E73CD" w:rsidRDefault="006D73EB" w:rsidP="006D73EB">
            <w:pPr>
              <w:rPr>
                <w:sz w:val="22"/>
                <w:szCs w:val="22"/>
              </w:rPr>
            </w:pPr>
            <w:r w:rsidRPr="003E73CD">
              <w:rPr>
                <w:sz w:val="22"/>
                <w:szCs w:val="22"/>
              </w:rPr>
              <w:t>2</w:t>
            </w:r>
          </w:p>
        </w:tc>
        <w:tc>
          <w:tcPr>
            <w:tcW w:w="2129" w:type="dxa"/>
            <w:shd w:val="clear" w:color="auto" w:fill="auto"/>
          </w:tcPr>
          <w:p w14:paraId="451F2E4F" w14:textId="77777777" w:rsidR="006D73EB" w:rsidRPr="003E73CD" w:rsidRDefault="006D73EB" w:rsidP="006D73EB">
            <w:pPr>
              <w:rPr>
                <w:sz w:val="22"/>
                <w:szCs w:val="22"/>
              </w:rPr>
            </w:pPr>
            <w:r w:rsidRPr="003E73CD">
              <w:rPr>
                <w:sz w:val="22"/>
                <w:szCs w:val="22"/>
              </w:rPr>
              <w:t>1</w:t>
            </w:r>
          </w:p>
        </w:tc>
      </w:tr>
      <w:tr w:rsidR="006D73EB" w:rsidRPr="003E73CD" w14:paraId="078F7747" w14:textId="77777777" w:rsidTr="006D73EB">
        <w:tc>
          <w:tcPr>
            <w:tcW w:w="2129" w:type="dxa"/>
            <w:vMerge w:val="restart"/>
            <w:shd w:val="clear" w:color="auto" w:fill="auto"/>
          </w:tcPr>
          <w:p w14:paraId="3C20117C" w14:textId="77777777" w:rsidR="006D73EB" w:rsidRPr="003E73CD" w:rsidRDefault="006D73EB" w:rsidP="006D73EB">
            <w:pPr>
              <w:rPr>
                <w:sz w:val="22"/>
                <w:szCs w:val="22"/>
              </w:rPr>
            </w:pPr>
            <w:r w:rsidRPr="003E73CD">
              <w:rPr>
                <w:sz w:val="22"/>
                <w:szCs w:val="22"/>
              </w:rPr>
              <w:t>4</w:t>
            </w:r>
          </w:p>
        </w:tc>
        <w:tc>
          <w:tcPr>
            <w:tcW w:w="2129" w:type="dxa"/>
            <w:shd w:val="clear" w:color="auto" w:fill="auto"/>
          </w:tcPr>
          <w:p w14:paraId="354B8748" w14:textId="77777777" w:rsidR="006D73EB" w:rsidRPr="003E73CD" w:rsidRDefault="006D73EB" w:rsidP="006D73EB">
            <w:pPr>
              <w:rPr>
                <w:sz w:val="22"/>
                <w:szCs w:val="22"/>
              </w:rPr>
            </w:pPr>
            <w:r w:rsidRPr="003E73CD">
              <w:rPr>
                <w:sz w:val="22"/>
                <w:szCs w:val="22"/>
              </w:rPr>
              <w:t>4</w:t>
            </w:r>
          </w:p>
        </w:tc>
        <w:tc>
          <w:tcPr>
            <w:tcW w:w="2129" w:type="dxa"/>
            <w:shd w:val="clear" w:color="auto" w:fill="auto"/>
          </w:tcPr>
          <w:p w14:paraId="2D91A8B4" w14:textId="77777777" w:rsidR="006D73EB" w:rsidRPr="003E73CD" w:rsidRDefault="006D73EB" w:rsidP="006D73EB">
            <w:pPr>
              <w:rPr>
                <w:sz w:val="22"/>
                <w:szCs w:val="22"/>
              </w:rPr>
            </w:pPr>
            <w:r w:rsidRPr="003E73CD">
              <w:rPr>
                <w:sz w:val="22"/>
                <w:szCs w:val="22"/>
              </w:rPr>
              <w:t>0</w:t>
            </w:r>
          </w:p>
        </w:tc>
        <w:tc>
          <w:tcPr>
            <w:tcW w:w="2129" w:type="dxa"/>
            <w:shd w:val="clear" w:color="auto" w:fill="auto"/>
          </w:tcPr>
          <w:p w14:paraId="4801C92C" w14:textId="77777777" w:rsidR="006D73EB" w:rsidRPr="003E73CD" w:rsidRDefault="006D73EB" w:rsidP="006D73EB">
            <w:pPr>
              <w:rPr>
                <w:sz w:val="22"/>
                <w:szCs w:val="22"/>
              </w:rPr>
            </w:pPr>
            <w:r w:rsidRPr="003E73CD">
              <w:rPr>
                <w:sz w:val="22"/>
                <w:szCs w:val="22"/>
              </w:rPr>
              <w:t>1</w:t>
            </w:r>
          </w:p>
        </w:tc>
      </w:tr>
      <w:tr w:rsidR="006D73EB" w:rsidRPr="003E73CD" w14:paraId="413F7BDC" w14:textId="77777777" w:rsidTr="006D73EB">
        <w:tc>
          <w:tcPr>
            <w:tcW w:w="2129" w:type="dxa"/>
            <w:vMerge/>
            <w:shd w:val="clear" w:color="auto" w:fill="auto"/>
          </w:tcPr>
          <w:p w14:paraId="25DF8D8D" w14:textId="77777777" w:rsidR="006D73EB" w:rsidRPr="003E73CD" w:rsidRDefault="006D73EB" w:rsidP="006D73EB">
            <w:pPr>
              <w:rPr>
                <w:sz w:val="22"/>
                <w:szCs w:val="22"/>
              </w:rPr>
            </w:pPr>
          </w:p>
        </w:tc>
        <w:tc>
          <w:tcPr>
            <w:tcW w:w="2129" w:type="dxa"/>
            <w:shd w:val="clear" w:color="auto" w:fill="auto"/>
          </w:tcPr>
          <w:p w14:paraId="0C461AE4" w14:textId="77777777" w:rsidR="006D73EB" w:rsidRPr="003E73CD" w:rsidRDefault="006D73EB" w:rsidP="006D73EB">
            <w:pPr>
              <w:rPr>
                <w:sz w:val="22"/>
                <w:szCs w:val="22"/>
              </w:rPr>
            </w:pPr>
            <w:r w:rsidRPr="003E73CD">
              <w:rPr>
                <w:sz w:val="22"/>
                <w:szCs w:val="22"/>
              </w:rPr>
              <w:t>3</w:t>
            </w:r>
          </w:p>
        </w:tc>
        <w:tc>
          <w:tcPr>
            <w:tcW w:w="2129" w:type="dxa"/>
            <w:shd w:val="clear" w:color="auto" w:fill="auto"/>
          </w:tcPr>
          <w:p w14:paraId="788246EF" w14:textId="77777777" w:rsidR="006D73EB" w:rsidRPr="003E73CD" w:rsidRDefault="006D73EB" w:rsidP="006D73EB">
            <w:pPr>
              <w:rPr>
                <w:sz w:val="22"/>
                <w:szCs w:val="22"/>
              </w:rPr>
            </w:pPr>
            <w:r w:rsidRPr="003E73CD">
              <w:rPr>
                <w:sz w:val="22"/>
                <w:szCs w:val="22"/>
              </w:rPr>
              <w:t>1</w:t>
            </w:r>
          </w:p>
        </w:tc>
        <w:tc>
          <w:tcPr>
            <w:tcW w:w="2129" w:type="dxa"/>
            <w:shd w:val="clear" w:color="auto" w:fill="auto"/>
          </w:tcPr>
          <w:p w14:paraId="38E8422D" w14:textId="77777777" w:rsidR="006D73EB" w:rsidRPr="003E73CD" w:rsidRDefault="006D73EB" w:rsidP="006D73EB">
            <w:pPr>
              <w:rPr>
                <w:sz w:val="22"/>
                <w:szCs w:val="22"/>
              </w:rPr>
            </w:pPr>
            <w:r w:rsidRPr="003E73CD">
              <w:rPr>
                <w:sz w:val="22"/>
                <w:szCs w:val="22"/>
              </w:rPr>
              <w:t>1</w:t>
            </w:r>
          </w:p>
        </w:tc>
      </w:tr>
      <w:tr w:rsidR="006D73EB" w:rsidRPr="003E73CD" w14:paraId="3A27A953" w14:textId="77777777" w:rsidTr="006D73EB">
        <w:tc>
          <w:tcPr>
            <w:tcW w:w="2129" w:type="dxa"/>
            <w:shd w:val="clear" w:color="auto" w:fill="auto"/>
          </w:tcPr>
          <w:p w14:paraId="3B7F73A6" w14:textId="77777777" w:rsidR="006D73EB" w:rsidRPr="003E73CD" w:rsidRDefault="006D73EB" w:rsidP="006D73EB">
            <w:pPr>
              <w:rPr>
                <w:sz w:val="22"/>
                <w:szCs w:val="22"/>
              </w:rPr>
            </w:pPr>
            <w:r w:rsidRPr="003E73CD">
              <w:rPr>
                <w:sz w:val="22"/>
                <w:szCs w:val="22"/>
              </w:rPr>
              <w:t>24</w:t>
            </w:r>
          </w:p>
        </w:tc>
        <w:tc>
          <w:tcPr>
            <w:tcW w:w="2129" w:type="dxa"/>
            <w:shd w:val="clear" w:color="auto" w:fill="auto"/>
          </w:tcPr>
          <w:p w14:paraId="23848125" w14:textId="77777777" w:rsidR="006D73EB" w:rsidRPr="003E73CD" w:rsidRDefault="006D73EB" w:rsidP="006D73EB">
            <w:pPr>
              <w:rPr>
                <w:sz w:val="22"/>
                <w:szCs w:val="22"/>
              </w:rPr>
            </w:pPr>
            <w:r w:rsidRPr="003E73CD">
              <w:rPr>
                <w:sz w:val="22"/>
                <w:szCs w:val="22"/>
              </w:rPr>
              <w:t>1</w:t>
            </w:r>
          </w:p>
        </w:tc>
        <w:tc>
          <w:tcPr>
            <w:tcW w:w="2129" w:type="dxa"/>
            <w:shd w:val="clear" w:color="auto" w:fill="auto"/>
          </w:tcPr>
          <w:p w14:paraId="2D5B3A1D" w14:textId="77777777" w:rsidR="006D73EB" w:rsidRPr="003E73CD" w:rsidRDefault="006D73EB" w:rsidP="006D73EB">
            <w:pPr>
              <w:rPr>
                <w:sz w:val="22"/>
                <w:szCs w:val="22"/>
              </w:rPr>
            </w:pPr>
            <w:r w:rsidRPr="003E73CD">
              <w:rPr>
                <w:sz w:val="22"/>
                <w:szCs w:val="22"/>
              </w:rPr>
              <w:t>24</w:t>
            </w:r>
          </w:p>
        </w:tc>
        <w:tc>
          <w:tcPr>
            <w:tcW w:w="2129" w:type="dxa"/>
            <w:shd w:val="clear" w:color="auto" w:fill="auto"/>
          </w:tcPr>
          <w:p w14:paraId="1FD143ED" w14:textId="77777777" w:rsidR="006D73EB" w:rsidRPr="003E73CD" w:rsidRDefault="006D73EB" w:rsidP="006D73EB">
            <w:pPr>
              <w:rPr>
                <w:sz w:val="22"/>
                <w:szCs w:val="22"/>
              </w:rPr>
            </w:pPr>
            <w:r w:rsidRPr="003E73CD">
              <w:rPr>
                <w:sz w:val="22"/>
                <w:szCs w:val="22"/>
              </w:rPr>
              <w:t>1</w:t>
            </w:r>
          </w:p>
        </w:tc>
      </w:tr>
    </w:tbl>
    <w:p w14:paraId="1E97A0E8" w14:textId="77777777" w:rsidR="006D73EB" w:rsidRPr="003E73CD" w:rsidRDefault="006D73EB" w:rsidP="006D73EB">
      <w:pPr>
        <w:spacing w:line="480" w:lineRule="auto"/>
        <w:rPr>
          <w:sz w:val="22"/>
          <w:szCs w:val="22"/>
        </w:rPr>
      </w:pPr>
      <w:r w:rsidRPr="003E73CD">
        <w:rPr>
          <w:sz w:val="22"/>
          <w:szCs w:val="22"/>
        </w:rPr>
        <w:t>SN = sentinel node, NSN = non-sentinel node, n = number of patients</w:t>
      </w:r>
    </w:p>
    <w:p w14:paraId="3A04B042" w14:textId="77777777" w:rsidR="006D73EB" w:rsidRPr="003E73CD" w:rsidRDefault="006D73EB" w:rsidP="006D73EB">
      <w:pPr>
        <w:spacing w:line="480" w:lineRule="auto"/>
        <w:rPr>
          <w:sz w:val="22"/>
          <w:szCs w:val="22"/>
        </w:rPr>
      </w:pPr>
    </w:p>
    <w:p w14:paraId="3839BB5E" w14:textId="77777777" w:rsidR="006D73EB" w:rsidRPr="003E73CD" w:rsidRDefault="006D73EB" w:rsidP="006D73EB">
      <w:pPr>
        <w:spacing w:line="480" w:lineRule="auto"/>
        <w:rPr>
          <w:sz w:val="22"/>
          <w:szCs w:val="22"/>
        </w:rPr>
      </w:pPr>
    </w:p>
    <w:p w14:paraId="19D5C511" w14:textId="77777777" w:rsidR="006D73EB" w:rsidRPr="003E73CD" w:rsidRDefault="006D73EB" w:rsidP="006D73EB">
      <w:pPr>
        <w:spacing w:line="480" w:lineRule="auto"/>
        <w:rPr>
          <w:sz w:val="22"/>
          <w:szCs w:val="22"/>
        </w:rPr>
      </w:pPr>
    </w:p>
    <w:p w14:paraId="38F5CE54" w14:textId="77777777" w:rsidR="006D73EB" w:rsidRPr="003E73CD" w:rsidRDefault="006D73EB" w:rsidP="006D73EB">
      <w:pPr>
        <w:spacing w:line="480" w:lineRule="auto"/>
        <w:rPr>
          <w:sz w:val="22"/>
          <w:szCs w:val="22"/>
        </w:rPr>
      </w:pPr>
    </w:p>
    <w:p w14:paraId="48F94C59" w14:textId="77777777" w:rsidR="006D73EB" w:rsidRPr="003E73CD" w:rsidRDefault="006D73EB" w:rsidP="006D73EB">
      <w:pPr>
        <w:spacing w:line="480" w:lineRule="auto"/>
        <w:rPr>
          <w:sz w:val="22"/>
          <w:szCs w:val="22"/>
        </w:rPr>
      </w:pPr>
    </w:p>
    <w:p w14:paraId="60EAB4DB" w14:textId="59781DB6" w:rsidR="006D73EB" w:rsidRPr="003E73CD" w:rsidRDefault="002A0DBC" w:rsidP="006D73EB">
      <w:pPr>
        <w:spacing w:line="480" w:lineRule="auto"/>
        <w:rPr>
          <w:sz w:val="22"/>
          <w:szCs w:val="22"/>
        </w:rPr>
      </w:pPr>
      <w:r>
        <w:rPr>
          <w:sz w:val="22"/>
          <w:szCs w:val="22"/>
        </w:rPr>
        <w:t>Table 3.3</w:t>
      </w:r>
      <w:r w:rsidR="006D73EB" w:rsidRPr="003E73CD">
        <w:rPr>
          <w:sz w:val="22"/>
          <w:szCs w:val="22"/>
        </w:rPr>
        <w:t xml:space="preserve">.4. </w:t>
      </w:r>
      <w:proofErr w:type="gramStart"/>
      <w:r w:rsidR="006D73EB" w:rsidRPr="003E73CD">
        <w:rPr>
          <w:sz w:val="22"/>
          <w:szCs w:val="22"/>
        </w:rPr>
        <w:t>Survival and recurrence by survival tree group.</w:t>
      </w:r>
      <w:proofErr w:type="gram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2"/>
        <w:gridCol w:w="460"/>
        <w:gridCol w:w="1250"/>
        <w:gridCol w:w="1204"/>
        <w:gridCol w:w="1204"/>
        <w:gridCol w:w="1050"/>
        <w:gridCol w:w="1793"/>
      </w:tblGrid>
      <w:tr w:rsidR="006D73EB" w:rsidRPr="003E73CD" w14:paraId="20517C9A" w14:textId="77777777" w:rsidTr="006D73EB">
        <w:tc>
          <w:tcPr>
            <w:tcW w:w="802" w:type="dxa"/>
            <w:shd w:val="clear" w:color="auto" w:fill="auto"/>
          </w:tcPr>
          <w:p w14:paraId="27293071" w14:textId="77777777" w:rsidR="006D73EB" w:rsidRPr="003E73CD" w:rsidRDefault="006D73EB" w:rsidP="006D73EB">
            <w:pPr>
              <w:spacing w:line="480" w:lineRule="auto"/>
              <w:rPr>
                <w:sz w:val="22"/>
                <w:szCs w:val="22"/>
              </w:rPr>
            </w:pPr>
            <w:r w:rsidRPr="003E73CD">
              <w:rPr>
                <w:sz w:val="22"/>
                <w:szCs w:val="22"/>
              </w:rPr>
              <w:t>Group</w:t>
            </w:r>
          </w:p>
        </w:tc>
        <w:tc>
          <w:tcPr>
            <w:tcW w:w="460" w:type="dxa"/>
            <w:shd w:val="clear" w:color="auto" w:fill="auto"/>
          </w:tcPr>
          <w:p w14:paraId="723434B1" w14:textId="77777777" w:rsidR="006D73EB" w:rsidRPr="003E73CD" w:rsidRDefault="006D73EB" w:rsidP="006D73EB">
            <w:pPr>
              <w:spacing w:line="480" w:lineRule="auto"/>
              <w:rPr>
                <w:sz w:val="22"/>
                <w:szCs w:val="22"/>
              </w:rPr>
            </w:pPr>
            <w:proofErr w:type="gramStart"/>
            <w:r w:rsidRPr="003E73CD">
              <w:rPr>
                <w:sz w:val="22"/>
                <w:szCs w:val="22"/>
              </w:rPr>
              <w:t>n</w:t>
            </w:r>
            <w:proofErr w:type="gramEnd"/>
          </w:p>
        </w:tc>
        <w:tc>
          <w:tcPr>
            <w:tcW w:w="1250" w:type="dxa"/>
            <w:shd w:val="clear" w:color="auto" w:fill="auto"/>
          </w:tcPr>
          <w:p w14:paraId="57D65BBE" w14:textId="77777777" w:rsidR="006D73EB" w:rsidRPr="003E73CD" w:rsidRDefault="006D73EB" w:rsidP="006D73EB">
            <w:pPr>
              <w:spacing w:line="480" w:lineRule="auto"/>
              <w:rPr>
                <w:sz w:val="22"/>
                <w:szCs w:val="22"/>
              </w:rPr>
            </w:pPr>
            <w:r w:rsidRPr="003E73CD">
              <w:rPr>
                <w:sz w:val="22"/>
                <w:szCs w:val="22"/>
              </w:rPr>
              <w:t>Developed recurrence</w:t>
            </w:r>
          </w:p>
        </w:tc>
        <w:tc>
          <w:tcPr>
            <w:tcW w:w="1204" w:type="dxa"/>
            <w:shd w:val="clear" w:color="auto" w:fill="auto"/>
          </w:tcPr>
          <w:p w14:paraId="558A6229" w14:textId="77777777" w:rsidR="006D73EB" w:rsidRPr="003E73CD" w:rsidRDefault="006D73EB" w:rsidP="006D73EB">
            <w:pPr>
              <w:spacing w:line="480" w:lineRule="auto"/>
              <w:rPr>
                <w:sz w:val="22"/>
                <w:szCs w:val="22"/>
              </w:rPr>
            </w:pPr>
            <w:r w:rsidRPr="003E73CD">
              <w:rPr>
                <w:sz w:val="22"/>
                <w:szCs w:val="22"/>
              </w:rPr>
              <w:t>Died from melanoma</w:t>
            </w:r>
          </w:p>
        </w:tc>
        <w:tc>
          <w:tcPr>
            <w:tcW w:w="1204" w:type="dxa"/>
            <w:shd w:val="clear" w:color="auto" w:fill="auto"/>
          </w:tcPr>
          <w:p w14:paraId="38E4AC71" w14:textId="77777777" w:rsidR="006D73EB" w:rsidRPr="003E73CD" w:rsidRDefault="006D73EB" w:rsidP="006D73EB">
            <w:pPr>
              <w:spacing w:line="480" w:lineRule="auto"/>
              <w:rPr>
                <w:sz w:val="22"/>
                <w:szCs w:val="22"/>
              </w:rPr>
            </w:pPr>
            <w:r w:rsidRPr="003E73CD">
              <w:rPr>
                <w:sz w:val="22"/>
                <w:szCs w:val="22"/>
              </w:rPr>
              <w:t>Alive without melanoma</w:t>
            </w:r>
          </w:p>
        </w:tc>
        <w:tc>
          <w:tcPr>
            <w:tcW w:w="1050" w:type="dxa"/>
            <w:shd w:val="clear" w:color="auto" w:fill="auto"/>
          </w:tcPr>
          <w:p w14:paraId="37B833F5" w14:textId="77777777" w:rsidR="006D73EB" w:rsidRPr="003E73CD" w:rsidRDefault="006D73EB" w:rsidP="006D73EB">
            <w:pPr>
              <w:spacing w:line="480" w:lineRule="auto"/>
              <w:rPr>
                <w:sz w:val="22"/>
                <w:szCs w:val="22"/>
              </w:rPr>
            </w:pPr>
            <w:r w:rsidRPr="003E73CD">
              <w:rPr>
                <w:sz w:val="22"/>
                <w:szCs w:val="22"/>
              </w:rPr>
              <w:t xml:space="preserve">Survived </w:t>
            </w:r>
            <w:r w:rsidRPr="003E73CD">
              <w:rPr>
                <w:rFonts w:eastAsia="ＭＳ ゴシック"/>
                <w:color w:val="000000"/>
                <w:sz w:val="22"/>
                <w:szCs w:val="22"/>
              </w:rPr>
              <w:t>≥5 years</w:t>
            </w:r>
          </w:p>
        </w:tc>
        <w:tc>
          <w:tcPr>
            <w:tcW w:w="1793" w:type="dxa"/>
            <w:shd w:val="clear" w:color="auto" w:fill="auto"/>
          </w:tcPr>
          <w:p w14:paraId="30AE0DBB" w14:textId="77777777" w:rsidR="006D73EB" w:rsidRPr="003E73CD" w:rsidRDefault="006D73EB" w:rsidP="006D73EB">
            <w:pPr>
              <w:spacing w:line="480" w:lineRule="auto"/>
              <w:rPr>
                <w:sz w:val="22"/>
                <w:szCs w:val="22"/>
              </w:rPr>
            </w:pPr>
            <w:r w:rsidRPr="003E73CD">
              <w:rPr>
                <w:sz w:val="22"/>
                <w:szCs w:val="22"/>
              </w:rPr>
              <w:t>Free of disease but &lt;5 years follow-up</w:t>
            </w:r>
          </w:p>
        </w:tc>
      </w:tr>
      <w:tr w:rsidR="006D73EB" w:rsidRPr="003E73CD" w14:paraId="310DA7DF" w14:textId="77777777" w:rsidTr="006D73EB">
        <w:tc>
          <w:tcPr>
            <w:tcW w:w="802" w:type="dxa"/>
            <w:shd w:val="clear" w:color="auto" w:fill="auto"/>
          </w:tcPr>
          <w:p w14:paraId="7125E63A" w14:textId="77777777" w:rsidR="006D73EB" w:rsidRPr="003E73CD" w:rsidRDefault="006D73EB" w:rsidP="006D73EB">
            <w:pPr>
              <w:spacing w:line="480" w:lineRule="auto"/>
              <w:rPr>
                <w:sz w:val="22"/>
                <w:szCs w:val="22"/>
              </w:rPr>
            </w:pPr>
            <w:r w:rsidRPr="003E73CD">
              <w:rPr>
                <w:sz w:val="22"/>
                <w:szCs w:val="22"/>
              </w:rPr>
              <w:t>1</w:t>
            </w:r>
          </w:p>
        </w:tc>
        <w:tc>
          <w:tcPr>
            <w:tcW w:w="460" w:type="dxa"/>
            <w:shd w:val="clear" w:color="auto" w:fill="auto"/>
          </w:tcPr>
          <w:p w14:paraId="55FE2772" w14:textId="77777777" w:rsidR="006D73EB" w:rsidRPr="003E73CD" w:rsidRDefault="006D73EB" w:rsidP="006D73EB">
            <w:pPr>
              <w:spacing w:line="480" w:lineRule="auto"/>
              <w:rPr>
                <w:sz w:val="22"/>
                <w:szCs w:val="22"/>
              </w:rPr>
            </w:pPr>
            <w:r w:rsidRPr="003E73CD">
              <w:rPr>
                <w:sz w:val="22"/>
                <w:szCs w:val="22"/>
              </w:rPr>
              <w:t>12</w:t>
            </w:r>
          </w:p>
        </w:tc>
        <w:tc>
          <w:tcPr>
            <w:tcW w:w="1250" w:type="dxa"/>
            <w:shd w:val="clear" w:color="auto" w:fill="auto"/>
          </w:tcPr>
          <w:p w14:paraId="123C1B4E" w14:textId="77777777" w:rsidR="006D73EB" w:rsidRPr="003E73CD" w:rsidRDefault="006D73EB" w:rsidP="006D73EB">
            <w:pPr>
              <w:spacing w:line="480" w:lineRule="auto"/>
              <w:rPr>
                <w:sz w:val="22"/>
                <w:szCs w:val="22"/>
              </w:rPr>
            </w:pPr>
            <w:r w:rsidRPr="003E73CD">
              <w:rPr>
                <w:sz w:val="22"/>
                <w:szCs w:val="22"/>
              </w:rPr>
              <w:t>2</w:t>
            </w:r>
          </w:p>
        </w:tc>
        <w:tc>
          <w:tcPr>
            <w:tcW w:w="1204" w:type="dxa"/>
            <w:shd w:val="clear" w:color="auto" w:fill="auto"/>
          </w:tcPr>
          <w:p w14:paraId="26F03F7A" w14:textId="77777777" w:rsidR="006D73EB" w:rsidRPr="003E73CD" w:rsidRDefault="006D73EB" w:rsidP="006D73EB">
            <w:pPr>
              <w:spacing w:line="480" w:lineRule="auto"/>
              <w:rPr>
                <w:sz w:val="22"/>
                <w:szCs w:val="22"/>
              </w:rPr>
            </w:pPr>
            <w:r w:rsidRPr="003E73CD">
              <w:rPr>
                <w:sz w:val="22"/>
                <w:szCs w:val="22"/>
              </w:rPr>
              <w:t>0</w:t>
            </w:r>
          </w:p>
        </w:tc>
        <w:tc>
          <w:tcPr>
            <w:tcW w:w="1204" w:type="dxa"/>
            <w:shd w:val="clear" w:color="auto" w:fill="auto"/>
          </w:tcPr>
          <w:p w14:paraId="69BFF160" w14:textId="77777777" w:rsidR="006D73EB" w:rsidRPr="003E73CD" w:rsidRDefault="006D73EB" w:rsidP="006D73EB">
            <w:pPr>
              <w:spacing w:line="480" w:lineRule="auto"/>
              <w:rPr>
                <w:sz w:val="22"/>
                <w:szCs w:val="22"/>
              </w:rPr>
            </w:pPr>
            <w:r w:rsidRPr="003E73CD">
              <w:rPr>
                <w:sz w:val="22"/>
                <w:szCs w:val="22"/>
              </w:rPr>
              <w:t>12</w:t>
            </w:r>
          </w:p>
        </w:tc>
        <w:tc>
          <w:tcPr>
            <w:tcW w:w="1050" w:type="dxa"/>
            <w:shd w:val="clear" w:color="auto" w:fill="auto"/>
          </w:tcPr>
          <w:p w14:paraId="039BE9B6" w14:textId="77777777" w:rsidR="006D73EB" w:rsidRPr="003E73CD" w:rsidRDefault="006D73EB" w:rsidP="006D73EB">
            <w:pPr>
              <w:spacing w:line="480" w:lineRule="auto"/>
              <w:rPr>
                <w:sz w:val="22"/>
                <w:szCs w:val="22"/>
              </w:rPr>
            </w:pPr>
            <w:r w:rsidRPr="003E73CD">
              <w:rPr>
                <w:sz w:val="22"/>
                <w:szCs w:val="22"/>
              </w:rPr>
              <w:t>8</w:t>
            </w:r>
          </w:p>
        </w:tc>
        <w:tc>
          <w:tcPr>
            <w:tcW w:w="1793" w:type="dxa"/>
            <w:shd w:val="clear" w:color="auto" w:fill="auto"/>
          </w:tcPr>
          <w:p w14:paraId="0F61ABEF" w14:textId="77777777" w:rsidR="006D73EB" w:rsidRPr="003E73CD" w:rsidRDefault="006D73EB" w:rsidP="006D73EB">
            <w:pPr>
              <w:spacing w:line="480" w:lineRule="auto"/>
              <w:rPr>
                <w:sz w:val="22"/>
                <w:szCs w:val="22"/>
              </w:rPr>
            </w:pPr>
            <w:r w:rsidRPr="003E73CD">
              <w:rPr>
                <w:sz w:val="22"/>
                <w:szCs w:val="22"/>
              </w:rPr>
              <w:t>4</w:t>
            </w:r>
          </w:p>
        </w:tc>
      </w:tr>
      <w:tr w:rsidR="006D73EB" w:rsidRPr="003E73CD" w14:paraId="47BA177A" w14:textId="77777777" w:rsidTr="006D73EB">
        <w:tc>
          <w:tcPr>
            <w:tcW w:w="802" w:type="dxa"/>
            <w:shd w:val="clear" w:color="auto" w:fill="auto"/>
          </w:tcPr>
          <w:p w14:paraId="73EDEAC1" w14:textId="77777777" w:rsidR="006D73EB" w:rsidRPr="003E73CD" w:rsidRDefault="006D73EB" w:rsidP="006D73EB">
            <w:pPr>
              <w:spacing w:line="480" w:lineRule="auto"/>
              <w:rPr>
                <w:sz w:val="22"/>
                <w:szCs w:val="22"/>
              </w:rPr>
            </w:pPr>
            <w:r w:rsidRPr="003E73CD">
              <w:rPr>
                <w:sz w:val="22"/>
                <w:szCs w:val="22"/>
              </w:rPr>
              <w:t>2</w:t>
            </w:r>
          </w:p>
        </w:tc>
        <w:tc>
          <w:tcPr>
            <w:tcW w:w="460" w:type="dxa"/>
            <w:shd w:val="clear" w:color="auto" w:fill="auto"/>
          </w:tcPr>
          <w:p w14:paraId="0953D8AA" w14:textId="77777777" w:rsidR="006D73EB" w:rsidRPr="003E73CD" w:rsidRDefault="006D73EB" w:rsidP="006D73EB">
            <w:pPr>
              <w:spacing w:line="480" w:lineRule="auto"/>
              <w:rPr>
                <w:sz w:val="22"/>
                <w:szCs w:val="22"/>
              </w:rPr>
            </w:pPr>
            <w:r w:rsidRPr="003E73CD">
              <w:rPr>
                <w:sz w:val="22"/>
                <w:szCs w:val="22"/>
              </w:rPr>
              <w:t>15</w:t>
            </w:r>
          </w:p>
        </w:tc>
        <w:tc>
          <w:tcPr>
            <w:tcW w:w="1250" w:type="dxa"/>
            <w:shd w:val="clear" w:color="auto" w:fill="auto"/>
          </w:tcPr>
          <w:p w14:paraId="70ABB09F" w14:textId="77777777" w:rsidR="006D73EB" w:rsidRPr="003E73CD" w:rsidRDefault="006D73EB" w:rsidP="006D73EB">
            <w:pPr>
              <w:spacing w:line="480" w:lineRule="auto"/>
              <w:rPr>
                <w:sz w:val="22"/>
                <w:szCs w:val="22"/>
              </w:rPr>
            </w:pPr>
            <w:r w:rsidRPr="003E73CD">
              <w:rPr>
                <w:sz w:val="22"/>
                <w:szCs w:val="22"/>
              </w:rPr>
              <w:t>6</w:t>
            </w:r>
          </w:p>
        </w:tc>
        <w:tc>
          <w:tcPr>
            <w:tcW w:w="1204" w:type="dxa"/>
            <w:shd w:val="clear" w:color="auto" w:fill="auto"/>
          </w:tcPr>
          <w:p w14:paraId="05A3ACD1" w14:textId="77777777" w:rsidR="006D73EB" w:rsidRPr="003E73CD" w:rsidRDefault="006D73EB" w:rsidP="006D73EB">
            <w:pPr>
              <w:spacing w:line="480" w:lineRule="auto"/>
              <w:rPr>
                <w:sz w:val="22"/>
                <w:szCs w:val="22"/>
              </w:rPr>
            </w:pPr>
            <w:r w:rsidRPr="003E73CD">
              <w:rPr>
                <w:sz w:val="22"/>
                <w:szCs w:val="22"/>
              </w:rPr>
              <w:t>3</w:t>
            </w:r>
          </w:p>
        </w:tc>
        <w:tc>
          <w:tcPr>
            <w:tcW w:w="1204" w:type="dxa"/>
            <w:shd w:val="clear" w:color="auto" w:fill="auto"/>
          </w:tcPr>
          <w:p w14:paraId="73297483" w14:textId="77777777" w:rsidR="006D73EB" w:rsidRPr="003E73CD" w:rsidRDefault="006D73EB" w:rsidP="006D73EB">
            <w:pPr>
              <w:spacing w:line="480" w:lineRule="auto"/>
              <w:rPr>
                <w:sz w:val="22"/>
                <w:szCs w:val="22"/>
              </w:rPr>
            </w:pPr>
            <w:r w:rsidRPr="003E73CD">
              <w:rPr>
                <w:sz w:val="22"/>
                <w:szCs w:val="22"/>
              </w:rPr>
              <w:t>11</w:t>
            </w:r>
          </w:p>
        </w:tc>
        <w:tc>
          <w:tcPr>
            <w:tcW w:w="1050" w:type="dxa"/>
            <w:shd w:val="clear" w:color="auto" w:fill="auto"/>
          </w:tcPr>
          <w:p w14:paraId="1867B456" w14:textId="77777777" w:rsidR="006D73EB" w:rsidRPr="003E73CD" w:rsidRDefault="006D73EB" w:rsidP="006D73EB">
            <w:pPr>
              <w:spacing w:line="480" w:lineRule="auto"/>
              <w:rPr>
                <w:sz w:val="22"/>
                <w:szCs w:val="22"/>
              </w:rPr>
            </w:pPr>
            <w:r w:rsidRPr="003E73CD">
              <w:rPr>
                <w:sz w:val="22"/>
                <w:szCs w:val="22"/>
              </w:rPr>
              <w:t>11</w:t>
            </w:r>
          </w:p>
        </w:tc>
        <w:tc>
          <w:tcPr>
            <w:tcW w:w="1793" w:type="dxa"/>
            <w:shd w:val="clear" w:color="auto" w:fill="auto"/>
          </w:tcPr>
          <w:p w14:paraId="5D7E0CB3" w14:textId="77777777" w:rsidR="006D73EB" w:rsidRPr="003E73CD" w:rsidRDefault="006D73EB" w:rsidP="006D73EB">
            <w:pPr>
              <w:spacing w:line="480" w:lineRule="auto"/>
              <w:rPr>
                <w:sz w:val="22"/>
                <w:szCs w:val="22"/>
              </w:rPr>
            </w:pPr>
            <w:r w:rsidRPr="003E73CD">
              <w:rPr>
                <w:sz w:val="22"/>
                <w:szCs w:val="22"/>
              </w:rPr>
              <w:t>2</w:t>
            </w:r>
          </w:p>
        </w:tc>
      </w:tr>
      <w:tr w:rsidR="006D73EB" w:rsidRPr="003E73CD" w14:paraId="6AA73DA3" w14:textId="77777777" w:rsidTr="006D73EB">
        <w:tc>
          <w:tcPr>
            <w:tcW w:w="802" w:type="dxa"/>
            <w:shd w:val="clear" w:color="auto" w:fill="auto"/>
          </w:tcPr>
          <w:p w14:paraId="4923851A" w14:textId="77777777" w:rsidR="006D73EB" w:rsidRPr="003E73CD" w:rsidRDefault="006D73EB" w:rsidP="006D73EB">
            <w:pPr>
              <w:spacing w:line="480" w:lineRule="auto"/>
              <w:rPr>
                <w:sz w:val="22"/>
                <w:szCs w:val="22"/>
              </w:rPr>
            </w:pPr>
            <w:r w:rsidRPr="003E73CD">
              <w:rPr>
                <w:sz w:val="22"/>
                <w:szCs w:val="22"/>
              </w:rPr>
              <w:t>3</w:t>
            </w:r>
          </w:p>
        </w:tc>
        <w:tc>
          <w:tcPr>
            <w:tcW w:w="460" w:type="dxa"/>
            <w:shd w:val="clear" w:color="auto" w:fill="auto"/>
          </w:tcPr>
          <w:p w14:paraId="72B611DB" w14:textId="77777777" w:rsidR="006D73EB" w:rsidRPr="003E73CD" w:rsidRDefault="006D73EB" w:rsidP="006D73EB">
            <w:pPr>
              <w:spacing w:line="480" w:lineRule="auto"/>
              <w:rPr>
                <w:sz w:val="22"/>
                <w:szCs w:val="22"/>
              </w:rPr>
            </w:pPr>
            <w:r w:rsidRPr="003E73CD">
              <w:rPr>
                <w:sz w:val="22"/>
                <w:szCs w:val="22"/>
              </w:rPr>
              <w:t>14</w:t>
            </w:r>
          </w:p>
        </w:tc>
        <w:tc>
          <w:tcPr>
            <w:tcW w:w="1250" w:type="dxa"/>
            <w:shd w:val="clear" w:color="auto" w:fill="auto"/>
          </w:tcPr>
          <w:p w14:paraId="4DD7EF7A" w14:textId="77777777" w:rsidR="006D73EB" w:rsidRPr="003E73CD" w:rsidRDefault="006D73EB" w:rsidP="006D73EB">
            <w:pPr>
              <w:spacing w:line="480" w:lineRule="auto"/>
              <w:rPr>
                <w:sz w:val="22"/>
                <w:szCs w:val="22"/>
              </w:rPr>
            </w:pPr>
            <w:r w:rsidRPr="003E73CD">
              <w:rPr>
                <w:sz w:val="22"/>
                <w:szCs w:val="22"/>
              </w:rPr>
              <w:t>7</w:t>
            </w:r>
          </w:p>
        </w:tc>
        <w:tc>
          <w:tcPr>
            <w:tcW w:w="1204" w:type="dxa"/>
            <w:shd w:val="clear" w:color="auto" w:fill="auto"/>
          </w:tcPr>
          <w:p w14:paraId="700AEAF7" w14:textId="77777777" w:rsidR="006D73EB" w:rsidRPr="003E73CD" w:rsidRDefault="006D73EB" w:rsidP="006D73EB">
            <w:pPr>
              <w:spacing w:line="480" w:lineRule="auto"/>
              <w:rPr>
                <w:sz w:val="22"/>
                <w:szCs w:val="22"/>
              </w:rPr>
            </w:pPr>
            <w:r w:rsidRPr="003E73CD">
              <w:rPr>
                <w:sz w:val="22"/>
                <w:szCs w:val="22"/>
              </w:rPr>
              <w:t>6</w:t>
            </w:r>
          </w:p>
        </w:tc>
        <w:tc>
          <w:tcPr>
            <w:tcW w:w="1204" w:type="dxa"/>
            <w:shd w:val="clear" w:color="auto" w:fill="auto"/>
          </w:tcPr>
          <w:p w14:paraId="6DE50927" w14:textId="77777777" w:rsidR="006D73EB" w:rsidRPr="003E73CD" w:rsidRDefault="006D73EB" w:rsidP="006D73EB">
            <w:pPr>
              <w:spacing w:line="480" w:lineRule="auto"/>
              <w:rPr>
                <w:sz w:val="22"/>
                <w:szCs w:val="22"/>
              </w:rPr>
            </w:pPr>
            <w:r w:rsidRPr="003E73CD">
              <w:rPr>
                <w:sz w:val="22"/>
                <w:szCs w:val="22"/>
              </w:rPr>
              <w:t>8</w:t>
            </w:r>
          </w:p>
        </w:tc>
        <w:tc>
          <w:tcPr>
            <w:tcW w:w="1050" w:type="dxa"/>
            <w:shd w:val="clear" w:color="auto" w:fill="auto"/>
          </w:tcPr>
          <w:p w14:paraId="069D0E17" w14:textId="77777777" w:rsidR="006D73EB" w:rsidRPr="003E73CD" w:rsidRDefault="006D73EB" w:rsidP="006D73EB">
            <w:pPr>
              <w:spacing w:line="480" w:lineRule="auto"/>
              <w:rPr>
                <w:sz w:val="22"/>
                <w:szCs w:val="22"/>
              </w:rPr>
            </w:pPr>
            <w:r w:rsidRPr="003E73CD">
              <w:rPr>
                <w:sz w:val="22"/>
                <w:szCs w:val="22"/>
              </w:rPr>
              <w:t>7</w:t>
            </w:r>
          </w:p>
        </w:tc>
        <w:tc>
          <w:tcPr>
            <w:tcW w:w="1793" w:type="dxa"/>
            <w:shd w:val="clear" w:color="auto" w:fill="auto"/>
          </w:tcPr>
          <w:p w14:paraId="523231A4" w14:textId="77777777" w:rsidR="006D73EB" w:rsidRPr="003E73CD" w:rsidRDefault="006D73EB" w:rsidP="006D73EB">
            <w:pPr>
              <w:spacing w:line="480" w:lineRule="auto"/>
              <w:rPr>
                <w:sz w:val="22"/>
                <w:szCs w:val="22"/>
              </w:rPr>
            </w:pPr>
            <w:r w:rsidRPr="003E73CD">
              <w:rPr>
                <w:sz w:val="22"/>
                <w:szCs w:val="22"/>
              </w:rPr>
              <w:t>3</w:t>
            </w:r>
          </w:p>
        </w:tc>
      </w:tr>
      <w:tr w:rsidR="006D73EB" w:rsidRPr="003E73CD" w14:paraId="764E6305" w14:textId="77777777" w:rsidTr="006D73EB">
        <w:tc>
          <w:tcPr>
            <w:tcW w:w="802" w:type="dxa"/>
            <w:shd w:val="clear" w:color="auto" w:fill="auto"/>
          </w:tcPr>
          <w:p w14:paraId="2CF486FC" w14:textId="77777777" w:rsidR="006D73EB" w:rsidRPr="003E73CD" w:rsidRDefault="006D73EB" w:rsidP="006D73EB">
            <w:pPr>
              <w:spacing w:line="480" w:lineRule="auto"/>
              <w:rPr>
                <w:sz w:val="22"/>
                <w:szCs w:val="22"/>
              </w:rPr>
            </w:pPr>
            <w:r w:rsidRPr="003E73CD">
              <w:rPr>
                <w:sz w:val="22"/>
                <w:szCs w:val="22"/>
              </w:rPr>
              <w:t>4</w:t>
            </w:r>
          </w:p>
        </w:tc>
        <w:tc>
          <w:tcPr>
            <w:tcW w:w="460" w:type="dxa"/>
            <w:shd w:val="clear" w:color="auto" w:fill="auto"/>
          </w:tcPr>
          <w:p w14:paraId="3BEB332F" w14:textId="77777777" w:rsidR="006D73EB" w:rsidRPr="003E73CD" w:rsidRDefault="006D73EB" w:rsidP="006D73EB">
            <w:pPr>
              <w:spacing w:line="480" w:lineRule="auto"/>
              <w:rPr>
                <w:sz w:val="22"/>
                <w:szCs w:val="22"/>
              </w:rPr>
            </w:pPr>
            <w:r w:rsidRPr="003E73CD">
              <w:rPr>
                <w:sz w:val="22"/>
                <w:szCs w:val="22"/>
              </w:rPr>
              <w:t>3</w:t>
            </w:r>
          </w:p>
        </w:tc>
        <w:tc>
          <w:tcPr>
            <w:tcW w:w="1250" w:type="dxa"/>
            <w:shd w:val="clear" w:color="auto" w:fill="auto"/>
          </w:tcPr>
          <w:p w14:paraId="49177069" w14:textId="77777777" w:rsidR="006D73EB" w:rsidRPr="003E73CD" w:rsidRDefault="006D73EB" w:rsidP="006D73EB">
            <w:pPr>
              <w:spacing w:line="480" w:lineRule="auto"/>
              <w:rPr>
                <w:sz w:val="22"/>
                <w:szCs w:val="22"/>
              </w:rPr>
            </w:pPr>
            <w:r w:rsidRPr="003E73CD">
              <w:rPr>
                <w:sz w:val="22"/>
                <w:szCs w:val="22"/>
              </w:rPr>
              <w:t>3</w:t>
            </w:r>
          </w:p>
        </w:tc>
        <w:tc>
          <w:tcPr>
            <w:tcW w:w="1204" w:type="dxa"/>
            <w:shd w:val="clear" w:color="auto" w:fill="auto"/>
          </w:tcPr>
          <w:p w14:paraId="234039EC" w14:textId="77777777" w:rsidR="006D73EB" w:rsidRPr="003E73CD" w:rsidRDefault="006D73EB" w:rsidP="006D73EB">
            <w:pPr>
              <w:spacing w:line="480" w:lineRule="auto"/>
              <w:rPr>
                <w:sz w:val="22"/>
                <w:szCs w:val="22"/>
              </w:rPr>
            </w:pPr>
            <w:r w:rsidRPr="003E73CD">
              <w:rPr>
                <w:sz w:val="22"/>
                <w:szCs w:val="22"/>
              </w:rPr>
              <w:t>3</w:t>
            </w:r>
          </w:p>
        </w:tc>
        <w:tc>
          <w:tcPr>
            <w:tcW w:w="1204" w:type="dxa"/>
            <w:shd w:val="clear" w:color="auto" w:fill="auto"/>
          </w:tcPr>
          <w:p w14:paraId="71FADB0A" w14:textId="77777777" w:rsidR="006D73EB" w:rsidRPr="003E73CD" w:rsidRDefault="006D73EB" w:rsidP="006D73EB">
            <w:pPr>
              <w:spacing w:line="480" w:lineRule="auto"/>
              <w:rPr>
                <w:sz w:val="22"/>
                <w:szCs w:val="22"/>
              </w:rPr>
            </w:pPr>
            <w:r w:rsidRPr="003E73CD">
              <w:rPr>
                <w:sz w:val="22"/>
                <w:szCs w:val="22"/>
              </w:rPr>
              <w:t>0</w:t>
            </w:r>
          </w:p>
        </w:tc>
        <w:tc>
          <w:tcPr>
            <w:tcW w:w="1050" w:type="dxa"/>
            <w:shd w:val="clear" w:color="auto" w:fill="auto"/>
          </w:tcPr>
          <w:p w14:paraId="3FB1F356" w14:textId="77777777" w:rsidR="006D73EB" w:rsidRPr="003E73CD" w:rsidRDefault="006D73EB" w:rsidP="006D73EB">
            <w:pPr>
              <w:spacing w:line="480" w:lineRule="auto"/>
              <w:rPr>
                <w:sz w:val="22"/>
                <w:szCs w:val="22"/>
              </w:rPr>
            </w:pPr>
            <w:r w:rsidRPr="003E73CD">
              <w:rPr>
                <w:sz w:val="22"/>
                <w:szCs w:val="22"/>
              </w:rPr>
              <w:t>0</w:t>
            </w:r>
          </w:p>
        </w:tc>
        <w:tc>
          <w:tcPr>
            <w:tcW w:w="1793" w:type="dxa"/>
            <w:shd w:val="clear" w:color="auto" w:fill="auto"/>
          </w:tcPr>
          <w:p w14:paraId="28D108E1" w14:textId="77777777" w:rsidR="006D73EB" w:rsidRPr="003E73CD" w:rsidRDefault="006D73EB" w:rsidP="006D73EB">
            <w:pPr>
              <w:spacing w:line="480" w:lineRule="auto"/>
              <w:rPr>
                <w:sz w:val="22"/>
                <w:szCs w:val="22"/>
              </w:rPr>
            </w:pPr>
            <w:r w:rsidRPr="003E73CD">
              <w:rPr>
                <w:sz w:val="22"/>
                <w:szCs w:val="22"/>
              </w:rPr>
              <w:t>0</w:t>
            </w:r>
          </w:p>
        </w:tc>
      </w:tr>
    </w:tbl>
    <w:p w14:paraId="7A369C6D" w14:textId="77777777" w:rsidR="006D73EB" w:rsidRPr="003E73CD" w:rsidRDefault="006D73EB">
      <w:pPr>
        <w:rPr>
          <w:sz w:val="22"/>
          <w:szCs w:val="22"/>
        </w:rPr>
      </w:pPr>
      <w:r w:rsidRPr="003E73CD">
        <w:rPr>
          <w:sz w:val="22"/>
          <w:szCs w:val="22"/>
        </w:rPr>
        <w:br w:type="page"/>
      </w:r>
    </w:p>
    <w:p w14:paraId="7C3558F7" w14:textId="0F9033BC" w:rsidR="0061482C" w:rsidRPr="003E73CD" w:rsidRDefault="0061482C" w:rsidP="0061482C">
      <w:pPr>
        <w:spacing w:line="480" w:lineRule="auto"/>
        <w:ind w:firstLine="720"/>
        <w:rPr>
          <w:sz w:val="22"/>
          <w:szCs w:val="22"/>
        </w:rPr>
      </w:pPr>
      <w:r w:rsidRPr="003E73CD">
        <w:rPr>
          <w:sz w:val="22"/>
          <w:szCs w:val="22"/>
        </w:rPr>
        <w:t>Eight of 44 patients</w:t>
      </w:r>
      <w:r w:rsidR="003F5D8F" w:rsidRPr="003E73CD">
        <w:rPr>
          <w:sz w:val="22"/>
          <w:szCs w:val="22"/>
        </w:rPr>
        <w:t xml:space="preserve"> had metastases in non-sentinel nodes in addition to sentinel</w:t>
      </w:r>
      <w:r w:rsidRPr="003E73CD">
        <w:rPr>
          <w:sz w:val="22"/>
          <w:szCs w:val="22"/>
        </w:rPr>
        <w:t xml:space="preserve"> nodes.  </w:t>
      </w:r>
      <w:r w:rsidR="002A5B1F" w:rsidRPr="003E73CD">
        <w:rPr>
          <w:sz w:val="22"/>
          <w:szCs w:val="22"/>
        </w:rPr>
        <w:t>The classification tree assigned 12 patients to Group One, 15 patients to Group Two, 14 patients to</w:t>
      </w:r>
      <w:r w:rsidRPr="003E73CD">
        <w:rPr>
          <w:sz w:val="22"/>
          <w:szCs w:val="22"/>
        </w:rPr>
        <w:t xml:space="preserve"> Gr</w:t>
      </w:r>
      <w:r w:rsidR="002A5B1F" w:rsidRPr="003E73CD">
        <w:rPr>
          <w:sz w:val="22"/>
          <w:szCs w:val="22"/>
        </w:rPr>
        <w:t>oup Three, and 3 patients to</w:t>
      </w:r>
      <w:r w:rsidRPr="003E73CD">
        <w:rPr>
          <w:sz w:val="22"/>
          <w:szCs w:val="22"/>
        </w:rPr>
        <w:t xml:space="preserve"> Group Four.  The median follow-up time for the study population was 61 months (range 5 to 113 months) and 11 of 44 patients died from melanoma.  All patients in Group Four developed metastatic disease and died, with a maximum survival time of 3 years.  </w:t>
      </w:r>
      <w:r w:rsidR="00567011" w:rsidRPr="003E73CD">
        <w:rPr>
          <w:sz w:val="22"/>
          <w:szCs w:val="22"/>
        </w:rPr>
        <w:t>In contrast, a</w:t>
      </w:r>
      <w:r w:rsidRPr="003E73CD">
        <w:rPr>
          <w:sz w:val="22"/>
          <w:szCs w:val="22"/>
        </w:rPr>
        <w:t>ll patients in Group One were alive and without evidence of metastatic disease with a median follow-up time of 64 months (range 5 to 104 months).  There were two patients within this group who were lost to follow up at 5 months and 18 months.  Two patients had developed recurrence: one had had local and in</w:t>
      </w:r>
      <w:r w:rsidR="009B1E00">
        <w:rPr>
          <w:sz w:val="22"/>
          <w:szCs w:val="22"/>
        </w:rPr>
        <w:t>-</w:t>
      </w:r>
      <w:r w:rsidRPr="003E73CD">
        <w:rPr>
          <w:sz w:val="22"/>
          <w:szCs w:val="22"/>
        </w:rPr>
        <w:t>transit r</w:t>
      </w:r>
      <w:r w:rsidR="002A5B1F" w:rsidRPr="003E73CD">
        <w:rPr>
          <w:sz w:val="22"/>
          <w:szCs w:val="22"/>
        </w:rPr>
        <w:t>ecurrences treated</w:t>
      </w:r>
      <w:r w:rsidRPr="003E73CD">
        <w:rPr>
          <w:sz w:val="22"/>
          <w:szCs w:val="22"/>
        </w:rPr>
        <w:t xml:space="preserve"> and had been recurrence-free for 60 months, the other had developed further nodal disease within the previously dissected nodal basin and then in more proximal nodes.  This patient underwent further resections and had been clinically free of disease for 31 months.</w:t>
      </w:r>
    </w:p>
    <w:p w14:paraId="519C8131" w14:textId="4774EF26" w:rsidR="00A070C4" w:rsidRPr="003E73CD" w:rsidRDefault="0061482C" w:rsidP="00A070C4">
      <w:pPr>
        <w:spacing w:line="480" w:lineRule="auto"/>
        <w:ind w:firstLine="720"/>
        <w:rPr>
          <w:sz w:val="22"/>
          <w:szCs w:val="22"/>
        </w:rPr>
      </w:pPr>
      <w:r w:rsidRPr="003E73CD">
        <w:rPr>
          <w:sz w:val="22"/>
          <w:szCs w:val="22"/>
        </w:rPr>
        <w:t>Of the Group Two patients 6 of 15 had developed recurrence and 3 had died of melanoma with survival times ranging from 7 to 79 months.  The nature of the initial recurrence was local or in</w:t>
      </w:r>
      <w:r w:rsidR="009B1E00">
        <w:rPr>
          <w:sz w:val="22"/>
          <w:szCs w:val="22"/>
        </w:rPr>
        <w:t>-</w:t>
      </w:r>
      <w:r w:rsidRPr="003E73CD">
        <w:rPr>
          <w:sz w:val="22"/>
          <w:szCs w:val="22"/>
        </w:rPr>
        <w:t xml:space="preserve">transit metastases in 4 cases, distant skin metastasis in 1 case and lung metastasis in 1 case.  Only 2 patients survived for less than 45 months and for those who remained alive the median follow-up time </w:t>
      </w:r>
      <w:proofErr w:type="gramStart"/>
      <w:r w:rsidRPr="003E73CD">
        <w:rPr>
          <w:sz w:val="22"/>
          <w:szCs w:val="22"/>
        </w:rPr>
        <w:t>was</w:t>
      </w:r>
      <w:proofErr w:type="gramEnd"/>
      <w:r w:rsidRPr="003E73CD">
        <w:rPr>
          <w:sz w:val="22"/>
          <w:szCs w:val="22"/>
        </w:rPr>
        <w:t xml:space="preserve"> 73 (range 45 to 102) months.  In Group Three 7 of 14 patients had developed recurrence and 6 had died of melanoma.  The nature of the initial recurrence was multiple distant sites in all but one case where local recurrence occurred.  All patients who had developed initial recurrence at distant sites had died, with survival times ranging from 15 to 78 months (median 39 months).  The median follow-up time for those who remained alive was 70 (44 to 113) months and all patients were clinically free of disease.</w:t>
      </w:r>
      <w:r w:rsidR="00785EEB" w:rsidRPr="003E73CD">
        <w:rPr>
          <w:sz w:val="22"/>
          <w:szCs w:val="22"/>
        </w:rPr>
        <w:t xml:space="preserve">  </w:t>
      </w:r>
      <w:r w:rsidR="00A070C4" w:rsidRPr="003E73CD">
        <w:rPr>
          <w:sz w:val="22"/>
          <w:szCs w:val="22"/>
        </w:rPr>
        <w:t xml:space="preserve"> </w:t>
      </w:r>
    </w:p>
    <w:p w14:paraId="1248A983" w14:textId="7E304400" w:rsidR="006D73EB" w:rsidRPr="003E73CD" w:rsidRDefault="002A5B1F" w:rsidP="00A070C4">
      <w:pPr>
        <w:spacing w:line="480" w:lineRule="auto"/>
        <w:ind w:firstLine="720"/>
        <w:rPr>
          <w:sz w:val="22"/>
          <w:szCs w:val="22"/>
        </w:rPr>
      </w:pPr>
      <w:r w:rsidRPr="003E73CD">
        <w:rPr>
          <w:sz w:val="22"/>
          <w:szCs w:val="22"/>
        </w:rPr>
        <w:t>There were 35 patients who had</w:t>
      </w:r>
      <w:r w:rsidR="00A070C4" w:rsidRPr="003E73CD">
        <w:rPr>
          <w:sz w:val="22"/>
          <w:szCs w:val="22"/>
        </w:rPr>
        <w:t xml:space="preserve"> a follow-up t</w:t>
      </w:r>
      <w:r w:rsidRPr="003E73CD">
        <w:rPr>
          <w:sz w:val="22"/>
          <w:szCs w:val="22"/>
        </w:rPr>
        <w:t>ime of at least 5 years or had died within 5 years.  T</w:t>
      </w:r>
      <w:r w:rsidR="00A070C4" w:rsidRPr="003E73CD">
        <w:rPr>
          <w:sz w:val="22"/>
          <w:szCs w:val="22"/>
        </w:rPr>
        <w:t xml:space="preserve">he predicted survival rates according to the survival tree model are compared with the actual survival rates for this group in </w:t>
      </w:r>
      <w:r w:rsidR="002A0DBC">
        <w:rPr>
          <w:sz w:val="22"/>
          <w:szCs w:val="22"/>
        </w:rPr>
        <w:t>Table 3.3</w:t>
      </w:r>
      <w:r w:rsidR="00E261E9" w:rsidRPr="003E73CD">
        <w:rPr>
          <w:sz w:val="22"/>
          <w:szCs w:val="22"/>
        </w:rPr>
        <w:t>.5</w:t>
      </w:r>
      <w:r w:rsidR="00A070C4" w:rsidRPr="003E73CD">
        <w:rPr>
          <w:sz w:val="22"/>
          <w:szCs w:val="22"/>
        </w:rPr>
        <w:t xml:space="preserve">.  </w:t>
      </w:r>
    </w:p>
    <w:p w14:paraId="616B426E" w14:textId="4BCDA455" w:rsidR="006D73EB" w:rsidRPr="003E73CD" w:rsidRDefault="002A0DBC" w:rsidP="006D73EB">
      <w:pPr>
        <w:widowControl w:val="0"/>
        <w:autoSpaceDE w:val="0"/>
        <w:autoSpaceDN w:val="0"/>
        <w:adjustRightInd w:val="0"/>
        <w:spacing w:line="480" w:lineRule="auto"/>
        <w:rPr>
          <w:rFonts w:asciiTheme="minorHAnsi" w:eastAsiaTheme="minorEastAsia" w:hAnsiTheme="minorHAnsi"/>
          <w:sz w:val="22"/>
          <w:szCs w:val="22"/>
        </w:rPr>
      </w:pPr>
      <w:r>
        <w:rPr>
          <w:rFonts w:asciiTheme="minorHAnsi" w:eastAsiaTheme="minorEastAsia" w:hAnsiTheme="minorHAnsi"/>
          <w:sz w:val="22"/>
          <w:szCs w:val="22"/>
        </w:rPr>
        <w:t>Table 3.3</w:t>
      </w:r>
      <w:r w:rsidR="006D73EB" w:rsidRPr="003E73CD">
        <w:rPr>
          <w:rFonts w:asciiTheme="minorHAnsi" w:eastAsiaTheme="minorEastAsia" w:hAnsiTheme="minorHAnsi"/>
          <w:sz w:val="22"/>
          <w:szCs w:val="22"/>
        </w:rPr>
        <w:t>.5. Actual survival compared with predicted survival according to the survival tree model.</w:t>
      </w:r>
    </w:p>
    <w:p w14:paraId="6AE05E7C" w14:textId="77777777" w:rsidR="006D73EB" w:rsidRPr="003E73CD" w:rsidRDefault="006D73EB" w:rsidP="006D73EB">
      <w:pPr>
        <w:widowControl w:val="0"/>
        <w:autoSpaceDE w:val="0"/>
        <w:autoSpaceDN w:val="0"/>
        <w:adjustRightInd w:val="0"/>
        <w:spacing w:line="480" w:lineRule="auto"/>
        <w:rPr>
          <w:rFonts w:asciiTheme="minorHAnsi" w:eastAsiaTheme="minorEastAsia" w:hAnsiTheme="minorHAnsi"/>
          <w:sz w:val="22"/>
          <w:szCs w:val="22"/>
        </w:rPr>
      </w:pPr>
    </w:p>
    <w:tbl>
      <w:tblPr>
        <w:tblStyle w:val="TableGrid"/>
        <w:tblW w:w="8516" w:type="dxa"/>
        <w:tblLook w:val="04A0" w:firstRow="1" w:lastRow="0" w:firstColumn="1" w:lastColumn="0" w:noHBand="0" w:noVBand="1"/>
      </w:tblPr>
      <w:tblGrid>
        <w:gridCol w:w="2838"/>
        <w:gridCol w:w="2839"/>
        <w:gridCol w:w="2839"/>
      </w:tblGrid>
      <w:tr w:rsidR="006D73EB" w:rsidRPr="003E73CD" w14:paraId="2962A82B" w14:textId="77777777" w:rsidTr="006D73EB">
        <w:tc>
          <w:tcPr>
            <w:tcW w:w="2838" w:type="dxa"/>
          </w:tcPr>
          <w:p w14:paraId="3C95A3CC" w14:textId="77777777" w:rsidR="006D73EB" w:rsidRPr="003E73CD" w:rsidRDefault="006D73EB" w:rsidP="006D73EB">
            <w:pPr>
              <w:widowControl w:val="0"/>
              <w:autoSpaceDE w:val="0"/>
              <w:autoSpaceDN w:val="0"/>
              <w:adjustRightInd w:val="0"/>
              <w:spacing w:line="480" w:lineRule="auto"/>
              <w:rPr>
                <w:rFonts w:asciiTheme="minorHAnsi" w:eastAsiaTheme="minorEastAsia" w:hAnsiTheme="minorHAnsi"/>
                <w:sz w:val="22"/>
                <w:szCs w:val="22"/>
              </w:rPr>
            </w:pPr>
            <w:r w:rsidRPr="003E73CD">
              <w:rPr>
                <w:rFonts w:asciiTheme="minorHAnsi" w:eastAsiaTheme="minorEastAsia" w:hAnsiTheme="minorHAnsi"/>
                <w:sz w:val="22"/>
                <w:szCs w:val="22"/>
              </w:rPr>
              <w:t xml:space="preserve">Survival tree group </w:t>
            </w:r>
          </w:p>
        </w:tc>
        <w:tc>
          <w:tcPr>
            <w:tcW w:w="2839" w:type="dxa"/>
          </w:tcPr>
          <w:p w14:paraId="53B9A08D" w14:textId="77777777" w:rsidR="006D73EB" w:rsidRPr="003E73CD" w:rsidRDefault="006D73EB" w:rsidP="006D73EB">
            <w:pPr>
              <w:widowControl w:val="0"/>
              <w:autoSpaceDE w:val="0"/>
              <w:autoSpaceDN w:val="0"/>
              <w:adjustRightInd w:val="0"/>
              <w:spacing w:line="480" w:lineRule="auto"/>
              <w:rPr>
                <w:rFonts w:asciiTheme="minorHAnsi" w:eastAsiaTheme="minorEastAsia" w:hAnsiTheme="minorHAnsi"/>
                <w:sz w:val="22"/>
                <w:szCs w:val="22"/>
              </w:rPr>
            </w:pPr>
            <w:r w:rsidRPr="003E73CD">
              <w:rPr>
                <w:rFonts w:asciiTheme="minorHAnsi" w:hAnsiTheme="minorHAnsi"/>
                <w:sz w:val="22"/>
                <w:szCs w:val="22"/>
              </w:rPr>
              <w:t>Survival tree predicted 5-year survival rate (%(95% CI)) (based on Australian population)</w:t>
            </w:r>
          </w:p>
        </w:tc>
        <w:tc>
          <w:tcPr>
            <w:tcW w:w="2839" w:type="dxa"/>
          </w:tcPr>
          <w:p w14:paraId="13511A17" w14:textId="77777777" w:rsidR="006D73EB" w:rsidRPr="003E73CD" w:rsidRDefault="006D73EB" w:rsidP="006D73EB">
            <w:pPr>
              <w:widowControl w:val="0"/>
              <w:autoSpaceDE w:val="0"/>
              <w:autoSpaceDN w:val="0"/>
              <w:adjustRightInd w:val="0"/>
              <w:spacing w:line="480" w:lineRule="auto"/>
              <w:rPr>
                <w:rFonts w:asciiTheme="minorHAnsi" w:eastAsiaTheme="minorEastAsia" w:hAnsiTheme="minorHAnsi"/>
                <w:sz w:val="22"/>
                <w:szCs w:val="22"/>
              </w:rPr>
            </w:pPr>
            <w:r w:rsidRPr="003E73CD">
              <w:rPr>
                <w:rFonts w:asciiTheme="minorHAnsi" w:eastAsiaTheme="minorEastAsia" w:hAnsiTheme="minorHAnsi"/>
                <w:sz w:val="22"/>
                <w:szCs w:val="22"/>
              </w:rPr>
              <w:t>Actual 5-year survival rate (%(n/n)) observed for study population (n=35)</w:t>
            </w:r>
          </w:p>
        </w:tc>
      </w:tr>
      <w:tr w:rsidR="006D73EB" w:rsidRPr="003E73CD" w14:paraId="17005D30" w14:textId="77777777" w:rsidTr="006D73EB">
        <w:tc>
          <w:tcPr>
            <w:tcW w:w="2838" w:type="dxa"/>
          </w:tcPr>
          <w:p w14:paraId="48DA3BDC" w14:textId="77777777" w:rsidR="006D73EB" w:rsidRPr="003E73CD" w:rsidRDefault="006D73EB" w:rsidP="006D73EB">
            <w:pPr>
              <w:widowControl w:val="0"/>
              <w:autoSpaceDE w:val="0"/>
              <w:autoSpaceDN w:val="0"/>
              <w:adjustRightInd w:val="0"/>
              <w:spacing w:line="480" w:lineRule="auto"/>
              <w:rPr>
                <w:rFonts w:asciiTheme="minorHAnsi" w:eastAsiaTheme="minorEastAsia" w:hAnsiTheme="minorHAnsi"/>
                <w:sz w:val="22"/>
                <w:szCs w:val="22"/>
              </w:rPr>
            </w:pPr>
            <w:r w:rsidRPr="003E73CD">
              <w:rPr>
                <w:rFonts w:asciiTheme="minorHAnsi" w:eastAsiaTheme="minorEastAsia" w:hAnsiTheme="minorHAnsi"/>
                <w:sz w:val="22"/>
                <w:szCs w:val="22"/>
              </w:rPr>
              <w:t xml:space="preserve">1 </w:t>
            </w:r>
          </w:p>
        </w:tc>
        <w:tc>
          <w:tcPr>
            <w:tcW w:w="2839" w:type="dxa"/>
          </w:tcPr>
          <w:p w14:paraId="77373046" w14:textId="77777777" w:rsidR="006D73EB" w:rsidRPr="003E73CD" w:rsidRDefault="006D73EB" w:rsidP="006D73EB">
            <w:pPr>
              <w:widowControl w:val="0"/>
              <w:autoSpaceDE w:val="0"/>
              <w:autoSpaceDN w:val="0"/>
              <w:adjustRightInd w:val="0"/>
              <w:spacing w:line="480" w:lineRule="auto"/>
              <w:rPr>
                <w:rFonts w:asciiTheme="minorHAnsi" w:eastAsiaTheme="minorEastAsia" w:hAnsiTheme="minorHAnsi"/>
                <w:sz w:val="22"/>
                <w:szCs w:val="22"/>
              </w:rPr>
            </w:pPr>
            <w:r w:rsidRPr="003E73CD">
              <w:rPr>
                <w:rFonts w:asciiTheme="minorHAnsi" w:hAnsiTheme="minorHAnsi"/>
                <w:sz w:val="22"/>
                <w:szCs w:val="22"/>
              </w:rPr>
              <w:t>92 (85-99)</w:t>
            </w:r>
          </w:p>
        </w:tc>
        <w:tc>
          <w:tcPr>
            <w:tcW w:w="2839" w:type="dxa"/>
          </w:tcPr>
          <w:p w14:paraId="1B43E6F7" w14:textId="77777777" w:rsidR="006D73EB" w:rsidRPr="003E73CD" w:rsidRDefault="006D73EB" w:rsidP="006D73EB">
            <w:pPr>
              <w:widowControl w:val="0"/>
              <w:autoSpaceDE w:val="0"/>
              <w:autoSpaceDN w:val="0"/>
              <w:adjustRightInd w:val="0"/>
              <w:spacing w:line="480" w:lineRule="auto"/>
              <w:rPr>
                <w:rFonts w:asciiTheme="minorHAnsi" w:eastAsiaTheme="minorEastAsia" w:hAnsiTheme="minorHAnsi"/>
                <w:sz w:val="22"/>
                <w:szCs w:val="22"/>
              </w:rPr>
            </w:pPr>
            <w:r w:rsidRPr="003E73CD">
              <w:rPr>
                <w:rFonts w:asciiTheme="minorHAnsi" w:eastAsiaTheme="minorEastAsia" w:hAnsiTheme="minorHAnsi"/>
                <w:sz w:val="22"/>
                <w:szCs w:val="22"/>
              </w:rPr>
              <w:t>100 (7/7)</w:t>
            </w:r>
          </w:p>
        </w:tc>
      </w:tr>
      <w:tr w:rsidR="006D73EB" w:rsidRPr="003E73CD" w14:paraId="0592580D" w14:textId="77777777" w:rsidTr="006D73EB">
        <w:tc>
          <w:tcPr>
            <w:tcW w:w="2838" w:type="dxa"/>
          </w:tcPr>
          <w:p w14:paraId="0403AA8C" w14:textId="77777777" w:rsidR="006D73EB" w:rsidRPr="003E73CD" w:rsidRDefault="006D73EB" w:rsidP="006D73EB">
            <w:pPr>
              <w:widowControl w:val="0"/>
              <w:autoSpaceDE w:val="0"/>
              <w:autoSpaceDN w:val="0"/>
              <w:adjustRightInd w:val="0"/>
              <w:spacing w:line="480" w:lineRule="auto"/>
              <w:rPr>
                <w:rFonts w:asciiTheme="minorHAnsi" w:eastAsiaTheme="minorEastAsia" w:hAnsiTheme="minorHAnsi"/>
                <w:sz w:val="22"/>
                <w:szCs w:val="22"/>
              </w:rPr>
            </w:pPr>
            <w:r w:rsidRPr="003E73CD">
              <w:rPr>
                <w:rFonts w:asciiTheme="minorHAnsi" w:eastAsiaTheme="minorEastAsia" w:hAnsiTheme="minorHAnsi"/>
                <w:sz w:val="22"/>
                <w:szCs w:val="22"/>
              </w:rPr>
              <w:t xml:space="preserve">2 </w:t>
            </w:r>
          </w:p>
        </w:tc>
        <w:tc>
          <w:tcPr>
            <w:tcW w:w="2839" w:type="dxa"/>
          </w:tcPr>
          <w:p w14:paraId="1BB26180" w14:textId="77777777" w:rsidR="006D73EB" w:rsidRPr="003E73CD" w:rsidRDefault="006D73EB" w:rsidP="006D73EB">
            <w:pPr>
              <w:widowControl w:val="0"/>
              <w:autoSpaceDE w:val="0"/>
              <w:autoSpaceDN w:val="0"/>
              <w:adjustRightInd w:val="0"/>
              <w:spacing w:line="480" w:lineRule="auto"/>
              <w:rPr>
                <w:rFonts w:asciiTheme="minorHAnsi" w:eastAsiaTheme="minorEastAsia" w:hAnsiTheme="minorHAnsi"/>
                <w:sz w:val="22"/>
                <w:szCs w:val="22"/>
              </w:rPr>
            </w:pPr>
            <w:r w:rsidRPr="003E73CD">
              <w:rPr>
                <w:rFonts w:asciiTheme="minorHAnsi" w:hAnsiTheme="minorHAnsi"/>
                <w:sz w:val="22"/>
                <w:szCs w:val="22"/>
              </w:rPr>
              <w:t>70 (58-81)</w:t>
            </w:r>
          </w:p>
        </w:tc>
        <w:tc>
          <w:tcPr>
            <w:tcW w:w="2839" w:type="dxa"/>
          </w:tcPr>
          <w:p w14:paraId="25533E86" w14:textId="77777777" w:rsidR="006D73EB" w:rsidRPr="003E73CD" w:rsidRDefault="006D73EB" w:rsidP="006D73EB">
            <w:pPr>
              <w:widowControl w:val="0"/>
              <w:autoSpaceDE w:val="0"/>
              <w:autoSpaceDN w:val="0"/>
              <w:adjustRightInd w:val="0"/>
              <w:spacing w:line="480" w:lineRule="auto"/>
              <w:rPr>
                <w:rFonts w:asciiTheme="minorHAnsi" w:eastAsiaTheme="minorEastAsia" w:hAnsiTheme="minorHAnsi"/>
                <w:sz w:val="22"/>
                <w:szCs w:val="22"/>
              </w:rPr>
            </w:pPr>
            <w:r w:rsidRPr="003E73CD">
              <w:rPr>
                <w:rFonts w:asciiTheme="minorHAnsi" w:eastAsiaTheme="minorEastAsia" w:hAnsiTheme="minorHAnsi"/>
                <w:sz w:val="22"/>
                <w:szCs w:val="22"/>
              </w:rPr>
              <w:t>85 (11/13)</w:t>
            </w:r>
          </w:p>
        </w:tc>
      </w:tr>
      <w:tr w:rsidR="006D73EB" w:rsidRPr="003E73CD" w14:paraId="0E274211" w14:textId="77777777" w:rsidTr="006D73EB">
        <w:tc>
          <w:tcPr>
            <w:tcW w:w="2838" w:type="dxa"/>
          </w:tcPr>
          <w:p w14:paraId="5A489521" w14:textId="77777777" w:rsidR="006D73EB" w:rsidRPr="003E73CD" w:rsidRDefault="006D73EB" w:rsidP="006D73EB">
            <w:pPr>
              <w:widowControl w:val="0"/>
              <w:autoSpaceDE w:val="0"/>
              <w:autoSpaceDN w:val="0"/>
              <w:adjustRightInd w:val="0"/>
              <w:spacing w:line="480" w:lineRule="auto"/>
              <w:rPr>
                <w:rFonts w:asciiTheme="minorHAnsi" w:eastAsiaTheme="minorEastAsia" w:hAnsiTheme="minorHAnsi"/>
                <w:sz w:val="22"/>
                <w:szCs w:val="22"/>
              </w:rPr>
            </w:pPr>
            <w:r w:rsidRPr="003E73CD">
              <w:rPr>
                <w:rFonts w:asciiTheme="minorHAnsi" w:eastAsiaTheme="minorEastAsia" w:hAnsiTheme="minorHAnsi"/>
                <w:sz w:val="22"/>
                <w:szCs w:val="22"/>
              </w:rPr>
              <w:t xml:space="preserve">3 </w:t>
            </w:r>
          </w:p>
        </w:tc>
        <w:tc>
          <w:tcPr>
            <w:tcW w:w="2839" w:type="dxa"/>
          </w:tcPr>
          <w:p w14:paraId="2D8E0BD9" w14:textId="77777777" w:rsidR="006D73EB" w:rsidRPr="003E73CD" w:rsidRDefault="006D73EB" w:rsidP="006D73EB">
            <w:pPr>
              <w:widowControl w:val="0"/>
              <w:autoSpaceDE w:val="0"/>
              <w:autoSpaceDN w:val="0"/>
              <w:adjustRightInd w:val="0"/>
              <w:spacing w:line="480" w:lineRule="auto"/>
              <w:rPr>
                <w:rFonts w:asciiTheme="minorHAnsi" w:eastAsiaTheme="minorEastAsia" w:hAnsiTheme="minorHAnsi"/>
                <w:sz w:val="22"/>
                <w:szCs w:val="22"/>
              </w:rPr>
            </w:pPr>
            <w:r w:rsidRPr="003E73CD">
              <w:rPr>
                <w:rFonts w:asciiTheme="minorHAnsi" w:hAnsiTheme="minorHAnsi"/>
                <w:sz w:val="22"/>
                <w:szCs w:val="22"/>
              </w:rPr>
              <w:t>39 (29-49)</w:t>
            </w:r>
          </w:p>
        </w:tc>
        <w:tc>
          <w:tcPr>
            <w:tcW w:w="2839" w:type="dxa"/>
          </w:tcPr>
          <w:p w14:paraId="3D695D26" w14:textId="77777777" w:rsidR="006D73EB" w:rsidRPr="003E73CD" w:rsidRDefault="006D73EB" w:rsidP="006D73EB">
            <w:pPr>
              <w:widowControl w:val="0"/>
              <w:autoSpaceDE w:val="0"/>
              <w:autoSpaceDN w:val="0"/>
              <w:adjustRightInd w:val="0"/>
              <w:spacing w:line="480" w:lineRule="auto"/>
              <w:rPr>
                <w:rFonts w:asciiTheme="minorHAnsi" w:eastAsiaTheme="minorEastAsia" w:hAnsiTheme="minorHAnsi"/>
                <w:sz w:val="22"/>
                <w:szCs w:val="22"/>
              </w:rPr>
            </w:pPr>
            <w:r w:rsidRPr="003E73CD">
              <w:rPr>
                <w:rFonts w:asciiTheme="minorHAnsi" w:eastAsiaTheme="minorEastAsia" w:hAnsiTheme="minorHAnsi"/>
                <w:sz w:val="22"/>
                <w:szCs w:val="22"/>
              </w:rPr>
              <w:t>58 (7/12)</w:t>
            </w:r>
          </w:p>
        </w:tc>
      </w:tr>
      <w:tr w:rsidR="006D73EB" w:rsidRPr="003E73CD" w14:paraId="74CE28E4" w14:textId="77777777" w:rsidTr="006D73EB">
        <w:tc>
          <w:tcPr>
            <w:tcW w:w="2838" w:type="dxa"/>
          </w:tcPr>
          <w:p w14:paraId="131E2FB0" w14:textId="77777777" w:rsidR="006D73EB" w:rsidRPr="003E73CD" w:rsidRDefault="006D73EB" w:rsidP="006D73EB">
            <w:pPr>
              <w:widowControl w:val="0"/>
              <w:autoSpaceDE w:val="0"/>
              <w:autoSpaceDN w:val="0"/>
              <w:adjustRightInd w:val="0"/>
              <w:spacing w:line="480" w:lineRule="auto"/>
              <w:rPr>
                <w:rFonts w:asciiTheme="minorHAnsi" w:eastAsiaTheme="minorEastAsia" w:hAnsiTheme="minorHAnsi"/>
                <w:sz w:val="22"/>
                <w:szCs w:val="22"/>
              </w:rPr>
            </w:pPr>
            <w:r w:rsidRPr="003E73CD">
              <w:rPr>
                <w:rFonts w:asciiTheme="minorHAnsi" w:eastAsiaTheme="minorEastAsia" w:hAnsiTheme="minorHAnsi"/>
                <w:sz w:val="22"/>
                <w:szCs w:val="22"/>
              </w:rPr>
              <w:t xml:space="preserve">4 </w:t>
            </w:r>
          </w:p>
        </w:tc>
        <w:tc>
          <w:tcPr>
            <w:tcW w:w="2839" w:type="dxa"/>
          </w:tcPr>
          <w:p w14:paraId="08183E8B" w14:textId="77777777" w:rsidR="006D73EB" w:rsidRPr="003E73CD" w:rsidRDefault="006D73EB" w:rsidP="006D73EB">
            <w:pPr>
              <w:widowControl w:val="0"/>
              <w:autoSpaceDE w:val="0"/>
              <w:autoSpaceDN w:val="0"/>
              <w:adjustRightInd w:val="0"/>
              <w:spacing w:line="480" w:lineRule="auto"/>
              <w:rPr>
                <w:rFonts w:asciiTheme="minorHAnsi" w:eastAsiaTheme="minorEastAsia" w:hAnsiTheme="minorHAnsi"/>
                <w:sz w:val="22"/>
                <w:szCs w:val="22"/>
              </w:rPr>
            </w:pPr>
            <w:r w:rsidRPr="003E73CD">
              <w:rPr>
                <w:rFonts w:asciiTheme="minorHAnsi" w:hAnsiTheme="minorHAnsi"/>
                <w:sz w:val="22"/>
                <w:szCs w:val="22"/>
              </w:rPr>
              <w:t>21 (0-46)</w:t>
            </w:r>
          </w:p>
        </w:tc>
        <w:tc>
          <w:tcPr>
            <w:tcW w:w="2839" w:type="dxa"/>
          </w:tcPr>
          <w:p w14:paraId="2524188A" w14:textId="77777777" w:rsidR="006D73EB" w:rsidRPr="003E73CD" w:rsidRDefault="006D73EB" w:rsidP="006D73EB">
            <w:pPr>
              <w:widowControl w:val="0"/>
              <w:autoSpaceDE w:val="0"/>
              <w:autoSpaceDN w:val="0"/>
              <w:adjustRightInd w:val="0"/>
              <w:spacing w:line="480" w:lineRule="auto"/>
              <w:rPr>
                <w:rFonts w:asciiTheme="minorHAnsi" w:eastAsiaTheme="minorEastAsia" w:hAnsiTheme="minorHAnsi"/>
                <w:sz w:val="22"/>
                <w:szCs w:val="22"/>
              </w:rPr>
            </w:pPr>
            <w:r w:rsidRPr="003E73CD">
              <w:rPr>
                <w:rFonts w:asciiTheme="minorHAnsi" w:eastAsiaTheme="minorEastAsia" w:hAnsiTheme="minorHAnsi"/>
                <w:sz w:val="22"/>
                <w:szCs w:val="22"/>
              </w:rPr>
              <w:t>0 (3/3)</w:t>
            </w:r>
          </w:p>
        </w:tc>
      </w:tr>
    </w:tbl>
    <w:p w14:paraId="2403ACF7" w14:textId="77777777" w:rsidR="006D73EB" w:rsidRPr="003E73CD" w:rsidRDefault="006D73EB" w:rsidP="006D73EB">
      <w:pPr>
        <w:spacing w:line="480" w:lineRule="auto"/>
        <w:rPr>
          <w:sz w:val="22"/>
          <w:szCs w:val="22"/>
        </w:rPr>
      </w:pPr>
      <w:r w:rsidRPr="003E73CD">
        <w:rPr>
          <w:sz w:val="22"/>
          <w:szCs w:val="22"/>
        </w:rPr>
        <w:t>CI = confidence interval, SD = standard deviation</w:t>
      </w:r>
    </w:p>
    <w:p w14:paraId="5D17E37D" w14:textId="77777777" w:rsidR="006D73EB" w:rsidRPr="003E73CD" w:rsidRDefault="006D73EB">
      <w:pPr>
        <w:rPr>
          <w:sz w:val="22"/>
          <w:szCs w:val="22"/>
        </w:rPr>
      </w:pPr>
      <w:r w:rsidRPr="003E73CD">
        <w:rPr>
          <w:sz w:val="22"/>
          <w:szCs w:val="22"/>
        </w:rPr>
        <w:br w:type="page"/>
      </w:r>
    </w:p>
    <w:p w14:paraId="0B42404B" w14:textId="3A8EA4A7" w:rsidR="00215B57" w:rsidRDefault="00785EEB" w:rsidP="00A070C4">
      <w:pPr>
        <w:spacing w:line="480" w:lineRule="auto"/>
        <w:ind w:firstLine="720"/>
        <w:rPr>
          <w:sz w:val="22"/>
          <w:szCs w:val="22"/>
        </w:rPr>
      </w:pPr>
      <w:r w:rsidRPr="003E73CD">
        <w:rPr>
          <w:sz w:val="22"/>
          <w:szCs w:val="22"/>
        </w:rPr>
        <w:t>The survival curves for</w:t>
      </w:r>
      <w:r w:rsidR="00A070C4" w:rsidRPr="003E73CD">
        <w:rPr>
          <w:sz w:val="22"/>
          <w:szCs w:val="22"/>
        </w:rPr>
        <w:t xml:space="preserve"> all </w:t>
      </w:r>
      <w:r w:rsidRPr="003E73CD">
        <w:rPr>
          <w:sz w:val="22"/>
          <w:szCs w:val="22"/>
        </w:rPr>
        <w:t xml:space="preserve">patients </w:t>
      </w:r>
      <w:r w:rsidR="00A070C4" w:rsidRPr="003E73CD">
        <w:rPr>
          <w:sz w:val="22"/>
          <w:szCs w:val="22"/>
        </w:rPr>
        <w:t xml:space="preserve">(n=44), </w:t>
      </w:r>
      <w:r w:rsidRPr="003E73CD">
        <w:rPr>
          <w:sz w:val="22"/>
          <w:szCs w:val="22"/>
        </w:rPr>
        <w:t>grouped according to the survival tree model</w:t>
      </w:r>
      <w:r w:rsidR="00A070C4" w:rsidRPr="003E73CD">
        <w:rPr>
          <w:sz w:val="22"/>
          <w:szCs w:val="22"/>
        </w:rPr>
        <w:t>,</w:t>
      </w:r>
      <w:r w:rsidRPr="003E73CD">
        <w:rPr>
          <w:sz w:val="22"/>
          <w:szCs w:val="22"/>
        </w:rPr>
        <w:t xml:space="preserve"> differed significantly (p value of log rank test &lt;0.0005)</w:t>
      </w:r>
      <w:r w:rsidR="0092258B" w:rsidRPr="003E73CD">
        <w:rPr>
          <w:sz w:val="22"/>
          <w:szCs w:val="22"/>
        </w:rPr>
        <w:t xml:space="preserve"> (Figure </w:t>
      </w:r>
      <w:r w:rsidR="00E261E9" w:rsidRPr="003E73CD">
        <w:rPr>
          <w:sz w:val="22"/>
          <w:szCs w:val="22"/>
        </w:rPr>
        <w:t>3</w:t>
      </w:r>
      <w:r w:rsidR="002A0DBC">
        <w:rPr>
          <w:sz w:val="22"/>
          <w:szCs w:val="22"/>
        </w:rPr>
        <w:t>.3</w:t>
      </w:r>
      <w:r w:rsidR="00E261E9" w:rsidRPr="003E73CD">
        <w:rPr>
          <w:sz w:val="22"/>
          <w:szCs w:val="22"/>
        </w:rPr>
        <w:t>.1</w:t>
      </w:r>
      <w:r w:rsidR="0092258B" w:rsidRPr="003E73CD">
        <w:rPr>
          <w:sz w:val="22"/>
          <w:szCs w:val="22"/>
        </w:rPr>
        <w:t>)</w:t>
      </w:r>
      <w:r w:rsidRPr="003E73CD">
        <w:rPr>
          <w:sz w:val="22"/>
          <w:szCs w:val="22"/>
        </w:rPr>
        <w:t xml:space="preserve">.  Estimated 5-year survival for </w:t>
      </w:r>
      <w:r w:rsidR="006E4011" w:rsidRPr="003E73CD">
        <w:rPr>
          <w:sz w:val="22"/>
          <w:szCs w:val="22"/>
        </w:rPr>
        <w:t>Group 1</w:t>
      </w:r>
      <w:r w:rsidR="00B02A15" w:rsidRPr="003E73CD">
        <w:rPr>
          <w:sz w:val="22"/>
          <w:szCs w:val="22"/>
        </w:rPr>
        <w:t xml:space="preserve"> was 100%, for Group 2 it was 87%, for Group 3 it was 61% and for Group 4</w:t>
      </w:r>
      <w:r w:rsidR="006E4011" w:rsidRPr="003E73CD">
        <w:rPr>
          <w:sz w:val="22"/>
          <w:szCs w:val="22"/>
        </w:rPr>
        <w:t xml:space="preserve"> it was 0%.</w:t>
      </w:r>
      <w:r w:rsidR="002E56BA" w:rsidRPr="003E73CD">
        <w:rPr>
          <w:sz w:val="22"/>
          <w:szCs w:val="22"/>
        </w:rPr>
        <w:t xml:space="preserve"> </w:t>
      </w:r>
      <w:r w:rsidR="0092258B" w:rsidRPr="003E73CD">
        <w:rPr>
          <w:sz w:val="22"/>
          <w:szCs w:val="22"/>
        </w:rPr>
        <w:t xml:space="preserve"> </w:t>
      </w:r>
      <w:r w:rsidR="008B46BE" w:rsidRPr="003E73CD">
        <w:rPr>
          <w:sz w:val="22"/>
          <w:szCs w:val="22"/>
        </w:rPr>
        <w:t>The survival curves for the patients grouped into quartiles on the basis of predicted 5-year survival according to the AJCC-endorsed</w:t>
      </w:r>
      <w:r w:rsidR="00236AFA">
        <w:rPr>
          <w:sz w:val="22"/>
          <w:szCs w:val="22"/>
        </w:rPr>
        <w:t xml:space="preserve"> (n=38)</w:t>
      </w:r>
      <w:r w:rsidR="008B46BE" w:rsidRPr="003E73CD">
        <w:rPr>
          <w:sz w:val="22"/>
          <w:szCs w:val="22"/>
        </w:rPr>
        <w:t xml:space="preserve">, lifemath.net </w:t>
      </w:r>
      <w:r w:rsidR="00236AFA">
        <w:rPr>
          <w:sz w:val="22"/>
          <w:szCs w:val="22"/>
        </w:rPr>
        <w:t xml:space="preserve">(n=44) </w:t>
      </w:r>
      <w:r w:rsidR="008B46BE" w:rsidRPr="003E73CD">
        <w:rPr>
          <w:sz w:val="22"/>
          <w:szCs w:val="22"/>
        </w:rPr>
        <w:t xml:space="preserve">and melanomacalculator.com </w:t>
      </w:r>
      <w:r w:rsidR="00236AFA">
        <w:rPr>
          <w:sz w:val="22"/>
          <w:szCs w:val="22"/>
        </w:rPr>
        <w:t xml:space="preserve">(n=29) </w:t>
      </w:r>
      <w:r w:rsidR="008B46BE" w:rsidRPr="003E73CD">
        <w:rPr>
          <w:sz w:val="22"/>
          <w:szCs w:val="22"/>
        </w:rPr>
        <w:t>prognostic tools</w:t>
      </w:r>
      <w:r w:rsidR="000B2AFB" w:rsidRPr="003E73CD">
        <w:rPr>
          <w:sz w:val="22"/>
          <w:szCs w:val="22"/>
        </w:rPr>
        <w:t xml:space="preserve"> are shown in </w:t>
      </w:r>
      <w:r w:rsidR="002A0DBC">
        <w:rPr>
          <w:sz w:val="22"/>
          <w:szCs w:val="22"/>
        </w:rPr>
        <w:t>Figures 3.3.2, 3.3.3 and 3.3</w:t>
      </w:r>
      <w:r w:rsidR="00E261E9" w:rsidRPr="003E73CD">
        <w:rPr>
          <w:sz w:val="22"/>
          <w:szCs w:val="22"/>
        </w:rPr>
        <w:t>.4</w:t>
      </w:r>
      <w:r w:rsidR="000B2AFB" w:rsidRPr="003E73CD">
        <w:rPr>
          <w:sz w:val="22"/>
          <w:szCs w:val="22"/>
        </w:rPr>
        <w:t xml:space="preserve"> respectively.  </w:t>
      </w:r>
      <w:r w:rsidR="00236AFA">
        <w:rPr>
          <w:sz w:val="22"/>
          <w:szCs w:val="22"/>
        </w:rPr>
        <w:t>The calculation could only be completed in 38 of 44 cases using the AJCC-endorsed tool as this required ulceration status to be entered in order to calculate prognosis</w:t>
      </w:r>
      <w:r w:rsidR="00215B57">
        <w:rPr>
          <w:sz w:val="22"/>
          <w:szCs w:val="22"/>
        </w:rPr>
        <w:t>,</w:t>
      </w:r>
      <w:r w:rsidR="00236AFA">
        <w:rPr>
          <w:sz w:val="22"/>
          <w:szCs w:val="22"/>
        </w:rPr>
        <w:t xml:space="preserve"> and this was not available for 6 cases.  The melanomacalculator.com </w:t>
      </w:r>
      <w:r w:rsidR="00215B57">
        <w:rPr>
          <w:sz w:val="22"/>
          <w:szCs w:val="22"/>
        </w:rPr>
        <w:t xml:space="preserve">tool has limits on data entry (age maximum of 70 years and a maximum Breslow thickness of 6.9mm) in addition to requiring ulceration status to be entered in order to produce a prognosis, and thus was unable to calculate prognosis in 15 cases. </w:t>
      </w:r>
    </w:p>
    <w:p w14:paraId="25A2E934" w14:textId="2AC0C873" w:rsidR="0061482C" w:rsidRPr="003E73CD" w:rsidRDefault="00316D5E" w:rsidP="00A070C4">
      <w:pPr>
        <w:spacing w:line="480" w:lineRule="auto"/>
        <w:ind w:firstLine="720"/>
        <w:rPr>
          <w:sz w:val="22"/>
          <w:szCs w:val="22"/>
        </w:rPr>
      </w:pPr>
      <w:r>
        <w:rPr>
          <w:sz w:val="22"/>
          <w:szCs w:val="22"/>
        </w:rPr>
        <w:t>The estimated 5-</w:t>
      </w:r>
      <w:r w:rsidR="00507F8F" w:rsidRPr="003E73CD">
        <w:rPr>
          <w:sz w:val="22"/>
          <w:szCs w:val="22"/>
        </w:rPr>
        <w:t>year survival rates and distribution of patients across the 4 groups based on predicted</w:t>
      </w:r>
      <w:r w:rsidR="002A0DBC">
        <w:rPr>
          <w:sz w:val="22"/>
          <w:szCs w:val="22"/>
        </w:rPr>
        <w:t xml:space="preserve"> survival are shown in Table 3.3</w:t>
      </w:r>
      <w:r w:rsidR="00507F8F" w:rsidRPr="003E73CD">
        <w:rPr>
          <w:sz w:val="22"/>
          <w:szCs w:val="22"/>
        </w:rPr>
        <w:t xml:space="preserve">.6.  </w:t>
      </w:r>
      <w:r w:rsidR="0092258B" w:rsidRPr="003E73CD">
        <w:rPr>
          <w:sz w:val="22"/>
          <w:szCs w:val="22"/>
        </w:rPr>
        <w:t>The ability of the 4</w:t>
      </w:r>
      <w:r w:rsidR="005A6D41" w:rsidRPr="003E73CD">
        <w:rPr>
          <w:sz w:val="22"/>
          <w:szCs w:val="22"/>
        </w:rPr>
        <w:t xml:space="preserve"> different prognostic tools to determine status (alive or dead) at 5 ye</w:t>
      </w:r>
      <w:r w:rsidR="000B2AFB" w:rsidRPr="003E73CD">
        <w:rPr>
          <w:sz w:val="22"/>
          <w:szCs w:val="22"/>
        </w:rPr>
        <w:t>ars</w:t>
      </w:r>
      <w:r w:rsidR="005A6D41" w:rsidRPr="003E73CD">
        <w:rPr>
          <w:sz w:val="22"/>
          <w:szCs w:val="22"/>
        </w:rPr>
        <w:t xml:space="preserve"> is demons</w:t>
      </w:r>
      <w:r w:rsidR="00B90035" w:rsidRPr="003E73CD">
        <w:rPr>
          <w:sz w:val="22"/>
          <w:szCs w:val="22"/>
        </w:rPr>
        <w:t>trated in the receiver operator</w:t>
      </w:r>
      <w:r w:rsidR="005A6D41" w:rsidRPr="003E73CD">
        <w:rPr>
          <w:sz w:val="22"/>
          <w:szCs w:val="22"/>
        </w:rPr>
        <w:t xml:space="preserve"> characteristic (ROC) curves shown in </w:t>
      </w:r>
      <w:r w:rsidR="002A0DBC">
        <w:rPr>
          <w:sz w:val="22"/>
          <w:szCs w:val="22"/>
        </w:rPr>
        <w:t>Figure 3.3</w:t>
      </w:r>
      <w:r w:rsidR="00E261E9" w:rsidRPr="003E73CD">
        <w:rPr>
          <w:sz w:val="22"/>
          <w:szCs w:val="22"/>
        </w:rPr>
        <w:t>.5</w:t>
      </w:r>
      <w:r w:rsidR="005A6D41" w:rsidRPr="003E73CD">
        <w:rPr>
          <w:sz w:val="22"/>
          <w:szCs w:val="22"/>
        </w:rPr>
        <w:t xml:space="preserve">.  For the survival tree the patients were grouped 1-4 and for the other prognostic tools the </w:t>
      </w:r>
      <w:r w:rsidR="0092258B" w:rsidRPr="003E73CD">
        <w:rPr>
          <w:sz w:val="22"/>
          <w:szCs w:val="22"/>
        </w:rPr>
        <w:t xml:space="preserve">predicted </w:t>
      </w:r>
      <w:r w:rsidR="005A6D41" w:rsidRPr="003E73CD">
        <w:rPr>
          <w:sz w:val="22"/>
          <w:szCs w:val="22"/>
        </w:rPr>
        <w:t>5-year survival rate (%) for each individual was used.  The larger the area beneath the curve the better the prognostic to</w:t>
      </w:r>
      <w:r w:rsidR="002A5B1F" w:rsidRPr="003E73CD">
        <w:rPr>
          <w:sz w:val="22"/>
          <w:szCs w:val="22"/>
        </w:rPr>
        <w:t>ol is at determining actual outcome at 5 years</w:t>
      </w:r>
      <w:r w:rsidR="005A6D41" w:rsidRPr="003E73CD">
        <w:rPr>
          <w:sz w:val="22"/>
          <w:szCs w:val="22"/>
        </w:rPr>
        <w:t>.  The survi</w:t>
      </w:r>
      <w:r w:rsidR="000B2AFB" w:rsidRPr="003E73CD">
        <w:rPr>
          <w:sz w:val="22"/>
          <w:szCs w:val="22"/>
        </w:rPr>
        <w:t xml:space="preserve">val tree grouping </w:t>
      </w:r>
      <w:r w:rsidR="00ED1E07" w:rsidRPr="003E73CD">
        <w:rPr>
          <w:sz w:val="22"/>
          <w:szCs w:val="22"/>
        </w:rPr>
        <w:t>produced the largest area under the curve (</w:t>
      </w:r>
      <w:r w:rsidR="000B2AFB" w:rsidRPr="003E73CD">
        <w:rPr>
          <w:sz w:val="22"/>
          <w:szCs w:val="22"/>
        </w:rPr>
        <w:t>0.934</w:t>
      </w:r>
      <w:r w:rsidR="00ED1E07" w:rsidRPr="003E73CD">
        <w:rPr>
          <w:sz w:val="22"/>
          <w:szCs w:val="22"/>
        </w:rPr>
        <w:t>)</w:t>
      </w:r>
      <w:r w:rsidR="000B2AFB" w:rsidRPr="003E73CD">
        <w:rPr>
          <w:sz w:val="22"/>
          <w:szCs w:val="22"/>
        </w:rPr>
        <w:t xml:space="preserve"> and this differed significantly</w:t>
      </w:r>
      <w:r w:rsidR="00ED1E07" w:rsidRPr="003E73CD">
        <w:rPr>
          <w:sz w:val="22"/>
          <w:szCs w:val="22"/>
        </w:rPr>
        <w:t xml:space="preserve"> (p=0.007) </w:t>
      </w:r>
      <w:r w:rsidR="000B2AFB" w:rsidRPr="003E73CD">
        <w:rPr>
          <w:sz w:val="22"/>
          <w:szCs w:val="22"/>
        </w:rPr>
        <w:t>from the null hypothes</w:t>
      </w:r>
      <w:r w:rsidR="00A34C46" w:rsidRPr="003E73CD">
        <w:rPr>
          <w:sz w:val="22"/>
          <w:szCs w:val="22"/>
        </w:rPr>
        <w:t xml:space="preserve">is that the area under the curve = 0.5. </w:t>
      </w:r>
    </w:p>
    <w:p w14:paraId="6C43CBFB" w14:textId="77777777" w:rsidR="0061482C" w:rsidRPr="003E73CD" w:rsidRDefault="0061482C" w:rsidP="0061482C">
      <w:pPr>
        <w:rPr>
          <w:sz w:val="22"/>
          <w:szCs w:val="22"/>
        </w:rPr>
      </w:pPr>
    </w:p>
    <w:p w14:paraId="7FF53C8A" w14:textId="77777777" w:rsidR="0061482C" w:rsidRPr="003E73CD" w:rsidRDefault="0061482C" w:rsidP="0061482C">
      <w:pPr>
        <w:rPr>
          <w:sz w:val="22"/>
          <w:szCs w:val="22"/>
        </w:rPr>
      </w:pPr>
    </w:p>
    <w:p w14:paraId="7707DBC9" w14:textId="77777777" w:rsidR="0061482C" w:rsidRPr="003E73CD" w:rsidRDefault="0061482C" w:rsidP="0061482C">
      <w:pPr>
        <w:spacing w:line="480" w:lineRule="auto"/>
        <w:rPr>
          <w:sz w:val="22"/>
          <w:szCs w:val="22"/>
        </w:rPr>
      </w:pPr>
    </w:p>
    <w:p w14:paraId="78C6DE51" w14:textId="77777777" w:rsidR="0061482C" w:rsidRPr="003E73CD" w:rsidRDefault="0061482C" w:rsidP="0061482C">
      <w:pPr>
        <w:spacing w:line="480" w:lineRule="auto"/>
        <w:rPr>
          <w:sz w:val="22"/>
          <w:szCs w:val="22"/>
        </w:rPr>
      </w:pPr>
    </w:p>
    <w:p w14:paraId="088DF9C4" w14:textId="77777777" w:rsidR="0061482C" w:rsidRPr="003E73CD" w:rsidRDefault="0061482C" w:rsidP="0061482C">
      <w:pPr>
        <w:spacing w:line="480" w:lineRule="auto"/>
        <w:rPr>
          <w:sz w:val="22"/>
          <w:szCs w:val="22"/>
        </w:rPr>
      </w:pPr>
    </w:p>
    <w:p w14:paraId="4EFA0F62" w14:textId="77777777" w:rsidR="00D72CA0" w:rsidRPr="003E73CD" w:rsidRDefault="00D72CA0" w:rsidP="0061482C">
      <w:pPr>
        <w:spacing w:line="480" w:lineRule="auto"/>
        <w:rPr>
          <w:sz w:val="22"/>
          <w:szCs w:val="22"/>
        </w:rPr>
      </w:pPr>
    </w:p>
    <w:p w14:paraId="6AFE96F5" w14:textId="6C03DF3B" w:rsidR="00EC0B01" w:rsidRPr="003E73CD" w:rsidRDefault="00EC0B01">
      <w:pPr>
        <w:rPr>
          <w:sz w:val="22"/>
          <w:szCs w:val="22"/>
        </w:rPr>
      </w:pPr>
    </w:p>
    <w:p w14:paraId="696138A7" w14:textId="042D6203" w:rsidR="006C7DC8" w:rsidRPr="003E73CD" w:rsidRDefault="002A0DBC" w:rsidP="0061482C">
      <w:pPr>
        <w:spacing w:line="480" w:lineRule="auto"/>
        <w:rPr>
          <w:sz w:val="22"/>
          <w:szCs w:val="22"/>
        </w:rPr>
      </w:pPr>
      <w:r>
        <w:rPr>
          <w:sz w:val="22"/>
          <w:szCs w:val="22"/>
        </w:rPr>
        <w:t>Figure 3.3</w:t>
      </w:r>
      <w:r w:rsidR="00E261E9" w:rsidRPr="003E73CD">
        <w:rPr>
          <w:sz w:val="22"/>
          <w:szCs w:val="22"/>
        </w:rPr>
        <w:t>.1</w:t>
      </w:r>
      <w:r w:rsidR="00584901" w:rsidRPr="003E73CD">
        <w:rPr>
          <w:sz w:val="22"/>
          <w:szCs w:val="22"/>
        </w:rPr>
        <w:t>.  Kaplan-Meier survival analysis comparing overall survival for patients grouped according to the survival tree model</w:t>
      </w:r>
      <w:r w:rsidR="004C12DC" w:rsidRPr="003E73CD">
        <w:rPr>
          <w:sz w:val="22"/>
          <w:szCs w:val="22"/>
        </w:rPr>
        <w:t xml:space="preserve"> and results of log rank test</w:t>
      </w:r>
      <w:r w:rsidR="00584901" w:rsidRPr="003E73CD">
        <w:rPr>
          <w:sz w:val="22"/>
          <w:szCs w:val="22"/>
        </w:rPr>
        <w:t>.</w:t>
      </w:r>
    </w:p>
    <w:p w14:paraId="26755304" w14:textId="6DE9CCCC" w:rsidR="00A70842" w:rsidRPr="003E73CD" w:rsidRDefault="00A70842" w:rsidP="00A70842">
      <w:pPr>
        <w:widowControl w:val="0"/>
        <w:autoSpaceDE w:val="0"/>
        <w:autoSpaceDN w:val="0"/>
        <w:adjustRightInd w:val="0"/>
        <w:rPr>
          <w:rFonts w:ascii="Times New Roman" w:eastAsiaTheme="minorEastAsia" w:hAnsi="Times New Roman"/>
        </w:rPr>
      </w:pPr>
    </w:p>
    <w:p w14:paraId="7DFE9A97" w14:textId="77777777" w:rsidR="00A70842" w:rsidRPr="003E73CD" w:rsidRDefault="00A70842" w:rsidP="00A70842">
      <w:pPr>
        <w:widowControl w:val="0"/>
        <w:autoSpaceDE w:val="0"/>
        <w:autoSpaceDN w:val="0"/>
        <w:adjustRightInd w:val="0"/>
        <w:rPr>
          <w:rFonts w:ascii="Times New Roman" w:eastAsiaTheme="minorEastAsia" w:hAnsi="Times New Roman"/>
        </w:rPr>
      </w:pPr>
    </w:p>
    <w:p w14:paraId="0526F453" w14:textId="23772C1B" w:rsidR="00DA6A1A" w:rsidRPr="003E73CD" w:rsidRDefault="00DA6A1A" w:rsidP="00DA6A1A">
      <w:pPr>
        <w:widowControl w:val="0"/>
        <w:autoSpaceDE w:val="0"/>
        <w:autoSpaceDN w:val="0"/>
        <w:adjustRightInd w:val="0"/>
        <w:rPr>
          <w:rFonts w:ascii="Times New Roman" w:eastAsiaTheme="minorEastAsia" w:hAnsi="Times New Roman"/>
        </w:rPr>
      </w:pPr>
    </w:p>
    <w:p w14:paraId="258D76C7" w14:textId="45055559" w:rsidR="00DA6A1A" w:rsidRPr="003E73CD" w:rsidRDefault="00DA6A1A" w:rsidP="00DA6A1A">
      <w:pPr>
        <w:widowControl w:val="0"/>
        <w:autoSpaceDE w:val="0"/>
        <w:autoSpaceDN w:val="0"/>
        <w:adjustRightInd w:val="0"/>
        <w:rPr>
          <w:rFonts w:ascii="Times New Roman" w:eastAsiaTheme="minorEastAsia" w:hAnsi="Times New Roman"/>
        </w:rPr>
      </w:pPr>
      <w:r w:rsidRPr="003E73CD">
        <w:rPr>
          <w:rFonts w:ascii="Times New Roman" w:eastAsiaTheme="minorEastAsia" w:hAnsi="Times New Roman"/>
          <w:noProof/>
        </w:rPr>
        <w:drawing>
          <wp:inline distT="0" distB="0" distL="0" distR="0" wp14:anchorId="6029256B" wp14:editId="32215D4E">
            <wp:extent cx="5943600" cy="4754880"/>
            <wp:effectExtent l="0" t="0" r="0" b="0"/>
            <wp:docPr id="3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3600" cy="4754880"/>
                    </a:xfrm>
                    <a:prstGeom prst="rect">
                      <a:avLst/>
                    </a:prstGeom>
                    <a:noFill/>
                    <a:ln>
                      <a:noFill/>
                    </a:ln>
                  </pic:spPr>
                </pic:pic>
              </a:graphicData>
            </a:graphic>
          </wp:inline>
        </w:drawing>
      </w:r>
    </w:p>
    <w:p w14:paraId="3F128244" w14:textId="77777777" w:rsidR="00DA6A1A" w:rsidRPr="003E73CD" w:rsidRDefault="00DA6A1A" w:rsidP="00DA6A1A">
      <w:pPr>
        <w:widowControl w:val="0"/>
        <w:autoSpaceDE w:val="0"/>
        <w:autoSpaceDN w:val="0"/>
        <w:adjustRightInd w:val="0"/>
        <w:rPr>
          <w:rFonts w:ascii="Times New Roman" w:eastAsiaTheme="minorEastAsia" w:hAnsi="Times New Roman"/>
        </w:rPr>
      </w:pPr>
    </w:p>
    <w:p w14:paraId="441C399A" w14:textId="77777777" w:rsidR="00DA6A1A" w:rsidRPr="003E73CD" w:rsidRDefault="00DA6A1A" w:rsidP="00DA6A1A">
      <w:pPr>
        <w:widowControl w:val="0"/>
        <w:autoSpaceDE w:val="0"/>
        <w:autoSpaceDN w:val="0"/>
        <w:adjustRightInd w:val="0"/>
        <w:spacing w:line="400" w:lineRule="atLeast"/>
        <w:rPr>
          <w:rFonts w:ascii="Times New Roman" w:eastAsiaTheme="minorEastAsia" w:hAnsi="Times New Roman"/>
        </w:rPr>
      </w:pPr>
    </w:p>
    <w:p w14:paraId="4277D4F7" w14:textId="77777777" w:rsidR="00DA6A1A" w:rsidRPr="003E73CD" w:rsidRDefault="00DA6A1A" w:rsidP="00DA6A1A">
      <w:pPr>
        <w:widowControl w:val="0"/>
        <w:autoSpaceDE w:val="0"/>
        <w:autoSpaceDN w:val="0"/>
        <w:adjustRightInd w:val="0"/>
        <w:rPr>
          <w:rFonts w:ascii="Times New Roman" w:eastAsiaTheme="minorEastAsia" w:hAnsi="Times New Roman"/>
        </w:rPr>
      </w:pPr>
    </w:p>
    <w:p w14:paraId="0A31E625" w14:textId="77777777" w:rsidR="00DA6A1A" w:rsidRPr="003E73CD" w:rsidRDefault="00DA6A1A" w:rsidP="00DA6A1A">
      <w:pPr>
        <w:widowControl w:val="0"/>
        <w:autoSpaceDE w:val="0"/>
        <w:autoSpaceDN w:val="0"/>
        <w:adjustRightInd w:val="0"/>
        <w:spacing w:line="400" w:lineRule="atLeast"/>
        <w:rPr>
          <w:rFonts w:ascii="Times New Roman" w:eastAsiaTheme="minorEastAsia" w:hAnsi="Times New Roman"/>
        </w:rPr>
      </w:pPr>
    </w:p>
    <w:p w14:paraId="2B7D8067" w14:textId="77777777" w:rsidR="00A70842" w:rsidRPr="003E73CD" w:rsidRDefault="00A70842" w:rsidP="00A70842">
      <w:pPr>
        <w:widowControl w:val="0"/>
        <w:autoSpaceDE w:val="0"/>
        <w:autoSpaceDN w:val="0"/>
        <w:adjustRightInd w:val="0"/>
        <w:spacing w:line="400" w:lineRule="atLeast"/>
        <w:rPr>
          <w:rFonts w:ascii="Times New Roman" w:eastAsiaTheme="minorEastAsia" w:hAnsi="Times New Roman"/>
        </w:rPr>
      </w:pPr>
    </w:p>
    <w:p w14:paraId="4DC1F641" w14:textId="0E2650AB" w:rsidR="003D106F" w:rsidRPr="003E73CD" w:rsidRDefault="003D106F" w:rsidP="003D106F">
      <w:pPr>
        <w:spacing w:line="480" w:lineRule="auto"/>
        <w:rPr>
          <w:sz w:val="22"/>
          <w:szCs w:val="22"/>
        </w:rPr>
      </w:pPr>
    </w:p>
    <w:tbl>
      <w:tblPr>
        <w:tblW w:w="51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835"/>
        <w:gridCol w:w="1285"/>
        <w:gridCol w:w="1025"/>
        <w:gridCol w:w="1025"/>
      </w:tblGrid>
      <w:tr w:rsidR="003D106F" w:rsidRPr="003E73CD" w14:paraId="1762EC48" w14:textId="77777777" w:rsidTr="00FE1282">
        <w:trPr>
          <w:cantSplit/>
        </w:trPr>
        <w:tc>
          <w:tcPr>
            <w:tcW w:w="5170" w:type="dxa"/>
            <w:gridSpan w:val="4"/>
            <w:tcBorders>
              <w:top w:val="nil"/>
              <w:left w:val="nil"/>
              <w:bottom w:val="nil"/>
              <w:right w:val="nil"/>
            </w:tcBorders>
            <w:shd w:val="clear" w:color="auto" w:fill="FFFFFF"/>
            <w:vAlign w:val="center"/>
          </w:tcPr>
          <w:p w14:paraId="2510FA66" w14:textId="77777777" w:rsidR="003D106F" w:rsidRPr="003E73CD" w:rsidRDefault="003D106F" w:rsidP="003D106F">
            <w:pPr>
              <w:spacing w:line="480" w:lineRule="auto"/>
              <w:rPr>
                <w:sz w:val="22"/>
                <w:szCs w:val="22"/>
              </w:rPr>
            </w:pPr>
            <w:r w:rsidRPr="003E73CD">
              <w:rPr>
                <w:b/>
                <w:bCs/>
                <w:sz w:val="22"/>
                <w:szCs w:val="22"/>
              </w:rPr>
              <w:t>Overall Comparisons</w:t>
            </w:r>
          </w:p>
        </w:tc>
      </w:tr>
      <w:tr w:rsidR="003D106F" w:rsidRPr="003E73CD" w14:paraId="4286CAC5" w14:textId="77777777" w:rsidTr="00FE1282">
        <w:trPr>
          <w:cantSplit/>
        </w:trPr>
        <w:tc>
          <w:tcPr>
            <w:tcW w:w="1835" w:type="dxa"/>
            <w:tcBorders>
              <w:top w:val="single" w:sz="16" w:space="0" w:color="000000"/>
              <w:left w:val="single" w:sz="16" w:space="0" w:color="000000"/>
              <w:bottom w:val="single" w:sz="16" w:space="0" w:color="000000"/>
              <w:right w:val="single" w:sz="16" w:space="0" w:color="000000"/>
            </w:tcBorders>
            <w:shd w:val="clear" w:color="auto" w:fill="FFFFFF"/>
            <w:vAlign w:val="bottom"/>
          </w:tcPr>
          <w:p w14:paraId="490F35BC" w14:textId="77777777" w:rsidR="003D106F" w:rsidRPr="003E73CD" w:rsidRDefault="003D106F" w:rsidP="003D106F">
            <w:pPr>
              <w:spacing w:line="480" w:lineRule="auto"/>
              <w:rPr>
                <w:sz w:val="22"/>
                <w:szCs w:val="22"/>
              </w:rPr>
            </w:pPr>
          </w:p>
        </w:tc>
        <w:tc>
          <w:tcPr>
            <w:tcW w:w="1285" w:type="dxa"/>
            <w:tcBorders>
              <w:top w:val="single" w:sz="16" w:space="0" w:color="000000"/>
              <w:left w:val="single" w:sz="16" w:space="0" w:color="000000"/>
              <w:bottom w:val="single" w:sz="16" w:space="0" w:color="000000"/>
            </w:tcBorders>
            <w:shd w:val="clear" w:color="auto" w:fill="FFFFFF"/>
            <w:vAlign w:val="bottom"/>
          </w:tcPr>
          <w:p w14:paraId="678D543F" w14:textId="77777777" w:rsidR="003D106F" w:rsidRPr="003E73CD" w:rsidRDefault="003D106F" w:rsidP="003D106F">
            <w:pPr>
              <w:spacing w:line="480" w:lineRule="auto"/>
              <w:rPr>
                <w:sz w:val="22"/>
                <w:szCs w:val="22"/>
              </w:rPr>
            </w:pPr>
            <w:r w:rsidRPr="003E73CD">
              <w:rPr>
                <w:sz w:val="22"/>
                <w:szCs w:val="22"/>
              </w:rPr>
              <w:t>Chi-Square</w:t>
            </w:r>
          </w:p>
        </w:tc>
        <w:tc>
          <w:tcPr>
            <w:tcW w:w="1025" w:type="dxa"/>
            <w:tcBorders>
              <w:top w:val="single" w:sz="16" w:space="0" w:color="000000"/>
              <w:bottom w:val="single" w:sz="16" w:space="0" w:color="000000"/>
            </w:tcBorders>
            <w:shd w:val="clear" w:color="auto" w:fill="FFFFFF"/>
            <w:vAlign w:val="bottom"/>
          </w:tcPr>
          <w:p w14:paraId="33E5E4C1" w14:textId="77777777" w:rsidR="003D106F" w:rsidRPr="003E73CD" w:rsidRDefault="003D106F" w:rsidP="003D106F">
            <w:pPr>
              <w:spacing w:line="480" w:lineRule="auto"/>
              <w:rPr>
                <w:sz w:val="22"/>
                <w:szCs w:val="22"/>
              </w:rPr>
            </w:pPr>
            <w:proofErr w:type="gramStart"/>
            <w:r w:rsidRPr="003E73CD">
              <w:rPr>
                <w:sz w:val="22"/>
                <w:szCs w:val="22"/>
              </w:rPr>
              <w:t>df</w:t>
            </w:r>
            <w:proofErr w:type="gramEnd"/>
          </w:p>
        </w:tc>
        <w:tc>
          <w:tcPr>
            <w:tcW w:w="1025" w:type="dxa"/>
            <w:tcBorders>
              <w:top w:val="single" w:sz="16" w:space="0" w:color="000000"/>
              <w:bottom w:val="single" w:sz="16" w:space="0" w:color="000000"/>
              <w:right w:val="single" w:sz="16" w:space="0" w:color="000000"/>
            </w:tcBorders>
            <w:shd w:val="clear" w:color="auto" w:fill="FFFFFF"/>
            <w:vAlign w:val="bottom"/>
          </w:tcPr>
          <w:p w14:paraId="1585A139" w14:textId="77777777" w:rsidR="003D106F" w:rsidRPr="003E73CD" w:rsidRDefault="003D106F" w:rsidP="003D106F">
            <w:pPr>
              <w:spacing w:line="480" w:lineRule="auto"/>
              <w:rPr>
                <w:sz w:val="22"/>
                <w:szCs w:val="22"/>
              </w:rPr>
            </w:pPr>
            <w:r w:rsidRPr="003E73CD">
              <w:rPr>
                <w:sz w:val="22"/>
                <w:szCs w:val="22"/>
              </w:rPr>
              <w:t>Sig.</w:t>
            </w:r>
          </w:p>
        </w:tc>
      </w:tr>
      <w:tr w:rsidR="003D106F" w:rsidRPr="003E73CD" w14:paraId="6196200E" w14:textId="77777777" w:rsidTr="00FE1282">
        <w:trPr>
          <w:cantSplit/>
        </w:trPr>
        <w:tc>
          <w:tcPr>
            <w:tcW w:w="1835" w:type="dxa"/>
            <w:tcBorders>
              <w:top w:val="single" w:sz="16" w:space="0" w:color="000000"/>
              <w:left w:val="single" w:sz="16" w:space="0" w:color="000000"/>
              <w:bottom w:val="single" w:sz="16" w:space="0" w:color="000000"/>
              <w:right w:val="single" w:sz="16" w:space="0" w:color="000000"/>
            </w:tcBorders>
            <w:shd w:val="clear" w:color="auto" w:fill="FFFFFF"/>
          </w:tcPr>
          <w:p w14:paraId="481DB0D9" w14:textId="77777777" w:rsidR="003D106F" w:rsidRPr="003E73CD" w:rsidRDefault="003D106F" w:rsidP="003D106F">
            <w:pPr>
              <w:spacing w:line="480" w:lineRule="auto"/>
              <w:rPr>
                <w:sz w:val="22"/>
                <w:szCs w:val="22"/>
              </w:rPr>
            </w:pPr>
            <w:r w:rsidRPr="003E73CD">
              <w:rPr>
                <w:sz w:val="22"/>
                <w:szCs w:val="22"/>
              </w:rPr>
              <w:t>Log Rank (Mantel-Cox)</w:t>
            </w:r>
          </w:p>
        </w:tc>
        <w:tc>
          <w:tcPr>
            <w:tcW w:w="1285" w:type="dxa"/>
            <w:tcBorders>
              <w:top w:val="single" w:sz="16" w:space="0" w:color="000000"/>
              <w:left w:val="single" w:sz="16" w:space="0" w:color="000000"/>
              <w:bottom w:val="single" w:sz="16" w:space="0" w:color="000000"/>
            </w:tcBorders>
            <w:shd w:val="clear" w:color="auto" w:fill="FFFFFF"/>
            <w:vAlign w:val="center"/>
          </w:tcPr>
          <w:p w14:paraId="36164109" w14:textId="77777777" w:rsidR="003D106F" w:rsidRPr="003E73CD" w:rsidRDefault="003D106F" w:rsidP="003D106F">
            <w:pPr>
              <w:spacing w:line="480" w:lineRule="auto"/>
              <w:rPr>
                <w:sz w:val="22"/>
                <w:szCs w:val="22"/>
              </w:rPr>
            </w:pPr>
            <w:r w:rsidRPr="003E73CD">
              <w:rPr>
                <w:sz w:val="22"/>
                <w:szCs w:val="22"/>
              </w:rPr>
              <w:t>37.564</w:t>
            </w:r>
          </w:p>
        </w:tc>
        <w:tc>
          <w:tcPr>
            <w:tcW w:w="1025" w:type="dxa"/>
            <w:tcBorders>
              <w:top w:val="single" w:sz="16" w:space="0" w:color="000000"/>
              <w:bottom w:val="single" w:sz="16" w:space="0" w:color="000000"/>
            </w:tcBorders>
            <w:shd w:val="clear" w:color="auto" w:fill="FFFFFF"/>
            <w:vAlign w:val="center"/>
          </w:tcPr>
          <w:p w14:paraId="0EC9C5B2" w14:textId="77777777" w:rsidR="003D106F" w:rsidRPr="003E73CD" w:rsidRDefault="003D106F" w:rsidP="003D106F">
            <w:pPr>
              <w:spacing w:line="480" w:lineRule="auto"/>
              <w:rPr>
                <w:sz w:val="22"/>
                <w:szCs w:val="22"/>
              </w:rPr>
            </w:pPr>
            <w:r w:rsidRPr="003E73CD">
              <w:rPr>
                <w:sz w:val="22"/>
                <w:szCs w:val="22"/>
              </w:rPr>
              <w:t>3</w:t>
            </w:r>
          </w:p>
        </w:tc>
        <w:tc>
          <w:tcPr>
            <w:tcW w:w="1025" w:type="dxa"/>
            <w:tcBorders>
              <w:top w:val="single" w:sz="16" w:space="0" w:color="000000"/>
              <w:bottom w:val="single" w:sz="16" w:space="0" w:color="000000"/>
              <w:right w:val="single" w:sz="16" w:space="0" w:color="000000"/>
            </w:tcBorders>
            <w:shd w:val="clear" w:color="auto" w:fill="FFFFFF"/>
            <w:vAlign w:val="center"/>
          </w:tcPr>
          <w:p w14:paraId="6DB205D1" w14:textId="77777777" w:rsidR="003D106F" w:rsidRPr="003E73CD" w:rsidRDefault="003D106F" w:rsidP="003D106F">
            <w:pPr>
              <w:spacing w:line="480" w:lineRule="auto"/>
              <w:rPr>
                <w:sz w:val="22"/>
                <w:szCs w:val="22"/>
              </w:rPr>
            </w:pPr>
            <w:r w:rsidRPr="003E73CD">
              <w:rPr>
                <w:sz w:val="22"/>
                <w:szCs w:val="22"/>
              </w:rPr>
              <w:t>.000</w:t>
            </w:r>
          </w:p>
        </w:tc>
      </w:tr>
    </w:tbl>
    <w:p w14:paraId="1618148E" w14:textId="4A3004D9" w:rsidR="00DF2881" w:rsidRPr="003E73CD" w:rsidRDefault="002A0DBC" w:rsidP="00DF2881">
      <w:pPr>
        <w:spacing w:line="480" w:lineRule="auto"/>
        <w:rPr>
          <w:sz w:val="22"/>
          <w:szCs w:val="22"/>
        </w:rPr>
      </w:pPr>
      <w:r>
        <w:rPr>
          <w:sz w:val="22"/>
          <w:szCs w:val="22"/>
        </w:rPr>
        <w:t>Figure 3.3</w:t>
      </w:r>
      <w:r w:rsidR="00E261E9" w:rsidRPr="003E73CD">
        <w:rPr>
          <w:sz w:val="22"/>
          <w:szCs w:val="22"/>
        </w:rPr>
        <w:t>.2</w:t>
      </w:r>
      <w:r w:rsidR="00DF2881" w:rsidRPr="003E73CD">
        <w:rPr>
          <w:sz w:val="22"/>
          <w:szCs w:val="22"/>
        </w:rPr>
        <w:t>.  Kaplan-Meier survival analysis comparing overall survival for patients grouped into quartiles from the predicted 5-year survival by the AJCC endorsed prognostic tool.</w:t>
      </w:r>
    </w:p>
    <w:p w14:paraId="5F14AEB6" w14:textId="77777777" w:rsidR="003D106F" w:rsidRPr="003E73CD" w:rsidRDefault="003D106F" w:rsidP="003D106F">
      <w:pPr>
        <w:spacing w:line="480" w:lineRule="auto"/>
        <w:rPr>
          <w:sz w:val="22"/>
          <w:szCs w:val="22"/>
        </w:rPr>
      </w:pPr>
    </w:p>
    <w:p w14:paraId="154D8291" w14:textId="1DBD697B" w:rsidR="000E1FC7" w:rsidRPr="003E73CD" w:rsidRDefault="00DA6A1A" w:rsidP="000E1FC7">
      <w:pPr>
        <w:widowControl w:val="0"/>
        <w:autoSpaceDE w:val="0"/>
        <w:autoSpaceDN w:val="0"/>
        <w:adjustRightInd w:val="0"/>
        <w:rPr>
          <w:rFonts w:ascii="Times New Roman" w:eastAsiaTheme="minorEastAsia" w:hAnsi="Times New Roman"/>
        </w:rPr>
      </w:pPr>
      <w:r w:rsidRPr="003E73CD">
        <w:rPr>
          <w:rFonts w:ascii="Times New Roman" w:eastAsiaTheme="minorEastAsia" w:hAnsi="Times New Roman"/>
          <w:noProof/>
        </w:rPr>
        <w:drawing>
          <wp:inline distT="0" distB="0" distL="0" distR="0" wp14:anchorId="783FC216" wp14:editId="13FE8FCE">
            <wp:extent cx="5583766" cy="4467013"/>
            <wp:effectExtent l="0" t="0" r="4445" b="3810"/>
            <wp:docPr id="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583766" cy="4467013"/>
                    </a:xfrm>
                    <a:prstGeom prst="rect">
                      <a:avLst/>
                    </a:prstGeom>
                    <a:noFill/>
                    <a:ln>
                      <a:noFill/>
                    </a:ln>
                  </pic:spPr>
                </pic:pic>
              </a:graphicData>
            </a:graphic>
          </wp:inline>
        </w:drawing>
      </w:r>
    </w:p>
    <w:p w14:paraId="5996C154" w14:textId="77777777" w:rsidR="000E1FC7" w:rsidRPr="003E73CD" w:rsidRDefault="000E1FC7" w:rsidP="000E1FC7">
      <w:pPr>
        <w:widowControl w:val="0"/>
        <w:autoSpaceDE w:val="0"/>
        <w:autoSpaceDN w:val="0"/>
        <w:adjustRightInd w:val="0"/>
        <w:spacing w:line="400" w:lineRule="atLeast"/>
        <w:rPr>
          <w:rFonts w:ascii="Times New Roman" w:eastAsiaTheme="minorEastAsia" w:hAnsi="Times New Roman"/>
        </w:rPr>
      </w:pPr>
    </w:p>
    <w:p w14:paraId="50C75B51" w14:textId="5ABCDB37" w:rsidR="000E1FC7" w:rsidRPr="003E73CD" w:rsidRDefault="000E1FC7" w:rsidP="000E1FC7">
      <w:pPr>
        <w:widowControl w:val="0"/>
        <w:autoSpaceDE w:val="0"/>
        <w:autoSpaceDN w:val="0"/>
        <w:adjustRightInd w:val="0"/>
        <w:rPr>
          <w:rFonts w:ascii="Times New Roman" w:eastAsiaTheme="minorEastAsia" w:hAnsi="Times New Roman"/>
        </w:rPr>
      </w:pPr>
    </w:p>
    <w:p w14:paraId="0B07225F" w14:textId="77777777" w:rsidR="000E1FC7" w:rsidRPr="003E73CD" w:rsidRDefault="000E1FC7" w:rsidP="000E1FC7">
      <w:pPr>
        <w:widowControl w:val="0"/>
        <w:autoSpaceDE w:val="0"/>
        <w:autoSpaceDN w:val="0"/>
        <w:adjustRightInd w:val="0"/>
        <w:rPr>
          <w:rFonts w:ascii="Times New Roman" w:eastAsiaTheme="minorEastAsia" w:hAnsi="Times New Roman"/>
        </w:rPr>
      </w:pPr>
    </w:p>
    <w:p w14:paraId="2BBE583A" w14:textId="77777777" w:rsidR="000E1FC7" w:rsidRPr="003E73CD" w:rsidRDefault="000E1FC7" w:rsidP="000E1FC7">
      <w:pPr>
        <w:widowControl w:val="0"/>
        <w:autoSpaceDE w:val="0"/>
        <w:autoSpaceDN w:val="0"/>
        <w:adjustRightInd w:val="0"/>
        <w:spacing w:line="400" w:lineRule="atLeast"/>
        <w:rPr>
          <w:rFonts w:ascii="Times New Roman" w:eastAsiaTheme="minorEastAsia" w:hAnsi="Times New Roman"/>
        </w:rPr>
      </w:pPr>
    </w:p>
    <w:p w14:paraId="6FF50AB5" w14:textId="77777777" w:rsidR="000E1FC7" w:rsidRPr="003E73CD" w:rsidRDefault="000E1FC7" w:rsidP="000E1FC7">
      <w:pPr>
        <w:widowControl w:val="0"/>
        <w:autoSpaceDE w:val="0"/>
        <w:autoSpaceDN w:val="0"/>
        <w:adjustRightInd w:val="0"/>
        <w:rPr>
          <w:rFonts w:ascii="Times New Roman" w:eastAsiaTheme="minorEastAsia" w:hAnsi="Times New Roman"/>
        </w:rPr>
      </w:pPr>
    </w:p>
    <w:tbl>
      <w:tblPr>
        <w:tblW w:w="51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835"/>
        <w:gridCol w:w="1285"/>
        <w:gridCol w:w="1025"/>
        <w:gridCol w:w="1025"/>
      </w:tblGrid>
      <w:tr w:rsidR="000E1FC7" w:rsidRPr="003E73CD" w14:paraId="30AA6268" w14:textId="77777777">
        <w:trPr>
          <w:cantSplit/>
        </w:trPr>
        <w:tc>
          <w:tcPr>
            <w:tcW w:w="5167" w:type="dxa"/>
            <w:gridSpan w:val="4"/>
            <w:tcBorders>
              <w:top w:val="nil"/>
              <w:left w:val="nil"/>
              <w:bottom w:val="nil"/>
              <w:right w:val="nil"/>
            </w:tcBorders>
            <w:shd w:val="clear" w:color="auto" w:fill="FFFFFF"/>
            <w:vAlign w:val="center"/>
          </w:tcPr>
          <w:p w14:paraId="26A8B166" w14:textId="77777777" w:rsidR="000E1FC7" w:rsidRPr="003E73CD" w:rsidRDefault="000E1FC7" w:rsidP="000E1FC7">
            <w:pPr>
              <w:widowControl w:val="0"/>
              <w:autoSpaceDE w:val="0"/>
              <w:autoSpaceDN w:val="0"/>
              <w:adjustRightInd w:val="0"/>
              <w:spacing w:line="320" w:lineRule="atLeast"/>
              <w:ind w:left="60" w:right="60"/>
              <w:jc w:val="center"/>
              <w:rPr>
                <w:rFonts w:ascii="Arial" w:eastAsiaTheme="minorEastAsia" w:hAnsi="Arial" w:cs="Arial"/>
                <w:color w:val="000000"/>
              </w:rPr>
            </w:pPr>
            <w:r w:rsidRPr="003E73CD">
              <w:rPr>
                <w:rFonts w:ascii="Arial" w:eastAsiaTheme="minorEastAsia" w:hAnsi="Arial" w:cs="Arial"/>
                <w:b/>
                <w:bCs/>
                <w:color w:val="000000"/>
              </w:rPr>
              <w:t>Overall Comparisons</w:t>
            </w:r>
          </w:p>
        </w:tc>
      </w:tr>
      <w:tr w:rsidR="000E1FC7" w:rsidRPr="003E73CD" w14:paraId="6010ACD9" w14:textId="77777777">
        <w:trPr>
          <w:cantSplit/>
        </w:trPr>
        <w:tc>
          <w:tcPr>
            <w:tcW w:w="1835" w:type="dxa"/>
            <w:tcBorders>
              <w:top w:val="single" w:sz="16" w:space="0" w:color="000000"/>
              <w:left w:val="single" w:sz="16" w:space="0" w:color="000000"/>
              <w:bottom w:val="single" w:sz="16" w:space="0" w:color="000000"/>
              <w:right w:val="single" w:sz="16" w:space="0" w:color="000000"/>
            </w:tcBorders>
            <w:shd w:val="clear" w:color="auto" w:fill="FFFFFF"/>
            <w:vAlign w:val="bottom"/>
          </w:tcPr>
          <w:p w14:paraId="138E0D25" w14:textId="77777777" w:rsidR="000E1FC7" w:rsidRPr="003E73CD" w:rsidRDefault="000E1FC7" w:rsidP="000E1FC7">
            <w:pPr>
              <w:widowControl w:val="0"/>
              <w:autoSpaceDE w:val="0"/>
              <w:autoSpaceDN w:val="0"/>
              <w:adjustRightInd w:val="0"/>
              <w:rPr>
                <w:rFonts w:ascii="Times New Roman" w:eastAsiaTheme="minorEastAsia" w:hAnsi="Times New Roman"/>
              </w:rPr>
            </w:pPr>
          </w:p>
        </w:tc>
        <w:tc>
          <w:tcPr>
            <w:tcW w:w="1284" w:type="dxa"/>
            <w:tcBorders>
              <w:top w:val="single" w:sz="16" w:space="0" w:color="000000"/>
              <w:left w:val="single" w:sz="16" w:space="0" w:color="000000"/>
              <w:bottom w:val="single" w:sz="16" w:space="0" w:color="000000"/>
            </w:tcBorders>
            <w:shd w:val="clear" w:color="auto" w:fill="FFFFFF"/>
            <w:vAlign w:val="bottom"/>
          </w:tcPr>
          <w:p w14:paraId="4B9B045B" w14:textId="77777777" w:rsidR="000E1FC7" w:rsidRPr="003E73CD" w:rsidRDefault="000E1FC7" w:rsidP="000E1FC7">
            <w:pPr>
              <w:widowControl w:val="0"/>
              <w:autoSpaceDE w:val="0"/>
              <w:autoSpaceDN w:val="0"/>
              <w:adjustRightInd w:val="0"/>
              <w:spacing w:line="320" w:lineRule="atLeast"/>
              <w:ind w:left="60" w:right="60"/>
              <w:jc w:val="center"/>
              <w:rPr>
                <w:rFonts w:ascii="Arial" w:eastAsiaTheme="minorEastAsia" w:hAnsi="Arial" w:cs="Arial"/>
                <w:color w:val="000000"/>
              </w:rPr>
            </w:pPr>
            <w:r w:rsidRPr="003E73CD">
              <w:rPr>
                <w:rFonts w:ascii="Arial" w:eastAsiaTheme="minorEastAsia" w:hAnsi="Arial" w:cs="Arial"/>
                <w:color w:val="000000"/>
              </w:rPr>
              <w:t>Chi-Square</w:t>
            </w:r>
          </w:p>
        </w:tc>
        <w:tc>
          <w:tcPr>
            <w:tcW w:w="1024" w:type="dxa"/>
            <w:tcBorders>
              <w:top w:val="single" w:sz="16" w:space="0" w:color="000000"/>
              <w:bottom w:val="single" w:sz="16" w:space="0" w:color="000000"/>
            </w:tcBorders>
            <w:shd w:val="clear" w:color="auto" w:fill="FFFFFF"/>
            <w:vAlign w:val="bottom"/>
          </w:tcPr>
          <w:p w14:paraId="1502EE94" w14:textId="77777777" w:rsidR="000E1FC7" w:rsidRPr="003E73CD" w:rsidRDefault="000E1FC7" w:rsidP="000E1FC7">
            <w:pPr>
              <w:widowControl w:val="0"/>
              <w:autoSpaceDE w:val="0"/>
              <w:autoSpaceDN w:val="0"/>
              <w:adjustRightInd w:val="0"/>
              <w:spacing w:line="320" w:lineRule="atLeast"/>
              <w:ind w:left="60" w:right="60"/>
              <w:jc w:val="center"/>
              <w:rPr>
                <w:rFonts w:ascii="Arial" w:eastAsiaTheme="minorEastAsia" w:hAnsi="Arial" w:cs="Arial"/>
                <w:color w:val="000000"/>
              </w:rPr>
            </w:pPr>
            <w:proofErr w:type="gramStart"/>
            <w:r w:rsidRPr="003E73CD">
              <w:rPr>
                <w:rFonts w:ascii="Arial" w:eastAsiaTheme="minorEastAsia" w:hAnsi="Arial" w:cs="Arial"/>
                <w:color w:val="000000"/>
              </w:rPr>
              <w:t>df</w:t>
            </w:r>
            <w:proofErr w:type="gramEnd"/>
          </w:p>
        </w:tc>
        <w:tc>
          <w:tcPr>
            <w:tcW w:w="1024" w:type="dxa"/>
            <w:tcBorders>
              <w:top w:val="single" w:sz="16" w:space="0" w:color="000000"/>
              <w:bottom w:val="single" w:sz="16" w:space="0" w:color="000000"/>
              <w:right w:val="single" w:sz="16" w:space="0" w:color="000000"/>
            </w:tcBorders>
            <w:shd w:val="clear" w:color="auto" w:fill="FFFFFF"/>
            <w:vAlign w:val="bottom"/>
          </w:tcPr>
          <w:p w14:paraId="2C875D3D" w14:textId="77777777" w:rsidR="000E1FC7" w:rsidRPr="003E73CD" w:rsidRDefault="000E1FC7" w:rsidP="000E1FC7">
            <w:pPr>
              <w:widowControl w:val="0"/>
              <w:autoSpaceDE w:val="0"/>
              <w:autoSpaceDN w:val="0"/>
              <w:adjustRightInd w:val="0"/>
              <w:spacing w:line="320" w:lineRule="atLeast"/>
              <w:ind w:left="60" w:right="60"/>
              <w:jc w:val="center"/>
              <w:rPr>
                <w:rFonts w:ascii="Arial" w:eastAsiaTheme="minorEastAsia" w:hAnsi="Arial" w:cs="Arial"/>
                <w:color w:val="000000"/>
              </w:rPr>
            </w:pPr>
            <w:r w:rsidRPr="003E73CD">
              <w:rPr>
                <w:rFonts w:ascii="Arial" w:eastAsiaTheme="minorEastAsia" w:hAnsi="Arial" w:cs="Arial"/>
                <w:color w:val="000000"/>
              </w:rPr>
              <w:t>Sig.</w:t>
            </w:r>
          </w:p>
        </w:tc>
      </w:tr>
      <w:tr w:rsidR="000E1FC7" w:rsidRPr="003E73CD" w14:paraId="2D9EF9A9" w14:textId="77777777">
        <w:trPr>
          <w:cantSplit/>
        </w:trPr>
        <w:tc>
          <w:tcPr>
            <w:tcW w:w="1835" w:type="dxa"/>
            <w:tcBorders>
              <w:top w:val="single" w:sz="16" w:space="0" w:color="000000"/>
              <w:left w:val="single" w:sz="16" w:space="0" w:color="000000"/>
              <w:bottom w:val="single" w:sz="16" w:space="0" w:color="000000"/>
              <w:right w:val="single" w:sz="16" w:space="0" w:color="000000"/>
            </w:tcBorders>
            <w:shd w:val="clear" w:color="auto" w:fill="FFFFFF"/>
          </w:tcPr>
          <w:p w14:paraId="7AC3E9CE" w14:textId="77777777" w:rsidR="000E1FC7" w:rsidRPr="003E73CD" w:rsidRDefault="000E1FC7" w:rsidP="000E1FC7">
            <w:pPr>
              <w:widowControl w:val="0"/>
              <w:autoSpaceDE w:val="0"/>
              <w:autoSpaceDN w:val="0"/>
              <w:adjustRightInd w:val="0"/>
              <w:spacing w:line="320" w:lineRule="atLeast"/>
              <w:ind w:left="60" w:right="60"/>
              <w:rPr>
                <w:rFonts w:ascii="Arial" w:eastAsiaTheme="minorEastAsia" w:hAnsi="Arial" w:cs="Arial"/>
                <w:color w:val="000000"/>
              </w:rPr>
            </w:pPr>
            <w:r w:rsidRPr="003E73CD">
              <w:rPr>
                <w:rFonts w:ascii="Arial" w:eastAsiaTheme="minorEastAsia" w:hAnsi="Arial" w:cs="Arial"/>
                <w:color w:val="000000"/>
              </w:rPr>
              <w:t>Log Rank (Mantel-Cox)</w:t>
            </w:r>
          </w:p>
        </w:tc>
        <w:tc>
          <w:tcPr>
            <w:tcW w:w="1284" w:type="dxa"/>
            <w:tcBorders>
              <w:top w:val="single" w:sz="16" w:space="0" w:color="000000"/>
              <w:left w:val="single" w:sz="16" w:space="0" w:color="000000"/>
              <w:bottom w:val="single" w:sz="16" w:space="0" w:color="000000"/>
            </w:tcBorders>
            <w:shd w:val="clear" w:color="auto" w:fill="FFFFFF"/>
            <w:vAlign w:val="center"/>
          </w:tcPr>
          <w:p w14:paraId="48ED7008" w14:textId="77777777" w:rsidR="000E1FC7" w:rsidRPr="003E73CD" w:rsidRDefault="000E1FC7" w:rsidP="000E1FC7">
            <w:pPr>
              <w:widowControl w:val="0"/>
              <w:autoSpaceDE w:val="0"/>
              <w:autoSpaceDN w:val="0"/>
              <w:adjustRightInd w:val="0"/>
              <w:spacing w:line="320" w:lineRule="atLeast"/>
              <w:ind w:left="60" w:right="60"/>
              <w:jc w:val="right"/>
              <w:rPr>
                <w:rFonts w:ascii="Arial" w:eastAsiaTheme="minorEastAsia" w:hAnsi="Arial" w:cs="Arial"/>
                <w:color w:val="000000"/>
              </w:rPr>
            </w:pPr>
            <w:r w:rsidRPr="003E73CD">
              <w:rPr>
                <w:rFonts w:ascii="Arial" w:eastAsiaTheme="minorEastAsia" w:hAnsi="Arial" w:cs="Arial"/>
                <w:color w:val="000000"/>
              </w:rPr>
              <w:t>28.101</w:t>
            </w:r>
          </w:p>
        </w:tc>
        <w:tc>
          <w:tcPr>
            <w:tcW w:w="1024" w:type="dxa"/>
            <w:tcBorders>
              <w:top w:val="single" w:sz="16" w:space="0" w:color="000000"/>
              <w:bottom w:val="single" w:sz="16" w:space="0" w:color="000000"/>
            </w:tcBorders>
            <w:shd w:val="clear" w:color="auto" w:fill="FFFFFF"/>
            <w:vAlign w:val="center"/>
          </w:tcPr>
          <w:p w14:paraId="57EFC7D5" w14:textId="77777777" w:rsidR="000E1FC7" w:rsidRPr="003E73CD" w:rsidRDefault="000E1FC7" w:rsidP="000E1FC7">
            <w:pPr>
              <w:widowControl w:val="0"/>
              <w:autoSpaceDE w:val="0"/>
              <w:autoSpaceDN w:val="0"/>
              <w:adjustRightInd w:val="0"/>
              <w:spacing w:line="320" w:lineRule="atLeast"/>
              <w:ind w:left="60" w:right="60"/>
              <w:jc w:val="right"/>
              <w:rPr>
                <w:rFonts w:ascii="Arial" w:eastAsiaTheme="minorEastAsia" w:hAnsi="Arial" w:cs="Arial"/>
                <w:color w:val="000000"/>
              </w:rPr>
            </w:pPr>
            <w:r w:rsidRPr="003E73CD">
              <w:rPr>
                <w:rFonts w:ascii="Arial" w:eastAsiaTheme="minorEastAsia" w:hAnsi="Arial" w:cs="Arial"/>
                <w:color w:val="000000"/>
              </w:rPr>
              <w:t>3</w:t>
            </w:r>
          </w:p>
        </w:tc>
        <w:tc>
          <w:tcPr>
            <w:tcW w:w="1024" w:type="dxa"/>
            <w:tcBorders>
              <w:top w:val="single" w:sz="16" w:space="0" w:color="000000"/>
              <w:bottom w:val="single" w:sz="16" w:space="0" w:color="000000"/>
              <w:right w:val="single" w:sz="16" w:space="0" w:color="000000"/>
            </w:tcBorders>
            <w:shd w:val="clear" w:color="auto" w:fill="FFFFFF"/>
            <w:vAlign w:val="center"/>
          </w:tcPr>
          <w:p w14:paraId="24D229EC" w14:textId="77777777" w:rsidR="000E1FC7" w:rsidRPr="003E73CD" w:rsidRDefault="000E1FC7" w:rsidP="000E1FC7">
            <w:pPr>
              <w:widowControl w:val="0"/>
              <w:autoSpaceDE w:val="0"/>
              <w:autoSpaceDN w:val="0"/>
              <w:adjustRightInd w:val="0"/>
              <w:spacing w:line="320" w:lineRule="atLeast"/>
              <w:ind w:left="60" w:right="60"/>
              <w:jc w:val="right"/>
              <w:rPr>
                <w:rFonts w:ascii="Arial" w:eastAsiaTheme="minorEastAsia" w:hAnsi="Arial" w:cs="Arial"/>
                <w:color w:val="000000"/>
              </w:rPr>
            </w:pPr>
            <w:r w:rsidRPr="003E73CD">
              <w:rPr>
                <w:rFonts w:ascii="Arial" w:eastAsiaTheme="minorEastAsia" w:hAnsi="Arial" w:cs="Arial"/>
                <w:color w:val="000000"/>
              </w:rPr>
              <w:t>.000</w:t>
            </w:r>
          </w:p>
        </w:tc>
      </w:tr>
      <w:tr w:rsidR="000E1FC7" w:rsidRPr="003E73CD" w14:paraId="145AC23F" w14:textId="77777777">
        <w:trPr>
          <w:cantSplit/>
        </w:trPr>
        <w:tc>
          <w:tcPr>
            <w:tcW w:w="5167" w:type="dxa"/>
            <w:gridSpan w:val="4"/>
            <w:tcBorders>
              <w:top w:val="nil"/>
              <w:left w:val="nil"/>
              <w:bottom w:val="nil"/>
              <w:right w:val="nil"/>
            </w:tcBorders>
            <w:shd w:val="clear" w:color="auto" w:fill="FFFFFF"/>
          </w:tcPr>
          <w:p w14:paraId="46DC8157" w14:textId="47CA4385" w:rsidR="000E1FC7" w:rsidRPr="003E73CD" w:rsidRDefault="000E1FC7" w:rsidP="000E1FC7">
            <w:pPr>
              <w:widowControl w:val="0"/>
              <w:autoSpaceDE w:val="0"/>
              <w:autoSpaceDN w:val="0"/>
              <w:adjustRightInd w:val="0"/>
              <w:spacing w:line="320" w:lineRule="atLeast"/>
              <w:ind w:left="60" w:right="60"/>
              <w:rPr>
                <w:rFonts w:ascii="Arial" w:eastAsiaTheme="minorEastAsia" w:hAnsi="Arial" w:cs="Arial"/>
                <w:color w:val="000000"/>
              </w:rPr>
            </w:pPr>
          </w:p>
        </w:tc>
      </w:tr>
    </w:tbl>
    <w:p w14:paraId="78DAA3FB" w14:textId="77777777" w:rsidR="000E1FC7" w:rsidRPr="003E73CD" w:rsidRDefault="000E1FC7" w:rsidP="000E1FC7">
      <w:pPr>
        <w:widowControl w:val="0"/>
        <w:autoSpaceDE w:val="0"/>
        <w:autoSpaceDN w:val="0"/>
        <w:adjustRightInd w:val="0"/>
        <w:spacing w:line="400" w:lineRule="atLeast"/>
        <w:rPr>
          <w:rFonts w:ascii="Times New Roman" w:eastAsiaTheme="minorEastAsia" w:hAnsi="Times New Roman"/>
        </w:rPr>
      </w:pPr>
    </w:p>
    <w:p w14:paraId="406BC352" w14:textId="77777777" w:rsidR="000E1FC7" w:rsidRPr="003E73CD" w:rsidRDefault="000E1FC7" w:rsidP="000D1FEE">
      <w:pPr>
        <w:widowControl w:val="0"/>
        <w:autoSpaceDE w:val="0"/>
        <w:autoSpaceDN w:val="0"/>
        <w:adjustRightInd w:val="0"/>
        <w:rPr>
          <w:rFonts w:ascii="Times New Roman" w:eastAsiaTheme="minorEastAsia" w:hAnsi="Times New Roman"/>
        </w:rPr>
      </w:pPr>
    </w:p>
    <w:p w14:paraId="0130FDB4" w14:textId="77777777" w:rsidR="000E1FC7" w:rsidRPr="003E73CD" w:rsidRDefault="000E1FC7" w:rsidP="000D1FEE">
      <w:pPr>
        <w:widowControl w:val="0"/>
        <w:autoSpaceDE w:val="0"/>
        <w:autoSpaceDN w:val="0"/>
        <w:adjustRightInd w:val="0"/>
        <w:rPr>
          <w:rFonts w:ascii="Times New Roman" w:eastAsiaTheme="minorEastAsia" w:hAnsi="Times New Roman"/>
        </w:rPr>
      </w:pPr>
    </w:p>
    <w:p w14:paraId="068449C9" w14:textId="63D87231" w:rsidR="00FE1282" w:rsidRPr="003E73CD" w:rsidRDefault="002A0DBC" w:rsidP="00FE1282">
      <w:pPr>
        <w:spacing w:line="480" w:lineRule="auto"/>
        <w:rPr>
          <w:sz w:val="22"/>
          <w:szCs w:val="22"/>
        </w:rPr>
      </w:pPr>
      <w:r>
        <w:rPr>
          <w:sz w:val="22"/>
          <w:szCs w:val="22"/>
        </w:rPr>
        <w:t>Figure 3.3</w:t>
      </w:r>
      <w:r w:rsidR="00507F8F" w:rsidRPr="003E73CD">
        <w:rPr>
          <w:sz w:val="22"/>
          <w:szCs w:val="22"/>
        </w:rPr>
        <w:t>.3</w:t>
      </w:r>
      <w:r w:rsidR="00FE1282" w:rsidRPr="003E73CD">
        <w:rPr>
          <w:sz w:val="22"/>
          <w:szCs w:val="22"/>
        </w:rPr>
        <w:t>.  Kaplan-Meier survival analysis comparing overall survival for patients grouped into quartiles from the predicted 5-year survival by the Lifemath.net prognostic tool.</w:t>
      </w:r>
    </w:p>
    <w:p w14:paraId="1C41FD7C" w14:textId="77777777" w:rsidR="000E1FC7" w:rsidRPr="003E73CD" w:rsidRDefault="000E1FC7" w:rsidP="000D1FEE">
      <w:pPr>
        <w:widowControl w:val="0"/>
        <w:autoSpaceDE w:val="0"/>
        <w:autoSpaceDN w:val="0"/>
        <w:adjustRightInd w:val="0"/>
        <w:rPr>
          <w:rFonts w:ascii="Times New Roman" w:eastAsiaTheme="minorEastAsia" w:hAnsi="Times New Roman"/>
        </w:rPr>
      </w:pPr>
    </w:p>
    <w:p w14:paraId="2AA6387E" w14:textId="77777777" w:rsidR="000E1FC7" w:rsidRPr="003E73CD" w:rsidRDefault="000E1FC7" w:rsidP="000D1FEE">
      <w:pPr>
        <w:widowControl w:val="0"/>
        <w:autoSpaceDE w:val="0"/>
        <w:autoSpaceDN w:val="0"/>
        <w:adjustRightInd w:val="0"/>
        <w:rPr>
          <w:rFonts w:ascii="Times New Roman" w:eastAsiaTheme="minorEastAsia" w:hAnsi="Times New Roman"/>
        </w:rPr>
      </w:pPr>
    </w:p>
    <w:p w14:paraId="45D20753" w14:textId="77777777" w:rsidR="000E1FC7" w:rsidRPr="003E73CD" w:rsidRDefault="000E1FC7" w:rsidP="000D1FEE">
      <w:pPr>
        <w:widowControl w:val="0"/>
        <w:autoSpaceDE w:val="0"/>
        <w:autoSpaceDN w:val="0"/>
        <w:adjustRightInd w:val="0"/>
        <w:rPr>
          <w:rFonts w:ascii="Times New Roman" w:eastAsiaTheme="minorEastAsia" w:hAnsi="Times New Roman"/>
        </w:rPr>
      </w:pPr>
    </w:p>
    <w:p w14:paraId="50534415" w14:textId="67D87F35" w:rsidR="00DA6A1A" w:rsidRPr="003E73CD" w:rsidRDefault="00DA6A1A" w:rsidP="00DA6A1A">
      <w:pPr>
        <w:widowControl w:val="0"/>
        <w:autoSpaceDE w:val="0"/>
        <w:autoSpaceDN w:val="0"/>
        <w:adjustRightInd w:val="0"/>
        <w:rPr>
          <w:rFonts w:ascii="Times New Roman" w:eastAsiaTheme="minorEastAsia" w:hAnsi="Times New Roman"/>
        </w:rPr>
      </w:pPr>
      <w:r w:rsidRPr="003E73CD">
        <w:rPr>
          <w:rFonts w:ascii="Times New Roman" w:eastAsiaTheme="minorEastAsia" w:hAnsi="Times New Roman"/>
          <w:noProof/>
        </w:rPr>
        <w:drawing>
          <wp:inline distT="0" distB="0" distL="0" distR="0" wp14:anchorId="36BEC9DF" wp14:editId="7E1E74D3">
            <wp:extent cx="5620809" cy="4496647"/>
            <wp:effectExtent l="0" t="0" r="0" b="0"/>
            <wp:docPr id="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20809" cy="4496647"/>
                    </a:xfrm>
                    <a:prstGeom prst="rect">
                      <a:avLst/>
                    </a:prstGeom>
                    <a:noFill/>
                    <a:ln>
                      <a:noFill/>
                    </a:ln>
                  </pic:spPr>
                </pic:pic>
              </a:graphicData>
            </a:graphic>
          </wp:inline>
        </w:drawing>
      </w:r>
    </w:p>
    <w:p w14:paraId="2567ABD4" w14:textId="77777777" w:rsidR="00DA6A1A" w:rsidRPr="003E73CD" w:rsidRDefault="00DA6A1A" w:rsidP="00DA6A1A">
      <w:pPr>
        <w:widowControl w:val="0"/>
        <w:autoSpaceDE w:val="0"/>
        <w:autoSpaceDN w:val="0"/>
        <w:adjustRightInd w:val="0"/>
        <w:rPr>
          <w:rFonts w:ascii="Times New Roman" w:eastAsiaTheme="minorEastAsia" w:hAnsi="Times New Roman"/>
        </w:rPr>
      </w:pPr>
    </w:p>
    <w:p w14:paraId="1537A176" w14:textId="77777777" w:rsidR="00DA6A1A" w:rsidRPr="003E73CD" w:rsidRDefault="00DA6A1A" w:rsidP="00DA6A1A">
      <w:pPr>
        <w:widowControl w:val="0"/>
        <w:autoSpaceDE w:val="0"/>
        <w:autoSpaceDN w:val="0"/>
        <w:adjustRightInd w:val="0"/>
        <w:spacing w:line="400" w:lineRule="atLeast"/>
        <w:rPr>
          <w:rFonts w:ascii="Times New Roman" w:eastAsiaTheme="minorEastAsia" w:hAnsi="Times New Roman"/>
        </w:rPr>
      </w:pPr>
    </w:p>
    <w:p w14:paraId="1D2E2AD0" w14:textId="77777777" w:rsidR="000E1FC7" w:rsidRPr="003E73CD" w:rsidRDefault="000E1FC7" w:rsidP="000E1FC7">
      <w:pPr>
        <w:widowControl w:val="0"/>
        <w:autoSpaceDE w:val="0"/>
        <w:autoSpaceDN w:val="0"/>
        <w:adjustRightInd w:val="0"/>
        <w:spacing w:line="400" w:lineRule="atLeast"/>
        <w:rPr>
          <w:rFonts w:ascii="Times New Roman" w:eastAsiaTheme="minorEastAsia" w:hAnsi="Times New Roman"/>
        </w:rPr>
      </w:pPr>
    </w:p>
    <w:p w14:paraId="4E480613" w14:textId="77777777" w:rsidR="000E1FC7" w:rsidRPr="003E73CD" w:rsidRDefault="000E1FC7" w:rsidP="000D1FEE">
      <w:pPr>
        <w:widowControl w:val="0"/>
        <w:autoSpaceDE w:val="0"/>
        <w:autoSpaceDN w:val="0"/>
        <w:adjustRightInd w:val="0"/>
        <w:rPr>
          <w:rFonts w:ascii="Times New Roman" w:eastAsiaTheme="minorEastAsia" w:hAnsi="Times New Roman"/>
        </w:rPr>
      </w:pPr>
    </w:p>
    <w:p w14:paraId="456B1ADE" w14:textId="77777777" w:rsidR="000E1FC7" w:rsidRPr="003E73CD" w:rsidRDefault="000E1FC7" w:rsidP="000E1FC7">
      <w:pPr>
        <w:widowControl w:val="0"/>
        <w:autoSpaceDE w:val="0"/>
        <w:autoSpaceDN w:val="0"/>
        <w:adjustRightInd w:val="0"/>
        <w:rPr>
          <w:rFonts w:ascii="Times New Roman" w:eastAsiaTheme="minorEastAsia" w:hAnsi="Times New Roman"/>
        </w:rPr>
      </w:pPr>
    </w:p>
    <w:tbl>
      <w:tblPr>
        <w:tblW w:w="51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835"/>
        <w:gridCol w:w="1285"/>
        <w:gridCol w:w="1025"/>
        <w:gridCol w:w="1025"/>
      </w:tblGrid>
      <w:tr w:rsidR="000E1FC7" w:rsidRPr="003E73CD" w14:paraId="4F1C005F" w14:textId="77777777" w:rsidTr="00DA6A1A">
        <w:trPr>
          <w:cantSplit/>
        </w:trPr>
        <w:tc>
          <w:tcPr>
            <w:tcW w:w="5170" w:type="dxa"/>
            <w:gridSpan w:val="4"/>
            <w:tcBorders>
              <w:top w:val="nil"/>
              <w:left w:val="nil"/>
              <w:bottom w:val="nil"/>
              <w:right w:val="nil"/>
            </w:tcBorders>
            <w:shd w:val="clear" w:color="auto" w:fill="FFFFFF"/>
            <w:vAlign w:val="center"/>
          </w:tcPr>
          <w:p w14:paraId="38F2A11F" w14:textId="77777777" w:rsidR="000E1FC7" w:rsidRPr="003E73CD" w:rsidRDefault="000E1FC7" w:rsidP="000E1FC7">
            <w:pPr>
              <w:widowControl w:val="0"/>
              <w:autoSpaceDE w:val="0"/>
              <w:autoSpaceDN w:val="0"/>
              <w:adjustRightInd w:val="0"/>
              <w:spacing w:line="320" w:lineRule="atLeast"/>
              <w:ind w:left="60" w:right="60"/>
              <w:jc w:val="center"/>
              <w:rPr>
                <w:rFonts w:ascii="Arial" w:eastAsiaTheme="minorEastAsia" w:hAnsi="Arial" w:cs="Arial"/>
                <w:color w:val="000000"/>
              </w:rPr>
            </w:pPr>
            <w:r w:rsidRPr="003E73CD">
              <w:rPr>
                <w:rFonts w:ascii="Arial" w:eastAsiaTheme="minorEastAsia" w:hAnsi="Arial" w:cs="Arial"/>
                <w:b/>
                <w:bCs/>
                <w:color w:val="000000"/>
              </w:rPr>
              <w:t>Overall Comparisons</w:t>
            </w:r>
          </w:p>
        </w:tc>
      </w:tr>
      <w:tr w:rsidR="000E1FC7" w:rsidRPr="003E73CD" w14:paraId="3C003DE9" w14:textId="77777777" w:rsidTr="00DA6A1A">
        <w:trPr>
          <w:cantSplit/>
        </w:trPr>
        <w:tc>
          <w:tcPr>
            <w:tcW w:w="1835" w:type="dxa"/>
            <w:tcBorders>
              <w:top w:val="single" w:sz="16" w:space="0" w:color="000000"/>
              <w:left w:val="single" w:sz="16" w:space="0" w:color="000000"/>
              <w:bottom w:val="single" w:sz="16" w:space="0" w:color="000000"/>
              <w:right w:val="single" w:sz="16" w:space="0" w:color="000000"/>
            </w:tcBorders>
            <w:shd w:val="clear" w:color="auto" w:fill="FFFFFF"/>
            <w:vAlign w:val="bottom"/>
          </w:tcPr>
          <w:p w14:paraId="00471BC0" w14:textId="77777777" w:rsidR="000E1FC7" w:rsidRPr="003E73CD" w:rsidRDefault="000E1FC7" w:rsidP="000E1FC7">
            <w:pPr>
              <w:widowControl w:val="0"/>
              <w:autoSpaceDE w:val="0"/>
              <w:autoSpaceDN w:val="0"/>
              <w:adjustRightInd w:val="0"/>
              <w:rPr>
                <w:rFonts w:ascii="Times New Roman" w:eastAsiaTheme="minorEastAsia" w:hAnsi="Times New Roman"/>
              </w:rPr>
            </w:pPr>
          </w:p>
        </w:tc>
        <w:tc>
          <w:tcPr>
            <w:tcW w:w="1285" w:type="dxa"/>
            <w:tcBorders>
              <w:top w:val="single" w:sz="16" w:space="0" w:color="000000"/>
              <w:left w:val="single" w:sz="16" w:space="0" w:color="000000"/>
              <w:bottom w:val="single" w:sz="16" w:space="0" w:color="000000"/>
            </w:tcBorders>
            <w:shd w:val="clear" w:color="auto" w:fill="FFFFFF"/>
            <w:vAlign w:val="bottom"/>
          </w:tcPr>
          <w:p w14:paraId="4300430E" w14:textId="77777777" w:rsidR="000E1FC7" w:rsidRPr="003E73CD" w:rsidRDefault="000E1FC7" w:rsidP="000E1FC7">
            <w:pPr>
              <w:widowControl w:val="0"/>
              <w:autoSpaceDE w:val="0"/>
              <w:autoSpaceDN w:val="0"/>
              <w:adjustRightInd w:val="0"/>
              <w:spacing w:line="320" w:lineRule="atLeast"/>
              <w:ind w:left="60" w:right="60"/>
              <w:jc w:val="center"/>
              <w:rPr>
                <w:rFonts w:ascii="Arial" w:eastAsiaTheme="minorEastAsia" w:hAnsi="Arial" w:cs="Arial"/>
                <w:color w:val="000000"/>
              </w:rPr>
            </w:pPr>
            <w:r w:rsidRPr="003E73CD">
              <w:rPr>
                <w:rFonts w:ascii="Arial" w:eastAsiaTheme="minorEastAsia" w:hAnsi="Arial" w:cs="Arial"/>
                <w:color w:val="000000"/>
              </w:rPr>
              <w:t>Chi-Square</w:t>
            </w:r>
          </w:p>
        </w:tc>
        <w:tc>
          <w:tcPr>
            <w:tcW w:w="1025" w:type="dxa"/>
            <w:tcBorders>
              <w:top w:val="single" w:sz="16" w:space="0" w:color="000000"/>
              <w:bottom w:val="single" w:sz="16" w:space="0" w:color="000000"/>
            </w:tcBorders>
            <w:shd w:val="clear" w:color="auto" w:fill="FFFFFF"/>
            <w:vAlign w:val="bottom"/>
          </w:tcPr>
          <w:p w14:paraId="7C1953AA" w14:textId="77777777" w:rsidR="000E1FC7" w:rsidRPr="003E73CD" w:rsidRDefault="000E1FC7" w:rsidP="000E1FC7">
            <w:pPr>
              <w:widowControl w:val="0"/>
              <w:autoSpaceDE w:val="0"/>
              <w:autoSpaceDN w:val="0"/>
              <w:adjustRightInd w:val="0"/>
              <w:spacing w:line="320" w:lineRule="atLeast"/>
              <w:ind w:left="60" w:right="60"/>
              <w:jc w:val="center"/>
              <w:rPr>
                <w:rFonts w:ascii="Arial" w:eastAsiaTheme="minorEastAsia" w:hAnsi="Arial" w:cs="Arial"/>
                <w:color w:val="000000"/>
              </w:rPr>
            </w:pPr>
            <w:proofErr w:type="gramStart"/>
            <w:r w:rsidRPr="003E73CD">
              <w:rPr>
                <w:rFonts w:ascii="Arial" w:eastAsiaTheme="minorEastAsia" w:hAnsi="Arial" w:cs="Arial"/>
                <w:color w:val="000000"/>
              </w:rPr>
              <w:t>df</w:t>
            </w:r>
            <w:proofErr w:type="gramEnd"/>
          </w:p>
        </w:tc>
        <w:tc>
          <w:tcPr>
            <w:tcW w:w="1025" w:type="dxa"/>
            <w:tcBorders>
              <w:top w:val="single" w:sz="16" w:space="0" w:color="000000"/>
              <w:bottom w:val="single" w:sz="16" w:space="0" w:color="000000"/>
              <w:right w:val="single" w:sz="16" w:space="0" w:color="000000"/>
            </w:tcBorders>
            <w:shd w:val="clear" w:color="auto" w:fill="FFFFFF"/>
            <w:vAlign w:val="bottom"/>
          </w:tcPr>
          <w:p w14:paraId="72AB9857" w14:textId="77777777" w:rsidR="000E1FC7" w:rsidRPr="003E73CD" w:rsidRDefault="000E1FC7" w:rsidP="000E1FC7">
            <w:pPr>
              <w:widowControl w:val="0"/>
              <w:autoSpaceDE w:val="0"/>
              <w:autoSpaceDN w:val="0"/>
              <w:adjustRightInd w:val="0"/>
              <w:spacing w:line="320" w:lineRule="atLeast"/>
              <w:ind w:left="60" w:right="60"/>
              <w:jc w:val="center"/>
              <w:rPr>
                <w:rFonts w:ascii="Arial" w:eastAsiaTheme="minorEastAsia" w:hAnsi="Arial" w:cs="Arial"/>
                <w:color w:val="000000"/>
              </w:rPr>
            </w:pPr>
            <w:r w:rsidRPr="003E73CD">
              <w:rPr>
                <w:rFonts w:ascii="Arial" w:eastAsiaTheme="minorEastAsia" w:hAnsi="Arial" w:cs="Arial"/>
                <w:color w:val="000000"/>
              </w:rPr>
              <w:t>Sig.</w:t>
            </w:r>
          </w:p>
        </w:tc>
      </w:tr>
      <w:tr w:rsidR="000E1FC7" w:rsidRPr="003E73CD" w14:paraId="1206F9A9" w14:textId="77777777" w:rsidTr="00DA6A1A">
        <w:trPr>
          <w:cantSplit/>
        </w:trPr>
        <w:tc>
          <w:tcPr>
            <w:tcW w:w="1835" w:type="dxa"/>
            <w:tcBorders>
              <w:top w:val="single" w:sz="16" w:space="0" w:color="000000"/>
              <w:left w:val="single" w:sz="16" w:space="0" w:color="000000"/>
              <w:bottom w:val="single" w:sz="16" w:space="0" w:color="000000"/>
              <w:right w:val="single" w:sz="16" w:space="0" w:color="000000"/>
            </w:tcBorders>
            <w:shd w:val="clear" w:color="auto" w:fill="FFFFFF"/>
          </w:tcPr>
          <w:p w14:paraId="7053FAAB" w14:textId="77777777" w:rsidR="000E1FC7" w:rsidRPr="003E73CD" w:rsidRDefault="000E1FC7" w:rsidP="000E1FC7">
            <w:pPr>
              <w:widowControl w:val="0"/>
              <w:autoSpaceDE w:val="0"/>
              <w:autoSpaceDN w:val="0"/>
              <w:adjustRightInd w:val="0"/>
              <w:spacing w:line="320" w:lineRule="atLeast"/>
              <w:ind w:left="60" w:right="60"/>
              <w:rPr>
                <w:rFonts w:ascii="Arial" w:eastAsiaTheme="minorEastAsia" w:hAnsi="Arial" w:cs="Arial"/>
                <w:color w:val="000000"/>
              </w:rPr>
            </w:pPr>
            <w:r w:rsidRPr="003E73CD">
              <w:rPr>
                <w:rFonts w:ascii="Arial" w:eastAsiaTheme="minorEastAsia" w:hAnsi="Arial" w:cs="Arial"/>
                <w:color w:val="000000"/>
              </w:rPr>
              <w:t>Log Rank (Mantel-Cox)</w:t>
            </w:r>
          </w:p>
        </w:tc>
        <w:tc>
          <w:tcPr>
            <w:tcW w:w="1285" w:type="dxa"/>
            <w:tcBorders>
              <w:top w:val="single" w:sz="16" w:space="0" w:color="000000"/>
              <w:left w:val="single" w:sz="16" w:space="0" w:color="000000"/>
              <w:bottom w:val="single" w:sz="16" w:space="0" w:color="000000"/>
            </w:tcBorders>
            <w:shd w:val="clear" w:color="auto" w:fill="FFFFFF"/>
            <w:vAlign w:val="center"/>
          </w:tcPr>
          <w:p w14:paraId="60C468F5" w14:textId="77777777" w:rsidR="000E1FC7" w:rsidRPr="003E73CD" w:rsidRDefault="000E1FC7" w:rsidP="000E1FC7">
            <w:pPr>
              <w:widowControl w:val="0"/>
              <w:autoSpaceDE w:val="0"/>
              <w:autoSpaceDN w:val="0"/>
              <w:adjustRightInd w:val="0"/>
              <w:spacing w:line="320" w:lineRule="atLeast"/>
              <w:ind w:left="60" w:right="60"/>
              <w:jc w:val="right"/>
              <w:rPr>
                <w:rFonts w:ascii="Arial" w:eastAsiaTheme="minorEastAsia" w:hAnsi="Arial" w:cs="Arial"/>
                <w:color w:val="000000"/>
              </w:rPr>
            </w:pPr>
            <w:r w:rsidRPr="003E73CD">
              <w:rPr>
                <w:rFonts w:ascii="Arial" w:eastAsiaTheme="minorEastAsia" w:hAnsi="Arial" w:cs="Arial"/>
                <w:color w:val="000000"/>
              </w:rPr>
              <w:t>18.330</w:t>
            </w:r>
          </w:p>
        </w:tc>
        <w:tc>
          <w:tcPr>
            <w:tcW w:w="1025" w:type="dxa"/>
            <w:tcBorders>
              <w:top w:val="single" w:sz="16" w:space="0" w:color="000000"/>
              <w:bottom w:val="single" w:sz="16" w:space="0" w:color="000000"/>
            </w:tcBorders>
            <w:shd w:val="clear" w:color="auto" w:fill="FFFFFF"/>
            <w:vAlign w:val="center"/>
          </w:tcPr>
          <w:p w14:paraId="69FB5C23" w14:textId="77777777" w:rsidR="000E1FC7" w:rsidRPr="003E73CD" w:rsidRDefault="000E1FC7" w:rsidP="000E1FC7">
            <w:pPr>
              <w:widowControl w:val="0"/>
              <w:autoSpaceDE w:val="0"/>
              <w:autoSpaceDN w:val="0"/>
              <w:adjustRightInd w:val="0"/>
              <w:spacing w:line="320" w:lineRule="atLeast"/>
              <w:ind w:left="60" w:right="60"/>
              <w:jc w:val="right"/>
              <w:rPr>
                <w:rFonts w:ascii="Arial" w:eastAsiaTheme="minorEastAsia" w:hAnsi="Arial" w:cs="Arial"/>
                <w:color w:val="000000"/>
              </w:rPr>
            </w:pPr>
            <w:r w:rsidRPr="003E73CD">
              <w:rPr>
                <w:rFonts w:ascii="Arial" w:eastAsiaTheme="minorEastAsia" w:hAnsi="Arial" w:cs="Arial"/>
                <w:color w:val="000000"/>
              </w:rPr>
              <w:t>3</w:t>
            </w:r>
          </w:p>
        </w:tc>
        <w:tc>
          <w:tcPr>
            <w:tcW w:w="1025" w:type="dxa"/>
            <w:tcBorders>
              <w:top w:val="single" w:sz="16" w:space="0" w:color="000000"/>
              <w:bottom w:val="single" w:sz="16" w:space="0" w:color="000000"/>
              <w:right w:val="single" w:sz="16" w:space="0" w:color="000000"/>
            </w:tcBorders>
            <w:shd w:val="clear" w:color="auto" w:fill="FFFFFF"/>
            <w:vAlign w:val="center"/>
          </w:tcPr>
          <w:p w14:paraId="6B0AA273" w14:textId="77777777" w:rsidR="000E1FC7" w:rsidRPr="003E73CD" w:rsidRDefault="000E1FC7" w:rsidP="000E1FC7">
            <w:pPr>
              <w:widowControl w:val="0"/>
              <w:autoSpaceDE w:val="0"/>
              <w:autoSpaceDN w:val="0"/>
              <w:adjustRightInd w:val="0"/>
              <w:spacing w:line="320" w:lineRule="atLeast"/>
              <w:ind w:left="60" w:right="60"/>
              <w:jc w:val="right"/>
              <w:rPr>
                <w:rFonts w:ascii="Arial" w:eastAsiaTheme="minorEastAsia" w:hAnsi="Arial" w:cs="Arial"/>
                <w:color w:val="000000"/>
              </w:rPr>
            </w:pPr>
            <w:r w:rsidRPr="003E73CD">
              <w:rPr>
                <w:rFonts w:ascii="Arial" w:eastAsiaTheme="minorEastAsia" w:hAnsi="Arial" w:cs="Arial"/>
                <w:color w:val="000000"/>
              </w:rPr>
              <w:t>.000</w:t>
            </w:r>
          </w:p>
        </w:tc>
      </w:tr>
    </w:tbl>
    <w:p w14:paraId="4A584C70" w14:textId="3B535667" w:rsidR="00DA6A1A" w:rsidRPr="003E73CD" w:rsidRDefault="00DA6A1A" w:rsidP="00DA6A1A">
      <w:pPr>
        <w:widowControl w:val="0"/>
        <w:autoSpaceDE w:val="0"/>
        <w:autoSpaceDN w:val="0"/>
        <w:adjustRightInd w:val="0"/>
        <w:rPr>
          <w:rFonts w:ascii="Times New Roman" w:eastAsiaTheme="minorEastAsia" w:hAnsi="Times New Roman"/>
        </w:rPr>
      </w:pPr>
    </w:p>
    <w:p w14:paraId="02A5FC95" w14:textId="31A2DFD1" w:rsidR="00DF2881" w:rsidRPr="003E73CD" w:rsidRDefault="002A0DBC" w:rsidP="00DF2881">
      <w:pPr>
        <w:spacing w:line="480" w:lineRule="auto"/>
        <w:rPr>
          <w:sz w:val="22"/>
          <w:szCs w:val="22"/>
        </w:rPr>
      </w:pPr>
      <w:r>
        <w:rPr>
          <w:sz w:val="22"/>
          <w:szCs w:val="22"/>
        </w:rPr>
        <w:t>Figure 3.3</w:t>
      </w:r>
      <w:r w:rsidR="00507F8F" w:rsidRPr="003E73CD">
        <w:rPr>
          <w:sz w:val="22"/>
          <w:szCs w:val="22"/>
        </w:rPr>
        <w:t>.4</w:t>
      </w:r>
      <w:r w:rsidR="00DF2881" w:rsidRPr="003E73CD">
        <w:rPr>
          <w:sz w:val="22"/>
          <w:szCs w:val="22"/>
        </w:rPr>
        <w:t>.  Kaplan-Meier survival analysis comparing overall survival for patients grouped into quartiles from the predicted 5-year survival by the Melanomacalculator.com prognostic tool.</w:t>
      </w:r>
    </w:p>
    <w:p w14:paraId="63938404" w14:textId="5C54384C" w:rsidR="002F3F7C" w:rsidRPr="003E73CD" w:rsidRDefault="002F3F7C" w:rsidP="00DF2881">
      <w:pPr>
        <w:widowControl w:val="0"/>
        <w:autoSpaceDE w:val="0"/>
        <w:autoSpaceDN w:val="0"/>
        <w:adjustRightInd w:val="0"/>
        <w:spacing w:line="480" w:lineRule="auto"/>
        <w:rPr>
          <w:rFonts w:ascii="Times New Roman" w:eastAsiaTheme="minorEastAsia" w:hAnsi="Times New Roman"/>
        </w:rPr>
      </w:pPr>
    </w:p>
    <w:p w14:paraId="2D3C742E" w14:textId="072692E0" w:rsidR="002F3F7C" w:rsidRPr="003E73CD" w:rsidRDefault="00DF2881" w:rsidP="002F3F7C">
      <w:pPr>
        <w:widowControl w:val="0"/>
        <w:autoSpaceDE w:val="0"/>
        <w:autoSpaceDN w:val="0"/>
        <w:adjustRightInd w:val="0"/>
        <w:rPr>
          <w:rFonts w:ascii="Times New Roman" w:eastAsiaTheme="minorEastAsia" w:hAnsi="Times New Roman"/>
        </w:rPr>
      </w:pPr>
      <w:r w:rsidRPr="003E73CD">
        <w:rPr>
          <w:rFonts w:ascii="Times New Roman" w:eastAsiaTheme="minorEastAsia" w:hAnsi="Times New Roman"/>
          <w:noProof/>
        </w:rPr>
        <w:drawing>
          <wp:inline distT="0" distB="0" distL="0" distR="0" wp14:anchorId="6DDD4C9A" wp14:editId="0F5635A3">
            <wp:extent cx="5270500" cy="4216400"/>
            <wp:effectExtent l="0" t="0" r="12700" b="0"/>
            <wp:docPr id="3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70500" cy="4216400"/>
                    </a:xfrm>
                    <a:prstGeom prst="rect">
                      <a:avLst/>
                    </a:prstGeom>
                    <a:noFill/>
                    <a:ln>
                      <a:noFill/>
                    </a:ln>
                  </pic:spPr>
                </pic:pic>
              </a:graphicData>
            </a:graphic>
          </wp:inline>
        </w:drawing>
      </w:r>
    </w:p>
    <w:p w14:paraId="701E5B81" w14:textId="77777777" w:rsidR="002F3F7C" w:rsidRPr="003E73CD" w:rsidRDefault="002F3F7C" w:rsidP="002F3F7C">
      <w:pPr>
        <w:widowControl w:val="0"/>
        <w:autoSpaceDE w:val="0"/>
        <w:autoSpaceDN w:val="0"/>
        <w:adjustRightInd w:val="0"/>
        <w:rPr>
          <w:rFonts w:ascii="Times New Roman" w:eastAsiaTheme="minorEastAsia" w:hAnsi="Times New Roman"/>
        </w:rPr>
      </w:pPr>
    </w:p>
    <w:tbl>
      <w:tblPr>
        <w:tblW w:w="51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835"/>
        <w:gridCol w:w="1285"/>
        <w:gridCol w:w="1025"/>
        <w:gridCol w:w="1025"/>
      </w:tblGrid>
      <w:tr w:rsidR="002F3F7C" w:rsidRPr="003E73CD" w14:paraId="15433673" w14:textId="77777777">
        <w:trPr>
          <w:cantSplit/>
        </w:trPr>
        <w:tc>
          <w:tcPr>
            <w:tcW w:w="5167" w:type="dxa"/>
            <w:gridSpan w:val="4"/>
            <w:tcBorders>
              <w:top w:val="nil"/>
              <w:left w:val="nil"/>
              <w:bottom w:val="nil"/>
              <w:right w:val="nil"/>
            </w:tcBorders>
            <w:shd w:val="clear" w:color="auto" w:fill="FFFFFF"/>
            <w:vAlign w:val="center"/>
          </w:tcPr>
          <w:p w14:paraId="57A94EDC" w14:textId="77777777" w:rsidR="002F3F7C" w:rsidRPr="003E73CD" w:rsidRDefault="002F3F7C" w:rsidP="002F3F7C">
            <w:pPr>
              <w:widowControl w:val="0"/>
              <w:autoSpaceDE w:val="0"/>
              <w:autoSpaceDN w:val="0"/>
              <w:adjustRightInd w:val="0"/>
              <w:spacing w:line="320" w:lineRule="atLeast"/>
              <w:ind w:left="60" w:right="60"/>
              <w:jc w:val="center"/>
              <w:rPr>
                <w:rFonts w:ascii="Arial" w:eastAsiaTheme="minorEastAsia" w:hAnsi="Arial" w:cs="Arial"/>
                <w:color w:val="000000"/>
              </w:rPr>
            </w:pPr>
            <w:r w:rsidRPr="003E73CD">
              <w:rPr>
                <w:rFonts w:ascii="Arial" w:eastAsiaTheme="minorEastAsia" w:hAnsi="Arial" w:cs="Arial"/>
                <w:b/>
                <w:bCs/>
                <w:color w:val="000000"/>
              </w:rPr>
              <w:t>Overall Comparisons</w:t>
            </w:r>
          </w:p>
        </w:tc>
      </w:tr>
      <w:tr w:rsidR="002F3F7C" w:rsidRPr="003E73CD" w14:paraId="55904932" w14:textId="77777777">
        <w:trPr>
          <w:cantSplit/>
        </w:trPr>
        <w:tc>
          <w:tcPr>
            <w:tcW w:w="1835" w:type="dxa"/>
            <w:tcBorders>
              <w:top w:val="single" w:sz="16" w:space="0" w:color="000000"/>
              <w:left w:val="single" w:sz="16" w:space="0" w:color="000000"/>
              <w:bottom w:val="single" w:sz="16" w:space="0" w:color="000000"/>
              <w:right w:val="single" w:sz="16" w:space="0" w:color="000000"/>
            </w:tcBorders>
            <w:shd w:val="clear" w:color="auto" w:fill="FFFFFF"/>
            <w:vAlign w:val="bottom"/>
          </w:tcPr>
          <w:p w14:paraId="4E8C9C2A" w14:textId="77777777" w:rsidR="002F3F7C" w:rsidRPr="003E73CD" w:rsidRDefault="002F3F7C" w:rsidP="002F3F7C">
            <w:pPr>
              <w:widowControl w:val="0"/>
              <w:autoSpaceDE w:val="0"/>
              <w:autoSpaceDN w:val="0"/>
              <w:adjustRightInd w:val="0"/>
              <w:rPr>
                <w:rFonts w:ascii="Times New Roman" w:eastAsiaTheme="minorEastAsia" w:hAnsi="Times New Roman"/>
              </w:rPr>
            </w:pPr>
          </w:p>
        </w:tc>
        <w:tc>
          <w:tcPr>
            <w:tcW w:w="1284" w:type="dxa"/>
            <w:tcBorders>
              <w:top w:val="single" w:sz="16" w:space="0" w:color="000000"/>
              <w:left w:val="single" w:sz="16" w:space="0" w:color="000000"/>
              <w:bottom w:val="single" w:sz="16" w:space="0" w:color="000000"/>
            </w:tcBorders>
            <w:shd w:val="clear" w:color="auto" w:fill="FFFFFF"/>
            <w:vAlign w:val="bottom"/>
          </w:tcPr>
          <w:p w14:paraId="034FCE8E" w14:textId="77777777" w:rsidR="002F3F7C" w:rsidRPr="003E73CD" w:rsidRDefault="002F3F7C" w:rsidP="002F3F7C">
            <w:pPr>
              <w:widowControl w:val="0"/>
              <w:autoSpaceDE w:val="0"/>
              <w:autoSpaceDN w:val="0"/>
              <w:adjustRightInd w:val="0"/>
              <w:spacing w:line="320" w:lineRule="atLeast"/>
              <w:ind w:left="60" w:right="60"/>
              <w:jc w:val="center"/>
              <w:rPr>
                <w:rFonts w:ascii="Arial" w:eastAsiaTheme="minorEastAsia" w:hAnsi="Arial" w:cs="Arial"/>
                <w:color w:val="000000"/>
              </w:rPr>
            </w:pPr>
            <w:r w:rsidRPr="003E73CD">
              <w:rPr>
                <w:rFonts w:ascii="Arial" w:eastAsiaTheme="minorEastAsia" w:hAnsi="Arial" w:cs="Arial"/>
                <w:color w:val="000000"/>
              </w:rPr>
              <w:t>Chi-Square</w:t>
            </w:r>
          </w:p>
        </w:tc>
        <w:tc>
          <w:tcPr>
            <w:tcW w:w="1024" w:type="dxa"/>
            <w:tcBorders>
              <w:top w:val="single" w:sz="16" w:space="0" w:color="000000"/>
              <w:bottom w:val="single" w:sz="16" w:space="0" w:color="000000"/>
            </w:tcBorders>
            <w:shd w:val="clear" w:color="auto" w:fill="FFFFFF"/>
            <w:vAlign w:val="bottom"/>
          </w:tcPr>
          <w:p w14:paraId="27B3C227" w14:textId="77777777" w:rsidR="002F3F7C" w:rsidRPr="003E73CD" w:rsidRDefault="002F3F7C" w:rsidP="002F3F7C">
            <w:pPr>
              <w:widowControl w:val="0"/>
              <w:autoSpaceDE w:val="0"/>
              <w:autoSpaceDN w:val="0"/>
              <w:adjustRightInd w:val="0"/>
              <w:spacing w:line="320" w:lineRule="atLeast"/>
              <w:ind w:left="60" w:right="60"/>
              <w:jc w:val="center"/>
              <w:rPr>
                <w:rFonts w:ascii="Arial" w:eastAsiaTheme="minorEastAsia" w:hAnsi="Arial" w:cs="Arial"/>
                <w:color w:val="000000"/>
              </w:rPr>
            </w:pPr>
            <w:proofErr w:type="gramStart"/>
            <w:r w:rsidRPr="003E73CD">
              <w:rPr>
                <w:rFonts w:ascii="Arial" w:eastAsiaTheme="minorEastAsia" w:hAnsi="Arial" w:cs="Arial"/>
                <w:color w:val="000000"/>
              </w:rPr>
              <w:t>df</w:t>
            </w:r>
            <w:proofErr w:type="gramEnd"/>
          </w:p>
        </w:tc>
        <w:tc>
          <w:tcPr>
            <w:tcW w:w="1024" w:type="dxa"/>
            <w:tcBorders>
              <w:top w:val="single" w:sz="16" w:space="0" w:color="000000"/>
              <w:bottom w:val="single" w:sz="16" w:space="0" w:color="000000"/>
              <w:right w:val="single" w:sz="16" w:space="0" w:color="000000"/>
            </w:tcBorders>
            <w:shd w:val="clear" w:color="auto" w:fill="FFFFFF"/>
            <w:vAlign w:val="bottom"/>
          </w:tcPr>
          <w:p w14:paraId="362C1E39" w14:textId="77777777" w:rsidR="002F3F7C" w:rsidRPr="003E73CD" w:rsidRDefault="002F3F7C" w:rsidP="002F3F7C">
            <w:pPr>
              <w:widowControl w:val="0"/>
              <w:autoSpaceDE w:val="0"/>
              <w:autoSpaceDN w:val="0"/>
              <w:adjustRightInd w:val="0"/>
              <w:spacing w:line="320" w:lineRule="atLeast"/>
              <w:ind w:left="60" w:right="60"/>
              <w:jc w:val="center"/>
              <w:rPr>
                <w:rFonts w:ascii="Arial" w:eastAsiaTheme="minorEastAsia" w:hAnsi="Arial" w:cs="Arial"/>
                <w:color w:val="000000"/>
              </w:rPr>
            </w:pPr>
            <w:r w:rsidRPr="003E73CD">
              <w:rPr>
                <w:rFonts w:ascii="Arial" w:eastAsiaTheme="minorEastAsia" w:hAnsi="Arial" w:cs="Arial"/>
                <w:color w:val="000000"/>
              </w:rPr>
              <w:t>Sig.</w:t>
            </w:r>
          </w:p>
        </w:tc>
      </w:tr>
      <w:tr w:rsidR="002F3F7C" w:rsidRPr="003E73CD" w14:paraId="2AA7144D" w14:textId="77777777">
        <w:trPr>
          <w:cantSplit/>
        </w:trPr>
        <w:tc>
          <w:tcPr>
            <w:tcW w:w="1835" w:type="dxa"/>
            <w:tcBorders>
              <w:top w:val="single" w:sz="16" w:space="0" w:color="000000"/>
              <w:left w:val="single" w:sz="16" w:space="0" w:color="000000"/>
              <w:bottom w:val="single" w:sz="16" w:space="0" w:color="000000"/>
              <w:right w:val="single" w:sz="16" w:space="0" w:color="000000"/>
            </w:tcBorders>
            <w:shd w:val="clear" w:color="auto" w:fill="FFFFFF"/>
          </w:tcPr>
          <w:p w14:paraId="1B54F0DD" w14:textId="77777777" w:rsidR="002F3F7C" w:rsidRPr="003E73CD" w:rsidRDefault="002F3F7C" w:rsidP="002F3F7C">
            <w:pPr>
              <w:widowControl w:val="0"/>
              <w:autoSpaceDE w:val="0"/>
              <w:autoSpaceDN w:val="0"/>
              <w:adjustRightInd w:val="0"/>
              <w:spacing w:line="320" w:lineRule="atLeast"/>
              <w:ind w:left="60" w:right="60"/>
              <w:rPr>
                <w:rFonts w:ascii="Arial" w:eastAsiaTheme="minorEastAsia" w:hAnsi="Arial" w:cs="Arial"/>
                <w:color w:val="000000"/>
              </w:rPr>
            </w:pPr>
            <w:r w:rsidRPr="003E73CD">
              <w:rPr>
                <w:rFonts w:ascii="Arial" w:eastAsiaTheme="minorEastAsia" w:hAnsi="Arial" w:cs="Arial"/>
                <w:color w:val="000000"/>
              </w:rPr>
              <w:t>Log Rank (Mantel-Cox)</w:t>
            </w:r>
          </w:p>
        </w:tc>
        <w:tc>
          <w:tcPr>
            <w:tcW w:w="1284" w:type="dxa"/>
            <w:tcBorders>
              <w:top w:val="single" w:sz="16" w:space="0" w:color="000000"/>
              <w:left w:val="single" w:sz="16" w:space="0" w:color="000000"/>
              <w:bottom w:val="single" w:sz="16" w:space="0" w:color="000000"/>
            </w:tcBorders>
            <w:shd w:val="clear" w:color="auto" w:fill="FFFFFF"/>
            <w:vAlign w:val="center"/>
          </w:tcPr>
          <w:p w14:paraId="24A8FEC4" w14:textId="77777777" w:rsidR="002F3F7C" w:rsidRPr="003E73CD" w:rsidRDefault="002F3F7C" w:rsidP="002F3F7C">
            <w:pPr>
              <w:widowControl w:val="0"/>
              <w:autoSpaceDE w:val="0"/>
              <w:autoSpaceDN w:val="0"/>
              <w:adjustRightInd w:val="0"/>
              <w:spacing w:line="320" w:lineRule="atLeast"/>
              <w:ind w:left="60" w:right="60"/>
              <w:jc w:val="right"/>
              <w:rPr>
                <w:rFonts w:ascii="Arial" w:eastAsiaTheme="minorEastAsia" w:hAnsi="Arial" w:cs="Arial"/>
                <w:color w:val="000000"/>
              </w:rPr>
            </w:pPr>
            <w:r w:rsidRPr="003E73CD">
              <w:rPr>
                <w:rFonts w:ascii="Arial" w:eastAsiaTheme="minorEastAsia" w:hAnsi="Arial" w:cs="Arial"/>
                <w:color w:val="000000"/>
              </w:rPr>
              <w:t>2.664</w:t>
            </w:r>
          </w:p>
        </w:tc>
        <w:tc>
          <w:tcPr>
            <w:tcW w:w="1024" w:type="dxa"/>
            <w:tcBorders>
              <w:top w:val="single" w:sz="16" w:space="0" w:color="000000"/>
              <w:bottom w:val="single" w:sz="16" w:space="0" w:color="000000"/>
            </w:tcBorders>
            <w:shd w:val="clear" w:color="auto" w:fill="FFFFFF"/>
            <w:vAlign w:val="center"/>
          </w:tcPr>
          <w:p w14:paraId="02426CB0" w14:textId="77777777" w:rsidR="002F3F7C" w:rsidRPr="003E73CD" w:rsidRDefault="002F3F7C" w:rsidP="002F3F7C">
            <w:pPr>
              <w:widowControl w:val="0"/>
              <w:autoSpaceDE w:val="0"/>
              <w:autoSpaceDN w:val="0"/>
              <w:adjustRightInd w:val="0"/>
              <w:spacing w:line="320" w:lineRule="atLeast"/>
              <w:ind w:left="60" w:right="60"/>
              <w:jc w:val="right"/>
              <w:rPr>
                <w:rFonts w:ascii="Arial" w:eastAsiaTheme="minorEastAsia" w:hAnsi="Arial" w:cs="Arial"/>
                <w:color w:val="000000"/>
              </w:rPr>
            </w:pPr>
            <w:r w:rsidRPr="003E73CD">
              <w:rPr>
                <w:rFonts w:ascii="Arial" w:eastAsiaTheme="minorEastAsia" w:hAnsi="Arial" w:cs="Arial"/>
                <w:color w:val="000000"/>
              </w:rPr>
              <w:t>3</w:t>
            </w:r>
          </w:p>
        </w:tc>
        <w:tc>
          <w:tcPr>
            <w:tcW w:w="1024" w:type="dxa"/>
            <w:tcBorders>
              <w:top w:val="single" w:sz="16" w:space="0" w:color="000000"/>
              <w:bottom w:val="single" w:sz="16" w:space="0" w:color="000000"/>
              <w:right w:val="single" w:sz="16" w:space="0" w:color="000000"/>
            </w:tcBorders>
            <w:shd w:val="clear" w:color="auto" w:fill="FFFFFF"/>
            <w:vAlign w:val="center"/>
          </w:tcPr>
          <w:p w14:paraId="49505A5A" w14:textId="77777777" w:rsidR="002F3F7C" w:rsidRPr="003E73CD" w:rsidRDefault="002F3F7C" w:rsidP="002F3F7C">
            <w:pPr>
              <w:widowControl w:val="0"/>
              <w:autoSpaceDE w:val="0"/>
              <w:autoSpaceDN w:val="0"/>
              <w:adjustRightInd w:val="0"/>
              <w:spacing w:line="320" w:lineRule="atLeast"/>
              <w:ind w:left="60" w:right="60"/>
              <w:jc w:val="right"/>
              <w:rPr>
                <w:rFonts w:ascii="Arial" w:eastAsiaTheme="minorEastAsia" w:hAnsi="Arial" w:cs="Arial"/>
                <w:color w:val="000000"/>
              </w:rPr>
            </w:pPr>
            <w:r w:rsidRPr="003E73CD">
              <w:rPr>
                <w:rFonts w:ascii="Arial" w:eastAsiaTheme="minorEastAsia" w:hAnsi="Arial" w:cs="Arial"/>
                <w:color w:val="000000"/>
              </w:rPr>
              <w:t>.446</w:t>
            </w:r>
          </w:p>
        </w:tc>
      </w:tr>
      <w:tr w:rsidR="002F3F7C" w:rsidRPr="003E73CD" w14:paraId="541FCE92" w14:textId="77777777">
        <w:trPr>
          <w:cantSplit/>
        </w:trPr>
        <w:tc>
          <w:tcPr>
            <w:tcW w:w="5167" w:type="dxa"/>
            <w:gridSpan w:val="4"/>
            <w:tcBorders>
              <w:top w:val="nil"/>
              <w:left w:val="nil"/>
              <w:bottom w:val="nil"/>
              <w:right w:val="nil"/>
            </w:tcBorders>
            <w:shd w:val="clear" w:color="auto" w:fill="FFFFFF"/>
          </w:tcPr>
          <w:p w14:paraId="66C2A423" w14:textId="59E9A8BA" w:rsidR="002F3F7C" w:rsidRPr="003E73CD" w:rsidRDefault="002F3F7C" w:rsidP="002F3F7C">
            <w:pPr>
              <w:widowControl w:val="0"/>
              <w:autoSpaceDE w:val="0"/>
              <w:autoSpaceDN w:val="0"/>
              <w:adjustRightInd w:val="0"/>
              <w:spacing w:line="320" w:lineRule="atLeast"/>
              <w:ind w:left="60" w:right="60"/>
              <w:rPr>
                <w:rFonts w:ascii="Arial" w:eastAsiaTheme="minorEastAsia" w:hAnsi="Arial" w:cs="Arial"/>
                <w:color w:val="000000"/>
              </w:rPr>
            </w:pPr>
          </w:p>
        </w:tc>
      </w:tr>
    </w:tbl>
    <w:p w14:paraId="63449A8B" w14:textId="77777777" w:rsidR="002F3F7C" w:rsidRPr="003E73CD" w:rsidRDefault="002F3F7C" w:rsidP="002F3F7C">
      <w:pPr>
        <w:widowControl w:val="0"/>
        <w:autoSpaceDE w:val="0"/>
        <w:autoSpaceDN w:val="0"/>
        <w:adjustRightInd w:val="0"/>
        <w:spacing w:line="400" w:lineRule="atLeast"/>
        <w:rPr>
          <w:rFonts w:ascii="Times New Roman" w:eastAsiaTheme="minorEastAsia" w:hAnsi="Times New Roman"/>
        </w:rPr>
      </w:pPr>
    </w:p>
    <w:p w14:paraId="0341E3AE" w14:textId="77777777" w:rsidR="002F3F7C" w:rsidRPr="003E73CD" w:rsidRDefault="002F3F7C" w:rsidP="002F3F7C">
      <w:pPr>
        <w:widowControl w:val="0"/>
        <w:autoSpaceDE w:val="0"/>
        <w:autoSpaceDN w:val="0"/>
        <w:adjustRightInd w:val="0"/>
        <w:spacing w:line="400" w:lineRule="atLeast"/>
        <w:rPr>
          <w:rFonts w:ascii="Times New Roman" w:eastAsiaTheme="minorEastAsia" w:hAnsi="Times New Roman"/>
        </w:rPr>
      </w:pPr>
    </w:p>
    <w:p w14:paraId="50FF1B6F" w14:textId="77777777" w:rsidR="000E1FC7" w:rsidRPr="003E73CD" w:rsidRDefault="000E1FC7" w:rsidP="000D1FEE">
      <w:pPr>
        <w:widowControl w:val="0"/>
        <w:autoSpaceDE w:val="0"/>
        <w:autoSpaceDN w:val="0"/>
        <w:adjustRightInd w:val="0"/>
        <w:rPr>
          <w:rFonts w:ascii="Times New Roman" w:eastAsiaTheme="minorEastAsia" w:hAnsi="Times New Roman"/>
        </w:rPr>
      </w:pPr>
    </w:p>
    <w:p w14:paraId="65CC6277" w14:textId="77777777" w:rsidR="000E1FC7" w:rsidRPr="003E73CD" w:rsidRDefault="000E1FC7" w:rsidP="000D1FEE">
      <w:pPr>
        <w:widowControl w:val="0"/>
        <w:autoSpaceDE w:val="0"/>
        <w:autoSpaceDN w:val="0"/>
        <w:adjustRightInd w:val="0"/>
        <w:rPr>
          <w:rFonts w:ascii="Times New Roman" w:eastAsiaTheme="minorEastAsia" w:hAnsi="Times New Roman"/>
        </w:rPr>
      </w:pPr>
    </w:p>
    <w:p w14:paraId="6CEA53B5" w14:textId="77777777" w:rsidR="000E1FC7" w:rsidRPr="003E73CD" w:rsidRDefault="000E1FC7" w:rsidP="000D1FEE">
      <w:pPr>
        <w:widowControl w:val="0"/>
        <w:autoSpaceDE w:val="0"/>
        <w:autoSpaceDN w:val="0"/>
        <w:adjustRightInd w:val="0"/>
        <w:rPr>
          <w:rFonts w:ascii="Times New Roman" w:eastAsiaTheme="minorEastAsia" w:hAnsi="Times New Roman"/>
        </w:rPr>
      </w:pPr>
    </w:p>
    <w:p w14:paraId="1418BC6F" w14:textId="77777777" w:rsidR="00281578" w:rsidRPr="003E73CD" w:rsidRDefault="00281578">
      <w:pPr>
        <w:rPr>
          <w:rFonts w:ascii="Times New Roman" w:eastAsiaTheme="minorEastAsia" w:hAnsi="Times New Roman"/>
        </w:rPr>
      </w:pPr>
    </w:p>
    <w:p w14:paraId="1401BD4D" w14:textId="77777777" w:rsidR="00281578" w:rsidRPr="003E73CD" w:rsidRDefault="00281578">
      <w:pPr>
        <w:rPr>
          <w:rFonts w:ascii="Times New Roman" w:eastAsiaTheme="minorEastAsia" w:hAnsi="Times New Roman"/>
        </w:rPr>
      </w:pPr>
    </w:p>
    <w:p w14:paraId="75BABA01" w14:textId="77777777" w:rsidR="00321644" w:rsidRPr="003E73CD" w:rsidRDefault="00321644">
      <w:pPr>
        <w:rPr>
          <w:rFonts w:ascii="Times New Roman" w:eastAsiaTheme="minorEastAsia" w:hAnsi="Times New Roman"/>
        </w:rPr>
      </w:pPr>
      <w:r w:rsidRPr="003E73CD">
        <w:rPr>
          <w:rFonts w:ascii="Times New Roman" w:eastAsiaTheme="minorEastAsia" w:hAnsi="Times New Roman"/>
        </w:rPr>
        <w:br w:type="page"/>
      </w:r>
    </w:p>
    <w:p w14:paraId="0F75BDB5" w14:textId="2132F158" w:rsidR="00281578" w:rsidRPr="003E73CD" w:rsidRDefault="002A0DBC" w:rsidP="00DF2881">
      <w:pPr>
        <w:spacing w:line="480" w:lineRule="auto"/>
        <w:rPr>
          <w:rFonts w:asciiTheme="minorHAnsi" w:eastAsiaTheme="minorEastAsia" w:hAnsiTheme="minorHAnsi"/>
          <w:sz w:val="22"/>
          <w:szCs w:val="22"/>
        </w:rPr>
      </w:pPr>
      <w:r>
        <w:rPr>
          <w:rFonts w:asciiTheme="minorHAnsi" w:eastAsiaTheme="minorEastAsia" w:hAnsiTheme="minorHAnsi"/>
          <w:sz w:val="22"/>
          <w:szCs w:val="22"/>
        </w:rPr>
        <w:t>Table 3.3</w:t>
      </w:r>
      <w:r w:rsidR="00507F8F" w:rsidRPr="003E73CD">
        <w:rPr>
          <w:rFonts w:asciiTheme="minorHAnsi" w:eastAsiaTheme="minorEastAsia" w:hAnsiTheme="minorHAnsi"/>
          <w:sz w:val="22"/>
          <w:szCs w:val="22"/>
        </w:rPr>
        <w:t>.6</w:t>
      </w:r>
      <w:r w:rsidR="00281578" w:rsidRPr="003E73CD">
        <w:rPr>
          <w:rFonts w:asciiTheme="minorHAnsi" w:eastAsiaTheme="minorEastAsia" w:hAnsiTheme="minorHAnsi"/>
          <w:sz w:val="22"/>
          <w:szCs w:val="22"/>
        </w:rPr>
        <w:t xml:space="preserve">. Estimated 5-year survival </w:t>
      </w:r>
      <w:r w:rsidR="00FB524E" w:rsidRPr="003E73CD">
        <w:rPr>
          <w:rFonts w:asciiTheme="minorHAnsi" w:eastAsiaTheme="minorEastAsia" w:hAnsiTheme="minorHAnsi"/>
          <w:sz w:val="22"/>
          <w:szCs w:val="22"/>
        </w:rPr>
        <w:t xml:space="preserve">and distribution of subjects for the test population grouped </w:t>
      </w:r>
      <w:r w:rsidR="00281578" w:rsidRPr="003E73CD">
        <w:rPr>
          <w:rFonts w:asciiTheme="minorHAnsi" w:eastAsiaTheme="minorEastAsia" w:hAnsiTheme="minorHAnsi"/>
          <w:sz w:val="22"/>
          <w:szCs w:val="22"/>
        </w:rPr>
        <w:t>by the survival tree model and the 3 online prognostic calculators (AJCC endorsed, Lifemath.net and melanomacalculator.com)</w:t>
      </w:r>
    </w:p>
    <w:tbl>
      <w:tblPr>
        <w:tblStyle w:val="TableGrid"/>
        <w:tblW w:w="5000" w:type="pct"/>
        <w:tblLook w:val="04A0" w:firstRow="1" w:lastRow="0" w:firstColumn="1" w:lastColumn="0" w:noHBand="0" w:noVBand="1"/>
      </w:tblPr>
      <w:tblGrid>
        <w:gridCol w:w="905"/>
        <w:gridCol w:w="974"/>
        <w:gridCol w:w="702"/>
        <w:gridCol w:w="974"/>
        <w:gridCol w:w="701"/>
        <w:gridCol w:w="1182"/>
        <w:gridCol w:w="701"/>
        <w:gridCol w:w="1693"/>
        <w:gridCol w:w="882"/>
      </w:tblGrid>
      <w:tr w:rsidR="00B11F67" w:rsidRPr="003E73CD" w14:paraId="6D70FD9F" w14:textId="77777777" w:rsidTr="000C2BAA">
        <w:tc>
          <w:tcPr>
            <w:tcW w:w="520" w:type="pct"/>
            <w:vMerge w:val="restart"/>
          </w:tcPr>
          <w:p w14:paraId="1F0AA3E3" w14:textId="1129E2A9" w:rsidR="00B11F67" w:rsidRPr="003E73CD" w:rsidRDefault="00B11F67" w:rsidP="000C2BAA">
            <w:pPr>
              <w:widowControl w:val="0"/>
              <w:autoSpaceDE w:val="0"/>
              <w:autoSpaceDN w:val="0"/>
              <w:adjustRightInd w:val="0"/>
              <w:spacing w:line="360" w:lineRule="auto"/>
              <w:rPr>
                <w:rFonts w:asciiTheme="minorHAnsi" w:eastAsiaTheme="minorEastAsia" w:hAnsiTheme="minorHAnsi"/>
                <w:sz w:val="22"/>
                <w:szCs w:val="22"/>
              </w:rPr>
            </w:pPr>
            <w:r w:rsidRPr="003E73CD">
              <w:rPr>
                <w:rFonts w:asciiTheme="minorHAnsi" w:eastAsiaTheme="minorEastAsia" w:hAnsiTheme="minorHAnsi"/>
                <w:sz w:val="22"/>
                <w:szCs w:val="22"/>
              </w:rPr>
              <w:t>Group*</w:t>
            </w:r>
          </w:p>
        </w:tc>
        <w:tc>
          <w:tcPr>
            <w:tcW w:w="962" w:type="pct"/>
            <w:gridSpan w:val="2"/>
          </w:tcPr>
          <w:p w14:paraId="4548B414" w14:textId="2367BC9D" w:rsidR="00B11F67" w:rsidRPr="003E73CD" w:rsidRDefault="00B11F67" w:rsidP="000C2BAA">
            <w:pPr>
              <w:widowControl w:val="0"/>
              <w:autoSpaceDE w:val="0"/>
              <w:autoSpaceDN w:val="0"/>
              <w:adjustRightInd w:val="0"/>
              <w:spacing w:line="360" w:lineRule="auto"/>
              <w:rPr>
                <w:rFonts w:asciiTheme="minorHAnsi" w:eastAsiaTheme="minorEastAsia" w:hAnsiTheme="minorHAnsi"/>
                <w:sz w:val="22"/>
                <w:szCs w:val="22"/>
              </w:rPr>
            </w:pPr>
            <w:r w:rsidRPr="003E73CD">
              <w:rPr>
                <w:rFonts w:asciiTheme="minorHAnsi" w:eastAsiaTheme="minorEastAsia" w:hAnsiTheme="minorHAnsi"/>
                <w:sz w:val="22"/>
                <w:szCs w:val="22"/>
              </w:rPr>
              <w:t>Survival tree</w:t>
            </w:r>
          </w:p>
        </w:tc>
        <w:tc>
          <w:tcPr>
            <w:tcW w:w="961" w:type="pct"/>
            <w:gridSpan w:val="2"/>
          </w:tcPr>
          <w:p w14:paraId="29FEFB1A" w14:textId="5DBB93D9" w:rsidR="00B11F67" w:rsidRPr="003E73CD" w:rsidRDefault="00B11F67" w:rsidP="000C2BAA">
            <w:pPr>
              <w:widowControl w:val="0"/>
              <w:autoSpaceDE w:val="0"/>
              <w:autoSpaceDN w:val="0"/>
              <w:adjustRightInd w:val="0"/>
              <w:spacing w:line="360" w:lineRule="auto"/>
              <w:rPr>
                <w:rFonts w:asciiTheme="minorHAnsi" w:eastAsiaTheme="minorEastAsia" w:hAnsiTheme="minorHAnsi"/>
                <w:sz w:val="22"/>
                <w:szCs w:val="22"/>
              </w:rPr>
            </w:pPr>
            <w:r w:rsidRPr="003E73CD">
              <w:rPr>
                <w:rFonts w:asciiTheme="minorHAnsi" w:eastAsiaTheme="minorEastAsia" w:hAnsiTheme="minorHAnsi"/>
                <w:sz w:val="22"/>
                <w:szCs w:val="22"/>
              </w:rPr>
              <w:t>AJCC endorsed</w:t>
            </w:r>
          </w:p>
        </w:tc>
        <w:tc>
          <w:tcPr>
            <w:tcW w:w="1080" w:type="pct"/>
            <w:gridSpan w:val="2"/>
          </w:tcPr>
          <w:p w14:paraId="675D16F8" w14:textId="0023CA3F" w:rsidR="00B11F67" w:rsidRPr="003E73CD" w:rsidRDefault="00B11F67" w:rsidP="000C2BAA">
            <w:pPr>
              <w:widowControl w:val="0"/>
              <w:autoSpaceDE w:val="0"/>
              <w:autoSpaceDN w:val="0"/>
              <w:adjustRightInd w:val="0"/>
              <w:spacing w:line="360" w:lineRule="auto"/>
              <w:rPr>
                <w:rFonts w:asciiTheme="minorHAnsi" w:eastAsiaTheme="minorEastAsia" w:hAnsiTheme="minorHAnsi"/>
                <w:sz w:val="22"/>
                <w:szCs w:val="22"/>
              </w:rPr>
            </w:pPr>
            <w:r w:rsidRPr="003E73CD">
              <w:rPr>
                <w:rFonts w:asciiTheme="minorHAnsi" w:eastAsiaTheme="minorEastAsia" w:hAnsiTheme="minorHAnsi"/>
                <w:sz w:val="22"/>
                <w:szCs w:val="22"/>
              </w:rPr>
              <w:t>Lifemath.net</w:t>
            </w:r>
          </w:p>
        </w:tc>
        <w:tc>
          <w:tcPr>
            <w:tcW w:w="1477" w:type="pct"/>
            <w:gridSpan w:val="2"/>
          </w:tcPr>
          <w:p w14:paraId="37525AC5" w14:textId="78128144" w:rsidR="00B11F67" w:rsidRPr="003E73CD" w:rsidRDefault="00B11F67" w:rsidP="000C2BAA">
            <w:pPr>
              <w:widowControl w:val="0"/>
              <w:autoSpaceDE w:val="0"/>
              <w:autoSpaceDN w:val="0"/>
              <w:adjustRightInd w:val="0"/>
              <w:spacing w:line="360" w:lineRule="auto"/>
              <w:rPr>
                <w:rFonts w:asciiTheme="minorHAnsi" w:eastAsiaTheme="minorEastAsia" w:hAnsiTheme="minorHAnsi"/>
                <w:sz w:val="22"/>
                <w:szCs w:val="22"/>
              </w:rPr>
            </w:pPr>
            <w:r w:rsidRPr="003E73CD">
              <w:rPr>
                <w:rFonts w:asciiTheme="minorHAnsi" w:eastAsiaTheme="minorEastAsia" w:hAnsiTheme="minorHAnsi"/>
                <w:sz w:val="22"/>
                <w:szCs w:val="22"/>
              </w:rPr>
              <w:t>Melanomacalculator.com</w:t>
            </w:r>
          </w:p>
        </w:tc>
      </w:tr>
      <w:tr w:rsidR="00B11F67" w:rsidRPr="003E73CD" w14:paraId="5DEE6ACA" w14:textId="77777777" w:rsidTr="000C2BAA">
        <w:tc>
          <w:tcPr>
            <w:tcW w:w="520" w:type="pct"/>
            <w:vMerge/>
          </w:tcPr>
          <w:p w14:paraId="3271B0CF" w14:textId="2693DA49" w:rsidR="00B11F67" w:rsidRPr="003E73CD" w:rsidRDefault="00B11F67" w:rsidP="000C2BAA">
            <w:pPr>
              <w:widowControl w:val="0"/>
              <w:autoSpaceDE w:val="0"/>
              <w:autoSpaceDN w:val="0"/>
              <w:adjustRightInd w:val="0"/>
              <w:spacing w:line="360" w:lineRule="auto"/>
              <w:rPr>
                <w:rFonts w:asciiTheme="minorHAnsi" w:eastAsiaTheme="minorEastAsia" w:hAnsiTheme="minorHAnsi"/>
                <w:sz w:val="22"/>
                <w:szCs w:val="22"/>
              </w:rPr>
            </w:pPr>
          </w:p>
        </w:tc>
        <w:tc>
          <w:tcPr>
            <w:tcW w:w="559" w:type="pct"/>
          </w:tcPr>
          <w:p w14:paraId="4E98CC91" w14:textId="752F414D" w:rsidR="00B11F67" w:rsidRPr="003E73CD" w:rsidRDefault="00B11F67" w:rsidP="000C2BAA">
            <w:pPr>
              <w:widowControl w:val="0"/>
              <w:autoSpaceDE w:val="0"/>
              <w:autoSpaceDN w:val="0"/>
              <w:adjustRightInd w:val="0"/>
              <w:spacing w:line="360" w:lineRule="auto"/>
              <w:rPr>
                <w:rFonts w:asciiTheme="minorHAnsi" w:eastAsiaTheme="minorEastAsia" w:hAnsiTheme="minorHAnsi"/>
                <w:sz w:val="22"/>
                <w:szCs w:val="22"/>
              </w:rPr>
            </w:pPr>
            <w:r w:rsidRPr="003E73CD">
              <w:rPr>
                <w:rFonts w:asciiTheme="minorHAnsi" w:eastAsiaTheme="minorEastAsia" w:hAnsiTheme="minorHAnsi"/>
                <w:sz w:val="22"/>
                <w:szCs w:val="22"/>
              </w:rPr>
              <w:t>5-year survival</w:t>
            </w:r>
          </w:p>
        </w:tc>
        <w:tc>
          <w:tcPr>
            <w:tcW w:w="402" w:type="pct"/>
          </w:tcPr>
          <w:p w14:paraId="56ECA892" w14:textId="205D803E" w:rsidR="00B11F67" w:rsidRPr="003E73CD" w:rsidRDefault="00B11F67" w:rsidP="000C2BAA">
            <w:pPr>
              <w:widowControl w:val="0"/>
              <w:autoSpaceDE w:val="0"/>
              <w:autoSpaceDN w:val="0"/>
              <w:adjustRightInd w:val="0"/>
              <w:spacing w:line="360" w:lineRule="auto"/>
              <w:rPr>
                <w:rFonts w:asciiTheme="minorHAnsi" w:eastAsiaTheme="minorEastAsia" w:hAnsiTheme="minorHAnsi"/>
                <w:sz w:val="22"/>
                <w:szCs w:val="22"/>
              </w:rPr>
            </w:pPr>
            <w:proofErr w:type="gramStart"/>
            <w:r w:rsidRPr="003E73CD">
              <w:rPr>
                <w:rFonts w:asciiTheme="minorHAnsi" w:eastAsiaTheme="minorEastAsia" w:hAnsiTheme="minorHAnsi"/>
                <w:sz w:val="22"/>
                <w:szCs w:val="22"/>
              </w:rPr>
              <w:t>n</w:t>
            </w:r>
            <w:proofErr w:type="gramEnd"/>
          </w:p>
        </w:tc>
        <w:tc>
          <w:tcPr>
            <w:tcW w:w="559" w:type="pct"/>
          </w:tcPr>
          <w:p w14:paraId="500BD755" w14:textId="79C1EFFD" w:rsidR="00B11F67" w:rsidRPr="003E73CD" w:rsidRDefault="00B11F67" w:rsidP="000C2BAA">
            <w:pPr>
              <w:widowControl w:val="0"/>
              <w:autoSpaceDE w:val="0"/>
              <w:autoSpaceDN w:val="0"/>
              <w:adjustRightInd w:val="0"/>
              <w:spacing w:line="360" w:lineRule="auto"/>
              <w:rPr>
                <w:rFonts w:asciiTheme="minorHAnsi" w:eastAsiaTheme="minorEastAsia" w:hAnsiTheme="minorHAnsi"/>
                <w:sz w:val="22"/>
                <w:szCs w:val="22"/>
              </w:rPr>
            </w:pPr>
            <w:r w:rsidRPr="003E73CD">
              <w:rPr>
                <w:rFonts w:asciiTheme="minorHAnsi" w:eastAsiaTheme="minorEastAsia" w:hAnsiTheme="minorHAnsi"/>
                <w:sz w:val="22"/>
                <w:szCs w:val="22"/>
              </w:rPr>
              <w:t>5-year survival</w:t>
            </w:r>
          </w:p>
        </w:tc>
        <w:tc>
          <w:tcPr>
            <w:tcW w:w="402" w:type="pct"/>
          </w:tcPr>
          <w:p w14:paraId="7150C01A" w14:textId="2D94521D" w:rsidR="00B11F67" w:rsidRPr="003E73CD" w:rsidRDefault="00B11F67" w:rsidP="000C2BAA">
            <w:pPr>
              <w:widowControl w:val="0"/>
              <w:autoSpaceDE w:val="0"/>
              <w:autoSpaceDN w:val="0"/>
              <w:adjustRightInd w:val="0"/>
              <w:spacing w:line="360" w:lineRule="auto"/>
              <w:rPr>
                <w:rFonts w:asciiTheme="minorHAnsi" w:eastAsiaTheme="minorEastAsia" w:hAnsiTheme="minorHAnsi"/>
                <w:sz w:val="22"/>
                <w:szCs w:val="22"/>
              </w:rPr>
            </w:pPr>
            <w:proofErr w:type="gramStart"/>
            <w:r w:rsidRPr="003E73CD">
              <w:rPr>
                <w:rFonts w:asciiTheme="minorHAnsi" w:eastAsiaTheme="minorEastAsia" w:hAnsiTheme="minorHAnsi"/>
                <w:sz w:val="22"/>
                <w:szCs w:val="22"/>
              </w:rPr>
              <w:t>n</w:t>
            </w:r>
            <w:proofErr w:type="gramEnd"/>
          </w:p>
        </w:tc>
        <w:tc>
          <w:tcPr>
            <w:tcW w:w="678" w:type="pct"/>
          </w:tcPr>
          <w:p w14:paraId="41E698AF" w14:textId="20FB8AC4" w:rsidR="00B11F67" w:rsidRPr="003E73CD" w:rsidRDefault="00B11F67" w:rsidP="000C2BAA">
            <w:pPr>
              <w:widowControl w:val="0"/>
              <w:autoSpaceDE w:val="0"/>
              <w:autoSpaceDN w:val="0"/>
              <w:adjustRightInd w:val="0"/>
              <w:spacing w:line="360" w:lineRule="auto"/>
              <w:rPr>
                <w:rFonts w:asciiTheme="minorHAnsi" w:eastAsiaTheme="minorEastAsia" w:hAnsiTheme="minorHAnsi"/>
                <w:sz w:val="22"/>
                <w:szCs w:val="22"/>
              </w:rPr>
            </w:pPr>
            <w:r w:rsidRPr="003E73CD">
              <w:rPr>
                <w:rFonts w:asciiTheme="minorHAnsi" w:eastAsiaTheme="minorEastAsia" w:hAnsiTheme="minorHAnsi"/>
                <w:sz w:val="22"/>
                <w:szCs w:val="22"/>
              </w:rPr>
              <w:t>5-year survival</w:t>
            </w:r>
          </w:p>
        </w:tc>
        <w:tc>
          <w:tcPr>
            <w:tcW w:w="402" w:type="pct"/>
          </w:tcPr>
          <w:p w14:paraId="467C5980" w14:textId="0A4EE361" w:rsidR="00B11F67" w:rsidRPr="003E73CD" w:rsidRDefault="00B11F67" w:rsidP="000C2BAA">
            <w:pPr>
              <w:widowControl w:val="0"/>
              <w:autoSpaceDE w:val="0"/>
              <w:autoSpaceDN w:val="0"/>
              <w:adjustRightInd w:val="0"/>
              <w:spacing w:line="360" w:lineRule="auto"/>
              <w:rPr>
                <w:rFonts w:asciiTheme="minorHAnsi" w:eastAsiaTheme="minorEastAsia" w:hAnsiTheme="minorHAnsi"/>
                <w:sz w:val="22"/>
                <w:szCs w:val="22"/>
              </w:rPr>
            </w:pPr>
            <w:proofErr w:type="gramStart"/>
            <w:r w:rsidRPr="003E73CD">
              <w:rPr>
                <w:rFonts w:asciiTheme="minorHAnsi" w:eastAsiaTheme="minorEastAsia" w:hAnsiTheme="minorHAnsi"/>
                <w:sz w:val="22"/>
                <w:szCs w:val="22"/>
              </w:rPr>
              <w:t>n</w:t>
            </w:r>
            <w:proofErr w:type="gramEnd"/>
          </w:p>
        </w:tc>
        <w:tc>
          <w:tcPr>
            <w:tcW w:w="971" w:type="pct"/>
          </w:tcPr>
          <w:p w14:paraId="2B825ADE" w14:textId="4D0EB43F" w:rsidR="00B11F67" w:rsidRPr="003E73CD" w:rsidRDefault="00B11F67" w:rsidP="000C2BAA">
            <w:pPr>
              <w:widowControl w:val="0"/>
              <w:autoSpaceDE w:val="0"/>
              <w:autoSpaceDN w:val="0"/>
              <w:adjustRightInd w:val="0"/>
              <w:spacing w:line="360" w:lineRule="auto"/>
              <w:rPr>
                <w:rFonts w:asciiTheme="minorHAnsi" w:eastAsiaTheme="minorEastAsia" w:hAnsiTheme="minorHAnsi"/>
                <w:sz w:val="22"/>
                <w:szCs w:val="22"/>
              </w:rPr>
            </w:pPr>
            <w:r w:rsidRPr="003E73CD">
              <w:rPr>
                <w:rFonts w:asciiTheme="minorHAnsi" w:eastAsiaTheme="minorEastAsia" w:hAnsiTheme="minorHAnsi"/>
                <w:sz w:val="22"/>
                <w:szCs w:val="22"/>
              </w:rPr>
              <w:t>5-year survival</w:t>
            </w:r>
          </w:p>
        </w:tc>
        <w:tc>
          <w:tcPr>
            <w:tcW w:w="506" w:type="pct"/>
          </w:tcPr>
          <w:p w14:paraId="42E4C88C" w14:textId="6C1A9B05" w:rsidR="00B11F67" w:rsidRPr="003E73CD" w:rsidRDefault="00B11F67" w:rsidP="000C2BAA">
            <w:pPr>
              <w:widowControl w:val="0"/>
              <w:autoSpaceDE w:val="0"/>
              <w:autoSpaceDN w:val="0"/>
              <w:adjustRightInd w:val="0"/>
              <w:spacing w:line="360" w:lineRule="auto"/>
              <w:rPr>
                <w:rFonts w:asciiTheme="minorHAnsi" w:eastAsiaTheme="minorEastAsia" w:hAnsiTheme="minorHAnsi"/>
                <w:sz w:val="22"/>
                <w:szCs w:val="22"/>
              </w:rPr>
            </w:pPr>
            <w:proofErr w:type="gramStart"/>
            <w:r w:rsidRPr="003E73CD">
              <w:rPr>
                <w:rFonts w:asciiTheme="minorHAnsi" w:eastAsiaTheme="minorEastAsia" w:hAnsiTheme="minorHAnsi"/>
                <w:sz w:val="22"/>
                <w:szCs w:val="22"/>
              </w:rPr>
              <w:t>n</w:t>
            </w:r>
            <w:proofErr w:type="gramEnd"/>
          </w:p>
        </w:tc>
      </w:tr>
      <w:tr w:rsidR="00B11F67" w:rsidRPr="003E73CD" w14:paraId="2A2A40CA" w14:textId="77777777" w:rsidTr="000C2BAA">
        <w:tc>
          <w:tcPr>
            <w:tcW w:w="520" w:type="pct"/>
          </w:tcPr>
          <w:p w14:paraId="1E83AF9C" w14:textId="44AEFDD8" w:rsidR="00281578" w:rsidRPr="003E73CD" w:rsidRDefault="00FB524E" w:rsidP="000C2BAA">
            <w:pPr>
              <w:widowControl w:val="0"/>
              <w:autoSpaceDE w:val="0"/>
              <w:autoSpaceDN w:val="0"/>
              <w:adjustRightInd w:val="0"/>
              <w:spacing w:line="360" w:lineRule="auto"/>
              <w:rPr>
                <w:rFonts w:asciiTheme="minorHAnsi" w:eastAsiaTheme="minorEastAsia" w:hAnsiTheme="minorHAnsi"/>
                <w:sz w:val="22"/>
                <w:szCs w:val="22"/>
              </w:rPr>
            </w:pPr>
            <w:r w:rsidRPr="003E73CD">
              <w:rPr>
                <w:rFonts w:asciiTheme="minorHAnsi" w:eastAsiaTheme="minorEastAsia" w:hAnsiTheme="minorHAnsi"/>
                <w:sz w:val="22"/>
                <w:szCs w:val="22"/>
              </w:rPr>
              <w:t>1</w:t>
            </w:r>
          </w:p>
        </w:tc>
        <w:tc>
          <w:tcPr>
            <w:tcW w:w="559" w:type="pct"/>
          </w:tcPr>
          <w:p w14:paraId="3CF4C08C" w14:textId="6CE0FDA0" w:rsidR="00281578" w:rsidRPr="003E73CD" w:rsidRDefault="00FB524E" w:rsidP="000C2BAA">
            <w:pPr>
              <w:widowControl w:val="0"/>
              <w:autoSpaceDE w:val="0"/>
              <w:autoSpaceDN w:val="0"/>
              <w:adjustRightInd w:val="0"/>
              <w:spacing w:line="360" w:lineRule="auto"/>
              <w:rPr>
                <w:rFonts w:asciiTheme="minorHAnsi" w:eastAsiaTheme="minorEastAsia" w:hAnsiTheme="minorHAnsi"/>
                <w:sz w:val="22"/>
                <w:szCs w:val="22"/>
              </w:rPr>
            </w:pPr>
            <w:r w:rsidRPr="003E73CD">
              <w:rPr>
                <w:rFonts w:asciiTheme="minorHAnsi" w:eastAsiaTheme="minorEastAsia" w:hAnsiTheme="minorHAnsi"/>
                <w:sz w:val="22"/>
                <w:szCs w:val="22"/>
              </w:rPr>
              <w:t>100%</w:t>
            </w:r>
          </w:p>
        </w:tc>
        <w:tc>
          <w:tcPr>
            <w:tcW w:w="402" w:type="pct"/>
          </w:tcPr>
          <w:p w14:paraId="148BA2A3" w14:textId="27B5F757" w:rsidR="00281578" w:rsidRPr="003E73CD" w:rsidRDefault="00FB524E" w:rsidP="000C2BAA">
            <w:pPr>
              <w:widowControl w:val="0"/>
              <w:autoSpaceDE w:val="0"/>
              <w:autoSpaceDN w:val="0"/>
              <w:adjustRightInd w:val="0"/>
              <w:spacing w:line="360" w:lineRule="auto"/>
              <w:rPr>
                <w:rFonts w:asciiTheme="minorHAnsi" w:eastAsiaTheme="minorEastAsia" w:hAnsiTheme="minorHAnsi"/>
                <w:sz w:val="22"/>
                <w:szCs w:val="22"/>
              </w:rPr>
            </w:pPr>
            <w:r w:rsidRPr="003E73CD">
              <w:rPr>
                <w:rFonts w:asciiTheme="minorHAnsi" w:eastAsiaTheme="minorEastAsia" w:hAnsiTheme="minorHAnsi"/>
                <w:sz w:val="22"/>
                <w:szCs w:val="22"/>
              </w:rPr>
              <w:t>12</w:t>
            </w:r>
          </w:p>
        </w:tc>
        <w:tc>
          <w:tcPr>
            <w:tcW w:w="559" w:type="pct"/>
          </w:tcPr>
          <w:p w14:paraId="4BEB10A5" w14:textId="17981460" w:rsidR="00281578" w:rsidRPr="003E73CD" w:rsidRDefault="00FB524E" w:rsidP="000C2BAA">
            <w:pPr>
              <w:widowControl w:val="0"/>
              <w:autoSpaceDE w:val="0"/>
              <w:autoSpaceDN w:val="0"/>
              <w:adjustRightInd w:val="0"/>
              <w:spacing w:line="360" w:lineRule="auto"/>
              <w:rPr>
                <w:rFonts w:asciiTheme="minorHAnsi" w:eastAsiaTheme="minorEastAsia" w:hAnsiTheme="minorHAnsi"/>
                <w:sz w:val="22"/>
                <w:szCs w:val="22"/>
              </w:rPr>
            </w:pPr>
            <w:r w:rsidRPr="003E73CD">
              <w:rPr>
                <w:rFonts w:asciiTheme="minorHAnsi" w:eastAsiaTheme="minorEastAsia" w:hAnsiTheme="minorHAnsi"/>
                <w:sz w:val="22"/>
                <w:szCs w:val="22"/>
              </w:rPr>
              <w:t>93%</w:t>
            </w:r>
          </w:p>
        </w:tc>
        <w:tc>
          <w:tcPr>
            <w:tcW w:w="402" w:type="pct"/>
          </w:tcPr>
          <w:p w14:paraId="13EA6415" w14:textId="2F7FDF9E" w:rsidR="00281578" w:rsidRPr="003E73CD" w:rsidRDefault="00FB524E" w:rsidP="000C2BAA">
            <w:pPr>
              <w:widowControl w:val="0"/>
              <w:autoSpaceDE w:val="0"/>
              <w:autoSpaceDN w:val="0"/>
              <w:adjustRightInd w:val="0"/>
              <w:spacing w:line="360" w:lineRule="auto"/>
              <w:rPr>
                <w:rFonts w:asciiTheme="minorHAnsi" w:eastAsiaTheme="minorEastAsia" w:hAnsiTheme="minorHAnsi"/>
                <w:sz w:val="22"/>
                <w:szCs w:val="22"/>
              </w:rPr>
            </w:pPr>
            <w:r w:rsidRPr="003E73CD">
              <w:rPr>
                <w:rFonts w:asciiTheme="minorHAnsi" w:eastAsiaTheme="minorEastAsia" w:hAnsiTheme="minorHAnsi"/>
                <w:sz w:val="22"/>
                <w:szCs w:val="22"/>
              </w:rPr>
              <w:t>16</w:t>
            </w:r>
          </w:p>
        </w:tc>
        <w:tc>
          <w:tcPr>
            <w:tcW w:w="678" w:type="pct"/>
          </w:tcPr>
          <w:p w14:paraId="220E40D0" w14:textId="32188F6F" w:rsidR="00281578" w:rsidRPr="003E73CD" w:rsidRDefault="00FB524E" w:rsidP="000C2BAA">
            <w:pPr>
              <w:widowControl w:val="0"/>
              <w:autoSpaceDE w:val="0"/>
              <w:autoSpaceDN w:val="0"/>
              <w:adjustRightInd w:val="0"/>
              <w:spacing w:line="360" w:lineRule="auto"/>
              <w:rPr>
                <w:rFonts w:asciiTheme="minorHAnsi" w:eastAsiaTheme="minorEastAsia" w:hAnsiTheme="minorHAnsi"/>
                <w:sz w:val="22"/>
                <w:szCs w:val="22"/>
              </w:rPr>
            </w:pPr>
            <w:r w:rsidRPr="003E73CD">
              <w:rPr>
                <w:rFonts w:asciiTheme="minorHAnsi" w:eastAsiaTheme="minorEastAsia" w:hAnsiTheme="minorHAnsi"/>
                <w:sz w:val="22"/>
                <w:szCs w:val="22"/>
              </w:rPr>
              <w:t>100</w:t>
            </w:r>
            <w:r w:rsidR="000D6EAD" w:rsidRPr="003E73CD">
              <w:rPr>
                <w:rFonts w:asciiTheme="minorHAnsi" w:eastAsiaTheme="minorEastAsia" w:hAnsiTheme="minorHAnsi"/>
                <w:sz w:val="22"/>
                <w:szCs w:val="22"/>
              </w:rPr>
              <w:t>%</w:t>
            </w:r>
          </w:p>
        </w:tc>
        <w:tc>
          <w:tcPr>
            <w:tcW w:w="402" w:type="pct"/>
          </w:tcPr>
          <w:p w14:paraId="17D93478" w14:textId="1939534C" w:rsidR="00281578" w:rsidRPr="003E73CD" w:rsidRDefault="000D6EAD" w:rsidP="000C2BAA">
            <w:pPr>
              <w:widowControl w:val="0"/>
              <w:autoSpaceDE w:val="0"/>
              <w:autoSpaceDN w:val="0"/>
              <w:adjustRightInd w:val="0"/>
              <w:spacing w:line="360" w:lineRule="auto"/>
              <w:rPr>
                <w:rFonts w:asciiTheme="minorHAnsi" w:eastAsiaTheme="minorEastAsia" w:hAnsiTheme="minorHAnsi"/>
                <w:sz w:val="22"/>
                <w:szCs w:val="22"/>
              </w:rPr>
            </w:pPr>
            <w:r w:rsidRPr="003E73CD">
              <w:rPr>
                <w:rFonts w:asciiTheme="minorHAnsi" w:eastAsiaTheme="minorEastAsia" w:hAnsiTheme="minorHAnsi"/>
                <w:sz w:val="22"/>
                <w:szCs w:val="22"/>
              </w:rPr>
              <w:t>5</w:t>
            </w:r>
          </w:p>
        </w:tc>
        <w:tc>
          <w:tcPr>
            <w:tcW w:w="971" w:type="pct"/>
          </w:tcPr>
          <w:p w14:paraId="02BEAF52" w14:textId="53B9FF0F" w:rsidR="00281578" w:rsidRPr="003E73CD" w:rsidRDefault="000D6EAD" w:rsidP="000C2BAA">
            <w:pPr>
              <w:widowControl w:val="0"/>
              <w:autoSpaceDE w:val="0"/>
              <w:autoSpaceDN w:val="0"/>
              <w:adjustRightInd w:val="0"/>
              <w:spacing w:line="360" w:lineRule="auto"/>
              <w:rPr>
                <w:rFonts w:asciiTheme="minorHAnsi" w:eastAsiaTheme="minorEastAsia" w:hAnsiTheme="minorHAnsi"/>
                <w:sz w:val="22"/>
                <w:szCs w:val="22"/>
              </w:rPr>
            </w:pPr>
            <w:r w:rsidRPr="003E73CD">
              <w:rPr>
                <w:rFonts w:asciiTheme="minorHAnsi" w:eastAsiaTheme="minorEastAsia" w:hAnsiTheme="minorHAnsi"/>
                <w:sz w:val="22"/>
                <w:szCs w:val="22"/>
              </w:rPr>
              <w:t>91%</w:t>
            </w:r>
          </w:p>
        </w:tc>
        <w:tc>
          <w:tcPr>
            <w:tcW w:w="506" w:type="pct"/>
          </w:tcPr>
          <w:p w14:paraId="68589A74" w14:textId="3DEC6CD9" w:rsidR="00281578" w:rsidRPr="003E73CD" w:rsidRDefault="000D6EAD" w:rsidP="000C2BAA">
            <w:pPr>
              <w:widowControl w:val="0"/>
              <w:autoSpaceDE w:val="0"/>
              <w:autoSpaceDN w:val="0"/>
              <w:adjustRightInd w:val="0"/>
              <w:spacing w:line="360" w:lineRule="auto"/>
              <w:rPr>
                <w:rFonts w:asciiTheme="minorHAnsi" w:eastAsiaTheme="minorEastAsia" w:hAnsiTheme="minorHAnsi"/>
                <w:sz w:val="22"/>
                <w:szCs w:val="22"/>
              </w:rPr>
            </w:pPr>
            <w:r w:rsidRPr="003E73CD">
              <w:rPr>
                <w:rFonts w:asciiTheme="minorHAnsi" w:eastAsiaTheme="minorEastAsia" w:hAnsiTheme="minorHAnsi"/>
                <w:sz w:val="22"/>
                <w:szCs w:val="22"/>
              </w:rPr>
              <w:t>12</w:t>
            </w:r>
          </w:p>
        </w:tc>
      </w:tr>
      <w:tr w:rsidR="00B11F67" w:rsidRPr="003E73CD" w14:paraId="51B56296" w14:textId="77777777" w:rsidTr="000C2BAA">
        <w:tc>
          <w:tcPr>
            <w:tcW w:w="520" w:type="pct"/>
          </w:tcPr>
          <w:p w14:paraId="32045E66" w14:textId="084D27DE" w:rsidR="00281578" w:rsidRPr="003E73CD" w:rsidRDefault="00FB524E" w:rsidP="000C2BAA">
            <w:pPr>
              <w:widowControl w:val="0"/>
              <w:autoSpaceDE w:val="0"/>
              <w:autoSpaceDN w:val="0"/>
              <w:adjustRightInd w:val="0"/>
              <w:spacing w:line="360" w:lineRule="auto"/>
              <w:rPr>
                <w:rFonts w:asciiTheme="minorHAnsi" w:eastAsiaTheme="minorEastAsia" w:hAnsiTheme="minorHAnsi"/>
                <w:sz w:val="22"/>
                <w:szCs w:val="22"/>
              </w:rPr>
            </w:pPr>
            <w:r w:rsidRPr="003E73CD">
              <w:rPr>
                <w:rFonts w:asciiTheme="minorHAnsi" w:eastAsiaTheme="minorEastAsia" w:hAnsiTheme="minorHAnsi"/>
                <w:sz w:val="22"/>
                <w:szCs w:val="22"/>
              </w:rPr>
              <w:t>2</w:t>
            </w:r>
          </w:p>
        </w:tc>
        <w:tc>
          <w:tcPr>
            <w:tcW w:w="559" w:type="pct"/>
          </w:tcPr>
          <w:p w14:paraId="6CA640CD" w14:textId="781E9337" w:rsidR="00281578" w:rsidRPr="003E73CD" w:rsidRDefault="00FB524E" w:rsidP="000C2BAA">
            <w:pPr>
              <w:widowControl w:val="0"/>
              <w:autoSpaceDE w:val="0"/>
              <w:autoSpaceDN w:val="0"/>
              <w:adjustRightInd w:val="0"/>
              <w:spacing w:line="360" w:lineRule="auto"/>
              <w:rPr>
                <w:rFonts w:asciiTheme="minorHAnsi" w:eastAsiaTheme="minorEastAsia" w:hAnsiTheme="minorHAnsi"/>
                <w:sz w:val="22"/>
                <w:szCs w:val="22"/>
              </w:rPr>
            </w:pPr>
            <w:r w:rsidRPr="003E73CD">
              <w:rPr>
                <w:rFonts w:asciiTheme="minorHAnsi" w:eastAsiaTheme="minorEastAsia" w:hAnsiTheme="minorHAnsi"/>
                <w:sz w:val="22"/>
                <w:szCs w:val="22"/>
              </w:rPr>
              <w:t>87%</w:t>
            </w:r>
          </w:p>
        </w:tc>
        <w:tc>
          <w:tcPr>
            <w:tcW w:w="402" w:type="pct"/>
          </w:tcPr>
          <w:p w14:paraId="4110D8D5" w14:textId="0ADE7F81" w:rsidR="00281578" w:rsidRPr="003E73CD" w:rsidRDefault="00FB524E" w:rsidP="000C2BAA">
            <w:pPr>
              <w:widowControl w:val="0"/>
              <w:autoSpaceDE w:val="0"/>
              <w:autoSpaceDN w:val="0"/>
              <w:adjustRightInd w:val="0"/>
              <w:spacing w:line="360" w:lineRule="auto"/>
              <w:rPr>
                <w:rFonts w:asciiTheme="minorHAnsi" w:eastAsiaTheme="minorEastAsia" w:hAnsiTheme="minorHAnsi"/>
                <w:sz w:val="22"/>
                <w:szCs w:val="22"/>
              </w:rPr>
            </w:pPr>
            <w:r w:rsidRPr="003E73CD">
              <w:rPr>
                <w:rFonts w:asciiTheme="minorHAnsi" w:eastAsiaTheme="minorEastAsia" w:hAnsiTheme="minorHAnsi"/>
                <w:sz w:val="22"/>
                <w:szCs w:val="22"/>
              </w:rPr>
              <w:t>15</w:t>
            </w:r>
          </w:p>
        </w:tc>
        <w:tc>
          <w:tcPr>
            <w:tcW w:w="559" w:type="pct"/>
          </w:tcPr>
          <w:p w14:paraId="3E5B2DA2" w14:textId="40526C2F" w:rsidR="00281578" w:rsidRPr="003E73CD" w:rsidRDefault="00FB524E" w:rsidP="000C2BAA">
            <w:pPr>
              <w:widowControl w:val="0"/>
              <w:autoSpaceDE w:val="0"/>
              <w:autoSpaceDN w:val="0"/>
              <w:adjustRightInd w:val="0"/>
              <w:spacing w:line="360" w:lineRule="auto"/>
              <w:rPr>
                <w:rFonts w:asciiTheme="minorHAnsi" w:eastAsiaTheme="minorEastAsia" w:hAnsiTheme="minorHAnsi"/>
                <w:sz w:val="22"/>
                <w:szCs w:val="22"/>
              </w:rPr>
            </w:pPr>
            <w:r w:rsidRPr="003E73CD">
              <w:rPr>
                <w:rFonts w:asciiTheme="minorHAnsi" w:eastAsiaTheme="minorEastAsia" w:hAnsiTheme="minorHAnsi"/>
                <w:sz w:val="22"/>
                <w:szCs w:val="22"/>
              </w:rPr>
              <w:t>79%</w:t>
            </w:r>
          </w:p>
        </w:tc>
        <w:tc>
          <w:tcPr>
            <w:tcW w:w="402" w:type="pct"/>
          </w:tcPr>
          <w:p w14:paraId="4AF279EA" w14:textId="57B281FF" w:rsidR="00281578" w:rsidRPr="003E73CD" w:rsidRDefault="00FB524E" w:rsidP="000C2BAA">
            <w:pPr>
              <w:widowControl w:val="0"/>
              <w:autoSpaceDE w:val="0"/>
              <w:autoSpaceDN w:val="0"/>
              <w:adjustRightInd w:val="0"/>
              <w:spacing w:line="360" w:lineRule="auto"/>
              <w:rPr>
                <w:rFonts w:asciiTheme="minorHAnsi" w:eastAsiaTheme="minorEastAsia" w:hAnsiTheme="minorHAnsi"/>
                <w:sz w:val="22"/>
                <w:szCs w:val="22"/>
              </w:rPr>
            </w:pPr>
            <w:r w:rsidRPr="003E73CD">
              <w:rPr>
                <w:rFonts w:asciiTheme="minorHAnsi" w:eastAsiaTheme="minorEastAsia" w:hAnsiTheme="minorHAnsi"/>
                <w:sz w:val="22"/>
                <w:szCs w:val="22"/>
              </w:rPr>
              <w:t>14</w:t>
            </w:r>
          </w:p>
        </w:tc>
        <w:tc>
          <w:tcPr>
            <w:tcW w:w="678" w:type="pct"/>
          </w:tcPr>
          <w:p w14:paraId="533BEC95" w14:textId="73435D8D" w:rsidR="00281578" w:rsidRPr="003E73CD" w:rsidRDefault="00FB524E" w:rsidP="000C2BAA">
            <w:pPr>
              <w:widowControl w:val="0"/>
              <w:autoSpaceDE w:val="0"/>
              <w:autoSpaceDN w:val="0"/>
              <w:adjustRightInd w:val="0"/>
              <w:spacing w:line="360" w:lineRule="auto"/>
              <w:rPr>
                <w:rFonts w:asciiTheme="minorHAnsi" w:eastAsiaTheme="minorEastAsia" w:hAnsiTheme="minorHAnsi"/>
                <w:sz w:val="22"/>
                <w:szCs w:val="22"/>
              </w:rPr>
            </w:pPr>
            <w:r w:rsidRPr="003E73CD">
              <w:rPr>
                <w:rFonts w:asciiTheme="minorHAnsi" w:eastAsiaTheme="minorEastAsia" w:hAnsiTheme="minorHAnsi"/>
                <w:sz w:val="22"/>
                <w:szCs w:val="22"/>
              </w:rPr>
              <w:t>8</w:t>
            </w:r>
            <w:r w:rsidR="000D6EAD" w:rsidRPr="003E73CD">
              <w:rPr>
                <w:rFonts w:asciiTheme="minorHAnsi" w:eastAsiaTheme="minorEastAsia" w:hAnsiTheme="minorHAnsi"/>
                <w:sz w:val="22"/>
                <w:szCs w:val="22"/>
              </w:rPr>
              <w:t>7%</w:t>
            </w:r>
          </w:p>
        </w:tc>
        <w:tc>
          <w:tcPr>
            <w:tcW w:w="402" w:type="pct"/>
          </w:tcPr>
          <w:p w14:paraId="3CF00385" w14:textId="21A02F0A" w:rsidR="00281578" w:rsidRPr="003E73CD" w:rsidRDefault="000D6EAD" w:rsidP="000C2BAA">
            <w:pPr>
              <w:widowControl w:val="0"/>
              <w:autoSpaceDE w:val="0"/>
              <w:autoSpaceDN w:val="0"/>
              <w:adjustRightInd w:val="0"/>
              <w:spacing w:line="360" w:lineRule="auto"/>
              <w:rPr>
                <w:rFonts w:asciiTheme="minorHAnsi" w:eastAsiaTheme="minorEastAsia" w:hAnsiTheme="minorHAnsi"/>
                <w:sz w:val="22"/>
                <w:szCs w:val="22"/>
              </w:rPr>
            </w:pPr>
            <w:r w:rsidRPr="003E73CD">
              <w:rPr>
                <w:rFonts w:asciiTheme="minorHAnsi" w:eastAsiaTheme="minorEastAsia" w:hAnsiTheme="minorHAnsi"/>
                <w:sz w:val="22"/>
                <w:szCs w:val="22"/>
              </w:rPr>
              <w:t>23</w:t>
            </w:r>
          </w:p>
        </w:tc>
        <w:tc>
          <w:tcPr>
            <w:tcW w:w="971" w:type="pct"/>
          </w:tcPr>
          <w:p w14:paraId="5EC3D4AA" w14:textId="217AC030" w:rsidR="00281578" w:rsidRPr="003E73CD" w:rsidRDefault="000D6EAD" w:rsidP="000C2BAA">
            <w:pPr>
              <w:widowControl w:val="0"/>
              <w:autoSpaceDE w:val="0"/>
              <w:autoSpaceDN w:val="0"/>
              <w:adjustRightInd w:val="0"/>
              <w:spacing w:line="360" w:lineRule="auto"/>
              <w:rPr>
                <w:rFonts w:asciiTheme="minorHAnsi" w:eastAsiaTheme="minorEastAsia" w:hAnsiTheme="minorHAnsi"/>
                <w:sz w:val="22"/>
                <w:szCs w:val="22"/>
              </w:rPr>
            </w:pPr>
            <w:r w:rsidRPr="003E73CD">
              <w:rPr>
                <w:rFonts w:asciiTheme="minorHAnsi" w:eastAsiaTheme="minorEastAsia" w:hAnsiTheme="minorHAnsi"/>
                <w:sz w:val="22"/>
                <w:szCs w:val="22"/>
              </w:rPr>
              <w:t>91%</w:t>
            </w:r>
          </w:p>
        </w:tc>
        <w:tc>
          <w:tcPr>
            <w:tcW w:w="506" w:type="pct"/>
          </w:tcPr>
          <w:p w14:paraId="19C26550" w14:textId="77C0E3B4" w:rsidR="00281578" w:rsidRPr="003E73CD" w:rsidRDefault="000D6EAD" w:rsidP="000C2BAA">
            <w:pPr>
              <w:widowControl w:val="0"/>
              <w:autoSpaceDE w:val="0"/>
              <w:autoSpaceDN w:val="0"/>
              <w:adjustRightInd w:val="0"/>
              <w:spacing w:line="360" w:lineRule="auto"/>
              <w:rPr>
                <w:rFonts w:asciiTheme="minorHAnsi" w:eastAsiaTheme="minorEastAsia" w:hAnsiTheme="minorHAnsi"/>
                <w:sz w:val="22"/>
                <w:szCs w:val="22"/>
              </w:rPr>
            </w:pPr>
            <w:r w:rsidRPr="003E73CD">
              <w:rPr>
                <w:rFonts w:asciiTheme="minorHAnsi" w:eastAsiaTheme="minorEastAsia" w:hAnsiTheme="minorHAnsi"/>
                <w:sz w:val="22"/>
                <w:szCs w:val="22"/>
              </w:rPr>
              <w:t>11</w:t>
            </w:r>
          </w:p>
        </w:tc>
      </w:tr>
      <w:tr w:rsidR="00B11F67" w:rsidRPr="003E73CD" w14:paraId="28727D43" w14:textId="77777777" w:rsidTr="000C2BAA">
        <w:tc>
          <w:tcPr>
            <w:tcW w:w="520" w:type="pct"/>
          </w:tcPr>
          <w:p w14:paraId="3693FAFF" w14:textId="12FF2A18" w:rsidR="00281578" w:rsidRPr="003E73CD" w:rsidRDefault="00FB524E" w:rsidP="000C2BAA">
            <w:pPr>
              <w:widowControl w:val="0"/>
              <w:autoSpaceDE w:val="0"/>
              <w:autoSpaceDN w:val="0"/>
              <w:adjustRightInd w:val="0"/>
              <w:spacing w:line="360" w:lineRule="auto"/>
              <w:rPr>
                <w:rFonts w:asciiTheme="minorHAnsi" w:eastAsiaTheme="minorEastAsia" w:hAnsiTheme="minorHAnsi"/>
                <w:sz w:val="22"/>
                <w:szCs w:val="22"/>
              </w:rPr>
            </w:pPr>
            <w:r w:rsidRPr="003E73CD">
              <w:rPr>
                <w:rFonts w:asciiTheme="minorHAnsi" w:eastAsiaTheme="minorEastAsia" w:hAnsiTheme="minorHAnsi"/>
                <w:sz w:val="22"/>
                <w:szCs w:val="22"/>
              </w:rPr>
              <w:t>3</w:t>
            </w:r>
          </w:p>
        </w:tc>
        <w:tc>
          <w:tcPr>
            <w:tcW w:w="559" w:type="pct"/>
          </w:tcPr>
          <w:p w14:paraId="6610CEB1" w14:textId="4FA96F77" w:rsidR="00281578" w:rsidRPr="003E73CD" w:rsidRDefault="00FB524E" w:rsidP="000C2BAA">
            <w:pPr>
              <w:widowControl w:val="0"/>
              <w:autoSpaceDE w:val="0"/>
              <w:autoSpaceDN w:val="0"/>
              <w:adjustRightInd w:val="0"/>
              <w:spacing w:line="360" w:lineRule="auto"/>
              <w:rPr>
                <w:rFonts w:asciiTheme="minorHAnsi" w:eastAsiaTheme="minorEastAsia" w:hAnsiTheme="minorHAnsi"/>
                <w:sz w:val="22"/>
                <w:szCs w:val="22"/>
              </w:rPr>
            </w:pPr>
            <w:r w:rsidRPr="003E73CD">
              <w:rPr>
                <w:rFonts w:asciiTheme="minorHAnsi" w:eastAsiaTheme="minorEastAsia" w:hAnsiTheme="minorHAnsi"/>
                <w:sz w:val="22"/>
                <w:szCs w:val="22"/>
              </w:rPr>
              <w:t>61%</w:t>
            </w:r>
          </w:p>
        </w:tc>
        <w:tc>
          <w:tcPr>
            <w:tcW w:w="402" w:type="pct"/>
          </w:tcPr>
          <w:p w14:paraId="2DD65623" w14:textId="14CE2280" w:rsidR="00281578" w:rsidRPr="003E73CD" w:rsidRDefault="00FB524E" w:rsidP="000C2BAA">
            <w:pPr>
              <w:widowControl w:val="0"/>
              <w:autoSpaceDE w:val="0"/>
              <w:autoSpaceDN w:val="0"/>
              <w:adjustRightInd w:val="0"/>
              <w:spacing w:line="360" w:lineRule="auto"/>
              <w:rPr>
                <w:rFonts w:asciiTheme="minorHAnsi" w:eastAsiaTheme="minorEastAsia" w:hAnsiTheme="minorHAnsi"/>
                <w:sz w:val="22"/>
                <w:szCs w:val="22"/>
              </w:rPr>
            </w:pPr>
            <w:r w:rsidRPr="003E73CD">
              <w:rPr>
                <w:rFonts w:asciiTheme="minorHAnsi" w:eastAsiaTheme="minorEastAsia" w:hAnsiTheme="minorHAnsi"/>
                <w:sz w:val="22"/>
                <w:szCs w:val="22"/>
              </w:rPr>
              <w:t>14</w:t>
            </w:r>
          </w:p>
        </w:tc>
        <w:tc>
          <w:tcPr>
            <w:tcW w:w="559" w:type="pct"/>
          </w:tcPr>
          <w:p w14:paraId="12B33D88" w14:textId="350D2197" w:rsidR="00281578" w:rsidRPr="003E73CD" w:rsidRDefault="00FB524E" w:rsidP="000C2BAA">
            <w:pPr>
              <w:widowControl w:val="0"/>
              <w:autoSpaceDE w:val="0"/>
              <w:autoSpaceDN w:val="0"/>
              <w:adjustRightInd w:val="0"/>
              <w:spacing w:line="360" w:lineRule="auto"/>
              <w:rPr>
                <w:rFonts w:asciiTheme="minorHAnsi" w:eastAsiaTheme="minorEastAsia" w:hAnsiTheme="minorHAnsi"/>
                <w:sz w:val="22"/>
                <w:szCs w:val="22"/>
              </w:rPr>
            </w:pPr>
            <w:r w:rsidRPr="003E73CD">
              <w:rPr>
                <w:rFonts w:asciiTheme="minorHAnsi" w:eastAsiaTheme="minorEastAsia" w:hAnsiTheme="minorHAnsi"/>
                <w:sz w:val="22"/>
                <w:szCs w:val="22"/>
              </w:rPr>
              <w:t>63%</w:t>
            </w:r>
          </w:p>
        </w:tc>
        <w:tc>
          <w:tcPr>
            <w:tcW w:w="402" w:type="pct"/>
          </w:tcPr>
          <w:p w14:paraId="014C4275" w14:textId="7631E60E" w:rsidR="00281578" w:rsidRPr="003E73CD" w:rsidRDefault="00FB524E" w:rsidP="000C2BAA">
            <w:pPr>
              <w:widowControl w:val="0"/>
              <w:autoSpaceDE w:val="0"/>
              <w:autoSpaceDN w:val="0"/>
              <w:adjustRightInd w:val="0"/>
              <w:spacing w:line="360" w:lineRule="auto"/>
              <w:rPr>
                <w:rFonts w:asciiTheme="minorHAnsi" w:eastAsiaTheme="minorEastAsia" w:hAnsiTheme="minorHAnsi"/>
                <w:sz w:val="22"/>
                <w:szCs w:val="22"/>
              </w:rPr>
            </w:pPr>
            <w:r w:rsidRPr="003E73CD">
              <w:rPr>
                <w:rFonts w:asciiTheme="minorHAnsi" w:eastAsiaTheme="minorEastAsia" w:hAnsiTheme="minorHAnsi"/>
                <w:sz w:val="22"/>
                <w:szCs w:val="22"/>
              </w:rPr>
              <w:t>6</w:t>
            </w:r>
          </w:p>
        </w:tc>
        <w:tc>
          <w:tcPr>
            <w:tcW w:w="678" w:type="pct"/>
          </w:tcPr>
          <w:p w14:paraId="659E30E2" w14:textId="7A68EE51" w:rsidR="00281578" w:rsidRPr="003E73CD" w:rsidRDefault="00FB524E" w:rsidP="000C2BAA">
            <w:pPr>
              <w:widowControl w:val="0"/>
              <w:autoSpaceDE w:val="0"/>
              <w:autoSpaceDN w:val="0"/>
              <w:adjustRightInd w:val="0"/>
              <w:spacing w:line="360" w:lineRule="auto"/>
              <w:rPr>
                <w:rFonts w:asciiTheme="minorHAnsi" w:eastAsiaTheme="minorEastAsia" w:hAnsiTheme="minorHAnsi"/>
                <w:sz w:val="22"/>
                <w:szCs w:val="22"/>
              </w:rPr>
            </w:pPr>
            <w:r w:rsidRPr="003E73CD">
              <w:rPr>
                <w:rFonts w:asciiTheme="minorHAnsi" w:eastAsiaTheme="minorEastAsia" w:hAnsiTheme="minorHAnsi"/>
                <w:sz w:val="22"/>
                <w:szCs w:val="22"/>
              </w:rPr>
              <w:t>6</w:t>
            </w:r>
            <w:r w:rsidR="000D6EAD" w:rsidRPr="003E73CD">
              <w:rPr>
                <w:rFonts w:asciiTheme="minorHAnsi" w:eastAsiaTheme="minorEastAsia" w:hAnsiTheme="minorHAnsi"/>
                <w:sz w:val="22"/>
                <w:szCs w:val="22"/>
              </w:rPr>
              <w:t>2%</w:t>
            </w:r>
          </w:p>
        </w:tc>
        <w:tc>
          <w:tcPr>
            <w:tcW w:w="402" w:type="pct"/>
          </w:tcPr>
          <w:p w14:paraId="00C638A8" w14:textId="71DC0B08" w:rsidR="00281578" w:rsidRPr="003E73CD" w:rsidRDefault="000D6EAD" w:rsidP="000C2BAA">
            <w:pPr>
              <w:widowControl w:val="0"/>
              <w:autoSpaceDE w:val="0"/>
              <w:autoSpaceDN w:val="0"/>
              <w:adjustRightInd w:val="0"/>
              <w:spacing w:line="360" w:lineRule="auto"/>
              <w:rPr>
                <w:rFonts w:asciiTheme="minorHAnsi" w:eastAsiaTheme="minorEastAsia" w:hAnsiTheme="minorHAnsi"/>
                <w:sz w:val="22"/>
                <w:szCs w:val="22"/>
              </w:rPr>
            </w:pPr>
            <w:r w:rsidRPr="003E73CD">
              <w:rPr>
                <w:rFonts w:asciiTheme="minorHAnsi" w:eastAsiaTheme="minorEastAsia" w:hAnsiTheme="minorHAnsi"/>
                <w:sz w:val="22"/>
                <w:szCs w:val="22"/>
              </w:rPr>
              <w:t>14</w:t>
            </w:r>
          </w:p>
        </w:tc>
        <w:tc>
          <w:tcPr>
            <w:tcW w:w="971" w:type="pct"/>
          </w:tcPr>
          <w:p w14:paraId="4F7828D9" w14:textId="7D2BADD4" w:rsidR="00281578" w:rsidRPr="003E73CD" w:rsidRDefault="000D6EAD" w:rsidP="000C2BAA">
            <w:pPr>
              <w:widowControl w:val="0"/>
              <w:autoSpaceDE w:val="0"/>
              <w:autoSpaceDN w:val="0"/>
              <w:adjustRightInd w:val="0"/>
              <w:spacing w:line="360" w:lineRule="auto"/>
              <w:rPr>
                <w:rFonts w:asciiTheme="minorHAnsi" w:eastAsiaTheme="minorEastAsia" w:hAnsiTheme="minorHAnsi"/>
                <w:sz w:val="22"/>
                <w:szCs w:val="22"/>
              </w:rPr>
            </w:pPr>
            <w:r w:rsidRPr="003E73CD">
              <w:rPr>
                <w:rFonts w:asciiTheme="minorHAnsi" w:eastAsiaTheme="minorEastAsia" w:hAnsiTheme="minorHAnsi"/>
                <w:sz w:val="22"/>
                <w:szCs w:val="22"/>
              </w:rPr>
              <w:t>67%</w:t>
            </w:r>
          </w:p>
        </w:tc>
        <w:tc>
          <w:tcPr>
            <w:tcW w:w="506" w:type="pct"/>
          </w:tcPr>
          <w:p w14:paraId="4FC3DFEE" w14:textId="659A9E89" w:rsidR="00281578" w:rsidRPr="003E73CD" w:rsidRDefault="000D6EAD" w:rsidP="000C2BAA">
            <w:pPr>
              <w:widowControl w:val="0"/>
              <w:autoSpaceDE w:val="0"/>
              <w:autoSpaceDN w:val="0"/>
              <w:adjustRightInd w:val="0"/>
              <w:spacing w:line="360" w:lineRule="auto"/>
              <w:rPr>
                <w:rFonts w:asciiTheme="minorHAnsi" w:eastAsiaTheme="minorEastAsia" w:hAnsiTheme="minorHAnsi"/>
                <w:sz w:val="22"/>
                <w:szCs w:val="22"/>
              </w:rPr>
            </w:pPr>
            <w:r w:rsidRPr="003E73CD">
              <w:rPr>
                <w:rFonts w:asciiTheme="minorHAnsi" w:eastAsiaTheme="minorEastAsia" w:hAnsiTheme="minorHAnsi"/>
                <w:sz w:val="22"/>
                <w:szCs w:val="22"/>
              </w:rPr>
              <w:t>3</w:t>
            </w:r>
          </w:p>
        </w:tc>
      </w:tr>
      <w:tr w:rsidR="00B11F67" w:rsidRPr="003E73CD" w14:paraId="483037CA" w14:textId="77777777" w:rsidTr="000C2BAA">
        <w:tc>
          <w:tcPr>
            <w:tcW w:w="520" w:type="pct"/>
          </w:tcPr>
          <w:p w14:paraId="4B3C37F9" w14:textId="61FEA845" w:rsidR="00281578" w:rsidRPr="003E73CD" w:rsidRDefault="00FB524E" w:rsidP="000C2BAA">
            <w:pPr>
              <w:widowControl w:val="0"/>
              <w:autoSpaceDE w:val="0"/>
              <w:autoSpaceDN w:val="0"/>
              <w:adjustRightInd w:val="0"/>
              <w:spacing w:line="360" w:lineRule="auto"/>
              <w:rPr>
                <w:rFonts w:asciiTheme="minorHAnsi" w:eastAsiaTheme="minorEastAsia" w:hAnsiTheme="minorHAnsi"/>
                <w:sz w:val="22"/>
                <w:szCs w:val="22"/>
              </w:rPr>
            </w:pPr>
            <w:r w:rsidRPr="003E73CD">
              <w:rPr>
                <w:rFonts w:asciiTheme="minorHAnsi" w:eastAsiaTheme="minorEastAsia" w:hAnsiTheme="minorHAnsi"/>
                <w:sz w:val="22"/>
                <w:szCs w:val="22"/>
              </w:rPr>
              <w:t>4</w:t>
            </w:r>
          </w:p>
        </w:tc>
        <w:tc>
          <w:tcPr>
            <w:tcW w:w="559" w:type="pct"/>
          </w:tcPr>
          <w:p w14:paraId="603C33FB" w14:textId="48029FB6" w:rsidR="00281578" w:rsidRPr="003E73CD" w:rsidRDefault="00FB524E" w:rsidP="000C2BAA">
            <w:pPr>
              <w:widowControl w:val="0"/>
              <w:autoSpaceDE w:val="0"/>
              <w:autoSpaceDN w:val="0"/>
              <w:adjustRightInd w:val="0"/>
              <w:spacing w:line="360" w:lineRule="auto"/>
              <w:rPr>
                <w:rFonts w:asciiTheme="minorHAnsi" w:eastAsiaTheme="minorEastAsia" w:hAnsiTheme="minorHAnsi"/>
                <w:sz w:val="22"/>
                <w:szCs w:val="22"/>
              </w:rPr>
            </w:pPr>
            <w:r w:rsidRPr="003E73CD">
              <w:rPr>
                <w:rFonts w:asciiTheme="minorHAnsi" w:eastAsiaTheme="minorEastAsia" w:hAnsiTheme="minorHAnsi"/>
                <w:sz w:val="22"/>
                <w:szCs w:val="22"/>
              </w:rPr>
              <w:t>0%</w:t>
            </w:r>
          </w:p>
        </w:tc>
        <w:tc>
          <w:tcPr>
            <w:tcW w:w="402" w:type="pct"/>
          </w:tcPr>
          <w:p w14:paraId="00A30CF0" w14:textId="430E498A" w:rsidR="00281578" w:rsidRPr="003E73CD" w:rsidRDefault="00FB524E" w:rsidP="000C2BAA">
            <w:pPr>
              <w:widowControl w:val="0"/>
              <w:autoSpaceDE w:val="0"/>
              <w:autoSpaceDN w:val="0"/>
              <w:adjustRightInd w:val="0"/>
              <w:spacing w:line="360" w:lineRule="auto"/>
              <w:rPr>
                <w:rFonts w:asciiTheme="minorHAnsi" w:eastAsiaTheme="minorEastAsia" w:hAnsiTheme="minorHAnsi"/>
                <w:sz w:val="22"/>
                <w:szCs w:val="22"/>
              </w:rPr>
            </w:pPr>
            <w:r w:rsidRPr="003E73CD">
              <w:rPr>
                <w:rFonts w:asciiTheme="minorHAnsi" w:eastAsiaTheme="minorEastAsia" w:hAnsiTheme="minorHAnsi"/>
                <w:sz w:val="22"/>
                <w:szCs w:val="22"/>
              </w:rPr>
              <w:t>3</w:t>
            </w:r>
          </w:p>
        </w:tc>
        <w:tc>
          <w:tcPr>
            <w:tcW w:w="559" w:type="pct"/>
          </w:tcPr>
          <w:p w14:paraId="0A34041F" w14:textId="53CE6184" w:rsidR="00281578" w:rsidRPr="003E73CD" w:rsidRDefault="00FB524E" w:rsidP="000C2BAA">
            <w:pPr>
              <w:widowControl w:val="0"/>
              <w:autoSpaceDE w:val="0"/>
              <w:autoSpaceDN w:val="0"/>
              <w:adjustRightInd w:val="0"/>
              <w:spacing w:line="360" w:lineRule="auto"/>
              <w:rPr>
                <w:rFonts w:asciiTheme="minorHAnsi" w:eastAsiaTheme="minorEastAsia" w:hAnsiTheme="minorHAnsi"/>
                <w:sz w:val="22"/>
                <w:szCs w:val="22"/>
              </w:rPr>
            </w:pPr>
            <w:r w:rsidRPr="003E73CD">
              <w:rPr>
                <w:rFonts w:asciiTheme="minorHAnsi" w:eastAsiaTheme="minorEastAsia" w:hAnsiTheme="minorHAnsi"/>
                <w:sz w:val="22"/>
                <w:szCs w:val="22"/>
              </w:rPr>
              <w:t>0%</w:t>
            </w:r>
          </w:p>
        </w:tc>
        <w:tc>
          <w:tcPr>
            <w:tcW w:w="402" w:type="pct"/>
          </w:tcPr>
          <w:p w14:paraId="088EBDD5" w14:textId="73539FCB" w:rsidR="00281578" w:rsidRPr="003E73CD" w:rsidRDefault="00FB524E" w:rsidP="000C2BAA">
            <w:pPr>
              <w:widowControl w:val="0"/>
              <w:autoSpaceDE w:val="0"/>
              <w:autoSpaceDN w:val="0"/>
              <w:adjustRightInd w:val="0"/>
              <w:spacing w:line="360" w:lineRule="auto"/>
              <w:rPr>
                <w:rFonts w:asciiTheme="minorHAnsi" w:eastAsiaTheme="minorEastAsia" w:hAnsiTheme="minorHAnsi"/>
                <w:sz w:val="22"/>
                <w:szCs w:val="22"/>
              </w:rPr>
            </w:pPr>
            <w:r w:rsidRPr="003E73CD">
              <w:rPr>
                <w:rFonts w:asciiTheme="minorHAnsi" w:eastAsiaTheme="minorEastAsia" w:hAnsiTheme="minorHAnsi"/>
                <w:sz w:val="22"/>
                <w:szCs w:val="22"/>
              </w:rPr>
              <w:t>2</w:t>
            </w:r>
          </w:p>
        </w:tc>
        <w:tc>
          <w:tcPr>
            <w:tcW w:w="678" w:type="pct"/>
          </w:tcPr>
          <w:p w14:paraId="67154591" w14:textId="268BA29F" w:rsidR="00281578" w:rsidRPr="003E73CD" w:rsidRDefault="000D6EAD" w:rsidP="000C2BAA">
            <w:pPr>
              <w:widowControl w:val="0"/>
              <w:autoSpaceDE w:val="0"/>
              <w:autoSpaceDN w:val="0"/>
              <w:adjustRightInd w:val="0"/>
              <w:spacing w:line="360" w:lineRule="auto"/>
              <w:rPr>
                <w:rFonts w:asciiTheme="minorHAnsi" w:eastAsiaTheme="minorEastAsia" w:hAnsiTheme="minorHAnsi"/>
                <w:sz w:val="22"/>
                <w:szCs w:val="22"/>
              </w:rPr>
            </w:pPr>
            <w:r w:rsidRPr="003E73CD">
              <w:rPr>
                <w:rFonts w:asciiTheme="minorHAnsi" w:eastAsiaTheme="minorEastAsia" w:hAnsiTheme="minorHAnsi"/>
                <w:sz w:val="22"/>
                <w:szCs w:val="22"/>
              </w:rPr>
              <w:t>0%</w:t>
            </w:r>
          </w:p>
        </w:tc>
        <w:tc>
          <w:tcPr>
            <w:tcW w:w="402" w:type="pct"/>
          </w:tcPr>
          <w:p w14:paraId="361AC22D" w14:textId="3BD83E55" w:rsidR="00281578" w:rsidRPr="003E73CD" w:rsidRDefault="000D6EAD" w:rsidP="000C2BAA">
            <w:pPr>
              <w:widowControl w:val="0"/>
              <w:autoSpaceDE w:val="0"/>
              <w:autoSpaceDN w:val="0"/>
              <w:adjustRightInd w:val="0"/>
              <w:spacing w:line="360" w:lineRule="auto"/>
              <w:rPr>
                <w:rFonts w:asciiTheme="minorHAnsi" w:eastAsiaTheme="minorEastAsia" w:hAnsiTheme="minorHAnsi"/>
                <w:sz w:val="22"/>
                <w:szCs w:val="22"/>
              </w:rPr>
            </w:pPr>
            <w:r w:rsidRPr="003E73CD">
              <w:rPr>
                <w:rFonts w:asciiTheme="minorHAnsi" w:eastAsiaTheme="minorEastAsia" w:hAnsiTheme="minorHAnsi"/>
                <w:sz w:val="22"/>
                <w:szCs w:val="22"/>
              </w:rPr>
              <w:t>2</w:t>
            </w:r>
          </w:p>
        </w:tc>
        <w:tc>
          <w:tcPr>
            <w:tcW w:w="971" w:type="pct"/>
          </w:tcPr>
          <w:p w14:paraId="3B98091F" w14:textId="0FB8874B" w:rsidR="00281578" w:rsidRPr="003E73CD" w:rsidRDefault="000D6EAD" w:rsidP="000C2BAA">
            <w:pPr>
              <w:widowControl w:val="0"/>
              <w:autoSpaceDE w:val="0"/>
              <w:autoSpaceDN w:val="0"/>
              <w:adjustRightInd w:val="0"/>
              <w:spacing w:line="360" w:lineRule="auto"/>
              <w:rPr>
                <w:rFonts w:asciiTheme="minorHAnsi" w:eastAsiaTheme="minorEastAsia" w:hAnsiTheme="minorHAnsi"/>
                <w:sz w:val="22"/>
                <w:szCs w:val="22"/>
              </w:rPr>
            </w:pPr>
            <w:r w:rsidRPr="003E73CD">
              <w:rPr>
                <w:rFonts w:asciiTheme="minorHAnsi" w:eastAsiaTheme="minorEastAsia" w:hAnsiTheme="minorHAnsi"/>
                <w:sz w:val="22"/>
                <w:szCs w:val="22"/>
              </w:rPr>
              <w:t>67%</w:t>
            </w:r>
          </w:p>
        </w:tc>
        <w:tc>
          <w:tcPr>
            <w:tcW w:w="506" w:type="pct"/>
          </w:tcPr>
          <w:p w14:paraId="52A2BCC2" w14:textId="4E386C2B" w:rsidR="00281578" w:rsidRPr="003E73CD" w:rsidRDefault="000D6EAD" w:rsidP="000C2BAA">
            <w:pPr>
              <w:widowControl w:val="0"/>
              <w:autoSpaceDE w:val="0"/>
              <w:autoSpaceDN w:val="0"/>
              <w:adjustRightInd w:val="0"/>
              <w:spacing w:line="360" w:lineRule="auto"/>
              <w:rPr>
                <w:rFonts w:asciiTheme="minorHAnsi" w:eastAsiaTheme="minorEastAsia" w:hAnsiTheme="minorHAnsi"/>
                <w:sz w:val="22"/>
                <w:szCs w:val="22"/>
              </w:rPr>
            </w:pPr>
            <w:r w:rsidRPr="003E73CD">
              <w:rPr>
                <w:rFonts w:asciiTheme="minorHAnsi" w:eastAsiaTheme="minorEastAsia" w:hAnsiTheme="minorHAnsi"/>
                <w:sz w:val="22"/>
                <w:szCs w:val="22"/>
              </w:rPr>
              <w:t>3</w:t>
            </w:r>
          </w:p>
        </w:tc>
      </w:tr>
      <w:tr w:rsidR="00B11F67" w:rsidRPr="003E73CD" w14:paraId="18AF31DD" w14:textId="77777777" w:rsidTr="000C2BAA">
        <w:tc>
          <w:tcPr>
            <w:tcW w:w="1079" w:type="pct"/>
            <w:gridSpan w:val="2"/>
          </w:tcPr>
          <w:p w14:paraId="32C6AC3D" w14:textId="55EA77B7" w:rsidR="00FB524E" w:rsidRPr="003E73CD" w:rsidRDefault="00FB524E" w:rsidP="000C2BAA">
            <w:pPr>
              <w:widowControl w:val="0"/>
              <w:autoSpaceDE w:val="0"/>
              <w:autoSpaceDN w:val="0"/>
              <w:adjustRightInd w:val="0"/>
              <w:spacing w:line="360" w:lineRule="auto"/>
              <w:rPr>
                <w:rFonts w:asciiTheme="minorHAnsi" w:eastAsiaTheme="minorEastAsia" w:hAnsiTheme="minorHAnsi"/>
                <w:sz w:val="22"/>
                <w:szCs w:val="22"/>
              </w:rPr>
            </w:pPr>
            <w:r w:rsidRPr="003E73CD">
              <w:rPr>
                <w:rFonts w:asciiTheme="minorHAnsi" w:eastAsiaTheme="minorEastAsia" w:hAnsiTheme="minorHAnsi"/>
                <w:sz w:val="22"/>
                <w:szCs w:val="22"/>
              </w:rPr>
              <w:t>Total</w:t>
            </w:r>
            <w:r w:rsidR="000D6EAD" w:rsidRPr="003E73CD">
              <w:rPr>
                <w:rFonts w:asciiTheme="minorHAnsi" w:eastAsiaTheme="minorEastAsia" w:hAnsiTheme="minorHAnsi"/>
                <w:sz w:val="22"/>
                <w:szCs w:val="22"/>
              </w:rPr>
              <w:t xml:space="preserve"> number for whom prognosis could be calculated</w:t>
            </w:r>
          </w:p>
        </w:tc>
        <w:tc>
          <w:tcPr>
            <w:tcW w:w="402" w:type="pct"/>
          </w:tcPr>
          <w:p w14:paraId="0ACA6BEB" w14:textId="53BC0ADB" w:rsidR="00FB524E" w:rsidRPr="003E73CD" w:rsidRDefault="00FB524E" w:rsidP="000C2BAA">
            <w:pPr>
              <w:widowControl w:val="0"/>
              <w:autoSpaceDE w:val="0"/>
              <w:autoSpaceDN w:val="0"/>
              <w:adjustRightInd w:val="0"/>
              <w:spacing w:line="360" w:lineRule="auto"/>
              <w:rPr>
                <w:rFonts w:asciiTheme="minorHAnsi" w:eastAsiaTheme="minorEastAsia" w:hAnsiTheme="minorHAnsi"/>
                <w:sz w:val="22"/>
                <w:szCs w:val="22"/>
              </w:rPr>
            </w:pPr>
            <w:r w:rsidRPr="003E73CD">
              <w:rPr>
                <w:rFonts w:asciiTheme="minorHAnsi" w:eastAsiaTheme="minorEastAsia" w:hAnsiTheme="minorHAnsi"/>
                <w:sz w:val="22"/>
                <w:szCs w:val="22"/>
              </w:rPr>
              <w:t>44</w:t>
            </w:r>
          </w:p>
        </w:tc>
        <w:tc>
          <w:tcPr>
            <w:tcW w:w="559" w:type="pct"/>
          </w:tcPr>
          <w:p w14:paraId="129ABBFD" w14:textId="77777777" w:rsidR="00FB524E" w:rsidRPr="003E73CD" w:rsidRDefault="00FB524E" w:rsidP="000C2BAA">
            <w:pPr>
              <w:widowControl w:val="0"/>
              <w:autoSpaceDE w:val="0"/>
              <w:autoSpaceDN w:val="0"/>
              <w:adjustRightInd w:val="0"/>
              <w:spacing w:line="360" w:lineRule="auto"/>
              <w:rPr>
                <w:rFonts w:asciiTheme="minorHAnsi" w:eastAsiaTheme="minorEastAsia" w:hAnsiTheme="minorHAnsi"/>
                <w:sz w:val="22"/>
                <w:szCs w:val="22"/>
              </w:rPr>
            </w:pPr>
          </w:p>
        </w:tc>
        <w:tc>
          <w:tcPr>
            <w:tcW w:w="402" w:type="pct"/>
          </w:tcPr>
          <w:p w14:paraId="552A936E" w14:textId="6A26208F" w:rsidR="00FB524E" w:rsidRPr="003E73CD" w:rsidRDefault="00FB524E" w:rsidP="000C2BAA">
            <w:pPr>
              <w:widowControl w:val="0"/>
              <w:autoSpaceDE w:val="0"/>
              <w:autoSpaceDN w:val="0"/>
              <w:adjustRightInd w:val="0"/>
              <w:spacing w:line="360" w:lineRule="auto"/>
              <w:rPr>
                <w:rFonts w:asciiTheme="minorHAnsi" w:eastAsiaTheme="minorEastAsia" w:hAnsiTheme="minorHAnsi"/>
                <w:sz w:val="22"/>
                <w:szCs w:val="22"/>
              </w:rPr>
            </w:pPr>
            <w:r w:rsidRPr="003E73CD">
              <w:rPr>
                <w:rFonts w:asciiTheme="minorHAnsi" w:eastAsiaTheme="minorEastAsia" w:hAnsiTheme="minorHAnsi"/>
                <w:sz w:val="22"/>
                <w:szCs w:val="22"/>
              </w:rPr>
              <w:t>38</w:t>
            </w:r>
          </w:p>
        </w:tc>
        <w:tc>
          <w:tcPr>
            <w:tcW w:w="678" w:type="pct"/>
          </w:tcPr>
          <w:p w14:paraId="5D66B77B" w14:textId="60B8F9E3" w:rsidR="00FB524E" w:rsidRPr="003E73CD" w:rsidRDefault="00FB524E" w:rsidP="000C2BAA">
            <w:pPr>
              <w:widowControl w:val="0"/>
              <w:autoSpaceDE w:val="0"/>
              <w:autoSpaceDN w:val="0"/>
              <w:adjustRightInd w:val="0"/>
              <w:spacing w:line="360" w:lineRule="auto"/>
              <w:rPr>
                <w:rFonts w:asciiTheme="minorHAnsi" w:eastAsiaTheme="minorEastAsia" w:hAnsiTheme="minorHAnsi"/>
                <w:sz w:val="22"/>
                <w:szCs w:val="22"/>
              </w:rPr>
            </w:pPr>
          </w:p>
        </w:tc>
        <w:tc>
          <w:tcPr>
            <w:tcW w:w="402" w:type="pct"/>
          </w:tcPr>
          <w:p w14:paraId="4899BF54" w14:textId="33576C08" w:rsidR="00FB524E" w:rsidRPr="003E73CD" w:rsidRDefault="000D6EAD" w:rsidP="000C2BAA">
            <w:pPr>
              <w:widowControl w:val="0"/>
              <w:autoSpaceDE w:val="0"/>
              <w:autoSpaceDN w:val="0"/>
              <w:adjustRightInd w:val="0"/>
              <w:spacing w:line="360" w:lineRule="auto"/>
              <w:rPr>
                <w:rFonts w:asciiTheme="minorHAnsi" w:eastAsiaTheme="minorEastAsia" w:hAnsiTheme="minorHAnsi"/>
                <w:sz w:val="22"/>
                <w:szCs w:val="22"/>
              </w:rPr>
            </w:pPr>
            <w:r w:rsidRPr="003E73CD">
              <w:rPr>
                <w:rFonts w:asciiTheme="minorHAnsi" w:eastAsiaTheme="minorEastAsia" w:hAnsiTheme="minorHAnsi"/>
                <w:sz w:val="22"/>
                <w:szCs w:val="22"/>
              </w:rPr>
              <w:t>44</w:t>
            </w:r>
          </w:p>
        </w:tc>
        <w:tc>
          <w:tcPr>
            <w:tcW w:w="971" w:type="pct"/>
          </w:tcPr>
          <w:p w14:paraId="4D4DC498" w14:textId="77777777" w:rsidR="00FB524E" w:rsidRPr="003E73CD" w:rsidRDefault="00FB524E" w:rsidP="000C2BAA">
            <w:pPr>
              <w:widowControl w:val="0"/>
              <w:autoSpaceDE w:val="0"/>
              <w:autoSpaceDN w:val="0"/>
              <w:adjustRightInd w:val="0"/>
              <w:spacing w:line="360" w:lineRule="auto"/>
              <w:rPr>
                <w:rFonts w:asciiTheme="minorHAnsi" w:eastAsiaTheme="minorEastAsia" w:hAnsiTheme="minorHAnsi"/>
                <w:sz w:val="22"/>
                <w:szCs w:val="22"/>
              </w:rPr>
            </w:pPr>
          </w:p>
        </w:tc>
        <w:tc>
          <w:tcPr>
            <w:tcW w:w="506" w:type="pct"/>
          </w:tcPr>
          <w:p w14:paraId="3B7BD535" w14:textId="352B03AA" w:rsidR="00FB524E" w:rsidRPr="003E73CD" w:rsidRDefault="000D6EAD" w:rsidP="000C2BAA">
            <w:pPr>
              <w:widowControl w:val="0"/>
              <w:autoSpaceDE w:val="0"/>
              <w:autoSpaceDN w:val="0"/>
              <w:adjustRightInd w:val="0"/>
              <w:spacing w:line="360" w:lineRule="auto"/>
              <w:rPr>
                <w:rFonts w:asciiTheme="minorHAnsi" w:eastAsiaTheme="minorEastAsia" w:hAnsiTheme="minorHAnsi"/>
                <w:sz w:val="22"/>
                <w:szCs w:val="22"/>
              </w:rPr>
            </w:pPr>
            <w:r w:rsidRPr="003E73CD">
              <w:rPr>
                <w:rFonts w:asciiTheme="minorHAnsi" w:eastAsiaTheme="minorEastAsia" w:hAnsiTheme="minorHAnsi"/>
                <w:sz w:val="22"/>
                <w:szCs w:val="22"/>
              </w:rPr>
              <w:t>29</w:t>
            </w:r>
          </w:p>
        </w:tc>
      </w:tr>
    </w:tbl>
    <w:p w14:paraId="52C296E2" w14:textId="04A1261A" w:rsidR="00281578" w:rsidRPr="003E73CD" w:rsidRDefault="00281578" w:rsidP="00DF2881">
      <w:pPr>
        <w:widowControl w:val="0"/>
        <w:autoSpaceDE w:val="0"/>
        <w:autoSpaceDN w:val="0"/>
        <w:adjustRightInd w:val="0"/>
        <w:spacing w:line="480" w:lineRule="auto"/>
        <w:rPr>
          <w:rFonts w:asciiTheme="minorHAnsi" w:eastAsiaTheme="minorEastAsia" w:hAnsiTheme="minorHAnsi"/>
          <w:sz w:val="22"/>
          <w:szCs w:val="22"/>
        </w:rPr>
      </w:pPr>
      <w:r w:rsidRPr="003E73CD">
        <w:rPr>
          <w:rFonts w:asciiTheme="minorHAnsi" w:eastAsiaTheme="minorEastAsia" w:hAnsiTheme="minorHAnsi"/>
          <w:sz w:val="22"/>
          <w:szCs w:val="22"/>
        </w:rPr>
        <w:t>*5-year survival grouped into quartiles for each online prognostic calculator (Group 1: 76-100%, Group 2: 51-75%, Group 3:</w:t>
      </w:r>
      <w:r w:rsidR="00FB524E" w:rsidRPr="003E73CD">
        <w:rPr>
          <w:rFonts w:asciiTheme="minorHAnsi" w:eastAsiaTheme="minorEastAsia" w:hAnsiTheme="minorHAnsi"/>
          <w:sz w:val="22"/>
          <w:szCs w:val="22"/>
        </w:rPr>
        <w:t xml:space="preserve"> 26-50%, Group 4: 0-25%)</w:t>
      </w:r>
      <w:r w:rsidR="00B11F67" w:rsidRPr="003E73CD">
        <w:rPr>
          <w:rFonts w:asciiTheme="minorHAnsi" w:eastAsiaTheme="minorEastAsia" w:hAnsiTheme="minorHAnsi"/>
          <w:sz w:val="22"/>
          <w:szCs w:val="22"/>
        </w:rPr>
        <w:t>.  For survival tree</w:t>
      </w:r>
      <w:r w:rsidR="00DF2881" w:rsidRPr="003E73CD">
        <w:rPr>
          <w:rFonts w:asciiTheme="minorHAnsi" w:eastAsiaTheme="minorEastAsia" w:hAnsiTheme="minorHAnsi"/>
          <w:sz w:val="22"/>
          <w:szCs w:val="22"/>
        </w:rPr>
        <w:t>:</w:t>
      </w:r>
      <w:r w:rsidR="00B11F67" w:rsidRPr="003E73CD">
        <w:rPr>
          <w:rFonts w:asciiTheme="minorHAnsi" w:eastAsiaTheme="minorEastAsia" w:hAnsiTheme="minorHAnsi"/>
          <w:sz w:val="22"/>
          <w:szCs w:val="22"/>
        </w:rPr>
        <w:t xml:space="preserve"> groups 1-4 </w:t>
      </w:r>
      <w:r w:rsidR="00DF2881" w:rsidRPr="003E73CD">
        <w:rPr>
          <w:rFonts w:asciiTheme="minorHAnsi" w:eastAsiaTheme="minorEastAsia" w:hAnsiTheme="minorHAnsi"/>
          <w:sz w:val="22"/>
          <w:szCs w:val="22"/>
        </w:rPr>
        <w:t xml:space="preserve">are </w:t>
      </w:r>
      <w:r w:rsidR="00B11F67" w:rsidRPr="003E73CD">
        <w:rPr>
          <w:rFonts w:asciiTheme="minorHAnsi" w:eastAsiaTheme="minorEastAsia" w:hAnsiTheme="minorHAnsi"/>
          <w:sz w:val="22"/>
          <w:szCs w:val="22"/>
        </w:rPr>
        <w:t>as designated by the tree.</w:t>
      </w:r>
    </w:p>
    <w:p w14:paraId="0E233652" w14:textId="77777777" w:rsidR="00281578" w:rsidRPr="003E73CD" w:rsidRDefault="00281578" w:rsidP="00DF2881">
      <w:pPr>
        <w:widowControl w:val="0"/>
        <w:autoSpaceDE w:val="0"/>
        <w:autoSpaceDN w:val="0"/>
        <w:adjustRightInd w:val="0"/>
        <w:spacing w:line="480" w:lineRule="auto"/>
        <w:rPr>
          <w:rFonts w:asciiTheme="minorHAnsi" w:eastAsiaTheme="minorEastAsia" w:hAnsiTheme="minorHAnsi"/>
          <w:sz w:val="22"/>
          <w:szCs w:val="22"/>
        </w:rPr>
      </w:pPr>
    </w:p>
    <w:p w14:paraId="77E78F93" w14:textId="77777777" w:rsidR="00281578" w:rsidRPr="003E73CD" w:rsidRDefault="00281578" w:rsidP="00DF2881">
      <w:pPr>
        <w:widowControl w:val="0"/>
        <w:autoSpaceDE w:val="0"/>
        <w:autoSpaceDN w:val="0"/>
        <w:adjustRightInd w:val="0"/>
        <w:spacing w:line="480" w:lineRule="auto"/>
        <w:rPr>
          <w:rFonts w:asciiTheme="minorHAnsi" w:eastAsiaTheme="minorEastAsia" w:hAnsiTheme="minorHAnsi"/>
          <w:sz w:val="22"/>
          <w:szCs w:val="22"/>
        </w:rPr>
      </w:pPr>
    </w:p>
    <w:p w14:paraId="4591440A" w14:textId="77777777" w:rsidR="00281578" w:rsidRPr="003E73CD" w:rsidRDefault="00281578" w:rsidP="000D1FEE">
      <w:pPr>
        <w:widowControl w:val="0"/>
        <w:autoSpaceDE w:val="0"/>
        <w:autoSpaceDN w:val="0"/>
        <w:adjustRightInd w:val="0"/>
        <w:rPr>
          <w:rFonts w:asciiTheme="minorHAnsi" w:eastAsiaTheme="minorEastAsia" w:hAnsiTheme="minorHAnsi"/>
          <w:sz w:val="22"/>
          <w:szCs w:val="22"/>
        </w:rPr>
      </w:pPr>
    </w:p>
    <w:p w14:paraId="70EC0394" w14:textId="77777777" w:rsidR="00281578" w:rsidRPr="003E73CD" w:rsidRDefault="00281578" w:rsidP="000D1FEE">
      <w:pPr>
        <w:widowControl w:val="0"/>
        <w:autoSpaceDE w:val="0"/>
        <w:autoSpaceDN w:val="0"/>
        <w:adjustRightInd w:val="0"/>
        <w:rPr>
          <w:rFonts w:asciiTheme="minorHAnsi" w:eastAsiaTheme="minorEastAsia" w:hAnsiTheme="minorHAnsi"/>
          <w:sz w:val="22"/>
          <w:szCs w:val="22"/>
        </w:rPr>
      </w:pPr>
    </w:p>
    <w:p w14:paraId="29523DB4" w14:textId="77777777" w:rsidR="00281578" w:rsidRPr="003E73CD" w:rsidRDefault="00281578" w:rsidP="000D1FEE">
      <w:pPr>
        <w:widowControl w:val="0"/>
        <w:autoSpaceDE w:val="0"/>
        <w:autoSpaceDN w:val="0"/>
        <w:adjustRightInd w:val="0"/>
        <w:rPr>
          <w:rFonts w:asciiTheme="minorHAnsi" w:eastAsiaTheme="minorEastAsia" w:hAnsiTheme="minorHAnsi"/>
          <w:sz w:val="22"/>
          <w:szCs w:val="22"/>
        </w:rPr>
      </w:pPr>
    </w:p>
    <w:p w14:paraId="03F9E033" w14:textId="77777777" w:rsidR="00DF2881" w:rsidRPr="003E73CD" w:rsidRDefault="00DF2881">
      <w:pPr>
        <w:rPr>
          <w:rFonts w:asciiTheme="minorHAnsi" w:eastAsiaTheme="minorEastAsia" w:hAnsiTheme="minorHAnsi"/>
          <w:sz w:val="22"/>
          <w:szCs w:val="22"/>
        </w:rPr>
      </w:pPr>
      <w:r w:rsidRPr="003E73CD">
        <w:rPr>
          <w:rFonts w:asciiTheme="minorHAnsi" w:eastAsiaTheme="minorEastAsia" w:hAnsiTheme="minorHAnsi"/>
          <w:sz w:val="22"/>
          <w:szCs w:val="22"/>
        </w:rPr>
        <w:br w:type="page"/>
      </w:r>
    </w:p>
    <w:p w14:paraId="409271BB" w14:textId="4A11D555" w:rsidR="00A363C4" w:rsidRPr="003E73CD" w:rsidRDefault="002A0DBC" w:rsidP="00DF2881">
      <w:pPr>
        <w:widowControl w:val="0"/>
        <w:autoSpaceDE w:val="0"/>
        <w:autoSpaceDN w:val="0"/>
        <w:adjustRightInd w:val="0"/>
        <w:spacing w:line="480" w:lineRule="auto"/>
        <w:rPr>
          <w:rFonts w:asciiTheme="minorHAnsi" w:eastAsiaTheme="minorEastAsia" w:hAnsiTheme="minorHAnsi"/>
          <w:sz w:val="22"/>
          <w:szCs w:val="22"/>
        </w:rPr>
      </w:pPr>
      <w:r>
        <w:rPr>
          <w:rFonts w:asciiTheme="minorHAnsi" w:eastAsiaTheme="minorEastAsia" w:hAnsiTheme="minorHAnsi"/>
          <w:sz w:val="22"/>
          <w:szCs w:val="22"/>
        </w:rPr>
        <w:t>Figure 3.3</w:t>
      </w:r>
      <w:r w:rsidR="00507F8F" w:rsidRPr="003E73CD">
        <w:rPr>
          <w:rFonts w:asciiTheme="minorHAnsi" w:eastAsiaTheme="minorEastAsia" w:hAnsiTheme="minorHAnsi"/>
          <w:sz w:val="22"/>
          <w:szCs w:val="22"/>
        </w:rPr>
        <w:t>.5</w:t>
      </w:r>
      <w:r w:rsidR="00A363C4" w:rsidRPr="003E73CD">
        <w:rPr>
          <w:rFonts w:asciiTheme="minorHAnsi" w:eastAsiaTheme="minorEastAsia" w:hAnsiTheme="minorHAnsi"/>
          <w:sz w:val="22"/>
          <w:szCs w:val="22"/>
        </w:rPr>
        <w:t>.</w:t>
      </w:r>
      <w:r w:rsidR="00B90035" w:rsidRPr="003E73CD">
        <w:rPr>
          <w:rFonts w:asciiTheme="minorHAnsi" w:eastAsiaTheme="minorEastAsia" w:hAnsiTheme="minorHAnsi"/>
          <w:sz w:val="22"/>
          <w:szCs w:val="22"/>
        </w:rPr>
        <w:t xml:space="preserve">  Receiver operator</w:t>
      </w:r>
      <w:r w:rsidR="00A363C4" w:rsidRPr="003E73CD">
        <w:rPr>
          <w:rFonts w:asciiTheme="minorHAnsi" w:eastAsiaTheme="minorEastAsia" w:hAnsiTheme="minorHAnsi"/>
          <w:sz w:val="22"/>
          <w:szCs w:val="22"/>
        </w:rPr>
        <w:t xml:space="preserve"> characteristic (ROC) curves comparing the survival tree model with the AJCC endorsed</w:t>
      </w:r>
      <w:r w:rsidR="0041088A" w:rsidRPr="003E73CD">
        <w:rPr>
          <w:rFonts w:asciiTheme="minorHAnsi" w:eastAsiaTheme="minorEastAsia" w:hAnsiTheme="minorHAnsi"/>
          <w:sz w:val="22"/>
          <w:szCs w:val="22"/>
        </w:rPr>
        <w:t>,</w:t>
      </w:r>
      <w:r w:rsidR="00A363C4" w:rsidRPr="003E73CD">
        <w:rPr>
          <w:rFonts w:asciiTheme="minorHAnsi" w:eastAsiaTheme="minorEastAsia" w:hAnsiTheme="minorHAnsi"/>
          <w:sz w:val="22"/>
          <w:szCs w:val="22"/>
        </w:rPr>
        <w:t xml:space="preserve"> lifemath.net </w:t>
      </w:r>
      <w:r w:rsidR="0041088A" w:rsidRPr="003E73CD">
        <w:rPr>
          <w:rFonts w:asciiTheme="minorHAnsi" w:eastAsiaTheme="minorEastAsia" w:hAnsiTheme="minorHAnsi"/>
          <w:sz w:val="22"/>
          <w:szCs w:val="22"/>
        </w:rPr>
        <w:t xml:space="preserve">and melanomacalculator.com </w:t>
      </w:r>
      <w:r w:rsidR="00A363C4" w:rsidRPr="003E73CD">
        <w:rPr>
          <w:rFonts w:asciiTheme="minorHAnsi" w:eastAsiaTheme="minorEastAsia" w:hAnsiTheme="minorHAnsi"/>
          <w:sz w:val="22"/>
          <w:szCs w:val="22"/>
        </w:rPr>
        <w:t>prediction tool</w:t>
      </w:r>
      <w:r w:rsidR="0041088A" w:rsidRPr="003E73CD">
        <w:rPr>
          <w:rFonts w:asciiTheme="minorHAnsi" w:eastAsiaTheme="minorEastAsia" w:hAnsiTheme="minorHAnsi"/>
          <w:sz w:val="22"/>
          <w:szCs w:val="22"/>
        </w:rPr>
        <w:t>s</w:t>
      </w:r>
      <w:r w:rsidR="00A363C4" w:rsidRPr="003E73CD">
        <w:rPr>
          <w:rFonts w:asciiTheme="minorHAnsi" w:eastAsiaTheme="minorEastAsia" w:hAnsiTheme="minorHAnsi"/>
          <w:sz w:val="22"/>
          <w:szCs w:val="22"/>
        </w:rPr>
        <w:t xml:space="preserve"> as predictors of status (alive or dead) at 5 years.</w:t>
      </w:r>
    </w:p>
    <w:p w14:paraId="4D21E940" w14:textId="230199D6" w:rsidR="00A363C4" w:rsidRPr="003E73CD" w:rsidRDefault="000C2BAA" w:rsidP="00A363C4">
      <w:pPr>
        <w:widowControl w:val="0"/>
        <w:autoSpaceDE w:val="0"/>
        <w:autoSpaceDN w:val="0"/>
        <w:adjustRightInd w:val="0"/>
        <w:spacing w:line="400" w:lineRule="atLeast"/>
        <w:rPr>
          <w:rFonts w:ascii="Times New Roman" w:eastAsiaTheme="minorEastAsia" w:hAnsi="Times New Roman"/>
        </w:rPr>
      </w:pPr>
      <w:r w:rsidRPr="003E73CD">
        <w:rPr>
          <w:rFonts w:ascii="Times New Roman" w:eastAsiaTheme="minorEastAsia" w:hAnsi="Times New Roman"/>
          <w:noProof/>
        </w:rPr>
        <w:drawing>
          <wp:inline distT="0" distB="0" distL="0" distR="0" wp14:anchorId="0F776BC1" wp14:editId="736D89C0">
            <wp:extent cx="5270500" cy="4413453"/>
            <wp:effectExtent l="0" t="0" r="0" b="0"/>
            <wp:docPr id="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70500" cy="4413453"/>
                    </a:xfrm>
                    <a:prstGeom prst="rect">
                      <a:avLst/>
                    </a:prstGeom>
                    <a:noFill/>
                    <a:ln>
                      <a:noFill/>
                    </a:ln>
                  </pic:spPr>
                </pic:pic>
              </a:graphicData>
            </a:graphic>
          </wp:inline>
        </w:drawing>
      </w:r>
    </w:p>
    <w:p w14:paraId="555AB3C6" w14:textId="793FE358" w:rsidR="002F3F7C" w:rsidRPr="003E73CD" w:rsidRDefault="002F3F7C" w:rsidP="002F3F7C">
      <w:pPr>
        <w:widowControl w:val="0"/>
        <w:autoSpaceDE w:val="0"/>
        <w:autoSpaceDN w:val="0"/>
        <w:adjustRightInd w:val="0"/>
        <w:rPr>
          <w:rFonts w:ascii="Times New Roman" w:eastAsiaTheme="minorEastAsia" w:hAnsi="Times New Roman"/>
        </w:rPr>
      </w:pPr>
    </w:p>
    <w:tbl>
      <w:tblPr>
        <w:tblW w:w="791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714"/>
        <w:gridCol w:w="956"/>
        <w:gridCol w:w="1127"/>
        <w:gridCol w:w="1373"/>
        <w:gridCol w:w="1373"/>
        <w:gridCol w:w="1374"/>
      </w:tblGrid>
      <w:tr w:rsidR="002F3F7C" w:rsidRPr="003E73CD" w14:paraId="531997D2" w14:textId="77777777" w:rsidTr="000C2BAA">
        <w:trPr>
          <w:cantSplit/>
          <w:trHeight w:val="302"/>
        </w:trPr>
        <w:tc>
          <w:tcPr>
            <w:tcW w:w="7917" w:type="dxa"/>
            <w:gridSpan w:val="6"/>
            <w:tcBorders>
              <w:top w:val="nil"/>
              <w:left w:val="nil"/>
              <w:bottom w:val="nil"/>
              <w:right w:val="nil"/>
            </w:tcBorders>
            <w:shd w:val="clear" w:color="auto" w:fill="FFFFFF"/>
            <w:vAlign w:val="center"/>
          </w:tcPr>
          <w:p w14:paraId="13AF9CA8" w14:textId="77777777" w:rsidR="002F3F7C" w:rsidRPr="003E73CD" w:rsidRDefault="002F3F7C" w:rsidP="002F3F7C">
            <w:pPr>
              <w:widowControl w:val="0"/>
              <w:autoSpaceDE w:val="0"/>
              <w:autoSpaceDN w:val="0"/>
              <w:adjustRightInd w:val="0"/>
              <w:spacing w:line="320" w:lineRule="atLeast"/>
              <w:ind w:left="60" w:right="60"/>
              <w:jc w:val="center"/>
              <w:rPr>
                <w:rFonts w:ascii="Arial" w:eastAsiaTheme="minorEastAsia" w:hAnsi="Arial" w:cs="Arial"/>
                <w:color w:val="000000"/>
                <w:sz w:val="22"/>
                <w:szCs w:val="22"/>
              </w:rPr>
            </w:pPr>
            <w:r w:rsidRPr="003E73CD">
              <w:rPr>
                <w:rFonts w:ascii="Arial" w:eastAsiaTheme="minorEastAsia" w:hAnsi="Arial" w:cs="Arial"/>
                <w:b/>
                <w:bCs/>
                <w:color w:val="000000"/>
                <w:sz w:val="22"/>
                <w:szCs w:val="22"/>
              </w:rPr>
              <w:t>Area Under the Curve</w:t>
            </w:r>
          </w:p>
        </w:tc>
      </w:tr>
      <w:tr w:rsidR="000C2BAA" w:rsidRPr="003E73CD" w14:paraId="3C42B844" w14:textId="77777777" w:rsidTr="000C2BAA">
        <w:trPr>
          <w:cantSplit/>
          <w:trHeight w:val="607"/>
        </w:trPr>
        <w:tc>
          <w:tcPr>
            <w:tcW w:w="1714" w:type="dxa"/>
            <w:vMerge w:val="restart"/>
            <w:tcBorders>
              <w:top w:val="single" w:sz="16" w:space="0" w:color="000000"/>
              <w:left w:val="single" w:sz="16" w:space="0" w:color="000000"/>
              <w:bottom w:val="nil"/>
              <w:right w:val="single" w:sz="16" w:space="0" w:color="000000"/>
            </w:tcBorders>
            <w:shd w:val="clear" w:color="auto" w:fill="FFFFFF"/>
            <w:vAlign w:val="bottom"/>
          </w:tcPr>
          <w:p w14:paraId="17E2355F" w14:textId="77777777" w:rsidR="002F3F7C" w:rsidRPr="003E73CD" w:rsidRDefault="002F3F7C" w:rsidP="002F3F7C">
            <w:pPr>
              <w:widowControl w:val="0"/>
              <w:autoSpaceDE w:val="0"/>
              <w:autoSpaceDN w:val="0"/>
              <w:adjustRightInd w:val="0"/>
              <w:spacing w:line="320" w:lineRule="atLeast"/>
              <w:ind w:left="60" w:right="60"/>
              <w:rPr>
                <w:rFonts w:ascii="Arial" w:eastAsiaTheme="minorEastAsia" w:hAnsi="Arial" w:cs="Arial"/>
                <w:color w:val="000000"/>
                <w:sz w:val="22"/>
                <w:szCs w:val="22"/>
              </w:rPr>
            </w:pPr>
            <w:r w:rsidRPr="003E73CD">
              <w:rPr>
                <w:rFonts w:ascii="Arial" w:eastAsiaTheme="minorEastAsia" w:hAnsi="Arial" w:cs="Arial"/>
                <w:color w:val="000000"/>
                <w:sz w:val="22"/>
                <w:szCs w:val="22"/>
              </w:rPr>
              <w:t>Test Result Variable(s)</w:t>
            </w:r>
          </w:p>
        </w:tc>
        <w:tc>
          <w:tcPr>
            <w:tcW w:w="956" w:type="dxa"/>
            <w:vMerge w:val="restart"/>
            <w:tcBorders>
              <w:top w:val="single" w:sz="16" w:space="0" w:color="000000"/>
              <w:left w:val="single" w:sz="16" w:space="0" w:color="000000"/>
            </w:tcBorders>
            <w:shd w:val="clear" w:color="auto" w:fill="FFFFFF"/>
            <w:vAlign w:val="bottom"/>
          </w:tcPr>
          <w:p w14:paraId="5C264E6F" w14:textId="77777777" w:rsidR="002F3F7C" w:rsidRPr="003E73CD" w:rsidRDefault="002F3F7C" w:rsidP="002F3F7C">
            <w:pPr>
              <w:widowControl w:val="0"/>
              <w:autoSpaceDE w:val="0"/>
              <w:autoSpaceDN w:val="0"/>
              <w:adjustRightInd w:val="0"/>
              <w:spacing w:line="320" w:lineRule="atLeast"/>
              <w:ind w:left="60" w:right="60"/>
              <w:jc w:val="center"/>
              <w:rPr>
                <w:rFonts w:ascii="Arial" w:eastAsiaTheme="minorEastAsia" w:hAnsi="Arial" w:cs="Arial"/>
                <w:color w:val="000000"/>
                <w:sz w:val="22"/>
                <w:szCs w:val="22"/>
              </w:rPr>
            </w:pPr>
            <w:r w:rsidRPr="003E73CD">
              <w:rPr>
                <w:rFonts w:ascii="Arial" w:eastAsiaTheme="minorEastAsia" w:hAnsi="Arial" w:cs="Arial"/>
                <w:color w:val="000000"/>
                <w:sz w:val="22"/>
                <w:szCs w:val="22"/>
              </w:rPr>
              <w:t>Area</w:t>
            </w:r>
          </w:p>
        </w:tc>
        <w:tc>
          <w:tcPr>
            <w:tcW w:w="1127" w:type="dxa"/>
            <w:vMerge w:val="restart"/>
            <w:tcBorders>
              <w:top w:val="single" w:sz="16" w:space="0" w:color="000000"/>
            </w:tcBorders>
            <w:shd w:val="clear" w:color="auto" w:fill="FFFFFF"/>
            <w:vAlign w:val="bottom"/>
          </w:tcPr>
          <w:p w14:paraId="449BD8C2" w14:textId="77777777" w:rsidR="002F3F7C" w:rsidRPr="003E73CD" w:rsidRDefault="002F3F7C" w:rsidP="002F3F7C">
            <w:pPr>
              <w:widowControl w:val="0"/>
              <w:autoSpaceDE w:val="0"/>
              <w:autoSpaceDN w:val="0"/>
              <w:adjustRightInd w:val="0"/>
              <w:spacing w:line="320" w:lineRule="atLeast"/>
              <w:ind w:left="60" w:right="60"/>
              <w:jc w:val="center"/>
              <w:rPr>
                <w:rFonts w:ascii="Arial" w:eastAsiaTheme="minorEastAsia" w:hAnsi="Arial" w:cs="Arial"/>
                <w:color w:val="000000"/>
                <w:sz w:val="22"/>
                <w:szCs w:val="22"/>
              </w:rPr>
            </w:pPr>
            <w:r w:rsidRPr="003E73CD">
              <w:rPr>
                <w:rFonts w:ascii="Arial" w:eastAsiaTheme="minorEastAsia" w:hAnsi="Arial" w:cs="Arial"/>
                <w:color w:val="000000"/>
                <w:sz w:val="22"/>
                <w:szCs w:val="22"/>
              </w:rPr>
              <w:t>Std. Error</w:t>
            </w:r>
            <w:r w:rsidRPr="003E73CD">
              <w:rPr>
                <w:rFonts w:ascii="Arial" w:eastAsiaTheme="minorEastAsia" w:hAnsi="Arial" w:cs="Arial"/>
                <w:color w:val="000000"/>
                <w:sz w:val="22"/>
                <w:szCs w:val="22"/>
                <w:vertAlign w:val="superscript"/>
              </w:rPr>
              <w:t>a</w:t>
            </w:r>
          </w:p>
        </w:tc>
        <w:tc>
          <w:tcPr>
            <w:tcW w:w="1373" w:type="dxa"/>
            <w:vMerge w:val="restart"/>
            <w:tcBorders>
              <w:top w:val="single" w:sz="16" w:space="0" w:color="000000"/>
            </w:tcBorders>
            <w:shd w:val="clear" w:color="auto" w:fill="FFFFFF"/>
            <w:vAlign w:val="bottom"/>
          </w:tcPr>
          <w:p w14:paraId="29D75B8D" w14:textId="77777777" w:rsidR="002F3F7C" w:rsidRPr="003E73CD" w:rsidRDefault="002F3F7C" w:rsidP="002F3F7C">
            <w:pPr>
              <w:widowControl w:val="0"/>
              <w:autoSpaceDE w:val="0"/>
              <w:autoSpaceDN w:val="0"/>
              <w:adjustRightInd w:val="0"/>
              <w:spacing w:line="320" w:lineRule="atLeast"/>
              <w:ind w:left="60" w:right="60"/>
              <w:jc w:val="center"/>
              <w:rPr>
                <w:rFonts w:ascii="Arial" w:eastAsiaTheme="minorEastAsia" w:hAnsi="Arial" w:cs="Arial"/>
                <w:color w:val="000000"/>
                <w:sz w:val="22"/>
                <w:szCs w:val="22"/>
              </w:rPr>
            </w:pPr>
            <w:r w:rsidRPr="003E73CD">
              <w:rPr>
                <w:rFonts w:ascii="Arial" w:eastAsiaTheme="minorEastAsia" w:hAnsi="Arial" w:cs="Arial"/>
                <w:color w:val="000000"/>
                <w:sz w:val="22"/>
                <w:szCs w:val="22"/>
              </w:rPr>
              <w:t>Asymptotic Sig.</w:t>
            </w:r>
            <w:r w:rsidRPr="003E73CD">
              <w:rPr>
                <w:rFonts w:ascii="Arial" w:eastAsiaTheme="minorEastAsia" w:hAnsi="Arial" w:cs="Arial"/>
                <w:color w:val="000000"/>
                <w:sz w:val="22"/>
                <w:szCs w:val="22"/>
                <w:vertAlign w:val="superscript"/>
              </w:rPr>
              <w:t>b</w:t>
            </w:r>
          </w:p>
        </w:tc>
        <w:tc>
          <w:tcPr>
            <w:tcW w:w="2746" w:type="dxa"/>
            <w:gridSpan w:val="2"/>
            <w:tcBorders>
              <w:top w:val="single" w:sz="16" w:space="0" w:color="000000"/>
              <w:right w:val="single" w:sz="16" w:space="0" w:color="000000"/>
            </w:tcBorders>
            <w:shd w:val="clear" w:color="auto" w:fill="FFFFFF"/>
            <w:vAlign w:val="bottom"/>
          </w:tcPr>
          <w:p w14:paraId="45DFF83B" w14:textId="77777777" w:rsidR="002F3F7C" w:rsidRPr="003E73CD" w:rsidRDefault="002F3F7C" w:rsidP="002F3F7C">
            <w:pPr>
              <w:widowControl w:val="0"/>
              <w:autoSpaceDE w:val="0"/>
              <w:autoSpaceDN w:val="0"/>
              <w:adjustRightInd w:val="0"/>
              <w:spacing w:line="320" w:lineRule="atLeast"/>
              <w:ind w:left="60" w:right="60"/>
              <w:jc w:val="center"/>
              <w:rPr>
                <w:rFonts w:ascii="Arial" w:eastAsiaTheme="minorEastAsia" w:hAnsi="Arial" w:cs="Arial"/>
                <w:color w:val="000000"/>
                <w:sz w:val="22"/>
                <w:szCs w:val="22"/>
              </w:rPr>
            </w:pPr>
            <w:r w:rsidRPr="003E73CD">
              <w:rPr>
                <w:rFonts w:ascii="Arial" w:eastAsiaTheme="minorEastAsia" w:hAnsi="Arial" w:cs="Arial"/>
                <w:color w:val="000000"/>
                <w:sz w:val="22"/>
                <w:szCs w:val="22"/>
              </w:rPr>
              <w:t>Asymptotic 95% Confidence Interval</w:t>
            </w:r>
          </w:p>
        </w:tc>
      </w:tr>
      <w:tr w:rsidR="000C2BAA" w:rsidRPr="003E73CD" w14:paraId="31A0F49B" w14:textId="77777777" w:rsidTr="000C2BAA">
        <w:trPr>
          <w:cantSplit/>
          <w:trHeight w:val="137"/>
        </w:trPr>
        <w:tc>
          <w:tcPr>
            <w:tcW w:w="1714" w:type="dxa"/>
            <w:vMerge/>
            <w:tcBorders>
              <w:top w:val="single" w:sz="16" w:space="0" w:color="000000"/>
              <w:left w:val="single" w:sz="16" w:space="0" w:color="000000"/>
              <w:bottom w:val="nil"/>
              <w:right w:val="single" w:sz="16" w:space="0" w:color="000000"/>
            </w:tcBorders>
            <w:shd w:val="clear" w:color="auto" w:fill="FFFFFF"/>
            <w:vAlign w:val="bottom"/>
          </w:tcPr>
          <w:p w14:paraId="66A3D175" w14:textId="77777777" w:rsidR="002F3F7C" w:rsidRPr="003E73CD" w:rsidRDefault="002F3F7C" w:rsidP="002F3F7C">
            <w:pPr>
              <w:widowControl w:val="0"/>
              <w:autoSpaceDE w:val="0"/>
              <w:autoSpaceDN w:val="0"/>
              <w:adjustRightInd w:val="0"/>
              <w:rPr>
                <w:rFonts w:ascii="Arial" w:eastAsiaTheme="minorEastAsia" w:hAnsi="Arial" w:cs="Arial"/>
                <w:color w:val="000000"/>
                <w:sz w:val="22"/>
                <w:szCs w:val="22"/>
              </w:rPr>
            </w:pPr>
          </w:p>
        </w:tc>
        <w:tc>
          <w:tcPr>
            <w:tcW w:w="956" w:type="dxa"/>
            <w:vMerge/>
            <w:tcBorders>
              <w:top w:val="single" w:sz="16" w:space="0" w:color="000000"/>
              <w:left w:val="single" w:sz="16" w:space="0" w:color="000000"/>
            </w:tcBorders>
            <w:shd w:val="clear" w:color="auto" w:fill="FFFFFF"/>
            <w:vAlign w:val="bottom"/>
          </w:tcPr>
          <w:p w14:paraId="35A75DA8" w14:textId="77777777" w:rsidR="002F3F7C" w:rsidRPr="003E73CD" w:rsidRDefault="002F3F7C" w:rsidP="002F3F7C">
            <w:pPr>
              <w:widowControl w:val="0"/>
              <w:autoSpaceDE w:val="0"/>
              <w:autoSpaceDN w:val="0"/>
              <w:adjustRightInd w:val="0"/>
              <w:rPr>
                <w:rFonts w:ascii="Arial" w:eastAsiaTheme="minorEastAsia" w:hAnsi="Arial" w:cs="Arial"/>
                <w:color w:val="000000"/>
                <w:sz w:val="22"/>
                <w:szCs w:val="22"/>
              </w:rPr>
            </w:pPr>
          </w:p>
        </w:tc>
        <w:tc>
          <w:tcPr>
            <w:tcW w:w="1127" w:type="dxa"/>
            <w:vMerge/>
            <w:tcBorders>
              <w:top w:val="single" w:sz="16" w:space="0" w:color="000000"/>
            </w:tcBorders>
            <w:shd w:val="clear" w:color="auto" w:fill="FFFFFF"/>
            <w:vAlign w:val="bottom"/>
          </w:tcPr>
          <w:p w14:paraId="70C0BBF0" w14:textId="77777777" w:rsidR="002F3F7C" w:rsidRPr="003E73CD" w:rsidRDefault="002F3F7C" w:rsidP="002F3F7C">
            <w:pPr>
              <w:widowControl w:val="0"/>
              <w:autoSpaceDE w:val="0"/>
              <w:autoSpaceDN w:val="0"/>
              <w:adjustRightInd w:val="0"/>
              <w:rPr>
                <w:rFonts w:ascii="Arial" w:eastAsiaTheme="minorEastAsia" w:hAnsi="Arial" w:cs="Arial"/>
                <w:color w:val="000000"/>
                <w:sz w:val="22"/>
                <w:szCs w:val="22"/>
              </w:rPr>
            </w:pPr>
          </w:p>
        </w:tc>
        <w:tc>
          <w:tcPr>
            <w:tcW w:w="1373" w:type="dxa"/>
            <w:vMerge/>
            <w:tcBorders>
              <w:top w:val="single" w:sz="16" w:space="0" w:color="000000"/>
            </w:tcBorders>
            <w:shd w:val="clear" w:color="auto" w:fill="FFFFFF"/>
            <w:vAlign w:val="bottom"/>
          </w:tcPr>
          <w:p w14:paraId="2CF6D216" w14:textId="77777777" w:rsidR="002F3F7C" w:rsidRPr="003E73CD" w:rsidRDefault="002F3F7C" w:rsidP="002F3F7C">
            <w:pPr>
              <w:widowControl w:val="0"/>
              <w:autoSpaceDE w:val="0"/>
              <w:autoSpaceDN w:val="0"/>
              <w:adjustRightInd w:val="0"/>
              <w:rPr>
                <w:rFonts w:ascii="Arial" w:eastAsiaTheme="minorEastAsia" w:hAnsi="Arial" w:cs="Arial"/>
                <w:color w:val="000000"/>
                <w:sz w:val="22"/>
                <w:szCs w:val="22"/>
              </w:rPr>
            </w:pPr>
          </w:p>
        </w:tc>
        <w:tc>
          <w:tcPr>
            <w:tcW w:w="1373" w:type="dxa"/>
            <w:tcBorders>
              <w:bottom w:val="single" w:sz="16" w:space="0" w:color="000000"/>
            </w:tcBorders>
            <w:shd w:val="clear" w:color="auto" w:fill="FFFFFF"/>
            <w:vAlign w:val="bottom"/>
          </w:tcPr>
          <w:p w14:paraId="13E65F0D" w14:textId="77777777" w:rsidR="002F3F7C" w:rsidRPr="003E73CD" w:rsidRDefault="002F3F7C" w:rsidP="002F3F7C">
            <w:pPr>
              <w:widowControl w:val="0"/>
              <w:autoSpaceDE w:val="0"/>
              <w:autoSpaceDN w:val="0"/>
              <w:adjustRightInd w:val="0"/>
              <w:spacing w:line="320" w:lineRule="atLeast"/>
              <w:ind w:left="60" w:right="60"/>
              <w:jc w:val="center"/>
              <w:rPr>
                <w:rFonts w:ascii="Arial" w:eastAsiaTheme="minorEastAsia" w:hAnsi="Arial" w:cs="Arial"/>
                <w:color w:val="000000"/>
                <w:sz w:val="22"/>
                <w:szCs w:val="22"/>
              </w:rPr>
            </w:pPr>
            <w:r w:rsidRPr="003E73CD">
              <w:rPr>
                <w:rFonts w:ascii="Arial" w:eastAsiaTheme="minorEastAsia" w:hAnsi="Arial" w:cs="Arial"/>
                <w:color w:val="000000"/>
                <w:sz w:val="22"/>
                <w:szCs w:val="22"/>
              </w:rPr>
              <w:t>Lower Bound</w:t>
            </w:r>
          </w:p>
        </w:tc>
        <w:tc>
          <w:tcPr>
            <w:tcW w:w="1373" w:type="dxa"/>
            <w:tcBorders>
              <w:bottom w:val="single" w:sz="16" w:space="0" w:color="000000"/>
              <w:right w:val="single" w:sz="16" w:space="0" w:color="000000"/>
            </w:tcBorders>
            <w:shd w:val="clear" w:color="auto" w:fill="FFFFFF"/>
            <w:vAlign w:val="bottom"/>
          </w:tcPr>
          <w:p w14:paraId="07D92D06" w14:textId="77777777" w:rsidR="002F3F7C" w:rsidRPr="003E73CD" w:rsidRDefault="002F3F7C" w:rsidP="002F3F7C">
            <w:pPr>
              <w:widowControl w:val="0"/>
              <w:autoSpaceDE w:val="0"/>
              <w:autoSpaceDN w:val="0"/>
              <w:adjustRightInd w:val="0"/>
              <w:spacing w:line="320" w:lineRule="atLeast"/>
              <w:ind w:left="60" w:right="60"/>
              <w:jc w:val="center"/>
              <w:rPr>
                <w:rFonts w:ascii="Arial" w:eastAsiaTheme="minorEastAsia" w:hAnsi="Arial" w:cs="Arial"/>
                <w:color w:val="000000"/>
                <w:sz w:val="22"/>
                <w:szCs w:val="22"/>
              </w:rPr>
            </w:pPr>
            <w:r w:rsidRPr="003E73CD">
              <w:rPr>
                <w:rFonts w:ascii="Arial" w:eastAsiaTheme="minorEastAsia" w:hAnsi="Arial" w:cs="Arial"/>
                <w:color w:val="000000"/>
                <w:sz w:val="22"/>
                <w:szCs w:val="22"/>
              </w:rPr>
              <w:t>Upper Bound</w:t>
            </w:r>
          </w:p>
        </w:tc>
      </w:tr>
      <w:tr w:rsidR="000C2BAA" w:rsidRPr="003E73CD" w14:paraId="729D7D43" w14:textId="77777777" w:rsidTr="000C2BAA">
        <w:trPr>
          <w:cantSplit/>
          <w:trHeight w:val="607"/>
        </w:trPr>
        <w:tc>
          <w:tcPr>
            <w:tcW w:w="1714" w:type="dxa"/>
            <w:tcBorders>
              <w:top w:val="single" w:sz="16" w:space="0" w:color="000000"/>
              <w:left w:val="single" w:sz="16" w:space="0" w:color="000000"/>
              <w:bottom w:val="nil"/>
              <w:right w:val="single" w:sz="16" w:space="0" w:color="000000"/>
            </w:tcBorders>
            <w:shd w:val="clear" w:color="auto" w:fill="FFFFFF"/>
          </w:tcPr>
          <w:p w14:paraId="06D4A558" w14:textId="4222E339" w:rsidR="002F3F7C" w:rsidRPr="003E73CD" w:rsidRDefault="002F3F7C" w:rsidP="002F3F7C">
            <w:pPr>
              <w:widowControl w:val="0"/>
              <w:autoSpaceDE w:val="0"/>
              <w:autoSpaceDN w:val="0"/>
              <w:adjustRightInd w:val="0"/>
              <w:spacing w:line="320" w:lineRule="atLeast"/>
              <w:ind w:left="60" w:right="60"/>
              <w:rPr>
                <w:rFonts w:ascii="Arial" w:eastAsiaTheme="minorEastAsia" w:hAnsi="Arial" w:cs="Arial"/>
                <w:color w:val="000000"/>
                <w:sz w:val="22"/>
                <w:szCs w:val="22"/>
              </w:rPr>
            </w:pPr>
            <w:r w:rsidRPr="003E73CD">
              <w:rPr>
                <w:rFonts w:ascii="Arial" w:eastAsiaTheme="minorEastAsia" w:hAnsi="Arial" w:cs="Arial"/>
                <w:color w:val="000000"/>
                <w:sz w:val="22"/>
                <w:szCs w:val="22"/>
              </w:rPr>
              <w:t>Survival tree grouping</w:t>
            </w:r>
          </w:p>
        </w:tc>
        <w:tc>
          <w:tcPr>
            <w:tcW w:w="956" w:type="dxa"/>
            <w:tcBorders>
              <w:top w:val="single" w:sz="16" w:space="0" w:color="000000"/>
              <w:left w:val="single" w:sz="16" w:space="0" w:color="000000"/>
              <w:bottom w:val="nil"/>
            </w:tcBorders>
            <w:shd w:val="clear" w:color="auto" w:fill="FFFFFF"/>
            <w:vAlign w:val="center"/>
          </w:tcPr>
          <w:p w14:paraId="26D7DBF0" w14:textId="77777777" w:rsidR="002F3F7C" w:rsidRPr="003E73CD" w:rsidRDefault="002F3F7C" w:rsidP="002F3F7C">
            <w:pPr>
              <w:widowControl w:val="0"/>
              <w:autoSpaceDE w:val="0"/>
              <w:autoSpaceDN w:val="0"/>
              <w:adjustRightInd w:val="0"/>
              <w:spacing w:line="320" w:lineRule="atLeast"/>
              <w:ind w:left="60" w:right="60"/>
              <w:jc w:val="right"/>
              <w:rPr>
                <w:rFonts w:ascii="Arial" w:eastAsiaTheme="minorEastAsia" w:hAnsi="Arial" w:cs="Arial"/>
                <w:color w:val="000000"/>
                <w:sz w:val="22"/>
                <w:szCs w:val="22"/>
              </w:rPr>
            </w:pPr>
            <w:r w:rsidRPr="003E73CD">
              <w:rPr>
                <w:rFonts w:ascii="Arial" w:eastAsiaTheme="minorEastAsia" w:hAnsi="Arial" w:cs="Arial"/>
                <w:color w:val="000000"/>
                <w:sz w:val="22"/>
                <w:szCs w:val="22"/>
              </w:rPr>
              <w:t>.934</w:t>
            </w:r>
          </w:p>
        </w:tc>
        <w:tc>
          <w:tcPr>
            <w:tcW w:w="1127" w:type="dxa"/>
            <w:tcBorders>
              <w:top w:val="single" w:sz="16" w:space="0" w:color="000000"/>
              <w:bottom w:val="nil"/>
            </w:tcBorders>
            <w:shd w:val="clear" w:color="auto" w:fill="FFFFFF"/>
            <w:vAlign w:val="center"/>
          </w:tcPr>
          <w:p w14:paraId="421D5E27" w14:textId="77777777" w:rsidR="002F3F7C" w:rsidRPr="003E73CD" w:rsidRDefault="002F3F7C" w:rsidP="002F3F7C">
            <w:pPr>
              <w:widowControl w:val="0"/>
              <w:autoSpaceDE w:val="0"/>
              <w:autoSpaceDN w:val="0"/>
              <w:adjustRightInd w:val="0"/>
              <w:spacing w:line="320" w:lineRule="atLeast"/>
              <w:ind w:left="60" w:right="60"/>
              <w:jc w:val="right"/>
              <w:rPr>
                <w:rFonts w:ascii="Arial" w:eastAsiaTheme="minorEastAsia" w:hAnsi="Arial" w:cs="Arial"/>
                <w:color w:val="000000"/>
                <w:sz w:val="22"/>
                <w:szCs w:val="22"/>
              </w:rPr>
            </w:pPr>
            <w:r w:rsidRPr="003E73CD">
              <w:rPr>
                <w:rFonts w:ascii="Arial" w:eastAsiaTheme="minorEastAsia" w:hAnsi="Arial" w:cs="Arial"/>
                <w:color w:val="000000"/>
                <w:sz w:val="22"/>
                <w:szCs w:val="22"/>
              </w:rPr>
              <w:t>.057</w:t>
            </w:r>
          </w:p>
        </w:tc>
        <w:tc>
          <w:tcPr>
            <w:tcW w:w="1373" w:type="dxa"/>
            <w:tcBorders>
              <w:top w:val="single" w:sz="16" w:space="0" w:color="000000"/>
              <w:bottom w:val="nil"/>
            </w:tcBorders>
            <w:shd w:val="clear" w:color="auto" w:fill="FFFFFF"/>
            <w:vAlign w:val="center"/>
          </w:tcPr>
          <w:p w14:paraId="7BB1E172" w14:textId="77777777" w:rsidR="002F3F7C" w:rsidRPr="003E73CD" w:rsidRDefault="002F3F7C" w:rsidP="002F3F7C">
            <w:pPr>
              <w:widowControl w:val="0"/>
              <w:autoSpaceDE w:val="0"/>
              <w:autoSpaceDN w:val="0"/>
              <w:adjustRightInd w:val="0"/>
              <w:spacing w:line="320" w:lineRule="atLeast"/>
              <w:ind w:left="60" w:right="60"/>
              <w:jc w:val="right"/>
              <w:rPr>
                <w:rFonts w:ascii="Arial" w:eastAsiaTheme="minorEastAsia" w:hAnsi="Arial" w:cs="Arial"/>
                <w:color w:val="000000"/>
                <w:sz w:val="22"/>
                <w:szCs w:val="22"/>
              </w:rPr>
            </w:pPr>
            <w:r w:rsidRPr="003E73CD">
              <w:rPr>
                <w:rFonts w:ascii="Arial" w:eastAsiaTheme="minorEastAsia" w:hAnsi="Arial" w:cs="Arial"/>
                <w:color w:val="000000"/>
                <w:sz w:val="22"/>
                <w:szCs w:val="22"/>
              </w:rPr>
              <w:t>.007</w:t>
            </w:r>
          </w:p>
        </w:tc>
        <w:tc>
          <w:tcPr>
            <w:tcW w:w="1373" w:type="dxa"/>
            <w:tcBorders>
              <w:top w:val="single" w:sz="16" w:space="0" w:color="000000"/>
              <w:bottom w:val="nil"/>
            </w:tcBorders>
            <w:shd w:val="clear" w:color="auto" w:fill="FFFFFF"/>
            <w:vAlign w:val="center"/>
          </w:tcPr>
          <w:p w14:paraId="7222C61A" w14:textId="77777777" w:rsidR="002F3F7C" w:rsidRPr="003E73CD" w:rsidRDefault="002F3F7C" w:rsidP="002F3F7C">
            <w:pPr>
              <w:widowControl w:val="0"/>
              <w:autoSpaceDE w:val="0"/>
              <w:autoSpaceDN w:val="0"/>
              <w:adjustRightInd w:val="0"/>
              <w:spacing w:line="320" w:lineRule="atLeast"/>
              <w:ind w:left="60" w:right="60"/>
              <w:jc w:val="right"/>
              <w:rPr>
                <w:rFonts w:ascii="Arial" w:eastAsiaTheme="minorEastAsia" w:hAnsi="Arial" w:cs="Arial"/>
                <w:color w:val="000000"/>
                <w:sz w:val="22"/>
                <w:szCs w:val="22"/>
              </w:rPr>
            </w:pPr>
            <w:r w:rsidRPr="003E73CD">
              <w:rPr>
                <w:rFonts w:ascii="Arial" w:eastAsiaTheme="minorEastAsia" w:hAnsi="Arial" w:cs="Arial"/>
                <w:color w:val="000000"/>
                <w:sz w:val="22"/>
                <w:szCs w:val="22"/>
              </w:rPr>
              <w:t>.823</w:t>
            </w:r>
          </w:p>
        </w:tc>
        <w:tc>
          <w:tcPr>
            <w:tcW w:w="1373" w:type="dxa"/>
            <w:tcBorders>
              <w:top w:val="single" w:sz="16" w:space="0" w:color="000000"/>
              <w:bottom w:val="nil"/>
              <w:right w:val="single" w:sz="16" w:space="0" w:color="000000"/>
            </w:tcBorders>
            <w:shd w:val="clear" w:color="auto" w:fill="FFFFFF"/>
            <w:vAlign w:val="center"/>
          </w:tcPr>
          <w:p w14:paraId="3B16BEAB" w14:textId="77777777" w:rsidR="002F3F7C" w:rsidRPr="003E73CD" w:rsidRDefault="002F3F7C" w:rsidP="002F3F7C">
            <w:pPr>
              <w:widowControl w:val="0"/>
              <w:autoSpaceDE w:val="0"/>
              <w:autoSpaceDN w:val="0"/>
              <w:adjustRightInd w:val="0"/>
              <w:spacing w:line="320" w:lineRule="atLeast"/>
              <w:ind w:left="60" w:right="60"/>
              <w:jc w:val="right"/>
              <w:rPr>
                <w:rFonts w:ascii="Arial" w:eastAsiaTheme="minorEastAsia" w:hAnsi="Arial" w:cs="Arial"/>
                <w:color w:val="000000"/>
                <w:sz w:val="22"/>
                <w:szCs w:val="22"/>
              </w:rPr>
            </w:pPr>
            <w:r w:rsidRPr="003E73CD">
              <w:rPr>
                <w:rFonts w:ascii="Arial" w:eastAsiaTheme="minorEastAsia" w:hAnsi="Arial" w:cs="Arial"/>
                <w:color w:val="000000"/>
                <w:sz w:val="22"/>
                <w:szCs w:val="22"/>
              </w:rPr>
              <w:t>1.000</w:t>
            </w:r>
          </w:p>
        </w:tc>
      </w:tr>
      <w:tr w:rsidR="000C2BAA" w:rsidRPr="003E73CD" w14:paraId="3EF0CB2B" w14:textId="77777777" w:rsidTr="000C2BAA">
        <w:trPr>
          <w:cantSplit/>
          <w:trHeight w:val="607"/>
        </w:trPr>
        <w:tc>
          <w:tcPr>
            <w:tcW w:w="1714" w:type="dxa"/>
            <w:tcBorders>
              <w:top w:val="nil"/>
              <w:left w:val="single" w:sz="16" w:space="0" w:color="000000"/>
              <w:bottom w:val="nil"/>
              <w:right w:val="single" w:sz="16" w:space="0" w:color="000000"/>
            </w:tcBorders>
            <w:shd w:val="clear" w:color="auto" w:fill="FFFFFF"/>
          </w:tcPr>
          <w:p w14:paraId="1EDB56B2" w14:textId="0DAB65F0" w:rsidR="002F3F7C" w:rsidRPr="003E73CD" w:rsidRDefault="002F3F7C" w:rsidP="002F3F7C">
            <w:pPr>
              <w:widowControl w:val="0"/>
              <w:autoSpaceDE w:val="0"/>
              <w:autoSpaceDN w:val="0"/>
              <w:adjustRightInd w:val="0"/>
              <w:spacing w:line="320" w:lineRule="atLeast"/>
              <w:ind w:left="60" w:right="60"/>
              <w:rPr>
                <w:rFonts w:ascii="Arial" w:eastAsiaTheme="minorEastAsia" w:hAnsi="Arial" w:cs="Arial"/>
                <w:color w:val="000000"/>
                <w:sz w:val="22"/>
                <w:szCs w:val="22"/>
              </w:rPr>
            </w:pPr>
            <w:r w:rsidRPr="003E73CD">
              <w:rPr>
                <w:rFonts w:ascii="Arial" w:eastAsiaTheme="minorEastAsia" w:hAnsi="Arial" w:cs="Arial"/>
                <w:color w:val="000000"/>
                <w:sz w:val="22"/>
                <w:szCs w:val="22"/>
              </w:rPr>
              <w:t>Lifemath.net predictor</w:t>
            </w:r>
          </w:p>
        </w:tc>
        <w:tc>
          <w:tcPr>
            <w:tcW w:w="956" w:type="dxa"/>
            <w:tcBorders>
              <w:top w:val="nil"/>
              <w:left w:val="single" w:sz="16" w:space="0" w:color="000000"/>
              <w:bottom w:val="nil"/>
            </w:tcBorders>
            <w:shd w:val="clear" w:color="auto" w:fill="FFFFFF"/>
            <w:vAlign w:val="center"/>
          </w:tcPr>
          <w:p w14:paraId="5F99BF1B" w14:textId="77777777" w:rsidR="002F3F7C" w:rsidRPr="003E73CD" w:rsidRDefault="002F3F7C" w:rsidP="002F3F7C">
            <w:pPr>
              <w:widowControl w:val="0"/>
              <w:autoSpaceDE w:val="0"/>
              <w:autoSpaceDN w:val="0"/>
              <w:adjustRightInd w:val="0"/>
              <w:spacing w:line="320" w:lineRule="atLeast"/>
              <w:ind w:left="60" w:right="60"/>
              <w:jc w:val="right"/>
              <w:rPr>
                <w:rFonts w:ascii="Arial" w:eastAsiaTheme="minorEastAsia" w:hAnsi="Arial" w:cs="Arial"/>
                <w:color w:val="000000"/>
                <w:sz w:val="22"/>
                <w:szCs w:val="22"/>
              </w:rPr>
            </w:pPr>
            <w:r w:rsidRPr="003E73CD">
              <w:rPr>
                <w:rFonts w:ascii="Arial" w:eastAsiaTheme="minorEastAsia" w:hAnsi="Arial" w:cs="Arial"/>
                <w:color w:val="000000"/>
                <w:sz w:val="22"/>
                <w:szCs w:val="22"/>
              </w:rPr>
              <w:t>.796</w:t>
            </w:r>
          </w:p>
        </w:tc>
        <w:tc>
          <w:tcPr>
            <w:tcW w:w="1127" w:type="dxa"/>
            <w:tcBorders>
              <w:top w:val="nil"/>
              <w:bottom w:val="nil"/>
            </w:tcBorders>
            <w:shd w:val="clear" w:color="auto" w:fill="FFFFFF"/>
            <w:vAlign w:val="center"/>
          </w:tcPr>
          <w:p w14:paraId="284563D9" w14:textId="77777777" w:rsidR="002F3F7C" w:rsidRPr="003E73CD" w:rsidRDefault="002F3F7C" w:rsidP="002F3F7C">
            <w:pPr>
              <w:widowControl w:val="0"/>
              <w:autoSpaceDE w:val="0"/>
              <w:autoSpaceDN w:val="0"/>
              <w:adjustRightInd w:val="0"/>
              <w:spacing w:line="320" w:lineRule="atLeast"/>
              <w:ind w:left="60" w:right="60"/>
              <w:jc w:val="right"/>
              <w:rPr>
                <w:rFonts w:ascii="Arial" w:eastAsiaTheme="minorEastAsia" w:hAnsi="Arial" w:cs="Arial"/>
                <w:color w:val="000000"/>
                <w:sz w:val="22"/>
                <w:szCs w:val="22"/>
              </w:rPr>
            </w:pPr>
            <w:r w:rsidRPr="003E73CD">
              <w:rPr>
                <w:rFonts w:ascii="Arial" w:eastAsiaTheme="minorEastAsia" w:hAnsi="Arial" w:cs="Arial"/>
                <w:color w:val="000000"/>
                <w:sz w:val="22"/>
                <w:szCs w:val="22"/>
              </w:rPr>
              <w:t>.143</w:t>
            </w:r>
          </w:p>
        </w:tc>
        <w:tc>
          <w:tcPr>
            <w:tcW w:w="1373" w:type="dxa"/>
            <w:tcBorders>
              <w:top w:val="nil"/>
              <w:bottom w:val="nil"/>
            </w:tcBorders>
            <w:shd w:val="clear" w:color="auto" w:fill="FFFFFF"/>
            <w:vAlign w:val="center"/>
          </w:tcPr>
          <w:p w14:paraId="09144B09" w14:textId="77777777" w:rsidR="002F3F7C" w:rsidRPr="003E73CD" w:rsidRDefault="002F3F7C" w:rsidP="002F3F7C">
            <w:pPr>
              <w:widowControl w:val="0"/>
              <w:autoSpaceDE w:val="0"/>
              <w:autoSpaceDN w:val="0"/>
              <w:adjustRightInd w:val="0"/>
              <w:spacing w:line="320" w:lineRule="atLeast"/>
              <w:ind w:left="60" w:right="60"/>
              <w:jc w:val="right"/>
              <w:rPr>
                <w:rFonts w:ascii="Arial" w:eastAsiaTheme="minorEastAsia" w:hAnsi="Arial" w:cs="Arial"/>
                <w:color w:val="000000"/>
                <w:sz w:val="22"/>
                <w:szCs w:val="22"/>
              </w:rPr>
            </w:pPr>
            <w:r w:rsidRPr="003E73CD">
              <w:rPr>
                <w:rFonts w:ascii="Arial" w:eastAsiaTheme="minorEastAsia" w:hAnsi="Arial" w:cs="Arial"/>
                <w:color w:val="000000"/>
                <w:sz w:val="22"/>
                <w:szCs w:val="22"/>
              </w:rPr>
              <w:t>.068</w:t>
            </w:r>
          </w:p>
        </w:tc>
        <w:tc>
          <w:tcPr>
            <w:tcW w:w="1373" w:type="dxa"/>
            <w:tcBorders>
              <w:top w:val="nil"/>
              <w:bottom w:val="nil"/>
            </w:tcBorders>
            <w:shd w:val="clear" w:color="auto" w:fill="FFFFFF"/>
            <w:vAlign w:val="center"/>
          </w:tcPr>
          <w:p w14:paraId="6A8F4B85" w14:textId="77777777" w:rsidR="002F3F7C" w:rsidRPr="003E73CD" w:rsidRDefault="002F3F7C" w:rsidP="002F3F7C">
            <w:pPr>
              <w:widowControl w:val="0"/>
              <w:autoSpaceDE w:val="0"/>
              <w:autoSpaceDN w:val="0"/>
              <w:adjustRightInd w:val="0"/>
              <w:spacing w:line="320" w:lineRule="atLeast"/>
              <w:ind w:left="60" w:right="60"/>
              <w:jc w:val="right"/>
              <w:rPr>
                <w:rFonts w:ascii="Arial" w:eastAsiaTheme="minorEastAsia" w:hAnsi="Arial" w:cs="Arial"/>
                <w:color w:val="000000"/>
                <w:sz w:val="22"/>
                <w:szCs w:val="22"/>
              </w:rPr>
            </w:pPr>
            <w:r w:rsidRPr="003E73CD">
              <w:rPr>
                <w:rFonts w:ascii="Arial" w:eastAsiaTheme="minorEastAsia" w:hAnsi="Arial" w:cs="Arial"/>
                <w:color w:val="000000"/>
                <w:sz w:val="22"/>
                <w:szCs w:val="22"/>
              </w:rPr>
              <w:t>.515</w:t>
            </w:r>
          </w:p>
        </w:tc>
        <w:tc>
          <w:tcPr>
            <w:tcW w:w="1373" w:type="dxa"/>
            <w:tcBorders>
              <w:top w:val="nil"/>
              <w:bottom w:val="nil"/>
              <w:right w:val="single" w:sz="16" w:space="0" w:color="000000"/>
            </w:tcBorders>
            <w:shd w:val="clear" w:color="auto" w:fill="FFFFFF"/>
            <w:vAlign w:val="center"/>
          </w:tcPr>
          <w:p w14:paraId="16511073" w14:textId="77777777" w:rsidR="002F3F7C" w:rsidRPr="003E73CD" w:rsidRDefault="002F3F7C" w:rsidP="002F3F7C">
            <w:pPr>
              <w:widowControl w:val="0"/>
              <w:autoSpaceDE w:val="0"/>
              <w:autoSpaceDN w:val="0"/>
              <w:adjustRightInd w:val="0"/>
              <w:spacing w:line="320" w:lineRule="atLeast"/>
              <w:ind w:left="60" w:right="60"/>
              <w:jc w:val="right"/>
              <w:rPr>
                <w:rFonts w:ascii="Arial" w:eastAsiaTheme="minorEastAsia" w:hAnsi="Arial" w:cs="Arial"/>
                <w:color w:val="000000"/>
                <w:sz w:val="22"/>
                <w:szCs w:val="22"/>
              </w:rPr>
            </w:pPr>
            <w:r w:rsidRPr="003E73CD">
              <w:rPr>
                <w:rFonts w:ascii="Arial" w:eastAsiaTheme="minorEastAsia" w:hAnsi="Arial" w:cs="Arial"/>
                <w:color w:val="000000"/>
                <w:sz w:val="22"/>
                <w:szCs w:val="22"/>
              </w:rPr>
              <w:t>1.000</w:t>
            </w:r>
          </w:p>
        </w:tc>
      </w:tr>
      <w:tr w:rsidR="000C2BAA" w:rsidRPr="003E73CD" w14:paraId="7A3DA3B6" w14:textId="77777777" w:rsidTr="000C2BAA">
        <w:trPr>
          <w:cantSplit/>
          <w:trHeight w:val="910"/>
        </w:trPr>
        <w:tc>
          <w:tcPr>
            <w:tcW w:w="1714" w:type="dxa"/>
            <w:tcBorders>
              <w:top w:val="nil"/>
              <w:left w:val="single" w:sz="16" w:space="0" w:color="000000"/>
              <w:bottom w:val="nil"/>
              <w:right w:val="single" w:sz="16" w:space="0" w:color="000000"/>
            </w:tcBorders>
            <w:shd w:val="clear" w:color="auto" w:fill="FFFFFF"/>
          </w:tcPr>
          <w:p w14:paraId="36AEFDB9" w14:textId="0320AFFD" w:rsidR="002F3F7C" w:rsidRPr="003E73CD" w:rsidRDefault="002F3F7C" w:rsidP="002F3F7C">
            <w:pPr>
              <w:widowControl w:val="0"/>
              <w:autoSpaceDE w:val="0"/>
              <w:autoSpaceDN w:val="0"/>
              <w:adjustRightInd w:val="0"/>
              <w:spacing w:line="320" w:lineRule="atLeast"/>
              <w:ind w:left="60" w:right="60"/>
              <w:rPr>
                <w:rFonts w:ascii="Arial" w:eastAsiaTheme="minorEastAsia" w:hAnsi="Arial" w:cs="Arial"/>
                <w:color w:val="000000"/>
                <w:sz w:val="22"/>
                <w:szCs w:val="22"/>
              </w:rPr>
            </w:pPr>
            <w:r w:rsidRPr="003E73CD">
              <w:rPr>
                <w:rFonts w:ascii="Arial" w:eastAsiaTheme="minorEastAsia" w:hAnsi="Arial" w:cs="Arial"/>
                <w:color w:val="000000"/>
                <w:sz w:val="22"/>
                <w:szCs w:val="22"/>
              </w:rPr>
              <w:t>Melanomacalculator.com predictor</w:t>
            </w:r>
          </w:p>
        </w:tc>
        <w:tc>
          <w:tcPr>
            <w:tcW w:w="956" w:type="dxa"/>
            <w:tcBorders>
              <w:top w:val="nil"/>
              <w:left w:val="single" w:sz="16" w:space="0" w:color="000000"/>
              <w:bottom w:val="nil"/>
            </w:tcBorders>
            <w:shd w:val="clear" w:color="auto" w:fill="FFFFFF"/>
            <w:vAlign w:val="center"/>
          </w:tcPr>
          <w:p w14:paraId="72487886" w14:textId="77777777" w:rsidR="002F3F7C" w:rsidRPr="003E73CD" w:rsidRDefault="002F3F7C" w:rsidP="002F3F7C">
            <w:pPr>
              <w:widowControl w:val="0"/>
              <w:autoSpaceDE w:val="0"/>
              <w:autoSpaceDN w:val="0"/>
              <w:adjustRightInd w:val="0"/>
              <w:spacing w:line="320" w:lineRule="atLeast"/>
              <w:ind w:left="60" w:right="60"/>
              <w:jc w:val="right"/>
              <w:rPr>
                <w:rFonts w:ascii="Arial" w:eastAsiaTheme="minorEastAsia" w:hAnsi="Arial" w:cs="Arial"/>
                <w:color w:val="000000"/>
                <w:sz w:val="22"/>
                <w:szCs w:val="22"/>
              </w:rPr>
            </w:pPr>
            <w:r w:rsidRPr="003E73CD">
              <w:rPr>
                <w:rFonts w:ascii="Arial" w:eastAsiaTheme="minorEastAsia" w:hAnsi="Arial" w:cs="Arial"/>
                <w:color w:val="000000"/>
                <w:sz w:val="22"/>
                <w:szCs w:val="22"/>
              </w:rPr>
              <w:t>.711</w:t>
            </w:r>
          </w:p>
        </w:tc>
        <w:tc>
          <w:tcPr>
            <w:tcW w:w="1127" w:type="dxa"/>
            <w:tcBorders>
              <w:top w:val="nil"/>
              <w:bottom w:val="nil"/>
            </w:tcBorders>
            <w:shd w:val="clear" w:color="auto" w:fill="FFFFFF"/>
            <w:vAlign w:val="center"/>
          </w:tcPr>
          <w:p w14:paraId="6144901C" w14:textId="77777777" w:rsidR="002F3F7C" w:rsidRPr="003E73CD" w:rsidRDefault="002F3F7C" w:rsidP="002F3F7C">
            <w:pPr>
              <w:widowControl w:val="0"/>
              <w:autoSpaceDE w:val="0"/>
              <w:autoSpaceDN w:val="0"/>
              <w:adjustRightInd w:val="0"/>
              <w:spacing w:line="320" w:lineRule="atLeast"/>
              <w:ind w:left="60" w:right="60"/>
              <w:jc w:val="right"/>
              <w:rPr>
                <w:rFonts w:ascii="Arial" w:eastAsiaTheme="minorEastAsia" w:hAnsi="Arial" w:cs="Arial"/>
                <w:color w:val="000000"/>
                <w:sz w:val="22"/>
                <w:szCs w:val="22"/>
              </w:rPr>
            </w:pPr>
            <w:r w:rsidRPr="003E73CD">
              <w:rPr>
                <w:rFonts w:ascii="Arial" w:eastAsiaTheme="minorEastAsia" w:hAnsi="Arial" w:cs="Arial"/>
                <w:color w:val="000000"/>
                <w:sz w:val="22"/>
                <w:szCs w:val="22"/>
              </w:rPr>
              <w:t>.134</w:t>
            </w:r>
          </w:p>
        </w:tc>
        <w:tc>
          <w:tcPr>
            <w:tcW w:w="1373" w:type="dxa"/>
            <w:tcBorders>
              <w:top w:val="nil"/>
              <w:bottom w:val="nil"/>
            </w:tcBorders>
            <w:shd w:val="clear" w:color="auto" w:fill="FFFFFF"/>
            <w:vAlign w:val="center"/>
          </w:tcPr>
          <w:p w14:paraId="1E595D83" w14:textId="77777777" w:rsidR="002F3F7C" w:rsidRPr="003E73CD" w:rsidRDefault="002F3F7C" w:rsidP="002F3F7C">
            <w:pPr>
              <w:widowControl w:val="0"/>
              <w:autoSpaceDE w:val="0"/>
              <w:autoSpaceDN w:val="0"/>
              <w:adjustRightInd w:val="0"/>
              <w:spacing w:line="320" w:lineRule="atLeast"/>
              <w:ind w:left="60" w:right="60"/>
              <w:jc w:val="right"/>
              <w:rPr>
                <w:rFonts w:ascii="Arial" w:eastAsiaTheme="minorEastAsia" w:hAnsi="Arial" w:cs="Arial"/>
                <w:color w:val="000000"/>
                <w:sz w:val="22"/>
                <w:szCs w:val="22"/>
              </w:rPr>
            </w:pPr>
            <w:r w:rsidRPr="003E73CD">
              <w:rPr>
                <w:rFonts w:ascii="Arial" w:eastAsiaTheme="minorEastAsia" w:hAnsi="Arial" w:cs="Arial"/>
                <w:color w:val="000000"/>
                <w:sz w:val="22"/>
                <w:szCs w:val="22"/>
              </w:rPr>
              <w:t>.194</w:t>
            </w:r>
          </w:p>
        </w:tc>
        <w:tc>
          <w:tcPr>
            <w:tcW w:w="1373" w:type="dxa"/>
            <w:tcBorders>
              <w:top w:val="nil"/>
              <w:bottom w:val="nil"/>
            </w:tcBorders>
            <w:shd w:val="clear" w:color="auto" w:fill="FFFFFF"/>
            <w:vAlign w:val="center"/>
          </w:tcPr>
          <w:p w14:paraId="65652E2C" w14:textId="77777777" w:rsidR="002F3F7C" w:rsidRPr="003E73CD" w:rsidRDefault="002F3F7C" w:rsidP="002F3F7C">
            <w:pPr>
              <w:widowControl w:val="0"/>
              <w:autoSpaceDE w:val="0"/>
              <w:autoSpaceDN w:val="0"/>
              <w:adjustRightInd w:val="0"/>
              <w:spacing w:line="320" w:lineRule="atLeast"/>
              <w:ind w:left="60" w:right="60"/>
              <w:jc w:val="right"/>
              <w:rPr>
                <w:rFonts w:ascii="Arial" w:eastAsiaTheme="minorEastAsia" w:hAnsi="Arial" w:cs="Arial"/>
                <w:color w:val="000000"/>
                <w:sz w:val="22"/>
                <w:szCs w:val="22"/>
              </w:rPr>
            </w:pPr>
            <w:r w:rsidRPr="003E73CD">
              <w:rPr>
                <w:rFonts w:ascii="Arial" w:eastAsiaTheme="minorEastAsia" w:hAnsi="Arial" w:cs="Arial"/>
                <w:color w:val="000000"/>
                <w:sz w:val="22"/>
                <w:szCs w:val="22"/>
              </w:rPr>
              <w:t>.449</w:t>
            </w:r>
          </w:p>
        </w:tc>
        <w:tc>
          <w:tcPr>
            <w:tcW w:w="1373" w:type="dxa"/>
            <w:tcBorders>
              <w:top w:val="nil"/>
              <w:bottom w:val="nil"/>
              <w:right w:val="single" w:sz="16" w:space="0" w:color="000000"/>
            </w:tcBorders>
            <w:shd w:val="clear" w:color="auto" w:fill="FFFFFF"/>
            <w:vAlign w:val="center"/>
          </w:tcPr>
          <w:p w14:paraId="75A9480A" w14:textId="77777777" w:rsidR="002F3F7C" w:rsidRPr="003E73CD" w:rsidRDefault="002F3F7C" w:rsidP="002F3F7C">
            <w:pPr>
              <w:widowControl w:val="0"/>
              <w:autoSpaceDE w:val="0"/>
              <w:autoSpaceDN w:val="0"/>
              <w:adjustRightInd w:val="0"/>
              <w:spacing w:line="320" w:lineRule="atLeast"/>
              <w:ind w:left="60" w:right="60"/>
              <w:jc w:val="right"/>
              <w:rPr>
                <w:rFonts w:ascii="Arial" w:eastAsiaTheme="minorEastAsia" w:hAnsi="Arial" w:cs="Arial"/>
                <w:color w:val="000000"/>
                <w:sz w:val="22"/>
                <w:szCs w:val="22"/>
              </w:rPr>
            </w:pPr>
            <w:r w:rsidRPr="003E73CD">
              <w:rPr>
                <w:rFonts w:ascii="Arial" w:eastAsiaTheme="minorEastAsia" w:hAnsi="Arial" w:cs="Arial"/>
                <w:color w:val="000000"/>
                <w:sz w:val="22"/>
                <w:szCs w:val="22"/>
              </w:rPr>
              <w:t>.972</w:t>
            </w:r>
          </w:p>
        </w:tc>
      </w:tr>
      <w:tr w:rsidR="000C2BAA" w:rsidRPr="003E73CD" w14:paraId="40D21819" w14:textId="77777777" w:rsidTr="000C2BAA">
        <w:trPr>
          <w:cantSplit/>
          <w:trHeight w:val="302"/>
        </w:trPr>
        <w:tc>
          <w:tcPr>
            <w:tcW w:w="1714" w:type="dxa"/>
            <w:tcBorders>
              <w:top w:val="nil"/>
              <w:left w:val="single" w:sz="16" w:space="0" w:color="000000"/>
              <w:bottom w:val="single" w:sz="16" w:space="0" w:color="000000"/>
              <w:right w:val="single" w:sz="16" w:space="0" w:color="000000"/>
            </w:tcBorders>
            <w:shd w:val="clear" w:color="auto" w:fill="FFFFFF"/>
          </w:tcPr>
          <w:p w14:paraId="29BE7587" w14:textId="3C4E0D96" w:rsidR="002F3F7C" w:rsidRPr="003E73CD" w:rsidRDefault="002F3F7C" w:rsidP="002F3F7C">
            <w:pPr>
              <w:widowControl w:val="0"/>
              <w:autoSpaceDE w:val="0"/>
              <w:autoSpaceDN w:val="0"/>
              <w:adjustRightInd w:val="0"/>
              <w:spacing w:line="320" w:lineRule="atLeast"/>
              <w:ind w:left="60" w:right="60"/>
              <w:rPr>
                <w:rFonts w:ascii="Arial" w:eastAsiaTheme="minorEastAsia" w:hAnsi="Arial" w:cs="Arial"/>
                <w:color w:val="000000"/>
                <w:sz w:val="22"/>
                <w:szCs w:val="22"/>
              </w:rPr>
            </w:pPr>
            <w:r w:rsidRPr="003E73CD">
              <w:rPr>
                <w:rFonts w:ascii="Arial" w:eastAsiaTheme="minorEastAsia" w:hAnsi="Arial" w:cs="Arial"/>
                <w:color w:val="000000"/>
                <w:sz w:val="22"/>
                <w:szCs w:val="22"/>
              </w:rPr>
              <w:t>AJCC predictor</w:t>
            </w:r>
          </w:p>
        </w:tc>
        <w:tc>
          <w:tcPr>
            <w:tcW w:w="956" w:type="dxa"/>
            <w:tcBorders>
              <w:top w:val="nil"/>
              <w:left w:val="single" w:sz="16" w:space="0" w:color="000000"/>
              <w:bottom w:val="single" w:sz="16" w:space="0" w:color="000000"/>
            </w:tcBorders>
            <w:shd w:val="clear" w:color="auto" w:fill="FFFFFF"/>
            <w:vAlign w:val="center"/>
          </w:tcPr>
          <w:p w14:paraId="0AAF91FD" w14:textId="77777777" w:rsidR="002F3F7C" w:rsidRPr="003E73CD" w:rsidRDefault="002F3F7C" w:rsidP="002F3F7C">
            <w:pPr>
              <w:widowControl w:val="0"/>
              <w:autoSpaceDE w:val="0"/>
              <w:autoSpaceDN w:val="0"/>
              <w:adjustRightInd w:val="0"/>
              <w:spacing w:line="320" w:lineRule="atLeast"/>
              <w:ind w:left="60" w:right="60"/>
              <w:jc w:val="right"/>
              <w:rPr>
                <w:rFonts w:ascii="Arial" w:eastAsiaTheme="minorEastAsia" w:hAnsi="Arial" w:cs="Arial"/>
                <w:color w:val="000000"/>
                <w:sz w:val="22"/>
                <w:szCs w:val="22"/>
              </w:rPr>
            </w:pPr>
            <w:r w:rsidRPr="003E73CD">
              <w:rPr>
                <w:rFonts w:ascii="Arial" w:eastAsiaTheme="minorEastAsia" w:hAnsi="Arial" w:cs="Arial"/>
                <w:color w:val="000000"/>
                <w:sz w:val="22"/>
                <w:szCs w:val="22"/>
              </w:rPr>
              <w:t>.737</w:t>
            </w:r>
          </w:p>
        </w:tc>
        <w:tc>
          <w:tcPr>
            <w:tcW w:w="1127" w:type="dxa"/>
            <w:tcBorders>
              <w:top w:val="nil"/>
              <w:bottom w:val="single" w:sz="16" w:space="0" w:color="000000"/>
            </w:tcBorders>
            <w:shd w:val="clear" w:color="auto" w:fill="FFFFFF"/>
            <w:vAlign w:val="center"/>
          </w:tcPr>
          <w:p w14:paraId="0C805780" w14:textId="77777777" w:rsidR="002F3F7C" w:rsidRPr="003E73CD" w:rsidRDefault="002F3F7C" w:rsidP="002F3F7C">
            <w:pPr>
              <w:widowControl w:val="0"/>
              <w:autoSpaceDE w:val="0"/>
              <w:autoSpaceDN w:val="0"/>
              <w:adjustRightInd w:val="0"/>
              <w:spacing w:line="320" w:lineRule="atLeast"/>
              <w:ind w:left="60" w:right="60"/>
              <w:jc w:val="right"/>
              <w:rPr>
                <w:rFonts w:ascii="Arial" w:eastAsiaTheme="minorEastAsia" w:hAnsi="Arial" w:cs="Arial"/>
                <w:color w:val="000000"/>
                <w:sz w:val="22"/>
                <w:szCs w:val="22"/>
              </w:rPr>
            </w:pPr>
            <w:r w:rsidRPr="003E73CD">
              <w:rPr>
                <w:rFonts w:ascii="Arial" w:eastAsiaTheme="minorEastAsia" w:hAnsi="Arial" w:cs="Arial"/>
                <w:color w:val="000000"/>
                <w:sz w:val="22"/>
                <w:szCs w:val="22"/>
              </w:rPr>
              <w:t>.128</w:t>
            </w:r>
          </w:p>
        </w:tc>
        <w:tc>
          <w:tcPr>
            <w:tcW w:w="1373" w:type="dxa"/>
            <w:tcBorders>
              <w:top w:val="nil"/>
              <w:bottom w:val="single" w:sz="16" w:space="0" w:color="000000"/>
            </w:tcBorders>
            <w:shd w:val="clear" w:color="auto" w:fill="FFFFFF"/>
            <w:vAlign w:val="center"/>
          </w:tcPr>
          <w:p w14:paraId="32A99301" w14:textId="77777777" w:rsidR="002F3F7C" w:rsidRPr="003E73CD" w:rsidRDefault="002F3F7C" w:rsidP="002F3F7C">
            <w:pPr>
              <w:widowControl w:val="0"/>
              <w:autoSpaceDE w:val="0"/>
              <w:autoSpaceDN w:val="0"/>
              <w:adjustRightInd w:val="0"/>
              <w:spacing w:line="320" w:lineRule="atLeast"/>
              <w:ind w:left="60" w:right="60"/>
              <w:jc w:val="right"/>
              <w:rPr>
                <w:rFonts w:ascii="Arial" w:eastAsiaTheme="minorEastAsia" w:hAnsi="Arial" w:cs="Arial"/>
                <w:color w:val="000000"/>
                <w:sz w:val="22"/>
                <w:szCs w:val="22"/>
              </w:rPr>
            </w:pPr>
            <w:r w:rsidRPr="003E73CD">
              <w:rPr>
                <w:rFonts w:ascii="Arial" w:eastAsiaTheme="minorEastAsia" w:hAnsi="Arial" w:cs="Arial"/>
                <w:color w:val="000000"/>
                <w:sz w:val="22"/>
                <w:szCs w:val="22"/>
              </w:rPr>
              <w:t>.144</w:t>
            </w:r>
          </w:p>
        </w:tc>
        <w:tc>
          <w:tcPr>
            <w:tcW w:w="1373" w:type="dxa"/>
            <w:tcBorders>
              <w:top w:val="nil"/>
              <w:bottom w:val="single" w:sz="16" w:space="0" w:color="000000"/>
            </w:tcBorders>
            <w:shd w:val="clear" w:color="auto" w:fill="FFFFFF"/>
            <w:vAlign w:val="center"/>
          </w:tcPr>
          <w:p w14:paraId="2E796E79" w14:textId="77777777" w:rsidR="002F3F7C" w:rsidRPr="003E73CD" w:rsidRDefault="002F3F7C" w:rsidP="002F3F7C">
            <w:pPr>
              <w:widowControl w:val="0"/>
              <w:autoSpaceDE w:val="0"/>
              <w:autoSpaceDN w:val="0"/>
              <w:adjustRightInd w:val="0"/>
              <w:spacing w:line="320" w:lineRule="atLeast"/>
              <w:ind w:left="60" w:right="60"/>
              <w:jc w:val="right"/>
              <w:rPr>
                <w:rFonts w:ascii="Arial" w:eastAsiaTheme="minorEastAsia" w:hAnsi="Arial" w:cs="Arial"/>
                <w:color w:val="000000"/>
                <w:sz w:val="22"/>
                <w:szCs w:val="22"/>
              </w:rPr>
            </w:pPr>
            <w:r w:rsidRPr="003E73CD">
              <w:rPr>
                <w:rFonts w:ascii="Arial" w:eastAsiaTheme="minorEastAsia" w:hAnsi="Arial" w:cs="Arial"/>
                <w:color w:val="000000"/>
                <w:sz w:val="22"/>
                <w:szCs w:val="22"/>
              </w:rPr>
              <w:t>.486</w:t>
            </w:r>
          </w:p>
        </w:tc>
        <w:tc>
          <w:tcPr>
            <w:tcW w:w="1373" w:type="dxa"/>
            <w:tcBorders>
              <w:top w:val="nil"/>
              <w:bottom w:val="single" w:sz="16" w:space="0" w:color="000000"/>
              <w:right w:val="single" w:sz="16" w:space="0" w:color="000000"/>
            </w:tcBorders>
            <w:shd w:val="clear" w:color="auto" w:fill="FFFFFF"/>
            <w:vAlign w:val="center"/>
          </w:tcPr>
          <w:p w14:paraId="038FDB06" w14:textId="77777777" w:rsidR="002F3F7C" w:rsidRPr="003E73CD" w:rsidRDefault="002F3F7C" w:rsidP="002F3F7C">
            <w:pPr>
              <w:widowControl w:val="0"/>
              <w:autoSpaceDE w:val="0"/>
              <w:autoSpaceDN w:val="0"/>
              <w:adjustRightInd w:val="0"/>
              <w:spacing w:line="320" w:lineRule="atLeast"/>
              <w:ind w:left="60" w:right="60"/>
              <w:jc w:val="right"/>
              <w:rPr>
                <w:rFonts w:ascii="Arial" w:eastAsiaTheme="minorEastAsia" w:hAnsi="Arial" w:cs="Arial"/>
                <w:color w:val="000000"/>
                <w:sz w:val="22"/>
                <w:szCs w:val="22"/>
              </w:rPr>
            </w:pPr>
            <w:r w:rsidRPr="003E73CD">
              <w:rPr>
                <w:rFonts w:ascii="Arial" w:eastAsiaTheme="minorEastAsia" w:hAnsi="Arial" w:cs="Arial"/>
                <w:color w:val="000000"/>
                <w:sz w:val="22"/>
                <w:szCs w:val="22"/>
              </w:rPr>
              <w:t>.988</w:t>
            </w:r>
          </w:p>
        </w:tc>
      </w:tr>
      <w:tr w:rsidR="002F3F7C" w:rsidRPr="003E73CD" w14:paraId="0A692B4F" w14:textId="77777777" w:rsidTr="000C2BAA">
        <w:trPr>
          <w:cantSplit/>
          <w:trHeight w:val="302"/>
        </w:trPr>
        <w:tc>
          <w:tcPr>
            <w:tcW w:w="7917" w:type="dxa"/>
            <w:gridSpan w:val="6"/>
            <w:tcBorders>
              <w:top w:val="nil"/>
              <w:left w:val="nil"/>
              <w:bottom w:val="nil"/>
              <w:right w:val="nil"/>
            </w:tcBorders>
            <w:shd w:val="clear" w:color="auto" w:fill="FFFFFF"/>
          </w:tcPr>
          <w:p w14:paraId="53A20A12" w14:textId="77777777" w:rsidR="002F3F7C" w:rsidRPr="003E73CD" w:rsidRDefault="002F3F7C" w:rsidP="002F3F7C">
            <w:pPr>
              <w:widowControl w:val="0"/>
              <w:autoSpaceDE w:val="0"/>
              <w:autoSpaceDN w:val="0"/>
              <w:adjustRightInd w:val="0"/>
              <w:spacing w:line="320" w:lineRule="atLeast"/>
              <w:ind w:left="60" w:right="60"/>
              <w:rPr>
                <w:rFonts w:ascii="Arial" w:eastAsiaTheme="minorEastAsia" w:hAnsi="Arial" w:cs="Arial"/>
                <w:color w:val="000000"/>
                <w:sz w:val="22"/>
                <w:szCs w:val="22"/>
              </w:rPr>
            </w:pPr>
            <w:r w:rsidRPr="003E73CD">
              <w:rPr>
                <w:rFonts w:ascii="Arial" w:eastAsiaTheme="minorEastAsia" w:hAnsi="Arial" w:cs="Arial"/>
                <w:color w:val="000000"/>
                <w:sz w:val="22"/>
                <w:szCs w:val="22"/>
              </w:rPr>
              <w:t>a. Under the nonparametric assumption</w:t>
            </w:r>
          </w:p>
        </w:tc>
      </w:tr>
      <w:tr w:rsidR="002F3F7C" w:rsidRPr="003E73CD" w14:paraId="7FBF9E83" w14:textId="77777777" w:rsidTr="000C2BAA">
        <w:trPr>
          <w:cantSplit/>
          <w:trHeight w:val="302"/>
        </w:trPr>
        <w:tc>
          <w:tcPr>
            <w:tcW w:w="7917" w:type="dxa"/>
            <w:gridSpan w:val="6"/>
            <w:tcBorders>
              <w:top w:val="nil"/>
              <w:left w:val="nil"/>
              <w:bottom w:val="nil"/>
              <w:right w:val="nil"/>
            </w:tcBorders>
            <w:shd w:val="clear" w:color="auto" w:fill="FFFFFF"/>
          </w:tcPr>
          <w:p w14:paraId="7FAF3635" w14:textId="77777777" w:rsidR="002F3F7C" w:rsidRPr="003E73CD" w:rsidRDefault="002F3F7C" w:rsidP="002F3F7C">
            <w:pPr>
              <w:widowControl w:val="0"/>
              <w:autoSpaceDE w:val="0"/>
              <w:autoSpaceDN w:val="0"/>
              <w:adjustRightInd w:val="0"/>
              <w:spacing w:line="320" w:lineRule="atLeast"/>
              <w:ind w:left="60" w:right="60"/>
              <w:rPr>
                <w:rFonts w:ascii="Arial" w:eastAsiaTheme="minorEastAsia" w:hAnsi="Arial" w:cs="Arial"/>
                <w:color w:val="000000"/>
                <w:sz w:val="22"/>
                <w:szCs w:val="22"/>
              </w:rPr>
            </w:pPr>
            <w:r w:rsidRPr="003E73CD">
              <w:rPr>
                <w:rFonts w:ascii="Arial" w:eastAsiaTheme="minorEastAsia" w:hAnsi="Arial" w:cs="Arial"/>
                <w:color w:val="000000"/>
                <w:sz w:val="22"/>
                <w:szCs w:val="22"/>
              </w:rPr>
              <w:t>b. Null hypothesis: true area = 0.5</w:t>
            </w:r>
          </w:p>
        </w:tc>
      </w:tr>
    </w:tbl>
    <w:p w14:paraId="49B37F5D" w14:textId="674C19D9" w:rsidR="0061482C" w:rsidRPr="003E73CD" w:rsidRDefault="0061482C" w:rsidP="0061482C">
      <w:pPr>
        <w:spacing w:line="480" w:lineRule="auto"/>
        <w:rPr>
          <w:sz w:val="22"/>
          <w:szCs w:val="22"/>
        </w:rPr>
      </w:pPr>
      <w:r w:rsidRPr="003E73CD">
        <w:rPr>
          <w:sz w:val="22"/>
          <w:szCs w:val="22"/>
        </w:rPr>
        <w:t>DISCUSSION</w:t>
      </w:r>
    </w:p>
    <w:p w14:paraId="0629DE3E" w14:textId="7CB142BF" w:rsidR="0061482C" w:rsidRPr="003E73CD" w:rsidRDefault="000342E9" w:rsidP="0061482C">
      <w:pPr>
        <w:spacing w:line="480" w:lineRule="auto"/>
        <w:ind w:firstLine="720"/>
        <w:rPr>
          <w:sz w:val="22"/>
          <w:szCs w:val="22"/>
        </w:rPr>
      </w:pPr>
      <w:r w:rsidRPr="003E73CD">
        <w:rPr>
          <w:sz w:val="22"/>
          <w:szCs w:val="22"/>
        </w:rPr>
        <w:t>Management of clinically localis</w:t>
      </w:r>
      <w:r w:rsidR="0061482C" w:rsidRPr="003E73CD">
        <w:rPr>
          <w:sz w:val="22"/>
          <w:szCs w:val="22"/>
        </w:rPr>
        <w:t>ed primary cutaneous melanoma by wide excision and sentinel node biopsy with completion lymph node dissection for those with micrometastases addresses the primary tumour site and the regional lymph nodes but does not address possible micrometastatic disease within the intervening lymphatics or sites of possible occult distant metastases.  Patients who undergo such management will therefore fall into a number of categories and will be more likely to develop certain types of initial recurrence accordingly</w:t>
      </w:r>
      <w:r w:rsidR="00E912D9" w:rsidRPr="003E73CD">
        <w:rPr>
          <w:sz w:val="22"/>
          <w:szCs w:val="22"/>
        </w:rPr>
        <w:t xml:space="preserve"> (</w:t>
      </w:r>
      <w:r w:rsidR="002A0DBC">
        <w:rPr>
          <w:sz w:val="22"/>
          <w:szCs w:val="22"/>
        </w:rPr>
        <w:t>see Table 3.3</w:t>
      </w:r>
      <w:r w:rsidR="00507F8F" w:rsidRPr="003E73CD">
        <w:rPr>
          <w:sz w:val="22"/>
          <w:szCs w:val="22"/>
        </w:rPr>
        <w:t>.7</w:t>
      </w:r>
      <w:r w:rsidR="00E912D9" w:rsidRPr="003E73CD">
        <w:rPr>
          <w:sz w:val="22"/>
          <w:szCs w:val="22"/>
        </w:rPr>
        <w:t>)</w:t>
      </w:r>
      <w:r w:rsidR="0061482C" w:rsidRPr="003E73CD">
        <w:rPr>
          <w:sz w:val="22"/>
          <w:szCs w:val="22"/>
        </w:rPr>
        <w:t>.</w:t>
      </w:r>
    </w:p>
    <w:p w14:paraId="0F3FA0A1" w14:textId="77777777" w:rsidR="0061482C" w:rsidRPr="003E73CD" w:rsidRDefault="0061482C" w:rsidP="0061482C">
      <w:pPr>
        <w:spacing w:line="480" w:lineRule="auto"/>
        <w:rPr>
          <w:sz w:val="22"/>
          <w:szCs w:val="22"/>
        </w:rPr>
      </w:pPr>
    </w:p>
    <w:p w14:paraId="124472CA" w14:textId="77777777" w:rsidR="00F93A55" w:rsidRPr="003E73CD" w:rsidRDefault="00F93A55">
      <w:pPr>
        <w:rPr>
          <w:sz w:val="22"/>
          <w:szCs w:val="22"/>
        </w:rPr>
      </w:pPr>
      <w:r w:rsidRPr="003E73CD">
        <w:rPr>
          <w:sz w:val="22"/>
          <w:szCs w:val="22"/>
        </w:rPr>
        <w:br w:type="page"/>
      </w:r>
    </w:p>
    <w:p w14:paraId="17020B7F" w14:textId="27E2FD20" w:rsidR="0061482C" w:rsidRPr="003E73CD" w:rsidRDefault="002A0DBC" w:rsidP="00F93A55">
      <w:pPr>
        <w:spacing w:line="360" w:lineRule="auto"/>
        <w:rPr>
          <w:sz w:val="22"/>
          <w:szCs w:val="22"/>
        </w:rPr>
      </w:pPr>
      <w:r>
        <w:rPr>
          <w:sz w:val="22"/>
          <w:szCs w:val="22"/>
        </w:rPr>
        <w:t>Table 3.3</w:t>
      </w:r>
      <w:r w:rsidR="00507F8F" w:rsidRPr="003E73CD">
        <w:rPr>
          <w:sz w:val="22"/>
          <w:szCs w:val="22"/>
        </w:rPr>
        <w:t>.7</w:t>
      </w:r>
      <w:r w:rsidR="0061482C" w:rsidRPr="003E73CD">
        <w:rPr>
          <w:sz w:val="22"/>
          <w:szCs w:val="22"/>
        </w:rPr>
        <w:t>.  Potential patterns of occult metastasis following wide excision and sentinel node biopsy with completion lymph node dissection for sentinel node positive nodal basins (black shading = melanoma still present, white = no melanoma present).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0"/>
        <w:gridCol w:w="1114"/>
        <w:gridCol w:w="1217"/>
        <w:gridCol w:w="912"/>
        <w:gridCol w:w="898"/>
        <w:gridCol w:w="835"/>
        <w:gridCol w:w="2758"/>
      </w:tblGrid>
      <w:tr w:rsidR="0061482C" w:rsidRPr="003E73CD" w14:paraId="75BD065D" w14:textId="77777777" w:rsidTr="000C2BAA">
        <w:tc>
          <w:tcPr>
            <w:tcW w:w="550" w:type="pct"/>
            <w:vMerge w:val="restart"/>
            <w:shd w:val="clear" w:color="auto" w:fill="auto"/>
          </w:tcPr>
          <w:p w14:paraId="447FB3CB" w14:textId="77777777" w:rsidR="0061482C" w:rsidRPr="003E73CD" w:rsidRDefault="0061482C" w:rsidP="00717272">
            <w:pPr>
              <w:rPr>
                <w:sz w:val="20"/>
                <w:szCs w:val="20"/>
              </w:rPr>
            </w:pPr>
            <w:r w:rsidRPr="003E73CD">
              <w:rPr>
                <w:sz w:val="20"/>
                <w:szCs w:val="20"/>
              </w:rPr>
              <w:t>Category</w:t>
            </w:r>
          </w:p>
        </w:tc>
        <w:tc>
          <w:tcPr>
            <w:tcW w:w="2793" w:type="pct"/>
            <w:gridSpan w:val="5"/>
            <w:shd w:val="clear" w:color="auto" w:fill="auto"/>
          </w:tcPr>
          <w:p w14:paraId="72215679" w14:textId="77777777" w:rsidR="0061482C" w:rsidRPr="003E73CD" w:rsidRDefault="0061482C" w:rsidP="00717272">
            <w:pPr>
              <w:jc w:val="center"/>
              <w:rPr>
                <w:sz w:val="20"/>
                <w:szCs w:val="20"/>
              </w:rPr>
            </w:pPr>
            <w:r w:rsidRPr="003E73CD">
              <w:rPr>
                <w:sz w:val="20"/>
                <w:szCs w:val="20"/>
              </w:rPr>
              <w:t>Presence or absence of residual melanoma at site following treatment</w:t>
            </w:r>
          </w:p>
        </w:tc>
        <w:tc>
          <w:tcPr>
            <w:tcW w:w="1657" w:type="pct"/>
            <w:vMerge w:val="restart"/>
            <w:shd w:val="clear" w:color="auto" w:fill="auto"/>
          </w:tcPr>
          <w:p w14:paraId="03FF5719" w14:textId="77777777" w:rsidR="0061482C" w:rsidRPr="003E73CD" w:rsidRDefault="0061482C" w:rsidP="00717272">
            <w:pPr>
              <w:jc w:val="center"/>
              <w:rPr>
                <w:sz w:val="20"/>
                <w:szCs w:val="20"/>
              </w:rPr>
            </w:pPr>
            <w:r w:rsidRPr="003E73CD">
              <w:rPr>
                <w:sz w:val="20"/>
                <w:szCs w:val="20"/>
              </w:rPr>
              <w:t>Likely type of initial recurrence</w:t>
            </w:r>
          </w:p>
        </w:tc>
      </w:tr>
      <w:tr w:rsidR="0061482C" w:rsidRPr="003E73CD" w14:paraId="276A2A64" w14:textId="77777777" w:rsidTr="000C2BAA">
        <w:tc>
          <w:tcPr>
            <w:tcW w:w="550" w:type="pct"/>
            <w:vMerge/>
            <w:shd w:val="clear" w:color="auto" w:fill="auto"/>
          </w:tcPr>
          <w:p w14:paraId="6FAA0509" w14:textId="77777777" w:rsidR="0061482C" w:rsidRPr="003E73CD" w:rsidRDefault="0061482C" w:rsidP="00717272">
            <w:pPr>
              <w:rPr>
                <w:sz w:val="20"/>
                <w:szCs w:val="20"/>
              </w:rPr>
            </w:pPr>
          </w:p>
        </w:tc>
        <w:tc>
          <w:tcPr>
            <w:tcW w:w="627" w:type="pct"/>
            <w:shd w:val="clear" w:color="auto" w:fill="auto"/>
          </w:tcPr>
          <w:p w14:paraId="68900FCC" w14:textId="77777777" w:rsidR="0061482C" w:rsidRPr="003E73CD" w:rsidRDefault="0061482C" w:rsidP="00717272">
            <w:pPr>
              <w:rPr>
                <w:sz w:val="20"/>
                <w:szCs w:val="20"/>
              </w:rPr>
            </w:pPr>
            <w:r w:rsidRPr="003E73CD">
              <w:rPr>
                <w:sz w:val="20"/>
                <w:szCs w:val="20"/>
              </w:rPr>
              <w:t>Primary melanoma site</w:t>
            </w:r>
          </w:p>
        </w:tc>
        <w:tc>
          <w:tcPr>
            <w:tcW w:w="686" w:type="pct"/>
            <w:shd w:val="clear" w:color="auto" w:fill="auto"/>
          </w:tcPr>
          <w:p w14:paraId="79BAE3BE" w14:textId="77777777" w:rsidR="0061482C" w:rsidRPr="003E73CD" w:rsidRDefault="0061482C" w:rsidP="00717272">
            <w:pPr>
              <w:rPr>
                <w:sz w:val="20"/>
                <w:szCs w:val="20"/>
              </w:rPr>
            </w:pPr>
            <w:r w:rsidRPr="003E73CD">
              <w:rPr>
                <w:sz w:val="20"/>
                <w:szCs w:val="20"/>
              </w:rPr>
              <w:t>Intervening lymphatics</w:t>
            </w:r>
          </w:p>
        </w:tc>
        <w:tc>
          <w:tcPr>
            <w:tcW w:w="511" w:type="pct"/>
            <w:shd w:val="clear" w:color="auto" w:fill="auto"/>
          </w:tcPr>
          <w:p w14:paraId="11BFD9AD" w14:textId="77777777" w:rsidR="0061482C" w:rsidRPr="003E73CD" w:rsidRDefault="0061482C" w:rsidP="00717272">
            <w:pPr>
              <w:rPr>
                <w:sz w:val="20"/>
                <w:szCs w:val="20"/>
              </w:rPr>
            </w:pPr>
            <w:r w:rsidRPr="003E73CD">
              <w:rPr>
                <w:sz w:val="20"/>
                <w:szCs w:val="20"/>
              </w:rPr>
              <w:t>Sentinel nodes</w:t>
            </w:r>
          </w:p>
        </w:tc>
        <w:tc>
          <w:tcPr>
            <w:tcW w:w="503" w:type="pct"/>
            <w:shd w:val="clear" w:color="auto" w:fill="auto"/>
          </w:tcPr>
          <w:p w14:paraId="080E79D3" w14:textId="77777777" w:rsidR="0061482C" w:rsidRPr="003E73CD" w:rsidRDefault="0061482C" w:rsidP="00717272">
            <w:pPr>
              <w:rPr>
                <w:sz w:val="20"/>
                <w:szCs w:val="20"/>
              </w:rPr>
            </w:pPr>
            <w:r w:rsidRPr="003E73CD">
              <w:rPr>
                <w:sz w:val="20"/>
                <w:szCs w:val="20"/>
              </w:rPr>
              <w:t>Non-sentinel nodes</w:t>
            </w:r>
          </w:p>
        </w:tc>
        <w:tc>
          <w:tcPr>
            <w:tcW w:w="467" w:type="pct"/>
            <w:shd w:val="clear" w:color="auto" w:fill="auto"/>
          </w:tcPr>
          <w:p w14:paraId="2E643B11" w14:textId="77777777" w:rsidR="0061482C" w:rsidRPr="003E73CD" w:rsidRDefault="0061482C" w:rsidP="00717272">
            <w:pPr>
              <w:rPr>
                <w:sz w:val="20"/>
                <w:szCs w:val="20"/>
              </w:rPr>
            </w:pPr>
            <w:r w:rsidRPr="003E73CD">
              <w:rPr>
                <w:sz w:val="20"/>
                <w:szCs w:val="20"/>
              </w:rPr>
              <w:t>Distant sites</w:t>
            </w:r>
          </w:p>
        </w:tc>
        <w:tc>
          <w:tcPr>
            <w:tcW w:w="1657" w:type="pct"/>
            <w:vMerge/>
            <w:shd w:val="clear" w:color="auto" w:fill="auto"/>
          </w:tcPr>
          <w:p w14:paraId="563AC37B" w14:textId="77777777" w:rsidR="0061482C" w:rsidRPr="003E73CD" w:rsidRDefault="0061482C" w:rsidP="00717272">
            <w:pPr>
              <w:rPr>
                <w:sz w:val="20"/>
                <w:szCs w:val="20"/>
              </w:rPr>
            </w:pPr>
          </w:p>
        </w:tc>
      </w:tr>
      <w:tr w:rsidR="0061482C" w:rsidRPr="003E73CD" w14:paraId="14681A0B" w14:textId="77777777" w:rsidTr="000C2BAA">
        <w:tc>
          <w:tcPr>
            <w:tcW w:w="550" w:type="pct"/>
            <w:shd w:val="clear" w:color="auto" w:fill="auto"/>
          </w:tcPr>
          <w:p w14:paraId="2EE8F69A" w14:textId="77777777" w:rsidR="0061482C" w:rsidRPr="003E73CD" w:rsidRDefault="0061482C" w:rsidP="00717272">
            <w:pPr>
              <w:rPr>
                <w:sz w:val="18"/>
                <w:szCs w:val="18"/>
              </w:rPr>
            </w:pPr>
            <w:r w:rsidRPr="003E73CD">
              <w:rPr>
                <w:sz w:val="18"/>
                <w:szCs w:val="18"/>
              </w:rPr>
              <w:t>1</w:t>
            </w:r>
          </w:p>
        </w:tc>
        <w:tc>
          <w:tcPr>
            <w:tcW w:w="627" w:type="pct"/>
            <w:shd w:val="clear" w:color="auto" w:fill="auto"/>
          </w:tcPr>
          <w:p w14:paraId="3A49353B" w14:textId="77777777" w:rsidR="0061482C" w:rsidRPr="003E73CD" w:rsidRDefault="0061482C" w:rsidP="00717272">
            <w:pPr>
              <w:rPr>
                <w:sz w:val="18"/>
                <w:szCs w:val="18"/>
              </w:rPr>
            </w:pPr>
          </w:p>
        </w:tc>
        <w:tc>
          <w:tcPr>
            <w:tcW w:w="686" w:type="pct"/>
            <w:shd w:val="clear" w:color="auto" w:fill="auto"/>
          </w:tcPr>
          <w:p w14:paraId="258BF69F" w14:textId="77777777" w:rsidR="0061482C" w:rsidRPr="003E73CD" w:rsidRDefault="0061482C" w:rsidP="00717272">
            <w:pPr>
              <w:rPr>
                <w:sz w:val="18"/>
                <w:szCs w:val="18"/>
              </w:rPr>
            </w:pPr>
          </w:p>
        </w:tc>
        <w:tc>
          <w:tcPr>
            <w:tcW w:w="511" w:type="pct"/>
            <w:shd w:val="clear" w:color="auto" w:fill="auto"/>
          </w:tcPr>
          <w:p w14:paraId="0580F19B" w14:textId="77777777" w:rsidR="0061482C" w:rsidRPr="003E73CD" w:rsidRDefault="0061482C" w:rsidP="00717272">
            <w:pPr>
              <w:rPr>
                <w:sz w:val="18"/>
                <w:szCs w:val="18"/>
              </w:rPr>
            </w:pPr>
          </w:p>
        </w:tc>
        <w:tc>
          <w:tcPr>
            <w:tcW w:w="503" w:type="pct"/>
            <w:shd w:val="clear" w:color="auto" w:fill="auto"/>
          </w:tcPr>
          <w:p w14:paraId="3EC1717E" w14:textId="77777777" w:rsidR="0061482C" w:rsidRPr="003E73CD" w:rsidRDefault="0061482C" w:rsidP="00717272">
            <w:pPr>
              <w:rPr>
                <w:sz w:val="18"/>
                <w:szCs w:val="18"/>
              </w:rPr>
            </w:pPr>
          </w:p>
        </w:tc>
        <w:tc>
          <w:tcPr>
            <w:tcW w:w="467" w:type="pct"/>
            <w:shd w:val="clear" w:color="auto" w:fill="auto"/>
          </w:tcPr>
          <w:p w14:paraId="1E2BD2BB" w14:textId="77777777" w:rsidR="0061482C" w:rsidRPr="003E73CD" w:rsidRDefault="0061482C" w:rsidP="00717272">
            <w:pPr>
              <w:rPr>
                <w:sz w:val="18"/>
                <w:szCs w:val="18"/>
              </w:rPr>
            </w:pPr>
          </w:p>
        </w:tc>
        <w:tc>
          <w:tcPr>
            <w:tcW w:w="1657" w:type="pct"/>
            <w:shd w:val="clear" w:color="auto" w:fill="auto"/>
          </w:tcPr>
          <w:p w14:paraId="12400F40" w14:textId="77777777" w:rsidR="0061482C" w:rsidRPr="003E73CD" w:rsidRDefault="0061482C" w:rsidP="00717272">
            <w:pPr>
              <w:rPr>
                <w:sz w:val="18"/>
                <w:szCs w:val="18"/>
              </w:rPr>
            </w:pPr>
            <w:r w:rsidRPr="003E73CD">
              <w:rPr>
                <w:sz w:val="18"/>
                <w:szCs w:val="18"/>
              </w:rPr>
              <w:t>None (cured)</w:t>
            </w:r>
          </w:p>
          <w:p w14:paraId="3E95D062" w14:textId="77777777" w:rsidR="0061482C" w:rsidRPr="003E73CD" w:rsidRDefault="0061482C" w:rsidP="00717272">
            <w:pPr>
              <w:rPr>
                <w:sz w:val="18"/>
                <w:szCs w:val="18"/>
              </w:rPr>
            </w:pPr>
          </w:p>
        </w:tc>
      </w:tr>
      <w:tr w:rsidR="0061482C" w:rsidRPr="003E73CD" w14:paraId="639BFCCF" w14:textId="77777777" w:rsidTr="000C2BAA">
        <w:tc>
          <w:tcPr>
            <w:tcW w:w="550" w:type="pct"/>
            <w:shd w:val="clear" w:color="auto" w:fill="auto"/>
          </w:tcPr>
          <w:p w14:paraId="78BBD4AF" w14:textId="77777777" w:rsidR="0061482C" w:rsidRPr="003E73CD" w:rsidRDefault="0061482C" w:rsidP="00717272">
            <w:pPr>
              <w:rPr>
                <w:sz w:val="18"/>
                <w:szCs w:val="18"/>
              </w:rPr>
            </w:pPr>
            <w:r w:rsidRPr="003E73CD">
              <w:rPr>
                <w:sz w:val="18"/>
                <w:szCs w:val="18"/>
              </w:rPr>
              <w:t>2</w:t>
            </w:r>
          </w:p>
        </w:tc>
        <w:tc>
          <w:tcPr>
            <w:tcW w:w="627" w:type="pct"/>
            <w:shd w:val="clear" w:color="auto" w:fill="000000"/>
          </w:tcPr>
          <w:p w14:paraId="58DB42B8" w14:textId="77777777" w:rsidR="0061482C" w:rsidRPr="003E73CD" w:rsidRDefault="0061482C" w:rsidP="00717272">
            <w:pPr>
              <w:rPr>
                <w:sz w:val="18"/>
                <w:szCs w:val="18"/>
              </w:rPr>
            </w:pPr>
          </w:p>
        </w:tc>
        <w:tc>
          <w:tcPr>
            <w:tcW w:w="686" w:type="pct"/>
            <w:shd w:val="clear" w:color="auto" w:fill="auto"/>
          </w:tcPr>
          <w:p w14:paraId="6E9B8480" w14:textId="77777777" w:rsidR="0061482C" w:rsidRPr="003E73CD" w:rsidRDefault="0061482C" w:rsidP="00717272">
            <w:pPr>
              <w:rPr>
                <w:sz w:val="18"/>
                <w:szCs w:val="18"/>
              </w:rPr>
            </w:pPr>
          </w:p>
        </w:tc>
        <w:tc>
          <w:tcPr>
            <w:tcW w:w="511" w:type="pct"/>
            <w:shd w:val="clear" w:color="auto" w:fill="auto"/>
          </w:tcPr>
          <w:p w14:paraId="5F3725C6" w14:textId="77777777" w:rsidR="0061482C" w:rsidRPr="003E73CD" w:rsidRDefault="0061482C" w:rsidP="00717272">
            <w:pPr>
              <w:rPr>
                <w:sz w:val="18"/>
                <w:szCs w:val="18"/>
              </w:rPr>
            </w:pPr>
          </w:p>
        </w:tc>
        <w:tc>
          <w:tcPr>
            <w:tcW w:w="503" w:type="pct"/>
            <w:shd w:val="clear" w:color="auto" w:fill="auto"/>
          </w:tcPr>
          <w:p w14:paraId="61B0FFC2" w14:textId="77777777" w:rsidR="0061482C" w:rsidRPr="003E73CD" w:rsidRDefault="0061482C" w:rsidP="00717272">
            <w:pPr>
              <w:rPr>
                <w:sz w:val="18"/>
                <w:szCs w:val="18"/>
              </w:rPr>
            </w:pPr>
          </w:p>
        </w:tc>
        <w:tc>
          <w:tcPr>
            <w:tcW w:w="467" w:type="pct"/>
            <w:shd w:val="clear" w:color="auto" w:fill="auto"/>
          </w:tcPr>
          <w:p w14:paraId="5E50A5B8" w14:textId="77777777" w:rsidR="0061482C" w:rsidRPr="003E73CD" w:rsidRDefault="0061482C" w:rsidP="00717272">
            <w:pPr>
              <w:rPr>
                <w:sz w:val="18"/>
                <w:szCs w:val="18"/>
              </w:rPr>
            </w:pPr>
          </w:p>
        </w:tc>
        <w:tc>
          <w:tcPr>
            <w:tcW w:w="1657" w:type="pct"/>
            <w:shd w:val="clear" w:color="auto" w:fill="auto"/>
          </w:tcPr>
          <w:p w14:paraId="56F2616E" w14:textId="77777777" w:rsidR="0061482C" w:rsidRPr="003E73CD" w:rsidRDefault="0061482C" w:rsidP="00717272">
            <w:pPr>
              <w:rPr>
                <w:sz w:val="18"/>
                <w:szCs w:val="18"/>
              </w:rPr>
            </w:pPr>
            <w:r w:rsidRPr="003E73CD">
              <w:rPr>
                <w:sz w:val="18"/>
                <w:szCs w:val="18"/>
              </w:rPr>
              <w:t>Local</w:t>
            </w:r>
          </w:p>
          <w:p w14:paraId="2B908DC8" w14:textId="77777777" w:rsidR="0061482C" w:rsidRPr="003E73CD" w:rsidRDefault="0061482C" w:rsidP="00717272">
            <w:pPr>
              <w:rPr>
                <w:sz w:val="18"/>
                <w:szCs w:val="18"/>
              </w:rPr>
            </w:pPr>
          </w:p>
        </w:tc>
      </w:tr>
      <w:tr w:rsidR="0061482C" w:rsidRPr="003E73CD" w14:paraId="63A48CA9" w14:textId="77777777" w:rsidTr="000C2BAA">
        <w:tc>
          <w:tcPr>
            <w:tcW w:w="550" w:type="pct"/>
            <w:shd w:val="clear" w:color="auto" w:fill="auto"/>
          </w:tcPr>
          <w:p w14:paraId="723E7227" w14:textId="77777777" w:rsidR="0061482C" w:rsidRPr="003E73CD" w:rsidRDefault="0061482C" w:rsidP="00717272">
            <w:pPr>
              <w:rPr>
                <w:sz w:val="18"/>
                <w:szCs w:val="18"/>
              </w:rPr>
            </w:pPr>
            <w:r w:rsidRPr="003E73CD">
              <w:rPr>
                <w:sz w:val="18"/>
                <w:szCs w:val="18"/>
              </w:rPr>
              <w:t>3</w:t>
            </w:r>
          </w:p>
        </w:tc>
        <w:tc>
          <w:tcPr>
            <w:tcW w:w="627" w:type="pct"/>
            <w:shd w:val="clear" w:color="auto" w:fill="auto"/>
          </w:tcPr>
          <w:p w14:paraId="60AE4404" w14:textId="77777777" w:rsidR="0061482C" w:rsidRPr="003E73CD" w:rsidRDefault="0061482C" w:rsidP="00717272">
            <w:pPr>
              <w:rPr>
                <w:sz w:val="18"/>
                <w:szCs w:val="18"/>
              </w:rPr>
            </w:pPr>
          </w:p>
        </w:tc>
        <w:tc>
          <w:tcPr>
            <w:tcW w:w="686" w:type="pct"/>
            <w:shd w:val="clear" w:color="auto" w:fill="000000"/>
          </w:tcPr>
          <w:p w14:paraId="1874456B" w14:textId="77777777" w:rsidR="0061482C" w:rsidRPr="003E73CD" w:rsidRDefault="0061482C" w:rsidP="00717272">
            <w:pPr>
              <w:rPr>
                <w:sz w:val="18"/>
                <w:szCs w:val="18"/>
              </w:rPr>
            </w:pPr>
          </w:p>
        </w:tc>
        <w:tc>
          <w:tcPr>
            <w:tcW w:w="511" w:type="pct"/>
            <w:shd w:val="clear" w:color="auto" w:fill="auto"/>
          </w:tcPr>
          <w:p w14:paraId="3F97C5EE" w14:textId="77777777" w:rsidR="0061482C" w:rsidRPr="003E73CD" w:rsidRDefault="0061482C" w:rsidP="00717272">
            <w:pPr>
              <w:rPr>
                <w:sz w:val="18"/>
                <w:szCs w:val="18"/>
              </w:rPr>
            </w:pPr>
          </w:p>
        </w:tc>
        <w:tc>
          <w:tcPr>
            <w:tcW w:w="503" w:type="pct"/>
            <w:shd w:val="clear" w:color="auto" w:fill="auto"/>
          </w:tcPr>
          <w:p w14:paraId="3C910DCF" w14:textId="77777777" w:rsidR="0061482C" w:rsidRPr="003E73CD" w:rsidRDefault="0061482C" w:rsidP="00717272">
            <w:pPr>
              <w:rPr>
                <w:sz w:val="18"/>
                <w:szCs w:val="18"/>
              </w:rPr>
            </w:pPr>
          </w:p>
        </w:tc>
        <w:tc>
          <w:tcPr>
            <w:tcW w:w="467" w:type="pct"/>
            <w:shd w:val="clear" w:color="auto" w:fill="auto"/>
          </w:tcPr>
          <w:p w14:paraId="23CB8994" w14:textId="77777777" w:rsidR="0061482C" w:rsidRPr="003E73CD" w:rsidRDefault="0061482C" w:rsidP="00717272">
            <w:pPr>
              <w:rPr>
                <w:sz w:val="18"/>
                <w:szCs w:val="18"/>
              </w:rPr>
            </w:pPr>
          </w:p>
        </w:tc>
        <w:tc>
          <w:tcPr>
            <w:tcW w:w="1657" w:type="pct"/>
            <w:shd w:val="clear" w:color="auto" w:fill="auto"/>
          </w:tcPr>
          <w:p w14:paraId="5269C244" w14:textId="73D1DA13" w:rsidR="0061482C" w:rsidRPr="003E73CD" w:rsidRDefault="009B1E00" w:rsidP="00717272">
            <w:pPr>
              <w:rPr>
                <w:sz w:val="18"/>
                <w:szCs w:val="18"/>
              </w:rPr>
            </w:pPr>
            <w:r>
              <w:rPr>
                <w:sz w:val="18"/>
                <w:szCs w:val="18"/>
              </w:rPr>
              <w:t>In-</w:t>
            </w:r>
            <w:r w:rsidR="0061482C" w:rsidRPr="003E73CD">
              <w:rPr>
                <w:sz w:val="18"/>
                <w:szCs w:val="18"/>
              </w:rPr>
              <w:t>transit</w:t>
            </w:r>
          </w:p>
          <w:p w14:paraId="3E4E79D4" w14:textId="77777777" w:rsidR="0061482C" w:rsidRPr="003E73CD" w:rsidRDefault="0061482C" w:rsidP="00717272">
            <w:pPr>
              <w:rPr>
                <w:sz w:val="18"/>
                <w:szCs w:val="18"/>
              </w:rPr>
            </w:pPr>
          </w:p>
        </w:tc>
      </w:tr>
      <w:tr w:rsidR="0061482C" w:rsidRPr="003E73CD" w14:paraId="0AC74ADD" w14:textId="77777777" w:rsidTr="000C2BAA">
        <w:tc>
          <w:tcPr>
            <w:tcW w:w="550" w:type="pct"/>
            <w:shd w:val="clear" w:color="auto" w:fill="auto"/>
          </w:tcPr>
          <w:p w14:paraId="3AB516A5" w14:textId="77777777" w:rsidR="0061482C" w:rsidRPr="003E73CD" w:rsidRDefault="0061482C" w:rsidP="00717272">
            <w:pPr>
              <w:rPr>
                <w:sz w:val="18"/>
                <w:szCs w:val="18"/>
              </w:rPr>
            </w:pPr>
            <w:r w:rsidRPr="003E73CD">
              <w:rPr>
                <w:sz w:val="18"/>
                <w:szCs w:val="18"/>
              </w:rPr>
              <w:t>4</w:t>
            </w:r>
          </w:p>
        </w:tc>
        <w:tc>
          <w:tcPr>
            <w:tcW w:w="627" w:type="pct"/>
            <w:shd w:val="clear" w:color="auto" w:fill="auto"/>
          </w:tcPr>
          <w:p w14:paraId="50329D52" w14:textId="77777777" w:rsidR="0061482C" w:rsidRPr="003E73CD" w:rsidRDefault="0061482C" w:rsidP="00717272">
            <w:pPr>
              <w:rPr>
                <w:sz w:val="18"/>
                <w:szCs w:val="18"/>
              </w:rPr>
            </w:pPr>
          </w:p>
        </w:tc>
        <w:tc>
          <w:tcPr>
            <w:tcW w:w="686" w:type="pct"/>
            <w:shd w:val="clear" w:color="auto" w:fill="auto"/>
          </w:tcPr>
          <w:p w14:paraId="40CA236A" w14:textId="77777777" w:rsidR="0061482C" w:rsidRPr="003E73CD" w:rsidRDefault="0061482C" w:rsidP="00717272">
            <w:pPr>
              <w:rPr>
                <w:sz w:val="18"/>
                <w:szCs w:val="18"/>
              </w:rPr>
            </w:pPr>
          </w:p>
        </w:tc>
        <w:tc>
          <w:tcPr>
            <w:tcW w:w="511" w:type="pct"/>
            <w:shd w:val="clear" w:color="auto" w:fill="000000"/>
          </w:tcPr>
          <w:p w14:paraId="25BD5E12" w14:textId="77777777" w:rsidR="0061482C" w:rsidRPr="003E73CD" w:rsidRDefault="0061482C" w:rsidP="00717272">
            <w:pPr>
              <w:rPr>
                <w:sz w:val="18"/>
                <w:szCs w:val="18"/>
              </w:rPr>
            </w:pPr>
          </w:p>
        </w:tc>
        <w:tc>
          <w:tcPr>
            <w:tcW w:w="503" w:type="pct"/>
            <w:shd w:val="clear" w:color="auto" w:fill="auto"/>
          </w:tcPr>
          <w:p w14:paraId="6CCE93BB" w14:textId="77777777" w:rsidR="0061482C" w:rsidRPr="003E73CD" w:rsidRDefault="0061482C" w:rsidP="00717272">
            <w:pPr>
              <w:rPr>
                <w:sz w:val="18"/>
                <w:szCs w:val="18"/>
              </w:rPr>
            </w:pPr>
          </w:p>
        </w:tc>
        <w:tc>
          <w:tcPr>
            <w:tcW w:w="467" w:type="pct"/>
            <w:shd w:val="clear" w:color="auto" w:fill="auto"/>
          </w:tcPr>
          <w:p w14:paraId="4C0659CE" w14:textId="77777777" w:rsidR="0061482C" w:rsidRPr="003E73CD" w:rsidRDefault="0061482C" w:rsidP="00717272">
            <w:pPr>
              <w:rPr>
                <w:sz w:val="18"/>
                <w:szCs w:val="18"/>
              </w:rPr>
            </w:pPr>
          </w:p>
        </w:tc>
        <w:tc>
          <w:tcPr>
            <w:tcW w:w="1657" w:type="pct"/>
            <w:shd w:val="clear" w:color="auto" w:fill="auto"/>
          </w:tcPr>
          <w:p w14:paraId="2AB00AD4" w14:textId="77777777" w:rsidR="0061482C" w:rsidRPr="003E73CD" w:rsidRDefault="0061482C" w:rsidP="00717272">
            <w:pPr>
              <w:rPr>
                <w:sz w:val="18"/>
                <w:szCs w:val="18"/>
              </w:rPr>
            </w:pPr>
            <w:r w:rsidRPr="003E73CD">
              <w:rPr>
                <w:sz w:val="18"/>
                <w:szCs w:val="18"/>
              </w:rPr>
              <w:t>Nodal</w:t>
            </w:r>
          </w:p>
          <w:p w14:paraId="3E9C3C6F" w14:textId="77777777" w:rsidR="0061482C" w:rsidRPr="003E73CD" w:rsidRDefault="0061482C" w:rsidP="00717272">
            <w:pPr>
              <w:rPr>
                <w:sz w:val="18"/>
                <w:szCs w:val="18"/>
              </w:rPr>
            </w:pPr>
          </w:p>
        </w:tc>
      </w:tr>
      <w:tr w:rsidR="0061482C" w:rsidRPr="003E73CD" w14:paraId="627C424C" w14:textId="77777777" w:rsidTr="000C2BAA">
        <w:tc>
          <w:tcPr>
            <w:tcW w:w="550" w:type="pct"/>
            <w:shd w:val="clear" w:color="auto" w:fill="auto"/>
          </w:tcPr>
          <w:p w14:paraId="1A8FC047" w14:textId="77777777" w:rsidR="0061482C" w:rsidRPr="003E73CD" w:rsidRDefault="0061482C" w:rsidP="00717272">
            <w:pPr>
              <w:rPr>
                <w:sz w:val="18"/>
                <w:szCs w:val="18"/>
              </w:rPr>
            </w:pPr>
            <w:r w:rsidRPr="003E73CD">
              <w:rPr>
                <w:sz w:val="18"/>
                <w:szCs w:val="18"/>
              </w:rPr>
              <w:t>5</w:t>
            </w:r>
          </w:p>
        </w:tc>
        <w:tc>
          <w:tcPr>
            <w:tcW w:w="627" w:type="pct"/>
            <w:shd w:val="clear" w:color="auto" w:fill="auto"/>
          </w:tcPr>
          <w:p w14:paraId="17D01BEB" w14:textId="77777777" w:rsidR="0061482C" w:rsidRPr="003E73CD" w:rsidRDefault="0061482C" w:rsidP="00717272">
            <w:pPr>
              <w:rPr>
                <w:sz w:val="18"/>
                <w:szCs w:val="18"/>
              </w:rPr>
            </w:pPr>
          </w:p>
        </w:tc>
        <w:tc>
          <w:tcPr>
            <w:tcW w:w="686" w:type="pct"/>
            <w:shd w:val="clear" w:color="auto" w:fill="auto"/>
          </w:tcPr>
          <w:p w14:paraId="25CBBBB9" w14:textId="77777777" w:rsidR="0061482C" w:rsidRPr="003E73CD" w:rsidRDefault="0061482C" w:rsidP="00717272">
            <w:pPr>
              <w:rPr>
                <w:sz w:val="18"/>
                <w:szCs w:val="18"/>
              </w:rPr>
            </w:pPr>
          </w:p>
        </w:tc>
        <w:tc>
          <w:tcPr>
            <w:tcW w:w="511" w:type="pct"/>
            <w:shd w:val="clear" w:color="auto" w:fill="auto"/>
          </w:tcPr>
          <w:p w14:paraId="13ED6846" w14:textId="77777777" w:rsidR="0061482C" w:rsidRPr="003E73CD" w:rsidRDefault="0061482C" w:rsidP="00717272">
            <w:pPr>
              <w:rPr>
                <w:sz w:val="18"/>
                <w:szCs w:val="18"/>
              </w:rPr>
            </w:pPr>
          </w:p>
        </w:tc>
        <w:tc>
          <w:tcPr>
            <w:tcW w:w="503" w:type="pct"/>
            <w:shd w:val="clear" w:color="auto" w:fill="000000"/>
          </w:tcPr>
          <w:p w14:paraId="15C60486" w14:textId="77777777" w:rsidR="0061482C" w:rsidRPr="003E73CD" w:rsidRDefault="0061482C" w:rsidP="00717272">
            <w:pPr>
              <w:rPr>
                <w:sz w:val="18"/>
                <w:szCs w:val="18"/>
              </w:rPr>
            </w:pPr>
          </w:p>
        </w:tc>
        <w:tc>
          <w:tcPr>
            <w:tcW w:w="467" w:type="pct"/>
            <w:shd w:val="clear" w:color="auto" w:fill="auto"/>
          </w:tcPr>
          <w:p w14:paraId="68A839E8" w14:textId="77777777" w:rsidR="0061482C" w:rsidRPr="003E73CD" w:rsidRDefault="0061482C" w:rsidP="00717272">
            <w:pPr>
              <w:rPr>
                <w:sz w:val="18"/>
                <w:szCs w:val="18"/>
              </w:rPr>
            </w:pPr>
          </w:p>
        </w:tc>
        <w:tc>
          <w:tcPr>
            <w:tcW w:w="1657" w:type="pct"/>
            <w:shd w:val="clear" w:color="auto" w:fill="auto"/>
          </w:tcPr>
          <w:p w14:paraId="18C26016" w14:textId="77777777" w:rsidR="0061482C" w:rsidRPr="003E73CD" w:rsidRDefault="0061482C" w:rsidP="00717272">
            <w:pPr>
              <w:rPr>
                <w:sz w:val="18"/>
                <w:szCs w:val="18"/>
              </w:rPr>
            </w:pPr>
            <w:r w:rsidRPr="003E73CD">
              <w:rPr>
                <w:sz w:val="18"/>
                <w:szCs w:val="18"/>
              </w:rPr>
              <w:t>Nodal</w:t>
            </w:r>
          </w:p>
          <w:p w14:paraId="73ECE78F" w14:textId="77777777" w:rsidR="0061482C" w:rsidRPr="003E73CD" w:rsidRDefault="0061482C" w:rsidP="00717272">
            <w:pPr>
              <w:rPr>
                <w:sz w:val="18"/>
                <w:szCs w:val="18"/>
              </w:rPr>
            </w:pPr>
          </w:p>
        </w:tc>
      </w:tr>
      <w:tr w:rsidR="0061482C" w:rsidRPr="003E73CD" w14:paraId="728D3350" w14:textId="77777777" w:rsidTr="000C2BAA">
        <w:tc>
          <w:tcPr>
            <w:tcW w:w="550" w:type="pct"/>
            <w:shd w:val="clear" w:color="auto" w:fill="auto"/>
          </w:tcPr>
          <w:p w14:paraId="5408466F" w14:textId="77777777" w:rsidR="0061482C" w:rsidRPr="003E73CD" w:rsidRDefault="0061482C" w:rsidP="00717272">
            <w:pPr>
              <w:rPr>
                <w:sz w:val="18"/>
                <w:szCs w:val="18"/>
              </w:rPr>
            </w:pPr>
            <w:r w:rsidRPr="003E73CD">
              <w:rPr>
                <w:sz w:val="18"/>
                <w:szCs w:val="18"/>
              </w:rPr>
              <w:t>6</w:t>
            </w:r>
          </w:p>
        </w:tc>
        <w:tc>
          <w:tcPr>
            <w:tcW w:w="627" w:type="pct"/>
            <w:shd w:val="clear" w:color="auto" w:fill="auto"/>
          </w:tcPr>
          <w:p w14:paraId="5C82EE95" w14:textId="77777777" w:rsidR="0061482C" w:rsidRPr="003E73CD" w:rsidRDefault="0061482C" w:rsidP="00717272">
            <w:pPr>
              <w:rPr>
                <w:sz w:val="18"/>
                <w:szCs w:val="18"/>
              </w:rPr>
            </w:pPr>
          </w:p>
        </w:tc>
        <w:tc>
          <w:tcPr>
            <w:tcW w:w="686" w:type="pct"/>
            <w:shd w:val="clear" w:color="auto" w:fill="auto"/>
          </w:tcPr>
          <w:p w14:paraId="2607B74D" w14:textId="77777777" w:rsidR="0061482C" w:rsidRPr="003E73CD" w:rsidRDefault="0061482C" w:rsidP="00717272">
            <w:pPr>
              <w:rPr>
                <w:sz w:val="18"/>
                <w:szCs w:val="18"/>
              </w:rPr>
            </w:pPr>
          </w:p>
        </w:tc>
        <w:tc>
          <w:tcPr>
            <w:tcW w:w="511" w:type="pct"/>
            <w:shd w:val="clear" w:color="auto" w:fill="auto"/>
          </w:tcPr>
          <w:p w14:paraId="110FD167" w14:textId="77777777" w:rsidR="0061482C" w:rsidRPr="003E73CD" w:rsidRDefault="0061482C" w:rsidP="00717272">
            <w:pPr>
              <w:rPr>
                <w:sz w:val="18"/>
                <w:szCs w:val="18"/>
              </w:rPr>
            </w:pPr>
          </w:p>
        </w:tc>
        <w:tc>
          <w:tcPr>
            <w:tcW w:w="503" w:type="pct"/>
            <w:shd w:val="clear" w:color="auto" w:fill="auto"/>
          </w:tcPr>
          <w:p w14:paraId="26E11A63" w14:textId="77777777" w:rsidR="0061482C" w:rsidRPr="003E73CD" w:rsidRDefault="0061482C" w:rsidP="00717272">
            <w:pPr>
              <w:rPr>
                <w:sz w:val="18"/>
                <w:szCs w:val="18"/>
              </w:rPr>
            </w:pPr>
          </w:p>
        </w:tc>
        <w:tc>
          <w:tcPr>
            <w:tcW w:w="467" w:type="pct"/>
            <w:shd w:val="clear" w:color="auto" w:fill="000000"/>
          </w:tcPr>
          <w:p w14:paraId="24BE03C2" w14:textId="77777777" w:rsidR="0061482C" w:rsidRPr="003E73CD" w:rsidRDefault="0061482C" w:rsidP="00717272">
            <w:pPr>
              <w:rPr>
                <w:sz w:val="18"/>
                <w:szCs w:val="18"/>
              </w:rPr>
            </w:pPr>
          </w:p>
        </w:tc>
        <w:tc>
          <w:tcPr>
            <w:tcW w:w="1657" w:type="pct"/>
            <w:shd w:val="clear" w:color="auto" w:fill="auto"/>
          </w:tcPr>
          <w:p w14:paraId="28A3015F" w14:textId="77777777" w:rsidR="0061482C" w:rsidRPr="003E73CD" w:rsidRDefault="0061482C" w:rsidP="00717272">
            <w:pPr>
              <w:rPr>
                <w:sz w:val="18"/>
                <w:szCs w:val="18"/>
              </w:rPr>
            </w:pPr>
            <w:r w:rsidRPr="003E73CD">
              <w:rPr>
                <w:sz w:val="18"/>
                <w:szCs w:val="18"/>
              </w:rPr>
              <w:t>Distant</w:t>
            </w:r>
          </w:p>
          <w:p w14:paraId="10784F77" w14:textId="77777777" w:rsidR="0061482C" w:rsidRPr="003E73CD" w:rsidRDefault="0061482C" w:rsidP="00717272">
            <w:pPr>
              <w:rPr>
                <w:sz w:val="18"/>
                <w:szCs w:val="18"/>
              </w:rPr>
            </w:pPr>
          </w:p>
        </w:tc>
      </w:tr>
      <w:tr w:rsidR="0061482C" w:rsidRPr="003E73CD" w14:paraId="0404D8A9" w14:textId="77777777" w:rsidTr="000C2BAA">
        <w:tc>
          <w:tcPr>
            <w:tcW w:w="550" w:type="pct"/>
            <w:shd w:val="clear" w:color="auto" w:fill="auto"/>
          </w:tcPr>
          <w:p w14:paraId="2DF66EE9" w14:textId="77777777" w:rsidR="0061482C" w:rsidRPr="003E73CD" w:rsidRDefault="0061482C" w:rsidP="00717272">
            <w:pPr>
              <w:rPr>
                <w:sz w:val="18"/>
                <w:szCs w:val="18"/>
              </w:rPr>
            </w:pPr>
            <w:r w:rsidRPr="003E73CD">
              <w:rPr>
                <w:sz w:val="18"/>
                <w:szCs w:val="18"/>
              </w:rPr>
              <w:t>7</w:t>
            </w:r>
          </w:p>
        </w:tc>
        <w:tc>
          <w:tcPr>
            <w:tcW w:w="627" w:type="pct"/>
            <w:shd w:val="clear" w:color="auto" w:fill="000000"/>
          </w:tcPr>
          <w:p w14:paraId="6209BB62" w14:textId="77777777" w:rsidR="0061482C" w:rsidRPr="003E73CD" w:rsidRDefault="0061482C" w:rsidP="00717272">
            <w:pPr>
              <w:rPr>
                <w:sz w:val="18"/>
                <w:szCs w:val="18"/>
              </w:rPr>
            </w:pPr>
          </w:p>
        </w:tc>
        <w:tc>
          <w:tcPr>
            <w:tcW w:w="686" w:type="pct"/>
            <w:shd w:val="clear" w:color="auto" w:fill="000000"/>
          </w:tcPr>
          <w:p w14:paraId="2A66772B" w14:textId="77777777" w:rsidR="0061482C" w:rsidRPr="003E73CD" w:rsidRDefault="0061482C" w:rsidP="00717272">
            <w:pPr>
              <w:rPr>
                <w:sz w:val="18"/>
                <w:szCs w:val="18"/>
              </w:rPr>
            </w:pPr>
          </w:p>
        </w:tc>
        <w:tc>
          <w:tcPr>
            <w:tcW w:w="511" w:type="pct"/>
            <w:shd w:val="clear" w:color="auto" w:fill="auto"/>
          </w:tcPr>
          <w:p w14:paraId="37F67AEC" w14:textId="77777777" w:rsidR="0061482C" w:rsidRPr="003E73CD" w:rsidRDefault="0061482C" w:rsidP="00717272">
            <w:pPr>
              <w:rPr>
                <w:sz w:val="18"/>
                <w:szCs w:val="18"/>
              </w:rPr>
            </w:pPr>
          </w:p>
        </w:tc>
        <w:tc>
          <w:tcPr>
            <w:tcW w:w="503" w:type="pct"/>
            <w:shd w:val="clear" w:color="auto" w:fill="auto"/>
          </w:tcPr>
          <w:p w14:paraId="05D68276" w14:textId="77777777" w:rsidR="0061482C" w:rsidRPr="003E73CD" w:rsidRDefault="0061482C" w:rsidP="00717272">
            <w:pPr>
              <w:rPr>
                <w:sz w:val="18"/>
                <w:szCs w:val="18"/>
              </w:rPr>
            </w:pPr>
          </w:p>
        </w:tc>
        <w:tc>
          <w:tcPr>
            <w:tcW w:w="467" w:type="pct"/>
            <w:shd w:val="clear" w:color="auto" w:fill="auto"/>
          </w:tcPr>
          <w:p w14:paraId="11578A5D" w14:textId="77777777" w:rsidR="0061482C" w:rsidRPr="003E73CD" w:rsidRDefault="0061482C" w:rsidP="00717272">
            <w:pPr>
              <w:rPr>
                <w:sz w:val="18"/>
                <w:szCs w:val="18"/>
              </w:rPr>
            </w:pPr>
          </w:p>
        </w:tc>
        <w:tc>
          <w:tcPr>
            <w:tcW w:w="1657" w:type="pct"/>
            <w:shd w:val="clear" w:color="auto" w:fill="auto"/>
          </w:tcPr>
          <w:p w14:paraId="6663CCAD" w14:textId="4A8301CD" w:rsidR="0061482C" w:rsidRPr="003E73CD" w:rsidRDefault="0061482C" w:rsidP="00717272">
            <w:pPr>
              <w:rPr>
                <w:sz w:val="18"/>
                <w:szCs w:val="18"/>
              </w:rPr>
            </w:pPr>
            <w:r w:rsidRPr="003E73CD">
              <w:rPr>
                <w:sz w:val="18"/>
                <w:szCs w:val="18"/>
              </w:rPr>
              <w:t>Local + in</w:t>
            </w:r>
            <w:r w:rsidR="009B1E00">
              <w:rPr>
                <w:sz w:val="18"/>
                <w:szCs w:val="18"/>
              </w:rPr>
              <w:t>-</w:t>
            </w:r>
            <w:r w:rsidRPr="003E73CD">
              <w:rPr>
                <w:sz w:val="18"/>
                <w:szCs w:val="18"/>
              </w:rPr>
              <w:t>transit</w:t>
            </w:r>
          </w:p>
          <w:p w14:paraId="1DB00036" w14:textId="77777777" w:rsidR="0061482C" w:rsidRPr="003E73CD" w:rsidRDefault="0061482C" w:rsidP="00717272">
            <w:pPr>
              <w:rPr>
                <w:sz w:val="18"/>
                <w:szCs w:val="18"/>
              </w:rPr>
            </w:pPr>
          </w:p>
        </w:tc>
      </w:tr>
      <w:tr w:rsidR="0061482C" w:rsidRPr="003E73CD" w14:paraId="54F29661" w14:textId="77777777" w:rsidTr="000C2BAA">
        <w:tc>
          <w:tcPr>
            <w:tcW w:w="550" w:type="pct"/>
            <w:shd w:val="clear" w:color="auto" w:fill="auto"/>
          </w:tcPr>
          <w:p w14:paraId="48F871FB" w14:textId="77777777" w:rsidR="0061482C" w:rsidRPr="003E73CD" w:rsidRDefault="0061482C" w:rsidP="00717272">
            <w:pPr>
              <w:rPr>
                <w:sz w:val="18"/>
                <w:szCs w:val="18"/>
              </w:rPr>
            </w:pPr>
            <w:r w:rsidRPr="003E73CD">
              <w:rPr>
                <w:sz w:val="18"/>
                <w:szCs w:val="18"/>
              </w:rPr>
              <w:t>8</w:t>
            </w:r>
          </w:p>
        </w:tc>
        <w:tc>
          <w:tcPr>
            <w:tcW w:w="627" w:type="pct"/>
            <w:shd w:val="clear" w:color="auto" w:fill="auto"/>
          </w:tcPr>
          <w:p w14:paraId="7E3998ED" w14:textId="77777777" w:rsidR="0061482C" w:rsidRPr="003E73CD" w:rsidRDefault="0061482C" w:rsidP="00717272">
            <w:pPr>
              <w:rPr>
                <w:sz w:val="18"/>
                <w:szCs w:val="18"/>
              </w:rPr>
            </w:pPr>
          </w:p>
        </w:tc>
        <w:tc>
          <w:tcPr>
            <w:tcW w:w="686" w:type="pct"/>
            <w:shd w:val="clear" w:color="auto" w:fill="000000"/>
          </w:tcPr>
          <w:p w14:paraId="02ACA7C6" w14:textId="77777777" w:rsidR="0061482C" w:rsidRPr="003E73CD" w:rsidRDefault="0061482C" w:rsidP="00717272">
            <w:pPr>
              <w:rPr>
                <w:sz w:val="18"/>
                <w:szCs w:val="18"/>
              </w:rPr>
            </w:pPr>
          </w:p>
        </w:tc>
        <w:tc>
          <w:tcPr>
            <w:tcW w:w="511" w:type="pct"/>
            <w:shd w:val="clear" w:color="auto" w:fill="000000"/>
          </w:tcPr>
          <w:p w14:paraId="34AD0B28" w14:textId="77777777" w:rsidR="0061482C" w:rsidRPr="003E73CD" w:rsidRDefault="0061482C" w:rsidP="00717272">
            <w:pPr>
              <w:rPr>
                <w:sz w:val="18"/>
                <w:szCs w:val="18"/>
              </w:rPr>
            </w:pPr>
          </w:p>
        </w:tc>
        <w:tc>
          <w:tcPr>
            <w:tcW w:w="503" w:type="pct"/>
            <w:shd w:val="clear" w:color="auto" w:fill="auto"/>
          </w:tcPr>
          <w:p w14:paraId="6D91C829" w14:textId="77777777" w:rsidR="0061482C" w:rsidRPr="003E73CD" w:rsidRDefault="0061482C" w:rsidP="00717272">
            <w:pPr>
              <w:rPr>
                <w:sz w:val="18"/>
                <w:szCs w:val="18"/>
              </w:rPr>
            </w:pPr>
          </w:p>
        </w:tc>
        <w:tc>
          <w:tcPr>
            <w:tcW w:w="467" w:type="pct"/>
            <w:shd w:val="clear" w:color="auto" w:fill="auto"/>
          </w:tcPr>
          <w:p w14:paraId="0CB8BA71" w14:textId="77777777" w:rsidR="0061482C" w:rsidRPr="003E73CD" w:rsidRDefault="0061482C" w:rsidP="00717272">
            <w:pPr>
              <w:rPr>
                <w:sz w:val="18"/>
                <w:szCs w:val="18"/>
              </w:rPr>
            </w:pPr>
          </w:p>
        </w:tc>
        <w:tc>
          <w:tcPr>
            <w:tcW w:w="1657" w:type="pct"/>
            <w:shd w:val="clear" w:color="auto" w:fill="auto"/>
          </w:tcPr>
          <w:p w14:paraId="25D54A1C" w14:textId="69CFBA9F" w:rsidR="0061482C" w:rsidRPr="003E73CD" w:rsidRDefault="0061482C" w:rsidP="00717272">
            <w:pPr>
              <w:rPr>
                <w:sz w:val="18"/>
                <w:szCs w:val="18"/>
              </w:rPr>
            </w:pPr>
            <w:r w:rsidRPr="003E73CD">
              <w:rPr>
                <w:sz w:val="18"/>
                <w:szCs w:val="18"/>
              </w:rPr>
              <w:t>In</w:t>
            </w:r>
            <w:r w:rsidR="009B1E00">
              <w:rPr>
                <w:sz w:val="18"/>
                <w:szCs w:val="18"/>
              </w:rPr>
              <w:t>-</w:t>
            </w:r>
            <w:r w:rsidRPr="003E73CD">
              <w:rPr>
                <w:sz w:val="18"/>
                <w:szCs w:val="18"/>
              </w:rPr>
              <w:t>transit + nodal</w:t>
            </w:r>
          </w:p>
          <w:p w14:paraId="0288CB79" w14:textId="77777777" w:rsidR="0061482C" w:rsidRPr="003E73CD" w:rsidRDefault="0061482C" w:rsidP="00717272">
            <w:pPr>
              <w:rPr>
                <w:sz w:val="18"/>
                <w:szCs w:val="18"/>
              </w:rPr>
            </w:pPr>
          </w:p>
        </w:tc>
      </w:tr>
      <w:tr w:rsidR="0061482C" w:rsidRPr="003E73CD" w14:paraId="3A005AF0" w14:textId="77777777" w:rsidTr="000C2BAA">
        <w:tc>
          <w:tcPr>
            <w:tcW w:w="550" w:type="pct"/>
            <w:shd w:val="clear" w:color="auto" w:fill="auto"/>
          </w:tcPr>
          <w:p w14:paraId="797FF4A2" w14:textId="77777777" w:rsidR="0061482C" w:rsidRPr="003E73CD" w:rsidRDefault="0061482C" w:rsidP="00717272">
            <w:pPr>
              <w:rPr>
                <w:sz w:val="18"/>
                <w:szCs w:val="18"/>
              </w:rPr>
            </w:pPr>
            <w:r w:rsidRPr="003E73CD">
              <w:rPr>
                <w:sz w:val="18"/>
                <w:szCs w:val="18"/>
              </w:rPr>
              <w:t>9</w:t>
            </w:r>
          </w:p>
        </w:tc>
        <w:tc>
          <w:tcPr>
            <w:tcW w:w="627" w:type="pct"/>
            <w:shd w:val="clear" w:color="auto" w:fill="auto"/>
          </w:tcPr>
          <w:p w14:paraId="3CD8E330" w14:textId="77777777" w:rsidR="0061482C" w:rsidRPr="003E73CD" w:rsidRDefault="0061482C" w:rsidP="00717272">
            <w:pPr>
              <w:rPr>
                <w:sz w:val="18"/>
                <w:szCs w:val="18"/>
              </w:rPr>
            </w:pPr>
          </w:p>
        </w:tc>
        <w:tc>
          <w:tcPr>
            <w:tcW w:w="686" w:type="pct"/>
            <w:shd w:val="clear" w:color="auto" w:fill="auto"/>
          </w:tcPr>
          <w:p w14:paraId="6790777C" w14:textId="77777777" w:rsidR="0061482C" w:rsidRPr="003E73CD" w:rsidRDefault="0061482C" w:rsidP="00717272">
            <w:pPr>
              <w:rPr>
                <w:sz w:val="18"/>
                <w:szCs w:val="18"/>
              </w:rPr>
            </w:pPr>
          </w:p>
        </w:tc>
        <w:tc>
          <w:tcPr>
            <w:tcW w:w="511" w:type="pct"/>
            <w:shd w:val="clear" w:color="auto" w:fill="000000"/>
          </w:tcPr>
          <w:p w14:paraId="2C44C217" w14:textId="77777777" w:rsidR="0061482C" w:rsidRPr="003E73CD" w:rsidRDefault="0061482C" w:rsidP="00717272">
            <w:pPr>
              <w:rPr>
                <w:sz w:val="18"/>
                <w:szCs w:val="18"/>
              </w:rPr>
            </w:pPr>
          </w:p>
        </w:tc>
        <w:tc>
          <w:tcPr>
            <w:tcW w:w="503" w:type="pct"/>
            <w:shd w:val="clear" w:color="auto" w:fill="000000"/>
          </w:tcPr>
          <w:p w14:paraId="64D6B15D" w14:textId="77777777" w:rsidR="0061482C" w:rsidRPr="003E73CD" w:rsidRDefault="0061482C" w:rsidP="00717272">
            <w:pPr>
              <w:rPr>
                <w:sz w:val="18"/>
                <w:szCs w:val="18"/>
              </w:rPr>
            </w:pPr>
          </w:p>
        </w:tc>
        <w:tc>
          <w:tcPr>
            <w:tcW w:w="467" w:type="pct"/>
            <w:shd w:val="clear" w:color="auto" w:fill="auto"/>
          </w:tcPr>
          <w:p w14:paraId="1B5F21CB" w14:textId="77777777" w:rsidR="0061482C" w:rsidRPr="003E73CD" w:rsidRDefault="0061482C" w:rsidP="00717272">
            <w:pPr>
              <w:rPr>
                <w:sz w:val="18"/>
                <w:szCs w:val="18"/>
              </w:rPr>
            </w:pPr>
          </w:p>
        </w:tc>
        <w:tc>
          <w:tcPr>
            <w:tcW w:w="1657" w:type="pct"/>
            <w:shd w:val="clear" w:color="auto" w:fill="auto"/>
          </w:tcPr>
          <w:p w14:paraId="2BA01687" w14:textId="77777777" w:rsidR="0061482C" w:rsidRPr="003E73CD" w:rsidRDefault="0061482C" w:rsidP="00717272">
            <w:pPr>
              <w:rPr>
                <w:sz w:val="18"/>
                <w:szCs w:val="18"/>
              </w:rPr>
            </w:pPr>
            <w:r w:rsidRPr="003E73CD">
              <w:rPr>
                <w:sz w:val="18"/>
                <w:szCs w:val="18"/>
              </w:rPr>
              <w:t>Nodal</w:t>
            </w:r>
          </w:p>
          <w:p w14:paraId="378D1235" w14:textId="77777777" w:rsidR="0061482C" w:rsidRPr="003E73CD" w:rsidRDefault="0061482C" w:rsidP="00717272">
            <w:pPr>
              <w:rPr>
                <w:sz w:val="18"/>
                <w:szCs w:val="18"/>
              </w:rPr>
            </w:pPr>
          </w:p>
        </w:tc>
      </w:tr>
      <w:tr w:rsidR="0061482C" w:rsidRPr="003E73CD" w14:paraId="787225B7" w14:textId="77777777" w:rsidTr="000C2BAA">
        <w:tc>
          <w:tcPr>
            <w:tcW w:w="550" w:type="pct"/>
            <w:shd w:val="clear" w:color="auto" w:fill="auto"/>
          </w:tcPr>
          <w:p w14:paraId="3AAD814E" w14:textId="77777777" w:rsidR="0061482C" w:rsidRPr="003E73CD" w:rsidRDefault="0061482C" w:rsidP="00717272">
            <w:pPr>
              <w:rPr>
                <w:sz w:val="18"/>
                <w:szCs w:val="18"/>
              </w:rPr>
            </w:pPr>
            <w:r w:rsidRPr="003E73CD">
              <w:rPr>
                <w:sz w:val="18"/>
                <w:szCs w:val="18"/>
              </w:rPr>
              <w:t>10</w:t>
            </w:r>
          </w:p>
        </w:tc>
        <w:tc>
          <w:tcPr>
            <w:tcW w:w="627" w:type="pct"/>
            <w:shd w:val="clear" w:color="auto" w:fill="auto"/>
          </w:tcPr>
          <w:p w14:paraId="2D465831" w14:textId="77777777" w:rsidR="0061482C" w:rsidRPr="003E73CD" w:rsidRDefault="0061482C" w:rsidP="00717272">
            <w:pPr>
              <w:rPr>
                <w:sz w:val="18"/>
                <w:szCs w:val="18"/>
              </w:rPr>
            </w:pPr>
          </w:p>
        </w:tc>
        <w:tc>
          <w:tcPr>
            <w:tcW w:w="686" w:type="pct"/>
            <w:shd w:val="clear" w:color="auto" w:fill="auto"/>
          </w:tcPr>
          <w:p w14:paraId="7EB214E2" w14:textId="77777777" w:rsidR="0061482C" w:rsidRPr="003E73CD" w:rsidRDefault="0061482C" w:rsidP="00717272">
            <w:pPr>
              <w:rPr>
                <w:sz w:val="18"/>
                <w:szCs w:val="18"/>
              </w:rPr>
            </w:pPr>
          </w:p>
        </w:tc>
        <w:tc>
          <w:tcPr>
            <w:tcW w:w="511" w:type="pct"/>
            <w:shd w:val="clear" w:color="auto" w:fill="auto"/>
          </w:tcPr>
          <w:p w14:paraId="10D80E14" w14:textId="77777777" w:rsidR="0061482C" w:rsidRPr="003E73CD" w:rsidRDefault="0061482C" w:rsidP="00717272">
            <w:pPr>
              <w:rPr>
                <w:sz w:val="18"/>
                <w:szCs w:val="18"/>
              </w:rPr>
            </w:pPr>
          </w:p>
        </w:tc>
        <w:tc>
          <w:tcPr>
            <w:tcW w:w="503" w:type="pct"/>
            <w:shd w:val="clear" w:color="auto" w:fill="000000"/>
          </w:tcPr>
          <w:p w14:paraId="4BA0BF00" w14:textId="77777777" w:rsidR="0061482C" w:rsidRPr="003E73CD" w:rsidRDefault="0061482C" w:rsidP="00717272">
            <w:pPr>
              <w:rPr>
                <w:sz w:val="18"/>
                <w:szCs w:val="18"/>
              </w:rPr>
            </w:pPr>
          </w:p>
        </w:tc>
        <w:tc>
          <w:tcPr>
            <w:tcW w:w="467" w:type="pct"/>
            <w:shd w:val="clear" w:color="auto" w:fill="000000"/>
          </w:tcPr>
          <w:p w14:paraId="70CC4381" w14:textId="77777777" w:rsidR="0061482C" w:rsidRPr="003E73CD" w:rsidRDefault="0061482C" w:rsidP="00717272">
            <w:pPr>
              <w:rPr>
                <w:sz w:val="18"/>
                <w:szCs w:val="18"/>
              </w:rPr>
            </w:pPr>
          </w:p>
        </w:tc>
        <w:tc>
          <w:tcPr>
            <w:tcW w:w="1657" w:type="pct"/>
            <w:shd w:val="clear" w:color="auto" w:fill="auto"/>
          </w:tcPr>
          <w:p w14:paraId="6746AA44" w14:textId="77777777" w:rsidR="0061482C" w:rsidRPr="003E73CD" w:rsidRDefault="0061482C" w:rsidP="00717272">
            <w:pPr>
              <w:rPr>
                <w:sz w:val="18"/>
                <w:szCs w:val="18"/>
              </w:rPr>
            </w:pPr>
            <w:r w:rsidRPr="003E73CD">
              <w:rPr>
                <w:sz w:val="18"/>
                <w:szCs w:val="18"/>
              </w:rPr>
              <w:t>Nodal + distant</w:t>
            </w:r>
          </w:p>
          <w:p w14:paraId="1CFEDD07" w14:textId="77777777" w:rsidR="0061482C" w:rsidRPr="003E73CD" w:rsidRDefault="0061482C" w:rsidP="00717272">
            <w:pPr>
              <w:rPr>
                <w:sz w:val="18"/>
                <w:szCs w:val="18"/>
              </w:rPr>
            </w:pPr>
          </w:p>
        </w:tc>
      </w:tr>
      <w:tr w:rsidR="0061482C" w:rsidRPr="003E73CD" w14:paraId="68054B1F" w14:textId="77777777" w:rsidTr="000C2BAA">
        <w:tc>
          <w:tcPr>
            <w:tcW w:w="550" w:type="pct"/>
            <w:shd w:val="clear" w:color="auto" w:fill="auto"/>
          </w:tcPr>
          <w:p w14:paraId="4E1DC4F5" w14:textId="77777777" w:rsidR="0061482C" w:rsidRPr="003E73CD" w:rsidRDefault="0061482C" w:rsidP="00717272">
            <w:pPr>
              <w:rPr>
                <w:sz w:val="18"/>
                <w:szCs w:val="18"/>
              </w:rPr>
            </w:pPr>
            <w:r w:rsidRPr="003E73CD">
              <w:rPr>
                <w:sz w:val="18"/>
                <w:szCs w:val="18"/>
              </w:rPr>
              <w:t>11</w:t>
            </w:r>
          </w:p>
        </w:tc>
        <w:tc>
          <w:tcPr>
            <w:tcW w:w="627" w:type="pct"/>
            <w:shd w:val="clear" w:color="auto" w:fill="000000"/>
          </w:tcPr>
          <w:p w14:paraId="6719BEFF" w14:textId="77777777" w:rsidR="0061482C" w:rsidRPr="003E73CD" w:rsidRDefault="0061482C" w:rsidP="00717272">
            <w:pPr>
              <w:rPr>
                <w:sz w:val="18"/>
                <w:szCs w:val="18"/>
              </w:rPr>
            </w:pPr>
          </w:p>
        </w:tc>
        <w:tc>
          <w:tcPr>
            <w:tcW w:w="686" w:type="pct"/>
            <w:shd w:val="clear" w:color="auto" w:fill="auto"/>
          </w:tcPr>
          <w:p w14:paraId="61C12E3A" w14:textId="77777777" w:rsidR="0061482C" w:rsidRPr="003E73CD" w:rsidRDefault="0061482C" w:rsidP="00717272">
            <w:pPr>
              <w:rPr>
                <w:sz w:val="18"/>
                <w:szCs w:val="18"/>
              </w:rPr>
            </w:pPr>
          </w:p>
        </w:tc>
        <w:tc>
          <w:tcPr>
            <w:tcW w:w="511" w:type="pct"/>
            <w:shd w:val="clear" w:color="auto" w:fill="000000"/>
          </w:tcPr>
          <w:p w14:paraId="4B174EFF" w14:textId="77777777" w:rsidR="0061482C" w:rsidRPr="003E73CD" w:rsidRDefault="0061482C" w:rsidP="00717272">
            <w:pPr>
              <w:rPr>
                <w:sz w:val="18"/>
                <w:szCs w:val="18"/>
              </w:rPr>
            </w:pPr>
          </w:p>
        </w:tc>
        <w:tc>
          <w:tcPr>
            <w:tcW w:w="503" w:type="pct"/>
            <w:shd w:val="clear" w:color="auto" w:fill="auto"/>
          </w:tcPr>
          <w:p w14:paraId="583E6401" w14:textId="77777777" w:rsidR="0061482C" w:rsidRPr="003E73CD" w:rsidRDefault="0061482C" w:rsidP="00717272">
            <w:pPr>
              <w:rPr>
                <w:sz w:val="18"/>
                <w:szCs w:val="18"/>
              </w:rPr>
            </w:pPr>
          </w:p>
        </w:tc>
        <w:tc>
          <w:tcPr>
            <w:tcW w:w="467" w:type="pct"/>
            <w:shd w:val="clear" w:color="auto" w:fill="auto"/>
          </w:tcPr>
          <w:p w14:paraId="6C8F4C42" w14:textId="77777777" w:rsidR="0061482C" w:rsidRPr="003E73CD" w:rsidRDefault="0061482C" w:rsidP="00717272">
            <w:pPr>
              <w:rPr>
                <w:sz w:val="18"/>
                <w:szCs w:val="18"/>
              </w:rPr>
            </w:pPr>
          </w:p>
        </w:tc>
        <w:tc>
          <w:tcPr>
            <w:tcW w:w="1657" w:type="pct"/>
            <w:shd w:val="clear" w:color="auto" w:fill="auto"/>
          </w:tcPr>
          <w:p w14:paraId="506D6E45" w14:textId="77777777" w:rsidR="0061482C" w:rsidRPr="003E73CD" w:rsidRDefault="0061482C" w:rsidP="00717272">
            <w:pPr>
              <w:rPr>
                <w:sz w:val="18"/>
                <w:szCs w:val="18"/>
              </w:rPr>
            </w:pPr>
            <w:r w:rsidRPr="003E73CD">
              <w:rPr>
                <w:sz w:val="18"/>
                <w:szCs w:val="18"/>
              </w:rPr>
              <w:t>Local + nodal</w:t>
            </w:r>
          </w:p>
          <w:p w14:paraId="112C354B" w14:textId="77777777" w:rsidR="0061482C" w:rsidRPr="003E73CD" w:rsidRDefault="0061482C" w:rsidP="00717272">
            <w:pPr>
              <w:rPr>
                <w:sz w:val="18"/>
                <w:szCs w:val="18"/>
              </w:rPr>
            </w:pPr>
          </w:p>
        </w:tc>
      </w:tr>
      <w:tr w:rsidR="0061482C" w:rsidRPr="003E73CD" w14:paraId="3631E7E9" w14:textId="77777777" w:rsidTr="000C2BAA">
        <w:tc>
          <w:tcPr>
            <w:tcW w:w="550" w:type="pct"/>
            <w:shd w:val="clear" w:color="auto" w:fill="auto"/>
          </w:tcPr>
          <w:p w14:paraId="2E1FCC0A" w14:textId="77777777" w:rsidR="0061482C" w:rsidRPr="003E73CD" w:rsidRDefault="0061482C" w:rsidP="00717272">
            <w:pPr>
              <w:rPr>
                <w:sz w:val="18"/>
                <w:szCs w:val="18"/>
              </w:rPr>
            </w:pPr>
            <w:r w:rsidRPr="003E73CD">
              <w:rPr>
                <w:sz w:val="18"/>
                <w:szCs w:val="18"/>
              </w:rPr>
              <w:t>12</w:t>
            </w:r>
          </w:p>
        </w:tc>
        <w:tc>
          <w:tcPr>
            <w:tcW w:w="627" w:type="pct"/>
            <w:shd w:val="clear" w:color="auto" w:fill="000000"/>
          </w:tcPr>
          <w:p w14:paraId="14E36511" w14:textId="77777777" w:rsidR="0061482C" w:rsidRPr="003E73CD" w:rsidRDefault="0061482C" w:rsidP="00717272">
            <w:pPr>
              <w:rPr>
                <w:sz w:val="18"/>
                <w:szCs w:val="18"/>
              </w:rPr>
            </w:pPr>
          </w:p>
        </w:tc>
        <w:tc>
          <w:tcPr>
            <w:tcW w:w="686" w:type="pct"/>
            <w:shd w:val="clear" w:color="auto" w:fill="auto"/>
          </w:tcPr>
          <w:p w14:paraId="72A8F0F3" w14:textId="77777777" w:rsidR="0061482C" w:rsidRPr="003E73CD" w:rsidRDefault="0061482C" w:rsidP="00717272">
            <w:pPr>
              <w:rPr>
                <w:sz w:val="18"/>
                <w:szCs w:val="18"/>
              </w:rPr>
            </w:pPr>
          </w:p>
        </w:tc>
        <w:tc>
          <w:tcPr>
            <w:tcW w:w="511" w:type="pct"/>
            <w:shd w:val="clear" w:color="auto" w:fill="auto"/>
          </w:tcPr>
          <w:p w14:paraId="563087D2" w14:textId="77777777" w:rsidR="0061482C" w:rsidRPr="003E73CD" w:rsidRDefault="0061482C" w:rsidP="00717272">
            <w:pPr>
              <w:rPr>
                <w:sz w:val="18"/>
                <w:szCs w:val="18"/>
              </w:rPr>
            </w:pPr>
          </w:p>
        </w:tc>
        <w:tc>
          <w:tcPr>
            <w:tcW w:w="503" w:type="pct"/>
            <w:shd w:val="clear" w:color="auto" w:fill="000000"/>
          </w:tcPr>
          <w:p w14:paraId="1ED772B6" w14:textId="77777777" w:rsidR="0061482C" w:rsidRPr="003E73CD" w:rsidRDefault="0061482C" w:rsidP="00717272">
            <w:pPr>
              <w:rPr>
                <w:sz w:val="18"/>
                <w:szCs w:val="18"/>
              </w:rPr>
            </w:pPr>
          </w:p>
        </w:tc>
        <w:tc>
          <w:tcPr>
            <w:tcW w:w="467" w:type="pct"/>
            <w:shd w:val="clear" w:color="auto" w:fill="auto"/>
          </w:tcPr>
          <w:p w14:paraId="4A58676A" w14:textId="77777777" w:rsidR="0061482C" w:rsidRPr="003E73CD" w:rsidRDefault="0061482C" w:rsidP="00717272">
            <w:pPr>
              <w:rPr>
                <w:sz w:val="18"/>
                <w:szCs w:val="18"/>
              </w:rPr>
            </w:pPr>
          </w:p>
        </w:tc>
        <w:tc>
          <w:tcPr>
            <w:tcW w:w="1657" w:type="pct"/>
            <w:shd w:val="clear" w:color="auto" w:fill="auto"/>
          </w:tcPr>
          <w:p w14:paraId="3C84294C" w14:textId="77777777" w:rsidR="0061482C" w:rsidRPr="003E73CD" w:rsidRDefault="0061482C" w:rsidP="00717272">
            <w:pPr>
              <w:rPr>
                <w:sz w:val="18"/>
                <w:szCs w:val="18"/>
              </w:rPr>
            </w:pPr>
            <w:r w:rsidRPr="003E73CD">
              <w:rPr>
                <w:sz w:val="18"/>
                <w:szCs w:val="18"/>
              </w:rPr>
              <w:t>Local + nodal</w:t>
            </w:r>
          </w:p>
          <w:p w14:paraId="35310FA4" w14:textId="77777777" w:rsidR="0061482C" w:rsidRPr="003E73CD" w:rsidRDefault="0061482C" w:rsidP="00717272">
            <w:pPr>
              <w:rPr>
                <w:sz w:val="18"/>
                <w:szCs w:val="18"/>
              </w:rPr>
            </w:pPr>
          </w:p>
        </w:tc>
      </w:tr>
      <w:tr w:rsidR="0061482C" w:rsidRPr="003E73CD" w14:paraId="0B6D5077" w14:textId="77777777" w:rsidTr="000C2BAA">
        <w:tc>
          <w:tcPr>
            <w:tcW w:w="550" w:type="pct"/>
            <w:shd w:val="clear" w:color="auto" w:fill="auto"/>
          </w:tcPr>
          <w:p w14:paraId="339AAD9D" w14:textId="77777777" w:rsidR="0061482C" w:rsidRPr="003E73CD" w:rsidRDefault="0061482C" w:rsidP="00717272">
            <w:pPr>
              <w:rPr>
                <w:sz w:val="18"/>
                <w:szCs w:val="18"/>
              </w:rPr>
            </w:pPr>
            <w:r w:rsidRPr="003E73CD">
              <w:rPr>
                <w:sz w:val="18"/>
                <w:szCs w:val="18"/>
              </w:rPr>
              <w:t>13</w:t>
            </w:r>
          </w:p>
        </w:tc>
        <w:tc>
          <w:tcPr>
            <w:tcW w:w="627" w:type="pct"/>
            <w:shd w:val="clear" w:color="auto" w:fill="000000"/>
          </w:tcPr>
          <w:p w14:paraId="50031CF4" w14:textId="77777777" w:rsidR="0061482C" w:rsidRPr="003E73CD" w:rsidRDefault="0061482C" w:rsidP="00717272">
            <w:pPr>
              <w:rPr>
                <w:sz w:val="18"/>
                <w:szCs w:val="18"/>
              </w:rPr>
            </w:pPr>
          </w:p>
        </w:tc>
        <w:tc>
          <w:tcPr>
            <w:tcW w:w="686" w:type="pct"/>
            <w:shd w:val="clear" w:color="auto" w:fill="auto"/>
          </w:tcPr>
          <w:p w14:paraId="227A89F8" w14:textId="77777777" w:rsidR="0061482C" w:rsidRPr="003E73CD" w:rsidRDefault="0061482C" w:rsidP="00717272">
            <w:pPr>
              <w:rPr>
                <w:sz w:val="18"/>
                <w:szCs w:val="18"/>
              </w:rPr>
            </w:pPr>
          </w:p>
        </w:tc>
        <w:tc>
          <w:tcPr>
            <w:tcW w:w="511" w:type="pct"/>
            <w:shd w:val="clear" w:color="auto" w:fill="auto"/>
          </w:tcPr>
          <w:p w14:paraId="520BB3F4" w14:textId="77777777" w:rsidR="0061482C" w:rsidRPr="003E73CD" w:rsidRDefault="0061482C" w:rsidP="00717272">
            <w:pPr>
              <w:rPr>
                <w:sz w:val="18"/>
                <w:szCs w:val="18"/>
              </w:rPr>
            </w:pPr>
          </w:p>
        </w:tc>
        <w:tc>
          <w:tcPr>
            <w:tcW w:w="503" w:type="pct"/>
            <w:shd w:val="clear" w:color="auto" w:fill="auto"/>
          </w:tcPr>
          <w:p w14:paraId="26036EB6" w14:textId="77777777" w:rsidR="0061482C" w:rsidRPr="003E73CD" w:rsidRDefault="0061482C" w:rsidP="00717272">
            <w:pPr>
              <w:rPr>
                <w:sz w:val="18"/>
                <w:szCs w:val="18"/>
              </w:rPr>
            </w:pPr>
          </w:p>
        </w:tc>
        <w:tc>
          <w:tcPr>
            <w:tcW w:w="467" w:type="pct"/>
            <w:shd w:val="clear" w:color="auto" w:fill="000000"/>
          </w:tcPr>
          <w:p w14:paraId="6CBAF223" w14:textId="77777777" w:rsidR="0061482C" w:rsidRPr="003E73CD" w:rsidRDefault="0061482C" w:rsidP="00717272">
            <w:pPr>
              <w:rPr>
                <w:sz w:val="18"/>
                <w:szCs w:val="18"/>
              </w:rPr>
            </w:pPr>
          </w:p>
        </w:tc>
        <w:tc>
          <w:tcPr>
            <w:tcW w:w="1657" w:type="pct"/>
            <w:shd w:val="clear" w:color="auto" w:fill="auto"/>
          </w:tcPr>
          <w:p w14:paraId="5AE8277E" w14:textId="77777777" w:rsidR="0061482C" w:rsidRPr="003E73CD" w:rsidRDefault="0061482C" w:rsidP="00717272">
            <w:pPr>
              <w:rPr>
                <w:sz w:val="18"/>
                <w:szCs w:val="18"/>
              </w:rPr>
            </w:pPr>
            <w:r w:rsidRPr="003E73CD">
              <w:rPr>
                <w:sz w:val="18"/>
                <w:szCs w:val="18"/>
              </w:rPr>
              <w:t>Local + distant</w:t>
            </w:r>
          </w:p>
          <w:p w14:paraId="173FF381" w14:textId="77777777" w:rsidR="0061482C" w:rsidRPr="003E73CD" w:rsidRDefault="0061482C" w:rsidP="00717272">
            <w:pPr>
              <w:rPr>
                <w:sz w:val="18"/>
                <w:szCs w:val="18"/>
              </w:rPr>
            </w:pPr>
          </w:p>
        </w:tc>
      </w:tr>
      <w:tr w:rsidR="0061482C" w:rsidRPr="003E73CD" w14:paraId="0C77B54A" w14:textId="77777777" w:rsidTr="000C2BAA">
        <w:tc>
          <w:tcPr>
            <w:tcW w:w="550" w:type="pct"/>
            <w:shd w:val="clear" w:color="auto" w:fill="auto"/>
          </w:tcPr>
          <w:p w14:paraId="7BB4AC56" w14:textId="77777777" w:rsidR="0061482C" w:rsidRPr="003E73CD" w:rsidRDefault="0061482C" w:rsidP="00717272">
            <w:pPr>
              <w:rPr>
                <w:sz w:val="18"/>
                <w:szCs w:val="18"/>
              </w:rPr>
            </w:pPr>
            <w:r w:rsidRPr="003E73CD">
              <w:rPr>
                <w:sz w:val="18"/>
                <w:szCs w:val="18"/>
              </w:rPr>
              <w:t>14</w:t>
            </w:r>
          </w:p>
        </w:tc>
        <w:tc>
          <w:tcPr>
            <w:tcW w:w="627" w:type="pct"/>
            <w:shd w:val="clear" w:color="auto" w:fill="000000"/>
          </w:tcPr>
          <w:p w14:paraId="5D44478A" w14:textId="77777777" w:rsidR="0061482C" w:rsidRPr="003E73CD" w:rsidRDefault="0061482C" w:rsidP="00717272">
            <w:pPr>
              <w:rPr>
                <w:sz w:val="18"/>
                <w:szCs w:val="18"/>
              </w:rPr>
            </w:pPr>
          </w:p>
        </w:tc>
        <w:tc>
          <w:tcPr>
            <w:tcW w:w="686" w:type="pct"/>
            <w:shd w:val="clear" w:color="auto" w:fill="000000"/>
          </w:tcPr>
          <w:p w14:paraId="1F797358" w14:textId="77777777" w:rsidR="0061482C" w:rsidRPr="003E73CD" w:rsidRDefault="0061482C" w:rsidP="00717272">
            <w:pPr>
              <w:rPr>
                <w:sz w:val="18"/>
                <w:szCs w:val="18"/>
              </w:rPr>
            </w:pPr>
          </w:p>
        </w:tc>
        <w:tc>
          <w:tcPr>
            <w:tcW w:w="511" w:type="pct"/>
            <w:shd w:val="clear" w:color="auto" w:fill="000000"/>
          </w:tcPr>
          <w:p w14:paraId="114AB443" w14:textId="77777777" w:rsidR="0061482C" w:rsidRPr="003E73CD" w:rsidRDefault="0061482C" w:rsidP="00717272">
            <w:pPr>
              <w:rPr>
                <w:sz w:val="18"/>
                <w:szCs w:val="18"/>
              </w:rPr>
            </w:pPr>
          </w:p>
        </w:tc>
        <w:tc>
          <w:tcPr>
            <w:tcW w:w="503" w:type="pct"/>
            <w:shd w:val="clear" w:color="auto" w:fill="auto"/>
          </w:tcPr>
          <w:p w14:paraId="79F23824" w14:textId="77777777" w:rsidR="0061482C" w:rsidRPr="003E73CD" w:rsidRDefault="0061482C" w:rsidP="00717272">
            <w:pPr>
              <w:rPr>
                <w:sz w:val="18"/>
                <w:szCs w:val="18"/>
              </w:rPr>
            </w:pPr>
          </w:p>
        </w:tc>
        <w:tc>
          <w:tcPr>
            <w:tcW w:w="467" w:type="pct"/>
            <w:shd w:val="clear" w:color="auto" w:fill="auto"/>
          </w:tcPr>
          <w:p w14:paraId="5C60BA0F" w14:textId="77777777" w:rsidR="0061482C" w:rsidRPr="003E73CD" w:rsidRDefault="0061482C" w:rsidP="00717272">
            <w:pPr>
              <w:rPr>
                <w:sz w:val="18"/>
                <w:szCs w:val="18"/>
              </w:rPr>
            </w:pPr>
          </w:p>
        </w:tc>
        <w:tc>
          <w:tcPr>
            <w:tcW w:w="1657" w:type="pct"/>
            <w:shd w:val="clear" w:color="auto" w:fill="auto"/>
          </w:tcPr>
          <w:p w14:paraId="646B891B" w14:textId="2005A351" w:rsidR="0061482C" w:rsidRPr="003E73CD" w:rsidRDefault="0061482C" w:rsidP="00717272">
            <w:pPr>
              <w:rPr>
                <w:sz w:val="18"/>
                <w:szCs w:val="18"/>
              </w:rPr>
            </w:pPr>
            <w:r w:rsidRPr="003E73CD">
              <w:rPr>
                <w:sz w:val="18"/>
                <w:szCs w:val="18"/>
              </w:rPr>
              <w:t>Local + in</w:t>
            </w:r>
            <w:r w:rsidR="009B1E00">
              <w:rPr>
                <w:sz w:val="18"/>
                <w:szCs w:val="18"/>
              </w:rPr>
              <w:t>-</w:t>
            </w:r>
            <w:r w:rsidRPr="003E73CD">
              <w:rPr>
                <w:sz w:val="18"/>
                <w:szCs w:val="18"/>
              </w:rPr>
              <w:t>transit + nodal</w:t>
            </w:r>
          </w:p>
        </w:tc>
      </w:tr>
      <w:tr w:rsidR="0061482C" w:rsidRPr="003E73CD" w14:paraId="7D6CA33C" w14:textId="77777777" w:rsidTr="000C2BAA">
        <w:tc>
          <w:tcPr>
            <w:tcW w:w="550" w:type="pct"/>
            <w:shd w:val="clear" w:color="auto" w:fill="auto"/>
          </w:tcPr>
          <w:p w14:paraId="6772A19C" w14:textId="77777777" w:rsidR="0061482C" w:rsidRPr="003E73CD" w:rsidRDefault="0061482C" w:rsidP="00717272">
            <w:pPr>
              <w:rPr>
                <w:sz w:val="18"/>
                <w:szCs w:val="18"/>
              </w:rPr>
            </w:pPr>
            <w:r w:rsidRPr="003E73CD">
              <w:rPr>
                <w:sz w:val="18"/>
                <w:szCs w:val="18"/>
              </w:rPr>
              <w:t>15</w:t>
            </w:r>
          </w:p>
        </w:tc>
        <w:tc>
          <w:tcPr>
            <w:tcW w:w="627" w:type="pct"/>
            <w:shd w:val="clear" w:color="auto" w:fill="auto"/>
          </w:tcPr>
          <w:p w14:paraId="33AED3AF" w14:textId="77777777" w:rsidR="0061482C" w:rsidRPr="003E73CD" w:rsidRDefault="0061482C" w:rsidP="00717272">
            <w:pPr>
              <w:rPr>
                <w:sz w:val="18"/>
                <w:szCs w:val="18"/>
              </w:rPr>
            </w:pPr>
          </w:p>
        </w:tc>
        <w:tc>
          <w:tcPr>
            <w:tcW w:w="686" w:type="pct"/>
            <w:shd w:val="clear" w:color="auto" w:fill="000000"/>
          </w:tcPr>
          <w:p w14:paraId="54FBBDA2" w14:textId="77777777" w:rsidR="0061482C" w:rsidRPr="003E73CD" w:rsidRDefault="0061482C" w:rsidP="00717272">
            <w:pPr>
              <w:rPr>
                <w:sz w:val="18"/>
                <w:szCs w:val="18"/>
              </w:rPr>
            </w:pPr>
          </w:p>
        </w:tc>
        <w:tc>
          <w:tcPr>
            <w:tcW w:w="511" w:type="pct"/>
            <w:shd w:val="clear" w:color="auto" w:fill="000000"/>
          </w:tcPr>
          <w:p w14:paraId="58A6E09E" w14:textId="77777777" w:rsidR="0061482C" w:rsidRPr="003E73CD" w:rsidRDefault="0061482C" w:rsidP="00717272">
            <w:pPr>
              <w:rPr>
                <w:sz w:val="18"/>
                <w:szCs w:val="18"/>
              </w:rPr>
            </w:pPr>
          </w:p>
        </w:tc>
        <w:tc>
          <w:tcPr>
            <w:tcW w:w="503" w:type="pct"/>
            <w:shd w:val="clear" w:color="auto" w:fill="000000"/>
          </w:tcPr>
          <w:p w14:paraId="1503F567" w14:textId="77777777" w:rsidR="0061482C" w:rsidRPr="003E73CD" w:rsidRDefault="0061482C" w:rsidP="00717272">
            <w:pPr>
              <w:rPr>
                <w:sz w:val="18"/>
                <w:szCs w:val="18"/>
              </w:rPr>
            </w:pPr>
          </w:p>
        </w:tc>
        <w:tc>
          <w:tcPr>
            <w:tcW w:w="467" w:type="pct"/>
            <w:shd w:val="clear" w:color="auto" w:fill="auto"/>
          </w:tcPr>
          <w:p w14:paraId="53EA2863" w14:textId="77777777" w:rsidR="0061482C" w:rsidRPr="003E73CD" w:rsidRDefault="0061482C" w:rsidP="00717272">
            <w:pPr>
              <w:rPr>
                <w:sz w:val="18"/>
                <w:szCs w:val="18"/>
              </w:rPr>
            </w:pPr>
          </w:p>
        </w:tc>
        <w:tc>
          <w:tcPr>
            <w:tcW w:w="1657" w:type="pct"/>
            <w:shd w:val="clear" w:color="auto" w:fill="auto"/>
          </w:tcPr>
          <w:p w14:paraId="591C521A" w14:textId="1118A1ED" w:rsidR="0061482C" w:rsidRPr="003E73CD" w:rsidRDefault="0061482C" w:rsidP="00717272">
            <w:pPr>
              <w:rPr>
                <w:sz w:val="18"/>
                <w:szCs w:val="18"/>
              </w:rPr>
            </w:pPr>
            <w:r w:rsidRPr="003E73CD">
              <w:rPr>
                <w:sz w:val="18"/>
                <w:szCs w:val="18"/>
              </w:rPr>
              <w:t>In</w:t>
            </w:r>
            <w:r w:rsidR="009B1E00">
              <w:rPr>
                <w:sz w:val="18"/>
                <w:szCs w:val="18"/>
              </w:rPr>
              <w:t>-</w:t>
            </w:r>
            <w:r w:rsidRPr="003E73CD">
              <w:rPr>
                <w:sz w:val="18"/>
                <w:szCs w:val="18"/>
              </w:rPr>
              <w:t>transit + nodal</w:t>
            </w:r>
          </w:p>
          <w:p w14:paraId="2E869E1E" w14:textId="77777777" w:rsidR="0061482C" w:rsidRPr="003E73CD" w:rsidRDefault="0061482C" w:rsidP="00717272">
            <w:pPr>
              <w:rPr>
                <w:sz w:val="18"/>
                <w:szCs w:val="18"/>
              </w:rPr>
            </w:pPr>
          </w:p>
        </w:tc>
      </w:tr>
      <w:tr w:rsidR="0061482C" w:rsidRPr="003E73CD" w14:paraId="282E7FB1" w14:textId="77777777" w:rsidTr="000C2BAA">
        <w:tc>
          <w:tcPr>
            <w:tcW w:w="550" w:type="pct"/>
            <w:shd w:val="clear" w:color="auto" w:fill="auto"/>
          </w:tcPr>
          <w:p w14:paraId="4BBF39CB" w14:textId="77777777" w:rsidR="0061482C" w:rsidRPr="003E73CD" w:rsidRDefault="0061482C" w:rsidP="00717272">
            <w:pPr>
              <w:rPr>
                <w:sz w:val="18"/>
                <w:szCs w:val="18"/>
              </w:rPr>
            </w:pPr>
            <w:r w:rsidRPr="003E73CD">
              <w:rPr>
                <w:sz w:val="18"/>
                <w:szCs w:val="18"/>
              </w:rPr>
              <w:t>16</w:t>
            </w:r>
          </w:p>
        </w:tc>
        <w:tc>
          <w:tcPr>
            <w:tcW w:w="627" w:type="pct"/>
            <w:shd w:val="clear" w:color="auto" w:fill="auto"/>
          </w:tcPr>
          <w:p w14:paraId="02190A79" w14:textId="77777777" w:rsidR="0061482C" w:rsidRPr="003E73CD" w:rsidRDefault="0061482C" w:rsidP="00717272">
            <w:pPr>
              <w:rPr>
                <w:sz w:val="18"/>
                <w:szCs w:val="18"/>
              </w:rPr>
            </w:pPr>
          </w:p>
        </w:tc>
        <w:tc>
          <w:tcPr>
            <w:tcW w:w="686" w:type="pct"/>
            <w:shd w:val="clear" w:color="auto" w:fill="auto"/>
          </w:tcPr>
          <w:p w14:paraId="15B382C0" w14:textId="77777777" w:rsidR="0061482C" w:rsidRPr="003E73CD" w:rsidRDefault="0061482C" w:rsidP="00717272">
            <w:pPr>
              <w:rPr>
                <w:sz w:val="18"/>
                <w:szCs w:val="18"/>
              </w:rPr>
            </w:pPr>
          </w:p>
        </w:tc>
        <w:tc>
          <w:tcPr>
            <w:tcW w:w="511" w:type="pct"/>
            <w:shd w:val="clear" w:color="auto" w:fill="000000"/>
          </w:tcPr>
          <w:p w14:paraId="22ABBB79" w14:textId="77777777" w:rsidR="0061482C" w:rsidRPr="003E73CD" w:rsidRDefault="0061482C" w:rsidP="00717272">
            <w:pPr>
              <w:rPr>
                <w:sz w:val="18"/>
                <w:szCs w:val="18"/>
              </w:rPr>
            </w:pPr>
          </w:p>
        </w:tc>
        <w:tc>
          <w:tcPr>
            <w:tcW w:w="503" w:type="pct"/>
            <w:shd w:val="clear" w:color="auto" w:fill="000000"/>
          </w:tcPr>
          <w:p w14:paraId="3143D285" w14:textId="77777777" w:rsidR="0061482C" w:rsidRPr="003E73CD" w:rsidRDefault="0061482C" w:rsidP="00717272">
            <w:pPr>
              <w:rPr>
                <w:sz w:val="18"/>
                <w:szCs w:val="18"/>
              </w:rPr>
            </w:pPr>
          </w:p>
        </w:tc>
        <w:tc>
          <w:tcPr>
            <w:tcW w:w="467" w:type="pct"/>
            <w:shd w:val="clear" w:color="auto" w:fill="000000"/>
          </w:tcPr>
          <w:p w14:paraId="11F00FB0" w14:textId="77777777" w:rsidR="0061482C" w:rsidRPr="003E73CD" w:rsidRDefault="0061482C" w:rsidP="00717272">
            <w:pPr>
              <w:rPr>
                <w:sz w:val="18"/>
                <w:szCs w:val="18"/>
              </w:rPr>
            </w:pPr>
          </w:p>
        </w:tc>
        <w:tc>
          <w:tcPr>
            <w:tcW w:w="1657" w:type="pct"/>
            <w:shd w:val="clear" w:color="auto" w:fill="auto"/>
          </w:tcPr>
          <w:p w14:paraId="41967E79" w14:textId="77777777" w:rsidR="0061482C" w:rsidRPr="003E73CD" w:rsidRDefault="0061482C" w:rsidP="00717272">
            <w:pPr>
              <w:rPr>
                <w:sz w:val="18"/>
                <w:szCs w:val="18"/>
              </w:rPr>
            </w:pPr>
            <w:r w:rsidRPr="003E73CD">
              <w:rPr>
                <w:sz w:val="18"/>
                <w:szCs w:val="18"/>
              </w:rPr>
              <w:t>Nodal + distant</w:t>
            </w:r>
          </w:p>
          <w:p w14:paraId="457EAFE3" w14:textId="77777777" w:rsidR="0061482C" w:rsidRPr="003E73CD" w:rsidRDefault="0061482C" w:rsidP="00717272">
            <w:pPr>
              <w:rPr>
                <w:sz w:val="18"/>
                <w:szCs w:val="18"/>
              </w:rPr>
            </w:pPr>
          </w:p>
        </w:tc>
      </w:tr>
      <w:tr w:rsidR="0061482C" w:rsidRPr="003E73CD" w14:paraId="02662A6A" w14:textId="77777777" w:rsidTr="000C2BAA">
        <w:tc>
          <w:tcPr>
            <w:tcW w:w="550" w:type="pct"/>
            <w:shd w:val="clear" w:color="auto" w:fill="auto"/>
          </w:tcPr>
          <w:p w14:paraId="1AE5762E" w14:textId="77777777" w:rsidR="0061482C" w:rsidRPr="003E73CD" w:rsidRDefault="0061482C" w:rsidP="00717272">
            <w:pPr>
              <w:rPr>
                <w:sz w:val="18"/>
                <w:szCs w:val="18"/>
              </w:rPr>
            </w:pPr>
            <w:r w:rsidRPr="003E73CD">
              <w:rPr>
                <w:sz w:val="18"/>
                <w:szCs w:val="18"/>
              </w:rPr>
              <w:t>17</w:t>
            </w:r>
          </w:p>
        </w:tc>
        <w:tc>
          <w:tcPr>
            <w:tcW w:w="627" w:type="pct"/>
            <w:shd w:val="clear" w:color="auto" w:fill="000000"/>
          </w:tcPr>
          <w:p w14:paraId="6FF3841F" w14:textId="77777777" w:rsidR="0061482C" w:rsidRPr="003E73CD" w:rsidRDefault="0061482C" w:rsidP="00717272">
            <w:pPr>
              <w:rPr>
                <w:sz w:val="18"/>
                <w:szCs w:val="18"/>
              </w:rPr>
            </w:pPr>
          </w:p>
        </w:tc>
        <w:tc>
          <w:tcPr>
            <w:tcW w:w="686" w:type="pct"/>
            <w:shd w:val="clear" w:color="auto" w:fill="000000"/>
          </w:tcPr>
          <w:p w14:paraId="6C20890D" w14:textId="77777777" w:rsidR="0061482C" w:rsidRPr="003E73CD" w:rsidRDefault="0061482C" w:rsidP="00717272">
            <w:pPr>
              <w:rPr>
                <w:sz w:val="18"/>
                <w:szCs w:val="18"/>
              </w:rPr>
            </w:pPr>
          </w:p>
        </w:tc>
        <w:tc>
          <w:tcPr>
            <w:tcW w:w="511" w:type="pct"/>
            <w:shd w:val="clear" w:color="auto" w:fill="auto"/>
          </w:tcPr>
          <w:p w14:paraId="3736B83A" w14:textId="77777777" w:rsidR="0061482C" w:rsidRPr="003E73CD" w:rsidRDefault="0061482C" w:rsidP="00717272">
            <w:pPr>
              <w:rPr>
                <w:sz w:val="18"/>
                <w:szCs w:val="18"/>
              </w:rPr>
            </w:pPr>
          </w:p>
        </w:tc>
        <w:tc>
          <w:tcPr>
            <w:tcW w:w="503" w:type="pct"/>
            <w:shd w:val="clear" w:color="auto" w:fill="000000"/>
          </w:tcPr>
          <w:p w14:paraId="49465054" w14:textId="77777777" w:rsidR="0061482C" w:rsidRPr="003E73CD" w:rsidRDefault="0061482C" w:rsidP="00717272">
            <w:pPr>
              <w:rPr>
                <w:sz w:val="18"/>
                <w:szCs w:val="18"/>
              </w:rPr>
            </w:pPr>
          </w:p>
        </w:tc>
        <w:tc>
          <w:tcPr>
            <w:tcW w:w="467" w:type="pct"/>
            <w:shd w:val="clear" w:color="auto" w:fill="auto"/>
          </w:tcPr>
          <w:p w14:paraId="29847664" w14:textId="77777777" w:rsidR="0061482C" w:rsidRPr="003E73CD" w:rsidRDefault="0061482C" w:rsidP="00717272">
            <w:pPr>
              <w:rPr>
                <w:sz w:val="18"/>
                <w:szCs w:val="18"/>
              </w:rPr>
            </w:pPr>
          </w:p>
        </w:tc>
        <w:tc>
          <w:tcPr>
            <w:tcW w:w="1657" w:type="pct"/>
            <w:shd w:val="clear" w:color="auto" w:fill="auto"/>
          </w:tcPr>
          <w:p w14:paraId="01F07FDE" w14:textId="5D43A5BD" w:rsidR="0061482C" w:rsidRPr="003E73CD" w:rsidRDefault="0061482C" w:rsidP="00717272">
            <w:pPr>
              <w:rPr>
                <w:sz w:val="18"/>
                <w:szCs w:val="18"/>
              </w:rPr>
            </w:pPr>
            <w:r w:rsidRPr="003E73CD">
              <w:rPr>
                <w:sz w:val="18"/>
                <w:szCs w:val="18"/>
              </w:rPr>
              <w:t>Local + in</w:t>
            </w:r>
            <w:r w:rsidR="009B1E00">
              <w:rPr>
                <w:sz w:val="18"/>
                <w:szCs w:val="18"/>
              </w:rPr>
              <w:t>-</w:t>
            </w:r>
            <w:r w:rsidRPr="003E73CD">
              <w:rPr>
                <w:sz w:val="18"/>
                <w:szCs w:val="18"/>
              </w:rPr>
              <w:t>transit + nodal</w:t>
            </w:r>
          </w:p>
        </w:tc>
      </w:tr>
      <w:tr w:rsidR="0061482C" w:rsidRPr="003E73CD" w14:paraId="7FA304D6" w14:textId="77777777" w:rsidTr="000C2BAA">
        <w:tc>
          <w:tcPr>
            <w:tcW w:w="550" w:type="pct"/>
            <w:shd w:val="clear" w:color="auto" w:fill="auto"/>
          </w:tcPr>
          <w:p w14:paraId="2475D1EB" w14:textId="77777777" w:rsidR="0061482C" w:rsidRPr="003E73CD" w:rsidRDefault="0061482C" w:rsidP="00717272">
            <w:pPr>
              <w:rPr>
                <w:sz w:val="18"/>
                <w:szCs w:val="18"/>
              </w:rPr>
            </w:pPr>
            <w:r w:rsidRPr="003E73CD">
              <w:rPr>
                <w:sz w:val="18"/>
                <w:szCs w:val="18"/>
              </w:rPr>
              <w:t>18</w:t>
            </w:r>
          </w:p>
        </w:tc>
        <w:tc>
          <w:tcPr>
            <w:tcW w:w="627" w:type="pct"/>
            <w:shd w:val="clear" w:color="auto" w:fill="000000"/>
          </w:tcPr>
          <w:p w14:paraId="5702F1B1" w14:textId="77777777" w:rsidR="0061482C" w:rsidRPr="003E73CD" w:rsidRDefault="0061482C" w:rsidP="00717272">
            <w:pPr>
              <w:rPr>
                <w:sz w:val="18"/>
                <w:szCs w:val="18"/>
              </w:rPr>
            </w:pPr>
          </w:p>
        </w:tc>
        <w:tc>
          <w:tcPr>
            <w:tcW w:w="686" w:type="pct"/>
            <w:shd w:val="clear" w:color="auto" w:fill="000000"/>
          </w:tcPr>
          <w:p w14:paraId="26FEF6E2" w14:textId="77777777" w:rsidR="0061482C" w:rsidRPr="003E73CD" w:rsidRDefault="0061482C" w:rsidP="00717272">
            <w:pPr>
              <w:rPr>
                <w:sz w:val="18"/>
                <w:szCs w:val="18"/>
              </w:rPr>
            </w:pPr>
          </w:p>
        </w:tc>
        <w:tc>
          <w:tcPr>
            <w:tcW w:w="511" w:type="pct"/>
            <w:shd w:val="clear" w:color="auto" w:fill="auto"/>
          </w:tcPr>
          <w:p w14:paraId="1E51FEF1" w14:textId="77777777" w:rsidR="0061482C" w:rsidRPr="003E73CD" w:rsidRDefault="0061482C" w:rsidP="00717272">
            <w:pPr>
              <w:rPr>
                <w:sz w:val="18"/>
                <w:szCs w:val="18"/>
              </w:rPr>
            </w:pPr>
          </w:p>
        </w:tc>
        <w:tc>
          <w:tcPr>
            <w:tcW w:w="503" w:type="pct"/>
            <w:shd w:val="clear" w:color="auto" w:fill="auto"/>
          </w:tcPr>
          <w:p w14:paraId="4AAE17ED" w14:textId="77777777" w:rsidR="0061482C" w:rsidRPr="003E73CD" w:rsidRDefault="0061482C" w:rsidP="00717272">
            <w:pPr>
              <w:rPr>
                <w:sz w:val="18"/>
                <w:szCs w:val="18"/>
              </w:rPr>
            </w:pPr>
          </w:p>
        </w:tc>
        <w:tc>
          <w:tcPr>
            <w:tcW w:w="467" w:type="pct"/>
            <w:shd w:val="clear" w:color="auto" w:fill="000000"/>
          </w:tcPr>
          <w:p w14:paraId="13D8B7AA" w14:textId="77777777" w:rsidR="0061482C" w:rsidRPr="003E73CD" w:rsidRDefault="0061482C" w:rsidP="00717272">
            <w:pPr>
              <w:rPr>
                <w:sz w:val="18"/>
                <w:szCs w:val="18"/>
              </w:rPr>
            </w:pPr>
          </w:p>
        </w:tc>
        <w:tc>
          <w:tcPr>
            <w:tcW w:w="1657" w:type="pct"/>
            <w:shd w:val="clear" w:color="auto" w:fill="auto"/>
          </w:tcPr>
          <w:p w14:paraId="43E9E92C" w14:textId="5C9E7CC1" w:rsidR="0061482C" w:rsidRPr="003E73CD" w:rsidRDefault="0061482C" w:rsidP="00717272">
            <w:pPr>
              <w:rPr>
                <w:sz w:val="18"/>
                <w:szCs w:val="18"/>
              </w:rPr>
            </w:pPr>
            <w:r w:rsidRPr="003E73CD">
              <w:rPr>
                <w:sz w:val="18"/>
                <w:szCs w:val="18"/>
              </w:rPr>
              <w:t>Local + in</w:t>
            </w:r>
            <w:r w:rsidR="009B1E00">
              <w:rPr>
                <w:sz w:val="18"/>
                <w:szCs w:val="18"/>
              </w:rPr>
              <w:t>-</w:t>
            </w:r>
            <w:r w:rsidRPr="003E73CD">
              <w:rPr>
                <w:sz w:val="18"/>
                <w:szCs w:val="18"/>
              </w:rPr>
              <w:t>transit + distant</w:t>
            </w:r>
          </w:p>
        </w:tc>
      </w:tr>
      <w:tr w:rsidR="0061482C" w:rsidRPr="003E73CD" w14:paraId="62AE6973" w14:textId="77777777" w:rsidTr="000C2BAA">
        <w:tc>
          <w:tcPr>
            <w:tcW w:w="550" w:type="pct"/>
            <w:shd w:val="clear" w:color="auto" w:fill="auto"/>
          </w:tcPr>
          <w:p w14:paraId="2BFD8D5D" w14:textId="77777777" w:rsidR="0061482C" w:rsidRPr="003E73CD" w:rsidRDefault="0061482C" w:rsidP="00717272">
            <w:pPr>
              <w:rPr>
                <w:sz w:val="18"/>
                <w:szCs w:val="18"/>
              </w:rPr>
            </w:pPr>
            <w:r w:rsidRPr="003E73CD">
              <w:rPr>
                <w:sz w:val="18"/>
                <w:szCs w:val="18"/>
              </w:rPr>
              <w:t>19</w:t>
            </w:r>
          </w:p>
        </w:tc>
        <w:tc>
          <w:tcPr>
            <w:tcW w:w="627" w:type="pct"/>
            <w:shd w:val="clear" w:color="auto" w:fill="000000"/>
          </w:tcPr>
          <w:p w14:paraId="3924F9EF" w14:textId="77777777" w:rsidR="0061482C" w:rsidRPr="003E73CD" w:rsidRDefault="0061482C" w:rsidP="00717272">
            <w:pPr>
              <w:rPr>
                <w:sz w:val="18"/>
                <w:szCs w:val="18"/>
              </w:rPr>
            </w:pPr>
          </w:p>
        </w:tc>
        <w:tc>
          <w:tcPr>
            <w:tcW w:w="686" w:type="pct"/>
            <w:shd w:val="clear" w:color="auto" w:fill="auto"/>
          </w:tcPr>
          <w:p w14:paraId="5A9514CC" w14:textId="77777777" w:rsidR="0061482C" w:rsidRPr="003E73CD" w:rsidRDefault="0061482C" w:rsidP="00717272">
            <w:pPr>
              <w:rPr>
                <w:sz w:val="18"/>
                <w:szCs w:val="18"/>
              </w:rPr>
            </w:pPr>
          </w:p>
        </w:tc>
        <w:tc>
          <w:tcPr>
            <w:tcW w:w="511" w:type="pct"/>
            <w:shd w:val="clear" w:color="auto" w:fill="000000"/>
          </w:tcPr>
          <w:p w14:paraId="244BC12F" w14:textId="77777777" w:rsidR="0061482C" w:rsidRPr="003E73CD" w:rsidRDefault="0061482C" w:rsidP="00717272">
            <w:pPr>
              <w:rPr>
                <w:sz w:val="18"/>
                <w:szCs w:val="18"/>
              </w:rPr>
            </w:pPr>
          </w:p>
        </w:tc>
        <w:tc>
          <w:tcPr>
            <w:tcW w:w="503" w:type="pct"/>
            <w:shd w:val="clear" w:color="auto" w:fill="000000"/>
          </w:tcPr>
          <w:p w14:paraId="093EF135" w14:textId="77777777" w:rsidR="0061482C" w:rsidRPr="003E73CD" w:rsidRDefault="0061482C" w:rsidP="00717272">
            <w:pPr>
              <w:rPr>
                <w:sz w:val="18"/>
                <w:szCs w:val="18"/>
              </w:rPr>
            </w:pPr>
          </w:p>
        </w:tc>
        <w:tc>
          <w:tcPr>
            <w:tcW w:w="467" w:type="pct"/>
            <w:shd w:val="clear" w:color="auto" w:fill="auto"/>
          </w:tcPr>
          <w:p w14:paraId="4EB83C85" w14:textId="77777777" w:rsidR="0061482C" w:rsidRPr="003E73CD" w:rsidRDefault="0061482C" w:rsidP="00717272">
            <w:pPr>
              <w:rPr>
                <w:sz w:val="18"/>
                <w:szCs w:val="18"/>
              </w:rPr>
            </w:pPr>
          </w:p>
        </w:tc>
        <w:tc>
          <w:tcPr>
            <w:tcW w:w="1657" w:type="pct"/>
            <w:shd w:val="clear" w:color="auto" w:fill="auto"/>
          </w:tcPr>
          <w:p w14:paraId="0CF691FC" w14:textId="77777777" w:rsidR="0061482C" w:rsidRPr="003E73CD" w:rsidRDefault="0061482C" w:rsidP="00717272">
            <w:pPr>
              <w:rPr>
                <w:sz w:val="18"/>
                <w:szCs w:val="18"/>
              </w:rPr>
            </w:pPr>
            <w:r w:rsidRPr="003E73CD">
              <w:rPr>
                <w:sz w:val="18"/>
                <w:szCs w:val="18"/>
              </w:rPr>
              <w:t>Local + nodal</w:t>
            </w:r>
          </w:p>
          <w:p w14:paraId="6A4B37F4" w14:textId="77777777" w:rsidR="0061482C" w:rsidRPr="003E73CD" w:rsidRDefault="0061482C" w:rsidP="00717272">
            <w:pPr>
              <w:rPr>
                <w:sz w:val="18"/>
                <w:szCs w:val="18"/>
              </w:rPr>
            </w:pPr>
          </w:p>
        </w:tc>
      </w:tr>
      <w:tr w:rsidR="0061482C" w:rsidRPr="003E73CD" w14:paraId="0E1E12B7" w14:textId="77777777" w:rsidTr="000C2BAA">
        <w:tc>
          <w:tcPr>
            <w:tcW w:w="550" w:type="pct"/>
            <w:shd w:val="clear" w:color="auto" w:fill="auto"/>
          </w:tcPr>
          <w:p w14:paraId="58104A80" w14:textId="77777777" w:rsidR="0061482C" w:rsidRPr="003E73CD" w:rsidRDefault="0061482C" w:rsidP="00717272">
            <w:pPr>
              <w:rPr>
                <w:sz w:val="18"/>
                <w:szCs w:val="18"/>
              </w:rPr>
            </w:pPr>
            <w:r w:rsidRPr="003E73CD">
              <w:rPr>
                <w:sz w:val="18"/>
                <w:szCs w:val="18"/>
              </w:rPr>
              <w:t>20</w:t>
            </w:r>
          </w:p>
        </w:tc>
        <w:tc>
          <w:tcPr>
            <w:tcW w:w="627" w:type="pct"/>
            <w:shd w:val="clear" w:color="auto" w:fill="000000"/>
          </w:tcPr>
          <w:p w14:paraId="0406F5A8" w14:textId="77777777" w:rsidR="0061482C" w:rsidRPr="003E73CD" w:rsidRDefault="0061482C" w:rsidP="00717272">
            <w:pPr>
              <w:rPr>
                <w:sz w:val="18"/>
                <w:szCs w:val="18"/>
              </w:rPr>
            </w:pPr>
          </w:p>
        </w:tc>
        <w:tc>
          <w:tcPr>
            <w:tcW w:w="686" w:type="pct"/>
            <w:shd w:val="clear" w:color="auto" w:fill="auto"/>
          </w:tcPr>
          <w:p w14:paraId="1A0AE9C0" w14:textId="77777777" w:rsidR="0061482C" w:rsidRPr="003E73CD" w:rsidRDefault="0061482C" w:rsidP="00717272">
            <w:pPr>
              <w:rPr>
                <w:sz w:val="18"/>
                <w:szCs w:val="18"/>
              </w:rPr>
            </w:pPr>
          </w:p>
        </w:tc>
        <w:tc>
          <w:tcPr>
            <w:tcW w:w="511" w:type="pct"/>
            <w:shd w:val="clear" w:color="auto" w:fill="auto"/>
          </w:tcPr>
          <w:p w14:paraId="2FB63BAD" w14:textId="77777777" w:rsidR="0061482C" w:rsidRPr="003E73CD" w:rsidRDefault="0061482C" w:rsidP="00717272">
            <w:pPr>
              <w:rPr>
                <w:sz w:val="18"/>
                <w:szCs w:val="18"/>
              </w:rPr>
            </w:pPr>
          </w:p>
        </w:tc>
        <w:tc>
          <w:tcPr>
            <w:tcW w:w="503" w:type="pct"/>
            <w:shd w:val="clear" w:color="auto" w:fill="000000"/>
          </w:tcPr>
          <w:p w14:paraId="7D1C15EA" w14:textId="77777777" w:rsidR="0061482C" w:rsidRPr="003E73CD" w:rsidRDefault="0061482C" w:rsidP="00717272">
            <w:pPr>
              <w:rPr>
                <w:sz w:val="18"/>
                <w:szCs w:val="18"/>
              </w:rPr>
            </w:pPr>
          </w:p>
        </w:tc>
        <w:tc>
          <w:tcPr>
            <w:tcW w:w="467" w:type="pct"/>
            <w:shd w:val="clear" w:color="auto" w:fill="000000"/>
          </w:tcPr>
          <w:p w14:paraId="3981A972" w14:textId="77777777" w:rsidR="0061482C" w:rsidRPr="003E73CD" w:rsidRDefault="0061482C" w:rsidP="00717272">
            <w:pPr>
              <w:rPr>
                <w:sz w:val="18"/>
                <w:szCs w:val="18"/>
              </w:rPr>
            </w:pPr>
          </w:p>
        </w:tc>
        <w:tc>
          <w:tcPr>
            <w:tcW w:w="1657" w:type="pct"/>
            <w:shd w:val="clear" w:color="auto" w:fill="auto"/>
          </w:tcPr>
          <w:p w14:paraId="5B5CB1CE" w14:textId="17EC72C9" w:rsidR="0061482C" w:rsidRPr="003E73CD" w:rsidRDefault="0061482C" w:rsidP="00717272">
            <w:pPr>
              <w:rPr>
                <w:sz w:val="18"/>
                <w:szCs w:val="18"/>
              </w:rPr>
            </w:pPr>
            <w:r w:rsidRPr="003E73CD">
              <w:rPr>
                <w:sz w:val="18"/>
                <w:szCs w:val="18"/>
              </w:rPr>
              <w:t>Local + nodal + distant</w:t>
            </w:r>
          </w:p>
        </w:tc>
      </w:tr>
      <w:tr w:rsidR="0061482C" w:rsidRPr="003E73CD" w14:paraId="20BD0B01" w14:textId="77777777" w:rsidTr="000C2BAA">
        <w:tc>
          <w:tcPr>
            <w:tcW w:w="550" w:type="pct"/>
            <w:shd w:val="clear" w:color="auto" w:fill="auto"/>
          </w:tcPr>
          <w:p w14:paraId="32C0B905" w14:textId="77777777" w:rsidR="0061482C" w:rsidRPr="003E73CD" w:rsidRDefault="0061482C" w:rsidP="00717272">
            <w:pPr>
              <w:rPr>
                <w:sz w:val="18"/>
                <w:szCs w:val="18"/>
              </w:rPr>
            </w:pPr>
            <w:r w:rsidRPr="003E73CD">
              <w:rPr>
                <w:sz w:val="18"/>
                <w:szCs w:val="18"/>
              </w:rPr>
              <w:t>21</w:t>
            </w:r>
          </w:p>
        </w:tc>
        <w:tc>
          <w:tcPr>
            <w:tcW w:w="627" w:type="pct"/>
            <w:shd w:val="clear" w:color="auto" w:fill="000000"/>
          </w:tcPr>
          <w:p w14:paraId="2686B3AF" w14:textId="77777777" w:rsidR="0061482C" w:rsidRPr="003E73CD" w:rsidRDefault="0061482C" w:rsidP="00717272">
            <w:pPr>
              <w:rPr>
                <w:sz w:val="18"/>
                <w:szCs w:val="18"/>
              </w:rPr>
            </w:pPr>
          </w:p>
        </w:tc>
        <w:tc>
          <w:tcPr>
            <w:tcW w:w="686" w:type="pct"/>
            <w:shd w:val="clear" w:color="auto" w:fill="000000"/>
          </w:tcPr>
          <w:p w14:paraId="18A80343" w14:textId="77777777" w:rsidR="0061482C" w:rsidRPr="003E73CD" w:rsidRDefault="0061482C" w:rsidP="00717272">
            <w:pPr>
              <w:rPr>
                <w:sz w:val="18"/>
                <w:szCs w:val="18"/>
              </w:rPr>
            </w:pPr>
          </w:p>
        </w:tc>
        <w:tc>
          <w:tcPr>
            <w:tcW w:w="511" w:type="pct"/>
            <w:shd w:val="clear" w:color="auto" w:fill="000000"/>
          </w:tcPr>
          <w:p w14:paraId="0091EE25" w14:textId="77777777" w:rsidR="0061482C" w:rsidRPr="003E73CD" w:rsidRDefault="0061482C" w:rsidP="00717272">
            <w:pPr>
              <w:rPr>
                <w:sz w:val="18"/>
                <w:szCs w:val="18"/>
              </w:rPr>
            </w:pPr>
          </w:p>
        </w:tc>
        <w:tc>
          <w:tcPr>
            <w:tcW w:w="503" w:type="pct"/>
            <w:shd w:val="clear" w:color="auto" w:fill="000000"/>
          </w:tcPr>
          <w:p w14:paraId="7969BBE2" w14:textId="77777777" w:rsidR="0061482C" w:rsidRPr="003E73CD" w:rsidRDefault="0061482C" w:rsidP="00717272">
            <w:pPr>
              <w:rPr>
                <w:sz w:val="18"/>
                <w:szCs w:val="18"/>
              </w:rPr>
            </w:pPr>
          </w:p>
        </w:tc>
        <w:tc>
          <w:tcPr>
            <w:tcW w:w="467" w:type="pct"/>
            <w:shd w:val="clear" w:color="auto" w:fill="auto"/>
          </w:tcPr>
          <w:p w14:paraId="6859C104" w14:textId="77777777" w:rsidR="0061482C" w:rsidRPr="003E73CD" w:rsidRDefault="0061482C" w:rsidP="00717272">
            <w:pPr>
              <w:rPr>
                <w:sz w:val="18"/>
                <w:szCs w:val="18"/>
              </w:rPr>
            </w:pPr>
          </w:p>
        </w:tc>
        <w:tc>
          <w:tcPr>
            <w:tcW w:w="1657" w:type="pct"/>
            <w:shd w:val="clear" w:color="auto" w:fill="auto"/>
          </w:tcPr>
          <w:p w14:paraId="564E9BD4" w14:textId="6E79E290" w:rsidR="0061482C" w:rsidRPr="003E73CD" w:rsidRDefault="0061482C" w:rsidP="00717272">
            <w:pPr>
              <w:rPr>
                <w:sz w:val="18"/>
                <w:szCs w:val="18"/>
              </w:rPr>
            </w:pPr>
            <w:r w:rsidRPr="003E73CD">
              <w:rPr>
                <w:sz w:val="18"/>
                <w:szCs w:val="18"/>
              </w:rPr>
              <w:t>Local + in</w:t>
            </w:r>
            <w:r w:rsidR="009B1E00">
              <w:rPr>
                <w:sz w:val="18"/>
                <w:szCs w:val="18"/>
              </w:rPr>
              <w:t>-</w:t>
            </w:r>
            <w:r w:rsidRPr="003E73CD">
              <w:rPr>
                <w:sz w:val="18"/>
                <w:szCs w:val="18"/>
              </w:rPr>
              <w:t>transit + nodal + distant</w:t>
            </w:r>
          </w:p>
        </w:tc>
      </w:tr>
      <w:tr w:rsidR="0061482C" w:rsidRPr="003E73CD" w14:paraId="3442156A" w14:textId="77777777" w:rsidTr="000C2BAA">
        <w:tc>
          <w:tcPr>
            <w:tcW w:w="550" w:type="pct"/>
            <w:shd w:val="clear" w:color="auto" w:fill="auto"/>
          </w:tcPr>
          <w:p w14:paraId="0F5BE9ED" w14:textId="77777777" w:rsidR="0061482C" w:rsidRPr="003E73CD" w:rsidRDefault="0061482C" w:rsidP="00717272">
            <w:pPr>
              <w:rPr>
                <w:sz w:val="18"/>
                <w:szCs w:val="18"/>
              </w:rPr>
            </w:pPr>
            <w:r w:rsidRPr="003E73CD">
              <w:rPr>
                <w:sz w:val="18"/>
                <w:szCs w:val="18"/>
              </w:rPr>
              <w:t>22</w:t>
            </w:r>
          </w:p>
        </w:tc>
        <w:tc>
          <w:tcPr>
            <w:tcW w:w="627" w:type="pct"/>
            <w:shd w:val="clear" w:color="auto" w:fill="000000"/>
          </w:tcPr>
          <w:p w14:paraId="5429E44A" w14:textId="77777777" w:rsidR="0061482C" w:rsidRPr="003E73CD" w:rsidRDefault="0061482C" w:rsidP="00717272">
            <w:pPr>
              <w:rPr>
                <w:sz w:val="18"/>
                <w:szCs w:val="18"/>
              </w:rPr>
            </w:pPr>
          </w:p>
        </w:tc>
        <w:tc>
          <w:tcPr>
            <w:tcW w:w="686" w:type="pct"/>
            <w:shd w:val="clear" w:color="auto" w:fill="auto"/>
          </w:tcPr>
          <w:p w14:paraId="6627D7C0" w14:textId="77777777" w:rsidR="0061482C" w:rsidRPr="003E73CD" w:rsidRDefault="0061482C" w:rsidP="00717272">
            <w:pPr>
              <w:rPr>
                <w:sz w:val="18"/>
                <w:szCs w:val="18"/>
              </w:rPr>
            </w:pPr>
          </w:p>
        </w:tc>
        <w:tc>
          <w:tcPr>
            <w:tcW w:w="511" w:type="pct"/>
            <w:shd w:val="clear" w:color="auto" w:fill="000000"/>
          </w:tcPr>
          <w:p w14:paraId="218CDE08" w14:textId="77777777" w:rsidR="0061482C" w:rsidRPr="003E73CD" w:rsidRDefault="0061482C" w:rsidP="00717272">
            <w:pPr>
              <w:rPr>
                <w:sz w:val="18"/>
                <w:szCs w:val="18"/>
              </w:rPr>
            </w:pPr>
          </w:p>
        </w:tc>
        <w:tc>
          <w:tcPr>
            <w:tcW w:w="503" w:type="pct"/>
            <w:shd w:val="clear" w:color="auto" w:fill="000000"/>
          </w:tcPr>
          <w:p w14:paraId="342EA75B" w14:textId="77777777" w:rsidR="0061482C" w:rsidRPr="003E73CD" w:rsidRDefault="0061482C" w:rsidP="00717272">
            <w:pPr>
              <w:rPr>
                <w:sz w:val="18"/>
                <w:szCs w:val="18"/>
              </w:rPr>
            </w:pPr>
          </w:p>
        </w:tc>
        <w:tc>
          <w:tcPr>
            <w:tcW w:w="467" w:type="pct"/>
            <w:shd w:val="clear" w:color="auto" w:fill="000000"/>
          </w:tcPr>
          <w:p w14:paraId="7CD72EB6" w14:textId="77777777" w:rsidR="0061482C" w:rsidRPr="003E73CD" w:rsidRDefault="0061482C" w:rsidP="00717272">
            <w:pPr>
              <w:rPr>
                <w:sz w:val="18"/>
                <w:szCs w:val="18"/>
              </w:rPr>
            </w:pPr>
          </w:p>
        </w:tc>
        <w:tc>
          <w:tcPr>
            <w:tcW w:w="1657" w:type="pct"/>
            <w:shd w:val="clear" w:color="auto" w:fill="auto"/>
          </w:tcPr>
          <w:p w14:paraId="28D95296" w14:textId="5DE43C5C" w:rsidR="0061482C" w:rsidRPr="003E73CD" w:rsidRDefault="0061482C" w:rsidP="00717272">
            <w:pPr>
              <w:rPr>
                <w:sz w:val="18"/>
                <w:szCs w:val="18"/>
              </w:rPr>
            </w:pPr>
            <w:r w:rsidRPr="003E73CD">
              <w:rPr>
                <w:sz w:val="18"/>
                <w:szCs w:val="18"/>
              </w:rPr>
              <w:t>Local + nodal + distant</w:t>
            </w:r>
          </w:p>
        </w:tc>
      </w:tr>
      <w:tr w:rsidR="0061482C" w:rsidRPr="003E73CD" w14:paraId="43A48F9B" w14:textId="77777777" w:rsidTr="000C2BAA">
        <w:tc>
          <w:tcPr>
            <w:tcW w:w="550" w:type="pct"/>
            <w:shd w:val="clear" w:color="auto" w:fill="auto"/>
          </w:tcPr>
          <w:p w14:paraId="663C63F0" w14:textId="77777777" w:rsidR="0061482C" w:rsidRPr="003E73CD" w:rsidRDefault="0061482C" w:rsidP="00717272">
            <w:pPr>
              <w:rPr>
                <w:sz w:val="18"/>
                <w:szCs w:val="18"/>
              </w:rPr>
            </w:pPr>
            <w:r w:rsidRPr="003E73CD">
              <w:rPr>
                <w:sz w:val="18"/>
                <w:szCs w:val="18"/>
              </w:rPr>
              <w:t>23</w:t>
            </w:r>
          </w:p>
        </w:tc>
        <w:tc>
          <w:tcPr>
            <w:tcW w:w="627" w:type="pct"/>
            <w:shd w:val="clear" w:color="auto" w:fill="auto"/>
          </w:tcPr>
          <w:p w14:paraId="35D2E5A0" w14:textId="77777777" w:rsidR="0061482C" w:rsidRPr="003E73CD" w:rsidRDefault="0061482C" w:rsidP="00717272">
            <w:pPr>
              <w:rPr>
                <w:sz w:val="18"/>
                <w:szCs w:val="18"/>
              </w:rPr>
            </w:pPr>
          </w:p>
        </w:tc>
        <w:tc>
          <w:tcPr>
            <w:tcW w:w="686" w:type="pct"/>
            <w:shd w:val="clear" w:color="auto" w:fill="000000"/>
          </w:tcPr>
          <w:p w14:paraId="76BFF321" w14:textId="77777777" w:rsidR="0061482C" w:rsidRPr="003E73CD" w:rsidRDefault="0061482C" w:rsidP="00717272">
            <w:pPr>
              <w:rPr>
                <w:sz w:val="18"/>
                <w:szCs w:val="18"/>
              </w:rPr>
            </w:pPr>
          </w:p>
        </w:tc>
        <w:tc>
          <w:tcPr>
            <w:tcW w:w="511" w:type="pct"/>
            <w:shd w:val="clear" w:color="auto" w:fill="000000"/>
          </w:tcPr>
          <w:p w14:paraId="3CDF282F" w14:textId="77777777" w:rsidR="0061482C" w:rsidRPr="003E73CD" w:rsidRDefault="0061482C" w:rsidP="00717272">
            <w:pPr>
              <w:rPr>
                <w:sz w:val="18"/>
                <w:szCs w:val="18"/>
              </w:rPr>
            </w:pPr>
          </w:p>
        </w:tc>
        <w:tc>
          <w:tcPr>
            <w:tcW w:w="503" w:type="pct"/>
            <w:shd w:val="clear" w:color="auto" w:fill="auto"/>
          </w:tcPr>
          <w:p w14:paraId="58155BD4" w14:textId="77777777" w:rsidR="0061482C" w:rsidRPr="003E73CD" w:rsidRDefault="0061482C" w:rsidP="00717272">
            <w:pPr>
              <w:rPr>
                <w:sz w:val="18"/>
                <w:szCs w:val="18"/>
              </w:rPr>
            </w:pPr>
          </w:p>
        </w:tc>
        <w:tc>
          <w:tcPr>
            <w:tcW w:w="467" w:type="pct"/>
            <w:shd w:val="clear" w:color="auto" w:fill="000000"/>
          </w:tcPr>
          <w:p w14:paraId="4670BC2A" w14:textId="77777777" w:rsidR="0061482C" w:rsidRPr="003E73CD" w:rsidRDefault="0061482C" w:rsidP="00717272">
            <w:pPr>
              <w:rPr>
                <w:sz w:val="18"/>
                <w:szCs w:val="18"/>
              </w:rPr>
            </w:pPr>
          </w:p>
        </w:tc>
        <w:tc>
          <w:tcPr>
            <w:tcW w:w="1657" w:type="pct"/>
            <w:shd w:val="clear" w:color="auto" w:fill="auto"/>
          </w:tcPr>
          <w:p w14:paraId="1895BDF1" w14:textId="6F2C5B98" w:rsidR="0061482C" w:rsidRPr="003E73CD" w:rsidRDefault="0061482C" w:rsidP="00717272">
            <w:pPr>
              <w:rPr>
                <w:sz w:val="18"/>
                <w:szCs w:val="18"/>
              </w:rPr>
            </w:pPr>
            <w:r w:rsidRPr="003E73CD">
              <w:rPr>
                <w:sz w:val="18"/>
                <w:szCs w:val="18"/>
              </w:rPr>
              <w:t>In</w:t>
            </w:r>
            <w:r w:rsidR="009B1E00">
              <w:rPr>
                <w:sz w:val="18"/>
                <w:szCs w:val="18"/>
              </w:rPr>
              <w:t>-</w:t>
            </w:r>
            <w:r w:rsidRPr="003E73CD">
              <w:rPr>
                <w:sz w:val="18"/>
                <w:szCs w:val="18"/>
              </w:rPr>
              <w:t>transit + nodal + distant</w:t>
            </w:r>
          </w:p>
        </w:tc>
      </w:tr>
      <w:tr w:rsidR="0061482C" w:rsidRPr="003E73CD" w14:paraId="75FB84E6" w14:textId="77777777" w:rsidTr="000C2BAA">
        <w:tc>
          <w:tcPr>
            <w:tcW w:w="550" w:type="pct"/>
            <w:shd w:val="clear" w:color="auto" w:fill="auto"/>
          </w:tcPr>
          <w:p w14:paraId="1B260AF9" w14:textId="77777777" w:rsidR="0061482C" w:rsidRPr="003E73CD" w:rsidRDefault="0061482C" w:rsidP="00717272">
            <w:pPr>
              <w:rPr>
                <w:sz w:val="18"/>
                <w:szCs w:val="18"/>
              </w:rPr>
            </w:pPr>
            <w:r w:rsidRPr="003E73CD">
              <w:rPr>
                <w:sz w:val="18"/>
                <w:szCs w:val="18"/>
              </w:rPr>
              <w:t>24</w:t>
            </w:r>
          </w:p>
        </w:tc>
        <w:tc>
          <w:tcPr>
            <w:tcW w:w="627" w:type="pct"/>
            <w:shd w:val="clear" w:color="auto" w:fill="auto"/>
          </w:tcPr>
          <w:p w14:paraId="1D7FA7E2" w14:textId="77777777" w:rsidR="0061482C" w:rsidRPr="003E73CD" w:rsidRDefault="0061482C" w:rsidP="00717272">
            <w:pPr>
              <w:rPr>
                <w:sz w:val="18"/>
                <w:szCs w:val="18"/>
              </w:rPr>
            </w:pPr>
          </w:p>
        </w:tc>
        <w:tc>
          <w:tcPr>
            <w:tcW w:w="686" w:type="pct"/>
            <w:shd w:val="clear" w:color="auto" w:fill="000000"/>
          </w:tcPr>
          <w:p w14:paraId="45585022" w14:textId="77777777" w:rsidR="0061482C" w:rsidRPr="003E73CD" w:rsidRDefault="0061482C" w:rsidP="00717272">
            <w:pPr>
              <w:rPr>
                <w:sz w:val="18"/>
                <w:szCs w:val="18"/>
              </w:rPr>
            </w:pPr>
          </w:p>
        </w:tc>
        <w:tc>
          <w:tcPr>
            <w:tcW w:w="511" w:type="pct"/>
            <w:shd w:val="clear" w:color="auto" w:fill="000000"/>
          </w:tcPr>
          <w:p w14:paraId="680709AE" w14:textId="77777777" w:rsidR="0061482C" w:rsidRPr="003E73CD" w:rsidRDefault="0061482C" w:rsidP="00717272">
            <w:pPr>
              <w:rPr>
                <w:sz w:val="18"/>
                <w:szCs w:val="18"/>
              </w:rPr>
            </w:pPr>
          </w:p>
        </w:tc>
        <w:tc>
          <w:tcPr>
            <w:tcW w:w="503" w:type="pct"/>
            <w:shd w:val="clear" w:color="auto" w:fill="000000"/>
          </w:tcPr>
          <w:p w14:paraId="710B568A" w14:textId="77777777" w:rsidR="0061482C" w:rsidRPr="003E73CD" w:rsidRDefault="0061482C" w:rsidP="00717272">
            <w:pPr>
              <w:rPr>
                <w:sz w:val="18"/>
                <w:szCs w:val="18"/>
              </w:rPr>
            </w:pPr>
          </w:p>
        </w:tc>
        <w:tc>
          <w:tcPr>
            <w:tcW w:w="467" w:type="pct"/>
            <w:shd w:val="clear" w:color="auto" w:fill="000000"/>
          </w:tcPr>
          <w:p w14:paraId="5B03CF69" w14:textId="77777777" w:rsidR="0061482C" w:rsidRPr="003E73CD" w:rsidRDefault="0061482C" w:rsidP="00717272">
            <w:pPr>
              <w:rPr>
                <w:sz w:val="18"/>
                <w:szCs w:val="18"/>
              </w:rPr>
            </w:pPr>
          </w:p>
        </w:tc>
        <w:tc>
          <w:tcPr>
            <w:tcW w:w="1657" w:type="pct"/>
            <w:shd w:val="clear" w:color="auto" w:fill="auto"/>
          </w:tcPr>
          <w:p w14:paraId="6D65D078" w14:textId="34F65B91" w:rsidR="0061482C" w:rsidRPr="003E73CD" w:rsidRDefault="0061482C" w:rsidP="00717272">
            <w:pPr>
              <w:rPr>
                <w:sz w:val="18"/>
                <w:szCs w:val="18"/>
              </w:rPr>
            </w:pPr>
            <w:r w:rsidRPr="003E73CD">
              <w:rPr>
                <w:sz w:val="18"/>
                <w:szCs w:val="18"/>
              </w:rPr>
              <w:t>In</w:t>
            </w:r>
            <w:r w:rsidR="009B1E00">
              <w:rPr>
                <w:sz w:val="18"/>
                <w:szCs w:val="18"/>
              </w:rPr>
              <w:t>-</w:t>
            </w:r>
            <w:r w:rsidRPr="003E73CD">
              <w:rPr>
                <w:sz w:val="18"/>
                <w:szCs w:val="18"/>
              </w:rPr>
              <w:t>transit + nodal + distant</w:t>
            </w:r>
          </w:p>
        </w:tc>
      </w:tr>
      <w:tr w:rsidR="0061482C" w:rsidRPr="003E73CD" w14:paraId="6C25CE44" w14:textId="77777777" w:rsidTr="000C2BAA">
        <w:tc>
          <w:tcPr>
            <w:tcW w:w="550" w:type="pct"/>
            <w:shd w:val="clear" w:color="auto" w:fill="auto"/>
          </w:tcPr>
          <w:p w14:paraId="4D266EC1" w14:textId="77777777" w:rsidR="0061482C" w:rsidRPr="003E73CD" w:rsidRDefault="0061482C" w:rsidP="00717272">
            <w:pPr>
              <w:rPr>
                <w:sz w:val="18"/>
                <w:szCs w:val="18"/>
              </w:rPr>
            </w:pPr>
            <w:r w:rsidRPr="003E73CD">
              <w:rPr>
                <w:sz w:val="18"/>
                <w:szCs w:val="18"/>
              </w:rPr>
              <w:t>25</w:t>
            </w:r>
          </w:p>
        </w:tc>
        <w:tc>
          <w:tcPr>
            <w:tcW w:w="627" w:type="pct"/>
            <w:shd w:val="clear" w:color="auto" w:fill="auto"/>
          </w:tcPr>
          <w:p w14:paraId="5673BE0D" w14:textId="77777777" w:rsidR="0061482C" w:rsidRPr="003E73CD" w:rsidRDefault="0061482C" w:rsidP="00717272">
            <w:pPr>
              <w:rPr>
                <w:sz w:val="18"/>
                <w:szCs w:val="18"/>
              </w:rPr>
            </w:pPr>
          </w:p>
        </w:tc>
        <w:tc>
          <w:tcPr>
            <w:tcW w:w="686" w:type="pct"/>
            <w:shd w:val="clear" w:color="auto" w:fill="000000"/>
          </w:tcPr>
          <w:p w14:paraId="314ECDB1" w14:textId="77777777" w:rsidR="0061482C" w:rsidRPr="003E73CD" w:rsidRDefault="0061482C" w:rsidP="00717272">
            <w:pPr>
              <w:rPr>
                <w:sz w:val="18"/>
                <w:szCs w:val="18"/>
              </w:rPr>
            </w:pPr>
          </w:p>
        </w:tc>
        <w:tc>
          <w:tcPr>
            <w:tcW w:w="511" w:type="pct"/>
            <w:shd w:val="clear" w:color="auto" w:fill="auto"/>
          </w:tcPr>
          <w:p w14:paraId="3735D864" w14:textId="77777777" w:rsidR="0061482C" w:rsidRPr="003E73CD" w:rsidRDefault="0061482C" w:rsidP="00717272">
            <w:pPr>
              <w:rPr>
                <w:sz w:val="18"/>
                <w:szCs w:val="18"/>
              </w:rPr>
            </w:pPr>
          </w:p>
        </w:tc>
        <w:tc>
          <w:tcPr>
            <w:tcW w:w="503" w:type="pct"/>
            <w:shd w:val="clear" w:color="auto" w:fill="000000"/>
          </w:tcPr>
          <w:p w14:paraId="27BB4D0C" w14:textId="77777777" w:rsidR="0061482C" w:rsidRPr="003E73CD" w:rsidRDefault="0061482C" w:rsidP="00717272">
            <w:pPr>
              <w:rPr>
                <w:sz w:val="18"/>
                <w:szCs w:val="18"/>
              </w:rPr>
            </w:pPr>
          </w:p>
        </w:tc>
        <w:tc>
          <w:tcPr>
            <w:tcW w:w="467" w:type="pct"/>
            <w:shd w:val="clear" w:color="auto" w:fill="000000"/>
          </w:tcPr>
          <w:p w14:paraId="57877B3B" w14:textId="77777777" w:rsidR="0061482C" w:rsidRPr="003E73CD" w:rsidRDefault="0061482C" w:rsidP="00717272">
            <w:pPr>
              <w:rPr>
                <w:sz w:val="18"/>
                <w:szCs w:val="18"/>
              </w:rPr>
            </w:pPr>
          </w:p>
        </w:tc>
        <w:tc>
          <w:tcPr>
            <w:tcW w:w="1657" w:type="pct"/>
            <w:shd w:val="clear" w:color="auto" w:fill="auto"/>
          </w:tcPr>
          <w:p w14:paraId="31DFA766" w14:textId="711D14F6" w:rsidR="0061482C" w:rsidRPr="003E73CD" w:rsidRDefault="0061482C" w:rsidP="00717272">
            <w:pPr>
              <w:rPr>
                <w:sz w:val="18"/>
                <w:szCs w:val="18"/>
              </w:rPr>
            </w:pPr>
            <w:r w:rsidRPr="003E73CD">
              <w:rPr>
                <w:sz w:val="18"/>
                <w:szCs w:val="18"/>
              </w:rPr>
              <w:t>In</w:t>
            </w:r>
            <w:r w:rsidR="009B1E00">
              <w:rPr>
                <w:sz w:val="18"/>
                <w:szCs w:val="18"/>
              </w:rPr>
              <w:t>-</w:t>
            </w:r>
            <w:r w:rsidRPr="003E73CD">
              <w:rPr>
                <w:sz w:val="18"/>
                <w:szCs w:val="18"/>
              </w:rPr>
              <w:t>transit + nodal + distant</w:t>
            </w:r>
          </w:p>
        </w:tc>
      </w:tr>
      <w:tr w:rsidR="0061482C" w:rsidRPr="003E73CD" w14:paraId="01252C38" w14:textId="77777777" w:rsidTr="000C2BAA">
        <w:tc>
          <w:tcPr>
            <w:tcW w:w="550" w:type="pct"/>
            <w:shd w:val="clear" w:color="auto" w:fill="auto"/>
          </w:tcPr>
          <w:p w14:paraId="0166FB39" w14:textId="77777777" w:rsidR="0061482C" w:rsidRPr="003E73CD" w:rsidRDefault="0061482C" w:rsidP="00717272">
            <w:pPr>
              <w:rPr>
                <w:sz w:val="18"/>
                <w:szCs w:val="18"/>
              </w:rPr>
            </w:pPr>
            <w:r w:rsidRPr="003E73CD">
              <w:rPr>
                <w:sz w:val="18"/>
                <w:szCs w:val="18"/>
              </w:rPr>
              <w:t>26</w:t>
            </w:r>
          </w:p>
        </w:tc>
        <w:tc>
          <w:tcPr>
            <w:tcW w:w="627" w:type="pct"/>
            <w:shd w:val="clear" w:color="auto" w:fill="000000"/>
          </w:tcPr>
          <w:p w14:paraId="66C05833" w14:textId="77777777" w:rsidR="0061482C" w:rsidRPr="003E73CD" w:rsidRDefault="0061482C" w:rsidP="00717272">
            <w:pPr>
              <w:rPr>
                <w:sz w:val="18"/>
                <w:szCs w:val="18"/>
              </w:rPr>
            </w:pPr>
          </w:p>
        </w:tc>
        <w:tc>
          <w:tcPr>
            <w:tcW w:w="686" w:type="pct"/>
            <w:shd w:val="clear" w:color="auto" w:fill="auto"/>
          </w:tcPr>
          <w:p w14:paraId="7C0499F5" w14:textId="77777777" w:rsidR="0061482C" w:rsidRPr="003E73CD" w:rsidRDefault="0061482C" w:rsidP="00717272">
            <w:pPr>
              <w:rPr>
                <w:sz w:val="18"/>
                <w:szCs w:val="18"/>
              </w:rPr>
            </w:pPr>
          </w:p>
        </w:tc>
        <w:tc>
          <w:tcPr>
            <w:tcW w:w="511" w:type="pct"/>
            <w:shd w:val="clear" w:color="auto" w:fill="000000"/>
          </w:tcPr>
          <w:p w14:paraId="579333DA" w14:textId="77777777" w:rsidR="0061482C" w:rsidRPr="003E73CD" w:rsidRDefault="0061482C" w:rsidP="00717272">
            <w:pPr>
              <w:rPr>
                <w:sz w:val="18"/>
                <w:szCs w:val="18"/>
              </w:rPr>
            </w:pPr>
          </w:p>
        </w:tc>
        <w:tc>
          <w:tcPr>
            <w:tcW w:w="503" w:type="pct"/>
            <w:shd w:val="clear" w:color="auto" w:fill="auto"/>
          </w:tcPr>
          <w:p w14:paraId="4539291B" w14:textId="77777777" w:rsidR="0061482C" w:rsidRPr="003E73CD" w:rsidRDefault="0061482C" w:rsidP="00717272">
            <w:pPr>
              <w:rPr>
                <w:sz w:val="18"/>
                <w:szCs w:val="18"/>
              </w:rPr>
            </w:pPr>
          </w:p>
        </w:tc>
        <w:tc>
          <w:tcPr>
            <w:tcW w:w="467" w:type="pct"/>
            <w:shd w:val="clear" w:color="auto" w:fill="000000"/>
          </w:tcPr>
          <w:p w14:paraId="3CEAD4C3" w14:textId="77777777" w:rsidR="0061482C" w:rsidRPr="003E73CD" w:rsidRDefault="0061482C" w:rsidP="00717272">
            <w:pPr>
              <w:rPr>
                <w:sz w:val="18"/>
                <w:szCs w:val="18"/>
              </w:rPr>
            </w:pPr>
          </w:p>
        </w:tc>
        <w:tc>
          <w:tcPr>
            <w:tcW w:w="1657" w:type="pct"/>
            <w:shd w:val="clear" w:color="auto" w:fill="auto"/>
          </w:tcPr>
          <w:p w14:paraId="18C60E74" w14:textId="192F7724" w:rsidR="0061482C" w:rsidRPr="003E73CD" w:rsidRDefault="0061482C" w:rsidP="00717272">
            <w:pPr>
              <w:rPr>
                <w:sz w:val="18"/>
                <w:szCs w:val="18"/>
              </w:rPr>
            </w:pPr>
            <w:r w:rsidRPr="003E73CD">
              <w:rPr>
                <w:sz w:val="18"/>
                <w:szCs w:val="18"/>
              </w:rPr>
              <w:t>Local + nodal + distant</w:t>
            </w:r>
          </w:p>
        </w:tc>
      </w:tr>
      <w:tr w:rsidR="0061482C" w:rsidRPr="003E73CD" w14:paraId="5B10EAE2" w14:textId="77777777" w:rsidTr="000C2BAA">
        <w:tc>
          <w:tcPr>
            <w:tcW w:w="550" w:type="pct"/>
            <w:shd w:val="clear" w:color="auto" w:fill="auto"/>
          </w:tcPr>
          <w:p w14:paraId="0A1E1D0A" w14:textId="77777777" w:rsidR="0061482C" w:rsidRPr="003E73CD" w:rsidRDefault="0061482C" w:rsidP="00717272">
            <w:pPr>
              <w:rPr>
                <w:sz w:val="18"/>
                <w:szCs w:val="18"/>
              </w:rPr>
            </w:pPr>
            <w:r w:rsidRPr="003E73CD">
              <w:rPr>
                <w:sz w:val="18"/>
                <w:szCs w:val="18"/>
              </w:rPr>
              <w:t>27</w:t>
            </w:r>
          </w:p>
        </w:tc>
        <w:tc>
          <w:tcPr>
            <w:tcW w:w="627" w:type="pct"/>
            <w:shd w:val="clear" w:color="auto" w:fill="auto"/>
          </w:tcPr>
          <w:p w14:paraId="404CC10E" w14:textId="77777777" w:rsidR="0061482C" w:rsidRPr="003E73CD" w:rsidRDefault="0061482C" w:rsidP="00717272">
            <w:pPr>
              <w:rPr>
                <w:sz w:val="18"/>
                <w:szCs w:val="18"/>
              </w:rPr>
            </w:pPr>
          </w:p>
        </w:tc>
        <w:tc>
          <w:tcPr>
            <w:tcW w:w="686" w:type="pct"/>
            <w:shd w:val="clear" w:color="auto" w:fill="auto"/>
          </w:tcPr>
          <w:p w14:paraId="5B9712CF" w14:textId="77777777" w:rsidR="0061482C" w:rsidRPr="003E73CD" w:rsidRDefault="0061482C" w:rsidP="00717272">
            <w:pPr>
              <w:rPr>
                <w:sz w:val="18"/>
                <w:szCs w:val="18"/>
              </w:rPr>
            </w:pPr>
          </w:p>
        </w:tc>
        <w:tc>
          <w:tcPr>
            <w:tcW w:w="511" w:type="pct"/>
            <w:shd w:val="clear" w:color="auto" w:fill="000000"/>
          </w:tcPr>
          <w:p w14:paraId="4DB973C1" w14:textId="77777777" w:rsidR="0061482C" w:rsidRPr="003E73CD" w:rsidRDefault="0061482C" w:rsidP="00717272">
            <w:pPr>
              <w:rPr>
                <w:sz w:val="18"/>
                <w:szCs w:val="18"/>
              </w:rPr>
            </w:pPr>
          </w:p>
        </w:tc>
        <w:tc>
          <w:tcPr>
            <w:tcW w:w="503" w:type="pct"/>
            <w:shd w:val="clear" w:color="auto" w:fill="auto"/>
          </w:tcPr>
          <w:p w14:paraId="5E9A83CF" w14:textId="77777777" w:rsidR="0061482C" w:rsidRPr="003E73CD" w:rsidRDefault="0061482C" w:rsidP="00717272">
            <w:pPr>
              <w:rPr>
                <w:sz w:val="18"/>
                <w:szCs w:val="18"/>
              </w:rPr>
            </w:pPr>
          </w:p>
        </w:tc>
        <w:tc>
          <w:tcPr>
            <w:tcW w:w="467" w:type="pct"/>
            <w:shd w:val="clear" w:color="auto" w:fill="000000"/>
          </w:tcPr>
          <w:p w14:paraId="68BF8E17" w14:textId="77777777" w:rsidR="0061482C" w:rsidRPr="003E73CD" w:rsidRDefault="0061482C" w:rsidP="00717272">
            <w:pPr>
              <w:rPr>
                <w:sz w:val="18"/>
                <w:szCs w:val="18"/>
              </w:rPr>
            </w:pPr>
          </w:p>
        </w:tc>
        <w:tc>
          <w:tcPr>
            <w:tcW w:w="1657" w:type="pct"/>
            <w:shd w:val="clear" w:color="auto" w:fill="auto"/>
          </w:tcPr>
          <w:p w14:paraId="17BAE5CB" w14:textId="77777777" w:rsidR="0061482C" w:rsidRPr="003E73CD" w:rsidRDefault="0061482C" w:rsidP="00717272">
            <w:pPr>
              <w:rPr>
                <w:sz w:val="18"/>
                <w:szCs w:val="18"/>
              </w:rPr>
            </w:pPr>
            <w:r w:rsidRPr="003E73CD">
              <w:rPr>
                <w:sz w:val="18"/>
                <w:szCs w:val="18"/>
              </w:rPr>
              <w:t>Nodal + distant</w:t>
            </w:r>
          </w:p>
          <w:p w14:paraId="780E63A0" w14:textId="77777777" w:rsidR="0061482C" w:rsidRPr="003E73CD" w:rsidRDefault="0061482C" w:rsidP="00717272">
            <w:pPr>
              <w:rPr>
                <w:sz w:val="18"/>
                <w:szCs w:val="18"/>
              </w:rPr>
            </w:pPr>
          </w:p>
        </w:tc>
      </w:tr>
      <w:tr w:rsidR="0061482C" w:rsidRPr="003E73CD" w14:paraId="3400BBEF" w14:textId="77777777" w:rsidTr="000C2BAA">
        <w:tc>
          <w:tcPr>
            <w:tcW w:w="550" w:type="pct"/>
            <w:shd w:val="clear" w:color="auto" w:fill="auto"/>
          </w:tcPr>
          <w:p w14:paraId="330FC063" w14:textId="77777777" w:rsidR="0061482C" w:rsidRPr="003E73CD" w:rsidRDefault="0061482C" w:rsidP="00717272">
            <w:pPr>
              <w:rPr>
                <w:sz w:val="18"/>
                <w:szCs w:val="18"/>
              </w:rPr>
            </w:pPr>
            <w:r w:rsidRPr="003E73CD">
              <w:rPr>
                <w:sz w:val="18"/>
                <w:szCs w:val="18"/>
              </w:rPr>
              <w:t>28</w:t>
            </w:r>
          </w:p>
        </w:tc>
        <w:tc>
          <w:tcPr>
            <w:tcW w:w="627" w:type="pct"/>
            <w:shd w:val="clear" w:color="auto" w:fill="000000"/>
          </w:tcPr>
          <w:p w14:paraId="7E545919" w14:textId="77777777" w:rsidR="0061482C" w:rsidRPr="003E73CD" w:rsidRDefault="0061482C" w:rsidP="00717272">
            <w:pPr>
              <w:rPr>
                <w:sz w:val="18"/>
                <w:szCs w:val="18"/>
              </w:rPr>
            </w:pPr>
          </w:p>
        </w:tc>
        <w:tc>
          <w:tcPr>
            <w:tcW w:w="686" w:type="pct"/>
            <w:shd w:val="clear" w:color="auto" w:fill="000000"/>
          </w:tcPr>
          <w:p w14:paraId="04EB0AB3" w14:textId="77777777" w:rsidR="0061482C" w:rsidRPr="003E73CD" w:rsidRDefault="0061482C" w:rsidP="00717272">
            <w:pPr>
              <w:rPr>
                <w:sz w:val="18"/>
                <w:szCs w:val="18"/>
              </w:rPr>
            </w:pPr>
          </w:p>
        </w:tc>
        <w:tc>
          <w:tcPr>
            <w:tcW w:w="511" w:type="pct"/>
            <w:shd w:val="clear" w:color="auto" w:fill="auto"/>
          </w:tcPr>
          <w:p w14:paraId="480616D2" w14:textId="77777777" w:rsidR="0061482C" w:rsidRPr="003E73CD" w:rsidRDefault="0061482C" w:rsidP="00717272">
            <w:pPr>
              <w:rPr>
                <w:sz w:val="18"/>
                <w:szCs w:val="18"/>
              </w:rPr>
            </w:pPr>
          </w:p>
        </w:tc>
        <w:tc>
          <w:tcPr>
            <w:tcW w:w="503" w:type="pct"/>
            <w:shd w:val="clear" w:color="auto" w:fill="000000"/>
          </w:tcPr>
          <w:p w14:paraId="2CA64D0F" w14:textId="77777777" w:rsidR="0061482C" w:rsidRPr="003E73CD" w:rsidRDefault="0061482C" w:rsidP="00717272">
            <w:pPr>
              <w:rPr>
                <w:sz w:val="18"/>
                <w:szCs w:val="18"/>
              </w:rPr>
            </w:pPr>
          </w:p>
        </w:tc>
        <w:tc>
          <w:tcPr>
            <w:tcW w:w="467" w:type="pct"/>
            <w:shd w:val="clear" w:color="auto" w:fill="000000"/>
          </w:tcPr>
          <w:p w14:paraId="02E6F8F7" w14:textId="77777777" w:rsidR="0061482C" w:rsidRPr="003E73CD" w:rsidRDefault="0061482C" w:rsidP="00717272">
            <w:pPr>
              <w:rPr>
                <w:sz w:val="18"/>
                <w:szCs w:val="18"/>
              </w:rPr>
            </w:pPr>
          </w:p>
        </w:tc>
        <w:tc>
          <w:tcPr>
            <w:tcW w:w="1657" w:type="pct"/>
            <w:shd w:val="clear" w:color="auto" w:fill="auto"/>
          </w:tcPr>
          <w:p w14:paraId="71E9DE44" w14:textId="17A68434" w:rsidR="0061482C" w:rsidRPr="003E73CD" w:rsidRDefault="0061482C" w:rsidP="00717272">
            <w:pPr>
              <w:rPr>
                <w:sz w:val="18"/>
                <w:szCs w:val="18"/>
              </w:rPr>
            </w:pPr>
            <w:r w:rsidRPr="003E73CD">
              <w:rPr>
                <w:sz w:val="18"/>
                <w:szCs w:val="18"/>
              </w:rPr>
              <w:t>Local + in</w:t>
            </w:r>
            <w:r w:rsidR="009B1E00">
              <w:rPr>
                <w:sz w:val="18"/>
                <w:szCs w:val="18"/>
              </w:rPr>
              <w:t>-</w:t>
            </w:r>
            <w:r w:rsidRPr="003E73CD">
              <w:rPr>
                <w:sz w:val="18"/>
                <w:szCs w:val="18"/>
              </w:rPr>
              <w:t>transit + nodal + distant</w:t>
            </w:r>
          </w:p>
        </w:tc>
      </w:tr>
      <w:tr w:rsidR="0061482C" w:rsidRPr="003E73CD" w14:paraId="67B6E481" w14:textId="77777777" w:rsidTr="000C2BAA">
        <w:tc>
          <w:tcPr>
            <w:tcW w:w="550" w:type="pct"/>
            <w:shd w:val="clear" w:color="auto" w:fill="auto"/>
          </w:tcPr>
          <w:p w14:paraId="1B369984" w14:textId="77777777" w:rsidR="0061482C" w:rsidRPr="003E73CD" w:rsidRDefault="0061482C" w:rsidP="00717272">
            <w:pPr>
              <w:rPr>
                <w:sz w:val="18"/>
                <w:szCs w:val="18"/>
              </w:rPr>
            </w:pPr>
            <w:r w:rsidRPr="003E73CD">
              <w:rPr>
                <w:sz w:val="18"/>
                <w:szCs w:val="18"/>
              </w:rPr>
              <w:t>29</w:t>
            </w:r>
          </w:p>
        </w:tc>
        <w:tc>
          <w:tcPr>
            <w:tcW w:w="627" w:type="pct"/>
            <w:shd w:val="clear" w:color="auto" w:fill="000000"/>
          </w:tcPr>
          <w:p w14:paraId="18AC20B1" w14:textId="77777777" w:rsidR="0061482C" w:rsidRPr="003E73CD" w:rsidRDefault="0061482C" w:rsidP="00717272">
            <w:pPr>
              <w:rPr>
                <w:sz w:val="18"/>
                <w:szCs w:val="18"/>
              </w:rPr>
            </w:pPr>
          </w:p>
        </w:tc>
        <w:tc>
          <w:tcPr>
            <w:tcW w:w="686" w:type="pct"/>
            <w:shd w:val="clear" w:color="auto" w:fill="000000"/>
          </w:tcPr>
          <w:p w14:paraId="1E6EE192" w14:textId="77777777" w:rsidR="0061482C" w:rsidRPr="003E73CD" w:rsidRDefault="0061482C" w:rsidP="00717272">
            <w:pPr>
              <w:rPr>
                <w:sz w:val="18"/>
                <w:szCs w:val="18"/>
              </w:rPr>
            </w:pPr>
          </w:p>
        </w:tc>
        <w:tc>
          <w:tcPr>
            <w:tcW w:w="511" w:type="pct"/>
            <w:shd w:val="clear" w:color="auto" w:fill="000000"/>
          </w:tcPr>
          <w:p w14:paraId="1ED06B84" w14:textId="77777777" w:rsidR="0061482C" w:rsidRPr="003E73CD" w:rsidRDefault="0061482C" w:rsidP="00717272">
            <w:pPr>
              <w:rPr>
                <w:sz w:val="18"/>
                <w:szCs w:val="18"/>
              </w:rPr>
            </w:pPr>
          </w:p>
        </w:tc>
        <w:tc>
          <w:tcPr>
            <w:tcW w:w="503" w:type="pct"/>
            <w:shd w:val="clear" w:color="auto" w:fill="000000"/>
          </w:tcPr>
          <w:p w14:paraId="3CB979C0" w14:textId="77777777" w:rsidR="0061482C" w:rsidRPr="003E73CD" w:rsidRDefault="0061482C" w:rsidP="00717272">
            <w:pPr>
              <w:rPr>
                <w:sz w:val="18"/>
                <w:szCs w:val="18"/>
              </w:rPr>
            </w:pPr>
          </w:p>
        </w:tc>
        <w:tc>
          <w:tcPr>
            <w:tcW w:w="467" w:type="pct"/>
            <w:shd w:val="clear" w:color="auto" w:fill="000000"/>
          </w:tcPr>
          <w:p w14:paraId="32808993" w14:textId="77777777" w:rsidR="0061482C" w:rsidRPr="003E73CD" w:rsidRDefault="0061482C" w:rsidP="00717272">
            <w:pPr>
              <w:rPr>
                <w:sz w:val="18"/>
                <w:szCs w:val="18"/>
              </w:rPr>
            </w:pPr>
          </w:p>
        </w:tc>
        <w:tc>
          <w:tcPr>
            <w:tcW w:w="1657" w:type="pct"/>
            <w:shd w:val="clear" w:color="auto" w:fill="auto"/>
          </w:tcPr>
          <w:p w14:paraId="082AA98B" w14:textId="7BE7D57F" w:rsidR="0061482C" w:rsidRPr="003E73CD" w:rsidRDefault="0061482C" w:rsidP="00717272">
            <w:pPr>
              <w:rPr>
                <w:sz w:val="18"/>
                <w:szCs w:val="18"/>
              </w:rPr>
            </w:pPr>
            <w:r w:rsidRPr="003E73CD">
              <w:rPr>
                <w:sz w:val="18"/>
                <w:szCs w:val="18"/>
              </w:rPr>
              <w:t>Local + in</w:t>
            </w:r>
            <w:r w:rsidR="009B1E00">
              <w:rPr>
                <w:sz w:val="18"/>
                <w:szCs w:val="18"/>
              </w:rPr>
              <w:t>-</w:t>
            </w:r>
            <w:r w:rsidRPr="003E73CD">
              <w:rPr>
                <w:sz w:val="18"/>
                <w:szCs w:val="18"/>
              </w:rPr>
              <w:t>transit + nodal + distant</w:t>
            </w:r>
          </w:p>
        </w:tc>
      </w:tr>
    </w:tbl>
    <w:p w14:paraId="6E690CBD" w14:textId="77777777" w:rsidR="0061482C" w:rsidRPr="003E73CD" w:rsidRDefault="0061482C" w:rsidP="0061482C">
      <w:pPr>
        <w:spacing w:line="480" w:lineRule="auto"/>
        <w:rPr>
          <w:sz w:val="22"/>
          <w:szCs w:val="22"/>
        </w:rPr>
      </w:pPr>
    </w:p>
    <w:p w14:paraId="535509A9" w14:textId="1C1F7F47" w:rsidR="002D718B" w:rsidRPr="003E73CD" w:rsidRDefault="0061482C" w:rsidP="0061482C">
      <w:pPr>
        <w:spacing w:line="480" w:lineRule="auto"/>
        <w:rPr>
          <w:sz w:val="22"/>
          <w:szCs w:val="22"/>
        </w:rPr>
      </w:pPr>
      <w:r w:rsidRPr="003E73CD">
        <w:rPr>
          <w:sz w:val="22"/>
          <w:szCs w:val="22"/>
        </w:rPr>
        <w:t xml:space="preserve">A typical patient will undergo sentinel node biopsy with or without subsequent completion lymph node dissection and then enter follow-up in order to identify metastatic disease when it has reached sufficient volume to become </w:t>
      </w:r>
      <w:proofErr w:type="gramStart"/>
      <w:r w:rsidRPr="003E73CD">
        <w:rPr>
          <w:sz w:val="22"/>
          <w:szCs w:val="22"/>
        </w:rPr>
        <w:t>clinically-detectable</w:t>
      </w:r>
      <w:proofErr w:type="gramEnd"/>
      <w:r w:rsidRPr="003E73CD">
        <w:rPr>
          <w:sz w:val="22"/>
          <w:szCs w:val="22"/>
        </w:rPr>
        <w:t>.  This treatment process is far from ideal because it does not attempt to address occult in</w:t>
      </w:r>
      <w:r w:rsidR="009B1E00">
        <w:rPr>
          <w:sz w:val="22"/>
          <w:szCs w:val="22"/>
        </w:rPr>
        <w:t>-</w:t>
      </w:r>
      <w:r w:rsidRPr="003E73CD">
        <w:rPr>
          <w:sz w:val="22"/>
          <w:szCs w:val="22"/>
        </w:rPr>
        <w:t>transit metastases</w:t>
      </w:r>
      <w:r w:rsidR="00E912D9" w:rsidRPr="003E73CD">
        <w:rPr>
          <w:sz w:val="22"/>
          <w:szCs w:val="22"/>
        </w:rPr>
        <w:t>,</w:t>
      </w:r>
      <w:r w:rsidRPr="003E73CD">
        <w:rPr>
          <w:sz w:val="22"/>
          <w:szCs w:val="22"/>
        </w:rPr>
        <w:t xml:space="preserve"> which become clinically apparent in around 6-7% of patients who undergo sentinel node biopsy. </w:t>
      </w:r>
      <w:r w:rsidRPr="003E73CD">
        <w:rPr>
          <w:sz w:val="22"/>
          <w:szCs w:val="22"/>
        </w:rPr>
        <w:fldChar w:fldCharType="begin" w:fldLock="1"/>
      </w:r>
      <w:r w:rsidR="005676A9">
        <w:rPr>
          <w:sz w:val="22"/>
          <w:szCs w:val="22"/>
        </w:rPr>
        <w:instrText>ADDIN CSL_CITATION { "citationItems" : [ { "id" : "ITEM-1", "itemData" : { "DOI" : "10.1245/ASO.2005.05.025", "ISSN" : "1068-9265", "PMID" : "16021533", "abstract" : "BACKGROUND: In-transit recurrence is a unique and uncommon pattern of treatment failure in patients with melanoma. Little information exists concerning the incidence, predictors, and natural history of in-transit disease since the introduction of sentinel lymph node biopsy (SLNB).\n\nMETHODS: Between 1991 and 2001, 1395 patients with primary melanoma underwent SLNB. Univariate and multivariate logistic regression analyses were performed to examine the association among known clinicopathologic factors, in-transit recurrence, and distant metastatic failure after the development of in-transit disease.\n\nRESULTS: With a median follow-up of 3.9 years, 241 patients (17.3%) experienced disease recurrence, including 91 (6.6%) who developed in-transit recurrence. Independent predictors of in-transit recurrence included age &gt;50 years, a lower extremity location of the primary tumor, Breslow depth, ulceration, and sentinel lymph node (SLN) status. Of the 69 patients who presented with in-transit disease as the sole site of first recurrence, 39 developed distant disease. By univariate analysis, predictors of distant failure among patients with in-transit disease included SLN status, largest metastatic focus in the SLN &gt;2.5 mm2, subcutaneous location of in-transit disease, in-transit tumor size &gt; or = 2 cm, and a disease-free interval before in-transit recurrence of &lt;12 months. In-transit tumor size remained a significant predictor of distant metastasis by multivariate analysis (odds ratio, 9.69).\n\nCONCLUSIONS: The overall incidence of in-transit metastases in patients undergoing SLNB is low and does not seem to have increased since the introduction of the SLNB technique. In-transit recurrence, as well as subsequent distant metastatic failure, can be predicted on the basis of adverse tumor factors and SLN status.", "author" : [ { "dropping-particle" : "", "family" : "Pawlik", "given" : "Timothy M", "non-dropping-particle" : "", "parse-names" : false, "suffix" : "" }, { "dropping-particle" : "", "family" : "Ross", "given" : "Merrick I", "non-dropping-particle" : "", "parse-names" : false, "suffix" : "" }, { "dropping-particle" : "", "family" : "Johnson", "given" : "Marcella M", "non-dropping-particle" : "", "parse-names" : false, "suffix" : "" }, { "dropping-particle" : "", "family" : "Schacherer", "given" : "Christopher W", "non-dropping-particle" : "", "parse-names" : false, "suffix" : "" }, { "dropping-particle" : "", "family" : "McClain", "given" : "Dana M", "non-dropping-particle" : "", "parse-names" : false, "suffix" : "" }, { "dropping-particle" : "", "family" : "Mansfield", "given" : "Paul F", "non-dropping-particle" : "", "parse-names" : false, "suffix" : "" }, { "dropping-particle" : "", "family" : "Lee", "given" : "Jeffrey E", "non-dropping-particle" : "", "parse-names" : false, "suffix" : "" }, { "dropping-particle" : "", "family" : "Cormier", "given" : "Janice N", "non-dropping-particle" : "", "parse-names" : false, "suffix" : "" }, { "dropping-particle" : "", "family" : "Gershenwald", "given" : "Jeffrey E", "non-dropping-particle" : "", "parse-names" : false, "suffix" : "" } ], "container-title" : "Annals of surgical oncology", "id" : "ITEM-1", "issue" : "8", "issued" : { "date-parts" : [ [ "2005", "8" ] ] }, "page" : "587-96", "title" : "Predictors and natural history of in-transit melanoma after sentinel lymphadenectomy.", "type" : "article-journal", "volume" : "12" }, "uris" : [ "http://www.mendeley.com/documents/?uuid=7f0faa45-c48b-4164-adb1-2a3a4cc6b2e2" ] }, { "id" : "ITEM-2", "itemData" : { "DOI" : "10.1245/s10434-014-4100-0", "ISSN" : "1534-4681", "PMID" : "25256128", "abstract" : "PURPOSE: To analyze a large, single-institution database to further understanding of melanoma in-transit metastases (ITM) with regard to incidence, prognosis, and the role of lymphadenectomy.\n\nMETHODS: A total of 11,614 patients with single primary cutaneous melanomas were treated at Melanoma Institute Australia between January 1994 and December 2009. Of these, 505 developed ITM. Clinicopathologic characteristics, sentinel node (SN) status, patterns of disease progression, and outcomes were analyzed.\n\nRESULTS: In the 505 patients with ITM, the median primary tumor thickness was 2.95\u00a0mm, and 39.4\u00a0% were ulcerated. The ITM rates for patients with primary melanomas &lt;1 or \u22651\u00a0mm in size and in those who underwent sentinel node biopsy were 0.4, 7.8, and 7.2\u00a0%, respectively. The ITM rates for SN-positive and SN-negative patients were 21.6 and 4.7\u00a0%, respectively. The median time from primary diagnosis to the development of ITM was 17.9\u00a0months. After ITM diagnosis, the median survival time was 19.9\u00a0months, 5-year survival was 32.8\u00a0%, and 10-year survival was 27.5\u00a0%. After ITM diagnosis, primary tumor site (head/neck, trunk) and ulceration were predictors of poorer survival. Five-year survival from the time of ITM ranged from 47.9\u00a0% for nonulcerated limb primary lesions to only 13.6\u00a0% for ulcerated trunk primary lesions. Elective lymph node dissection in clinically node-negative patients with ITM did not significantly alter overall survival.\n\nCONCLUSIONS: This large study demonstrates that the diagnosis of melanoma ITM carries serious adverse prognostic implications and will assist in improving the accuracy of staging and prognostic estimates as well as treatment in these patients.", "author" : [ { "dropping-particle" : "", "family" : "Read", "given" : "Rebecca L", "non-dropping-particle" : "", "parse-names" : false, "suffix" : "" }, { "dropping-particle" : "", "family" : "Haydu", "given" : "Lauren", "non-dropping-particle" : "", "parse-names" : false, "suffix" : "" }, { "dropping-particle" : "", "family" : "Saw", "given" : "Robyn P M", "non-dropping-particle" : "", "parse-names" : false, "suffix" : "" }, { "dropping-particle" : "", "family" : "Quinn", "given" : "Michael J", "non-dropping-particle" : "", "parse-names" : false, "suffix" : "" }, { "dropping-particle" : "", "family" : "Shannon", "given" : "Kerwin", "non-dropping-particle" : "", "parse-names" : false, "suffix" : "" }, { "dropping-particle" : "", "family" : "Spillane", "given" : "Andrew J", "non-dropping-particle" : "", "parse-names" : false, "suffix" : "" }, { "dropping-particle" : "", "family" : "Stretch", "given" : "Jonathan R", "non-dropping-particle" : "", "parse-names" : false, "suffix" : "" }, { "dropping-particle" : "", "family" : "Scolyer", "given" : "Richard A", "non-dropping-particle" : "", "parse-names" : false, "suffix" : "" }, { "dropping-particle" : "", "family" : "Thompson", "given" : "John F", "non-dropping-particle" : "", "parse-names" : false, "suffix" : "" } ], "container-title" : "Annals of surgical oncology", "id" : "ITEM-2", "issue" : "2", "issued" : { "date-parts" : [ [ "2015", "3" ] ] }, "page" : "475-81", "title" : "In-transit melanoma metastases: incidence, prognosis, and the role of lymphadenectomy.", "type" : "article-journal", "volume" : "22" }, "uris" : [ "http://www.mendeley.com/documents/?uuid=ea5586f1-e165-4a9c-9509-650111bf0c06" ] } ], "mendeley" : { "formattedCitation" : "&lt;sup&gt;54,232&lt;/sup&gt;", "plainTextFormattedCitation" : "54,232", "previouslyFormattedCitation" : "&lt;sup&gt;54,232&lt;/sup&gt;" }, "properties" : { "noteIndex" : 0 }, "schema" : "https://github.com/citation-style-language/schema/raw/master/csl-citation.json" }</w:instrText>
      </w:r>
      <w:r w:rsidRPr="003E73CD">
        <w:rPr>
          <w:sz w:val="22"/>
          <w:szCs w:val="22"/>
        </w:rPr>
        <w:fldChar w:fldCharType="separate"/>
      </w:r>
      <w:r w:rsidR="00217FAC" w:rsidRPr="00217FAC">
        <w:rPr>
          <w:noProof/>
          <w:sz w:val="22"/>
          <w:szCs w:val="22"/>
          <w:vertAlign w:val="superscript"/>
        </w:rPr>
        <w:t>54,232</w:t>
      </w:r>
      <w:r w:rsidRPr="003E73CD">
        <w:rPr>
          <w:sz w:val="22"/>
          <w:szCs w:val="22"/>
        </w:rPr>
        <w:fldChar w:fldCharType="end"/>
      </w:r>
      <w:proofErr w:type="gramStart"/>
      <w:r w:rsidRPr="003E73CD">
        <w:rPr>
          <w:sz w:val="22"/>
          <w:szCs w:val="22"/>
        </w:rPr>
        <w:t xml:space="preserve">  Similarly</w:t>
      </w:r>
      <w:proofErr w:type="gramEnd"/>
      <w:r w:rsidR="00E912D9" w:rsidRPr="003E73CD">
        <w:rPr>
          <w:sz w:val="22"/>
          <w:szCs w:val="22"/>
        </w:rPr>
        <w:t>,</w:t>
      </w:r>
      <w:r w:rsidRPr="003E73CD">
        <w:rPr>
          <w:sz w:val="22"/>
          <w:szCs w:val="22"/>
        </w:rPr>
        <w:t xml:space="preserve"> it does not attempt to address occult distant metastases.  Instead, watchful waiting gives the melanoma metastases opportunity to grow and to spread from in</w:t>
      </w:r>
      <w:r w:rsidR="009B1E00">
        <w:rPr>
          <w:sz w:val="22"/>
          <w:szCs w:val="22"/>
        </w:rPr>
        <w:t>-</w:t>
      </w:r>
      <w:r w:rsidRPr="003E73CD">
        <w:rPr>
          <w:sz w:val="22"/>
          <w:szCs w:val="22"/>
        </w:rPr>
        <w:t>transit sites to nodal and distant sites and for distant metastases to grow and disseminate further.  To improve management requires two components.  Firstly there should be a method for accurately ident</w:t>
      </w:r>
      <w:r w:rsidR="00446F52" w:rsidRPr="003E73CD">
        <w:rPr>
          <w:sz w:val="22"/>
          <w:szCs w:val="22"/>
        </w:rPr>
        <w:t>ifying the patients who are most likely to have</w:t>
      </w:r>
      <w:r w:rsidRPr="003E73CD">
        <w:rPr>
          <w:sz w:val="22"/>
          <w:szCs w:val="22"/>
        </w:rPr>
        <w:t xml:space="preserve"> occult in</w:t>
      </w:r>
      <w:r w:rsidR="009B1E00">
        <w:rPr>
          <w:sz w:val="22"/>
          <w:szCs w:val="22"/>
        </w:rPr>
        <w:t>-</w:t>
      </w:r>
      <w:r w:rsidRPr="003E73CD">
        <w:rPr>
          <w:sz w:val="22"/>
          <w:szCs w:val="22"/>
        </w:rPr>
        <w:t>transit and</w:t>
      </w:r>
      <w:r w:rsidR="00446F52" w:rsidRPr="003E73CD">
        <w:rPr>
          <w:sz w:val="22"/>
          <w:szCs w:val="22"/>
        </w:rPr>
        <w:t>/or</w:t>
      </w:r>
      <w:r w:rsidRPr="003E73CD">
        <w:rPr>
          <w:sz w:val="22"/>
          <w:szCs w:val="22"/>
        </w:rPr>
        <w:t xml:space="preserve"> distant metastases</w:t>
      </w:r>
      <w:r w:rsidR="00446F52" w:rsidRPr="003E73CD">
        <w:rPr>
          <w:sz w:val="22"/>
          <w:szCs w:val="22"/>
        </w:rPr>
        <w:t>.  S</w:t>
      </w:r>
      <w:r w:rsidRPr="003E73CD">
        <w:rPr>
          <w:sz w:val="22"/>
          <w:szCs w:val="22"/>
        </w:rPr>
        <w:t xml:space="preserve">econdly there would need to be effective treatments to eradicate such metastases.  </w:t>
      </w:r>
    </w:p>
    <w:p w14:paraId="770E80B6" w14:textId="41DEA54A" w:rsidR="00E43905" w:rsidRPr="003E73CD" w:rsidRDefault="0061482C" w:rsidP="002D718B">
      <w:pPr>
        <w:spacing w:line="480" w:lineRule="auto"/>
        <w:ind w:firstLine="720"/>
        <w:rPr>
          <w:sz w:val="22"/>
          <w:szCs w:val="22"/>
        </w:rPr>
      </w:pPr>
      <w:r w:rsidRPr="003E73CD">
        <w:rPr>
          <w:sz w:val="22"/>
          <w:szCs w:val="22"/>
        </w:rPr>
        <w:t xml:space="preserve">The prognostic classification </w:t>
      </w:r>
      <w:r w:rsidR="00507F8F" w:rsidRPr="003E73CD">
        <w:rPr>
          <w:sz w:val="22"/>
          <w:szCs w:val="22"/>
        </w:rPr>
        <w:t xml:space="preserve">or survival </w:t>
      </w:r>
      <w:r w:rsidRPr="003E73CD">
        <w:rPr>
          <w:sz w:val="22"/>
          <w:szCs w:val="22"/>
        </w:rPr>
        <w:t xml:space="preserve">tree developed previously </w:t>
      </w:r>
      <w:r w:rsidR="002D718B" w:rsidRPr="003E73CD">
        <w:rPr>
          <w:sz w:val="22"/>
          <w:szCs w:val="22"/>
        </w:rPr>
        <w:t>from an Australian population has been</w:t>
      </w:r>
      <w:r w:rsidRPr="003E73CD">
        <w:rPr>
          <w:sz w:val="22"/>
          <w:szCs w:val="22"/>
        </w:rPr>
        <w:t xml:space="preserve"> validated in the present study</w:t>
      </w:r>
      <w:r w:rsidR="002D718B" w:rsidRPr="003E73CD">
        <w:rPr>
          <w:sz w:val="22"/>
          <w:szCs w:val="22"/>
        </w:rPr>
        <w:t>.  It</w:t>
      </w:r>
      <w:r w:rsidRPr="003E73CD">
        <w:rPr>
          <w:sz w:val="22"/>
          <w:szCs w:val="22"/>
        </w:rPr>
        <w:t xml:space="preserve"> identifies a group (Group 4) where all members appear likely to have occult distant metastatic disease and a poor prognosis.</w:t>
      </w:r>
      <w:r w:rsidRPr="003E73CD">
        <w:rPr>
          <w:sz w:val="22"/>
          <w:szCs w:val="22"/>
        </w:rPr>
        <w:fldChar w:fldCharType="begin" w:fldLock="1"/>
      </w:r>
      <w:r w:rsidR="00217FAC">
        <w:rPr>
          <w:sz w:val="22"/>
          <w:szCs w:val="22"/>
        </w:rPr>
        <w:instrText>ADDIN CSL_CITATION { "citationItems" : [ { "id" : "ITEM-1", "itemData" : { "DOI" : "10.1245/s10434-010-1049-5", "ISSN" : "1534-4681", "PMID" : "20490699", "abstract" : "BACKGROUND: Completion lymph node dissection (CLND) following positive sentinel node biopsy (SNB) for melanoma detects additional nonsentinel node (NSN) metastases in approximately 20% of cases. This study aimed to establish whether NSN status can be predicted, to determine its effect on survival, and to develop survival tree models for the sentinel node (SN) positive population.\n\nMATERIALS AND METHODS: Sydney Melanoma Unit (SMU) patients with at least 1 positive SN, meeting inclusion criteria and treated between October 1992 and June 2005, were identified from the Unit database. Survival characteristics, potential predictors of survival, and NSN status were assessed using the Kaplan-Meier method, Cox regression model, and logistic regression analyses, respectively. Classification tree analysis was performed to identify groups with distinctly different survival characteristics.\n\nRESULTS: A total of 323 SN-positive melanoma patients met the inclusion criteria. On multivariate analysis, age, gender, primary tumor thickness, mitotic rate, number of positive NSNs, or total number of positive nodes were statistically significant predictors of survival. NSN metastasis, found at CLND in 19% of patients, was only predicted to a statistically significant degree by ulceration. Multivariate analyses demonstrated that survival was more closely related to number of positive NSNs than total number of positive nodes. Classification tree analysis revealed 4 prognostically distinct survival groups.\n\nCONCLUSIONS: Patients with NSN metastases could not be reliably identified prior to CLND. Prognosis following CLND was more closely related to number of positive NSNs than total number of positive nodes. Classification tree analysis defined distinctly different survival groups more accurately than use of single-factor analysis.", "author" : [ { "dropping-particle" : "", "family" : "Wiener", "given" : "Martin", "non-dropping-particle" : "", "parse-names" : false, "suffix" : "" }, { "dropping-particle" : "", "family" : "Acland", "given" : "Katharine M", "non-dropping-particle" : "", "parse-names" : false, "suffix" : "" }, { "dropping-particle" : "", "family" : "Shaw", "given" : "Helen M", "non-dropping-particle" : "", "parse-names" : false, "suffix" : "" }, { "dropping-particle" : "", "family" : "Soong", "given" : "Seng-Jaw", "non-dropping-particle" : "", "parse-names" : false, "suffix" : "" }, { "dropping-particle" : "", "family" : "Lin", "given" : "Hui-Yi", "non-dropping-particle" : "", "parse-names" : false, "suffix" : "" }, { "dropping-particle" : "", "family" : "Chen", "given" : "Dung-Tsa", "non-dropping-particle" : "", "parse-names" : false, "suffix" : "" }, { "dropping-particle" : "", "family" : "Scolyer", "given" : "Richard A", "non-dropping-particle" : "", "parse-names" : false, "suffix" : "" }, { "dropping-particle" : "", "family" : "Winstanley", "given" : "Julie B", "non-dropping-particle" : "", "parse-names" : false, "suffix" : "" }, { "dropping-particle" : "", "family" : "Thompson", "given" : "John F", "non-dropping-particle" : "", "parse-names" : false, "suffix" : "" } ], "container-title" : "Annals of surgical oncology", "id" : "ITEM-1", "issue" : "8", "issued" : { "date-parts" : [ [ "2010", "8" ] ] }, "page" : "1995-2005", "title" : "Sentinel node positive melanoma patients: prediction and prognostic significance of nonsentinel node metastases and development of a survival tree model.", "type" : "article-journal", "volume" : "17" }, "uris" : [ "http://www.mendeley.com/documents/?uuid=f4126b0e-1dfd-4ac9-a748-0e48d0c17c53" ] } ], "mendeley" : { "formattedCitation" : "&lt;sup&gt;161&lt;/sup&gt;", "plainTextFormattedCitation" : "161", "previouslyFormattedCitation" : "&lt;sup&gt;161&lt;/sup&gt;" }, "properties" : { "noteIndex" : 0 }, "schema" : "https://github.com/citation-style-language/schema/raw/master/csl-citation.json" }</w:instrText>
      </w:r>
      <w:r w:rsidRPr="003E73CD">
        <w:rPr>
          <w:sz w:val="22"/>
          <w:szCs w:val="22"/>
        </w:rPr>
        <w:fldChar w:fldCharType="separate"/>
      </w:r>
      <w:r w:rsidR="00CE2A17" w:rsidRPr="00CE2A17">
        <w:rPr>
          <w:noProof/>
          <w:sz w:val="22"/>
          <w:szCs w:val="22"/>
          <w:vertAlign w:val="superscript"/>
        </w:rPr>
        <w:t>161</w:t>
      </w:r>
      <w:r w:rsidRPr="003E73CD">
        <w:rPr>
          <w:sz w:val="22"/>
          <w:szCs w:val="22"/>
        </w:rPr>
        <w:fldChar w:fldCharType="end"/>
      </w:r>
      <w:r w:rsidRPr="003E73CD">
        <w:rPr>
          <w:sz w:val="22"/>
          <w:szCs w:val="22"/>
        </w:rPr>
        <w:t xml:space="preserve">    An argument could therefore be made for treating this group in the same way as patients with stage IV disease.  Similarly, patients in Group 3 appear to have a high risk of distant visceral metastatic disease and a relatively poor prognosis.  In contrast, patients in Group 2 have a similar rate of recurrence but their risk is mainly for initial local or in</w:t>
      </w:r>
      <w:r w:rsidR="009B1E00">
        <w:rPr>
          <w:sz w:val="22"/>
          <w:szCs w:val="22"/>
        </w:rPr>
        <w:t>-</w:t>
      </w:r>
      <w:r w:rsidRPr="003E73CD">
        <w:rPr>
          <w:sz w:val="22"/>
          <w:szCs w:val="22"/>
        </w:rPr>
        <w:t>transit recurrence rather than distant metastases.  Patient</w:t>
      </w:r>
      <w:r w:rsidR="000342E9" w:rsidRPr="003E73CD">
        <w:rPr>
          <w:sz w:val="22"/>
          <w:szCs w:val="22"/>
        </w:rPr>
        <w:t>s in Group 1 appear to be</w:t>
      </w:r>
      <w:r w:rsidRPr="003E73CD">
        <w:rPr>
          <w:sz w:val="22"/>
          <w:szCs w:val="22"/>
        </w:rPr>
        <w:t xml:space="preserve"> unlikely to have distant metastases and are mainly at risk from in</w:t>
      </w:r>
      <w:r w:rsidR="009B1E00">
        <w:rPr>
          <w:sz w:val="22"/>
          <w:szCs w:val="22"/>
        </w:rPr>
        <w:t>-</w:t>
      </w:r>
      <w:r w:rsidRPr="003E73CD">
        <w:rPr>
          <w:sz w:val="22"/>
          <w:szCs w:val="22"/>
        </w:rPr>
        <w:t xml:space="preserve">transit metastases or failures of nodal management due to inaccurate sentinel node biopsy or inadequate nodal clearance.  </w:t>
      </w:r>
      <w:r w:rsidR="00B86816" w:rsidRPr="003E73CD">
        <w:rPr>
          <w:sz w:val="22"/>
          <w:szCs w:val="22"/>
        </w:rPr>
        <w:t>Comparison of the survival</w:t>
      </w:r>
      <w:r w:rsidR="000342E9" w:rsidRPr="003E73CD">
        <w:rPr>
          <w:sz w:val="22"/>
          <w:szCs w:val="22"/>
        </w:rPr>
        <w:t xml:space="preserve"> tree-</w:t>
      </w:r>
      <w:r w:rsidRPr="003E73CD">
        <w:rPr>
          <w:sz w:val="22"/>
          <w:szCs w:val="22"/>
        </w:rPr>
        <w:t>based prognostic grouping with the AJCC prognostic tool (</w:t>
      </w:r>
      <w:r w:rsidR="002A0DBC">
        <w:rPr>
          <w:sz w:val="22"/>
          <w:szCs w:val="22"/>
        </w:rPr>
        <w:t>Figures 3.3.1 and 3.3</w:t>
      </w:r>
      <w:r w:rsidR="00B86816" w:rsidRPr="003E73CD">
        <w:rPr>
          <w:sz w:val="22"/>
          <w:szCs w:val="22"/>
        </w:rPr>
        <w:t>.2</w:t>
      </w:r>
      <w:r w:rsidRPr="003E73CD">
        <w:rPr>
          <w:sz w:val="22"/>
          <w:szCs w:val="22"/>
        </w:rPr>
        <w:t>)</w:t>
      </w:r>
      <w:r w:rsidR="00B86816" w:rsidRPr="003E73CD">
        <w:rPr>
          <w:sz w:val="22"/>
          <w:szCs w:val="22"/>
        </w:rPr>
        <w:t xml:space="preserve"> shows that the survival</w:t>
      </w:r>
      <w:r w:rsidR="0043722E" w:rsidRPr="003E73CD">
        <w:rPr>
          <w:sz w:val="22"/>
          <w:szCs w:val="22"/>
        </w:rPr>
        <w:t xml:space="preserve"> tree may be of particular</w:t>
      </w:r>
      <w:r w:rsidRPr="003E73CD">
        <w:rPr>
          <w:sz w:val="22"/>
          <w:szCs w:val="22"/>
        </w:rPr>
        <w:t xml:space="preserve"> value in differentiating the patients that are contained within Groups 2 and 3.  The mean and median predicted 5-year survival for Groups 2 and 3 were similar using the AJCC prognostic tool</w:t>
      </w:r>
      <w:r w:rsidR="00341CCA" w:rsidRPr="003E73CD">
        <w:rPr>
          <w:sz w:val="22"/>
          <w:szCs w:val="22"/>
        </w:rPr>
        <w:t xml:space="preserve"> (Group 2 mean 63.6 (median 62.3) months, Group 3 mean 57.1 (median 62.5) months).  However, the survival</w:t>
      </w:r>
      <w:r w:rsidRPr="003E73CD">
        <w:rPr>
          <w:sz w:val="22"/>
          <w:szCs w:val="22"/>
        </w:rPr>
        <w:t xml:space="preserve"> tree predicted 5-year survival was 39% (95% CI 29-49) for Group 3 and 70% (95% CI 58-81) for Group 2.  Actual 5-year survi</w:t>
      </w:r>
      <w:r w:rsidR="00E43905" w:rsidRPr="003E73CD">
        <w:rPr>
          <w:sz w:val="22"/>
          <w:szCs w:val="22"/>
        </w:rPr>
        <w:t xml:space="preserve">val </w:t>
      </w:r>
      <w:r w:rsidR="00341CCA" w:rsidRPr="003E73CD">
        <w:rPr>
          <w:sz w:val="22"/>
          <w:szCs w:val="22"/>
        </w:rPr>
        <w:t xml:space="preserve">(based on survival tree grouping) </w:t>
      </w:r>
      <w:r w:rsidR="00E43905" w:rsidRPr="003E73CD">
        <w:rPr>
          <w:sz w:val="22"/>
          <w:szCs w:val="22"/>
        </w:rPr>
        <w:t>for the present study was 58% for Group 3 and 85%</w:t>
      </w:r>
      <w:r w:rsidRPr="003E73CD">
        <w:rPr>
          <w:sz w:val="22"/>
          <w:szCs w:val="22"/>
        </w:rPr>
        <w:t xml:space="preserve"> for Group 2.  </w:t>
      </w:r>
      <w:r w:rsidR="00E43905" w:rsidRPr="003E73CD">
        <w:rPr>
          <w:sz w:val="22"/>
          <w:szCs w:val="22"/>
        </w:rPr>
        <w:t>The actual 5-year survival rates for patients in Groups 2 and 3 were better than predicted.  This could be the result of the emergence of effective therapies for patients with distant metastati</w:t>
      </w:r>
      <w:r w:rsidR="00D85F3F" w:rsidRPr="003E73CD">
        <w:rPr>
          <w:sz w:val="22"/>
          <w:szCs w:val="22"/>
        </w:rPr>
        <w:t>c disease, small sample size or difference</w:t>
      </w:r>
      <w:r w:rsidR="00341CCA" w:rsidRPr="003E73CD">
        <w:rPr>
          <w:sz w:val="22"/>
          <w:szCs w:val="22"/>
        </w:rPr>
        <w:t>s</w:t>
      </w:r>
      <w:r w:rsidR="00D85F3F" w:rsidRPr="003E73CD">
        <w:rPr>
          <w:sz w:val="22"/>
          <w:szCs w:val="22"/>
        </w:rPr>
        <w:t xml:space="preserve"> in the study populations.  The UK population had a slightly higher proportion of female patients and a slightly lower proportion of melanomas with high mitotic rate, ulceration and/or Breslow thickness &gt;4.0mm, all factors which would confer a better prognosis</w:t>
      </w:r>
      <w:r w:rsidR="002A0DBC">
        <w:rPr>
          <w:sz w:val="22"/>
          <w:szCs w:val="22"/>
        </w:rPr>
        <w:t xml:space="preserve"> (see Table 3.3</w:t>
      </w:r>
      <w:r w:rsidR="00341CCA" w:rsidRPr="003E73CD">
        <w:rPr>
          <w:sz w:val="22"/>
          <w:szCs w:val="22"/>
        </w:rPr>
        <w:t>.2)</w:t>
      </w:r>
      <w:r w:rsidR="00D85F3F" w:rsidRPr="003E73CD">
        <w:rPr>
          <w:sz w:val="22"/>
          <w:szCs w:val="22"/>
        </w:rPr>
        <w:t>.  Comparison of the survival curves for the survival tree model and the 3 online prognostic calculators demonstrated that the survival tree model and the lifemath.net calculator provided the most</w:t>
      </w:r>
      <w:r w:rsidR="00DE2C35" w:rsidRPr="003E73CD">
        <w:rPr>
          <w:sz w:val="22"/>
          <w:szCs w:val="22"/>
        </w:rPr>
        <w:t xml:space="preserve"> separated survival curves with very similar estimated 5-year survival for each group</w:t>
      </w:r>
      <w:r w:rsidR="004F4819" w:rsidRPr="003E73CD">
        <w:rPr>
          <w:sz w:val="22"/>
          <w:szCs w:val="22"/>
        </w:rPr>
        <w:t xml:space="preserve"> (</w:t>
      </w:r>
      <w:r w:rsidR="002A0DBC">
        <w:rPr>
          <w:sz w:val="22"/>
          <w:szCs w:val="22"/>
        </w:rPr>
        <w:t>Figures 3.3.1 to 3.3</w:t>
      </w:r>
      <w:r w:rsidR="00F55154" w:rsidRPr="003E73CD">
        <w:rPr>
          <w:sz w:val="22"/>
          <w:szCs w:val="22"/>
        </w:rPr>
        <w:t>.4</w:t>
      </w:r>
      <w:r w:rsidR="004F4819" w:rsidRPr="003E73CD">
        <w:rPr>
          <w:sz w:val="22"/>
          <w:szCs w:val="22"/>
        </w:rPr>
        <w:t>)</w:t>
      </w:r>
      <w:r w:rsidR="00DE2C35" w:rsidRPr="003E73CD">
        <w:rPr>
          <w:sz w:val="22"/>
          <w:szCs w:val="22"/>
        </w:rPr>
        <w:t>.  However,</w:t>
      </w:r>
      <w:r w:rsidR="0043722E" w:rsidRPr="003E73CD">
        <w:rPr>
          <w:sz w:val="22"/>
          <w:szCs w:val="22"/>
        </w:rPr>
        <w:t xml:space="preserve"> the patient population was more</w:t>
      </w:r>
      <w:r w:rsidR="00DE2C35" w:rsidRPr="003E73CD">
        <w:rPr>
          <w:sz w:val="22"/>
          <w:szCs w:val="22"/>
        </w:rPr>
        <w:t xml:space="preserve"> evenly distributed using the survival tree model.  In particular</w:t>
      </w:r>
      <w:r w:rsidR="004F4819" w:rsidRPr="003E73CD">
        <w:rPr>
          <w:sz w:val="22"/>
          <w:szCs w:val="22"/>
        </w:rPr>
        <w:t xml:space="preserve"> for the Group 1 patients, with estimated 5-year survival of 100%, </w:t>
      </w:r>
      <w:r w:rsidR="00DE2C35" w:rsidRPr="003E73CD">
        <w:rPr>
          <w:sz w:val="22"/>
          <w:szCs w:val="22"/>
        </w:rPr>
        <w:t>th</w:t>
      </w:r>
      <w:r w:rsidR="004F4819" w:rsidRPr="003E73CD">
        <w:rPr>
          <w:sz w:val="22"/>
          <w:szCs w:val="22"/>
        </w:rPr>
        <w:t>e survival tree model assigned 12 patients to</w:t>
      </w:r>
      <w:r w:rsidR="00DE2C35" w:rsidRPr="003E73CD">
        <w:rPr>
          <w:sz w:val="22"/>
          <w:szCs w:val="22"/>
        </w:rPr>
        <w:t xml:space="preserve"> Group 1 whereas the equivalent lifemath.net-derived group (patients with estimated 5-year survival 76-100%) contained only 5 patients.</w:t>
      </w:r>
      <w:r w:rsidR="004F4819" w:rsidRPr="003E73CD">
        <w:rPr>
          <w:sz w:val="22"/>
          <w:szCs w:val="22"/>
        </w:rPr>
        <w:t xml:space="preserve"> </w:t>
      </w:r>
    </w:p>
    <w:p w14:paraId="2E7C4A94" w14:textId="05481F18" w:rsidR="004F4819" w:rsidRPr="003E73CD" w:rsidRDefault="004F4819" w:rsidP="002D718B">
      <w:pPr>
        <w:spacing w:line="480" w:lineRule="auto"/>
        <w:ind w:firstLine="720"/>
        <w:rPr>
          <w:sz w:val="22"/>
          <w:szCs w:val="22"/>
        </w:rPr>
      </w:pPr>
      <w:proofErr w:type="gramStart"/>
      <w:r w:rsidRPr="003E73CD">
        <w:rPr>
          <w:sz w:val="22"/>
          <w:szCs w:val="22"/>
        </w:rPr>
        <w:t xml:space="preserve">Further assessment of the effectiveness of each prognostic tool to predict status (alive or dead) at 5 years was performed by plotting </w:t>
      </w:r>
      <w:r w:rsidR="00A06701" w:rsidRPr="003E73CD">
        <w:rPr>
          <w:sz w:val="22"/>
          <w:szCs w:val="22"/>
        </w:rPr>
        <w:t xml:space="preserve">the </w:t>
      </w:r>
      <w:r w:rsidRPr="003E73CD">
        <w:rPr>
          <w:sz w:val="22"/>
          <w:szCs w:val="22"/>
        </w:rPr>
        <w:t>receiver operator c</w:t>
      </w:r>
      <w:r w:rsidR="00A06701" w:rsidRPr="003E73CD">
        <w:rPr>
          <w:sz w:val="22"/>
          <w:szCs w:val="22"/>
        </w:rPr>
        <w:t>haracteristic curve</w:t>
      </w:r>
      <w:r w:rsidRPr="003E73CD">
        <w:rPr>
          <w:sz w:val="22"/>
          <w:szCs w:val="22"/>
        </w:rPr>
        <w:t xml:space="preserve"> for each prognostic tool</w:t>
      </w:r>
      <w:proofErr w:type="gramEnd"/>
      <w:r w:rsidRPr="003E73CD">
        <w:rPr>
          <w:sz w:val="22"/>
          <w:szCs w:val="22"/>
        </w:rPr>
        <w:t xml:space="preserve">.  </w:t>
      </w:r>
      <w:r w:rsidR="002A0DBC">
        <w:rPr>
          <w:sz w:val="22"/>
          <w:szCs w:val="22"/>
        </w:rPr>
        <w:t>Figure 3.3</w:t>
      </w:r>
      <w:r w:rsidR="00F55154" w:rsidRPr="003E73CD">
        <w:rPr>
          <w:sz w:val="22"/>
          <w:szCs w:val="22"/>
        </w:rPr>
        <w:t>.5</w:t>
      </w:r>
      <w:r w:rsidRPr="003E73CD">
        <w:rPr>
          <w:sz w:val="22"/>
          <w:szCs w:val="22"/>
        </w:rPr>
        <w:t xml:space="preserve"> demonstrates that the survival tree </w:t>
      </w:r>
      <w:r w:rsidR="00F55154" w:rsidRPr="003E73CD">
        <w:rPr>
          <w:sz w:val="22"/>
          <w:szCs w:val="22"/>
        </w:rPr>
        <w:t xml:space="preserve">classification </w:t>
      </w:r>
      <w:r w:rsidRPr="003E73CD">
        <w:rPr>
          <w:sz w:val="22"/>
          <w:szCs w:val="22"/>
        </w:rPr>
        <w:t xml:space="preserve">produced the </w:t>
      </w:r>
      <w:r w:rsidR="00961AAA" w:rsidRPr="003E73CD">
        <w:rPr>
          <w:sz w:val="22"/>
          <w:szCs w:val="22"/>
        </w:rPr>
        <w:t xml:space="preserve">greatest area under the curve (area 0.934, p = 0.005) suggesting that it was the most accurate </w:t>
      </w:r>
      <w:r w:rsidR="0043722E" w:rsidRPr="003E73CD">
        <w:rPr>
          <w:sz w:val="22"/>
          <w:szCs w:val="22"/>
        </w:rPr>
        <w:t xml:space="preserve">as a </w:t>
      </w:r>
      <w:r w:rsidR="00961AAA" w:rsidRPr="003E73CD">
        <w:rPr>
          <w:sz w:val="22"/>
          <w:szCs w:val="22"/>
        </w:rPr>
        <w:t xml:space="preserve">test for </w:t>
      </w:r>
      <w:r w:rsidR="00F55154" w:rsidRPr="003E73CD">
        <w:rPr>
          <w:sz w:val="22"/>
          <w:szCs w:val="22"/>
        </w:rPr>
        <w:t xml:space="preserve">predicting </w:t>
      </w:r>
      <w:r w:rsidR="00961AAA" w:rsidRPr="003E73CD">
        <w:rPr>
          <w:sz w:val="22"/>
          <w:szCs w:val="22"/>
        </w:rPr>
        <w:t>status at 5 years.</w:t>
      </w:r>
    </w:p>
    <w:p w14:paraId="33EB6952" w14:textId="21582C37" w:rsidR="00961AAA" w:rsidRPr="003E73CD" w:rsidRDefault="002D718B" w:rsidP="00961AAA">
      <w:pPr>
        <w:spacing w:line="480" w:lineRule="auto"/>
        <w:ind w:firstLine="720"/>
        <w:rPr>
          <w:sz w:val="22"/>
          <w:szCs w:val="22"/>
        </w:rPr>
      </w:pPr>
      <w:r w:rsidRPr="003E73CD">
        <w:rPr>
          <w:sz w:val="22"/>
          <w:szCs w:val="22"/>
        </w:rPr>
        <w:t xml:space="preserve">The patterns of recurrence observed in the present study suggest that the survival tree creates </w:t>
      </w:r>
      <w:r w:rsidR="0061482C" w:rsidRPr="003E73CD">
        <w:rPr>
          <w:sz w:val="22"/>
          <w:szCs w:val="22"/>
        </w:rPr>
        <w:t xml:space="preserve">groups </w:t>
      </w:r>
      <w:r w:rsidRPr="003E73CD">
        <w:rPr>
          <w:sz w:val="22"/>
          <w:szCs w:val="22"/>
        </w:rPr>
        <w:t>that are distinguished by their high or</w:t>
      </w:r>
      <w:r w:rsidR="0061482C" w:rsidRPr="003E73CD">
        <w:rPr>
          <w:sz w:val="22"/>
          <w:szCs w:val="22"/>
        </w:rPr>
        <w:t xml:space="preserve"> low risk of occult distant me</w:t>
      </w:r>
      <w:r w:rsidRPr="003E73CD">
        <w:rPr>
          <w:sz w:val="22"/>
          <w:szCs w:val="22"/>
        </w:rPr>
        <w:t>tastases</w:t>
      </w:r>
      <w:r w:rsidR="0061482C" w:rsidRPr="003E73CD">
        <w:rPr>
          <w:sz w:val="22"/>
          <w:szCs w:val="22"/>
        </w:rPr>
        <w:t xml:space="preserve">.   </w:t>
      </w:r>
      <w:r w:rsidR="00961AAA" w:rsidRPr="003E73CD">
        <w:rPr>
          <w:sz w:val="22"/>
          <w:szCs w:val="22"/>
        </w:rPr>
        <w:t>Overall, the findings suggest that systemic therapies should be considered for those in Group 4 and Group 3 whereas for Group 2 therapies that address occult in</w:t>
      </w:r>
      <w:r w:rsidR="009B1E00">
        <w:rPr>
          <w:sz w:val="22"/>
          <w:szCs w:val="22"/>
        </w:rPr>
        <w:t>-</w:t>
      </w:r>
      <w:r w:rsidR="00961AAA" w:rsidRPr="003E73CD">
        <w:rPr>
          <w:sz w:val="22"/>
          <w:szCs w:val="22"/>
        </w:rPr>
        <w:t>transit metastases could be considered.  For Group 1 observation only may be required unless a low morbidity therapy to address occult in</w:t>
      </w:r>
      <w:r w:rsidR="009B1E00">
        <w:rPr>
          <w:sz w:val="22"/>
          <w:szCs w:val="22"/>
        </w:rPr>
        <w:t>-</w:t>
      </w:r>
      <w:r w:rsidR="00961AAA" w:rsidRPr="003E73CD">
        <w:rPr>
          <w:sz w:val="22"/>
          <w:szCs w:val="22"/>
        </w:rPr>
        <w:t xml:space="preserve">transit metastases becomes available. </w:t>
      </w:r>
    </w:p>
    <w:p w14:paraId="4E6DFD8D" w14:textId="2BD9C947" w:rsidR="0061482C" w:rsidRPr="003E73CD" w:rsidRDefault="0061482C" w:rsidP="0061482C">
      <w:pPr>
        <w:spacing w:line="480" w:lineRule="auto"/>
        <w:ind w:firstLine="720"/>
        <w:rPr>
          <w:sz w:val="22"/>
          <w:szCs w:val="22"/>
        </w:rPr>
      </w:pPr>
      <w:r w:rsidRPr="003E73CD">
        <w:rPr>
          <w:sz w:val="22"/>
          <w:szCs w:val="22"/>
        </w:rPr>
        <w:t>It would be beneficial to confirm or refute this finding by examining the patterns of recurrence within different sentinel node positive melanoma populations</w:t>
      </w:r>
      <w:r w:rsidR="00066C36">
        <w:rPr>
          <w:sz w:val="22"/>
          <w:szCs w:val="22"/>
        </w:rPr>
        <w:t xml:space="preserve"> and also to further confirm the validity of the survival tree in a larger sample size</w:t>
      </w:r>
      <w:r w:rsidRPr="003E73CD">
        <w:rPr>
          <w:sz w:val="22"/>
          <w:szCs w:val="22"/>
        </w:rPr>
        <w:t xml:space="preserve">.  If it is confirmed then it </w:t>
      </w:r>
      <w:r w:rsidR="00F55154" w:rsidRPr="003E73CD">
        <w:rPr>
          <w:sz w:val="22"/>
          <w:szCs w:val="22"/>
        </w:rPr>
        <w:t>could provide a useful tool for identifying 2</w:t>
      </w:r>
      <w:r w:rsidRPr="003E73CD">
        <w:rPr>
          <w:sz w:val="22"/>
          <w:szCs w:val="22"/>
        </w:rPr>
        <w:t xml:space="preserve"> group</w:t>
      </w:r>
      <w:r w:rsidR="00F55154" w:rsidRPr="003E73CD">
        <w:rPr>
          <w:sz w:val="22"/>
          <w:szCs w:val="22"/>
        </w:rPr>
        <w:t>s</w:t>
      </w:r>
      <w:r w:rsidRPr="003E73CD">
        <w:rPr>
          <w:sz w:val="22"/>
          <w:szCs w:val="22"/>
        </w:rPr>
        <w:t xml:space="preserve"> of patients</w:t>
      </w:r>
      <w:r w:rsidR="00F55154" w:rsidRPr="003E73CD">
        <w:rPr>
          <w:sz w:val="22"/>
          <w:szCs w:val="22"/>
        </w:rPr>
        <w:t>: those</w:t>
      </w:r>
      <w:r w:rsidRPr="003E73CD">
        <w:rPr>
          <w:sz w:val="22"/>
          <w:szCs w:val="22"/>
        </w:rPr>
        <w:t xml:space="preserve"> who may benefit from clinical trials aimed at addressing occult in</w:t>
      </w:r>
      <w:r w:rsidR="009B1E00">
        <w:rPr>
          <w:sz w:val="22"/>
          <w:szCs w:val="22"/>
        </w:rPr>
        <w:t>-</w:t>
      </w:r>
      <w:r w:rsidR="0043722E" w:rsidRPr="003E73CD">
        <w:rPr>
          <w:sz w:val="22"/>
          <w:szCs w:val="22"/>
        </w:rPr>
        <w:t>transit metastases and</w:t>
      </w:r>
      <w:r w:rsidR="00F55154" w:rsidRPr="003E73CD">
        <w:rPr>
          <w:sz w:val="22"/>
          <w:szCs w:val="22"/>
        </w:rPr>
        <w:t xml:space="preserve"> those who</w:t>
      </w:r>
      <w:r w:rsidRPr="003E73CD">
        <w:rPr>
          <w:sz w:val="22"/>
          <w:szCs w:val="22"/>
        </w:rPr>
        <w:t xml:space="preserve"> may benefit from clinical trials aimed at eradicating occult distant metastases.  This would allow trials to be conducted on the </w:t>
      </w:r>
      <w:r w:rsidR="002D718B" w:rsidRPr="003E73CD">
        <w:rPr>
          <w:sz w:val="22"/>
          <w:szCs w:val="22"/>
        </w:rPr>
        <w:t xml:space="preserve">specific </w:t>
      </w:r>
      <w:r w:rsidRPr="003E73CD">
        <w:rPr>
          <w:sz w:val="22"/>
          <w:szCs w:val="22"/>
        </w:rPr>
        <w:t xml:space="preserve">groups of patients most likely to benefit from treatment, before their disease burden has increased to levels where palliation is the only possibility.  The exclusion of low risk patients, whose outcomes are likely to be good, with or without treatment, and patients whose risk is of a different type of metastasis should mean that fewer participants would be needed in order to demonstrate a treatment effect.  This is likely to become increasingly important as more and more new drugs become available for trials.  The number of eligible patients will be a limiting factor to the speed with which such trials can be completed.  If it is possible to identify two subsets of patients within the sentinel node positive patient population that would be eligible for 2 separate types of trial and more likely to benefit from the trial in each case, then that would be highly desirable.  It would allow the effectiveness of each trial therapy to be determined more quickly so that effective therapies can be made available to the wider population sooner.  </w:t>
      </w:r>
    </w:p>
    <w:p w14:paraId="122D4F0A" w14:textId="77777777" w:rsidR="005C71FE" w:rsidRPr="003E73CD" w:rsidRDefault="005C71FE" w:rsidP="005C71FE">
      <w:pPr>
        <w:spacing w:line="480" w:lineRule="auto"/>
        <w:rPr>
          <w:sz w:val="22"/>
          <w:szCs w:val="22"/>
        </w:rPr>
      </w:pPr>
    </w:p>
    <w:p w14:paraId="6F3DF385" w14:textId="3670EF5D" w:rsidR="005C71FE" w:rsidRPr="003E73CD" w:rsidRDefault="005C71FE" w:rsidP="005C71FE">
      <w:pPr>
        <w:spacing w:line="480" w:lineRule="auto"/>
        <w:rPr>
          <w:sz w:val="22"/>
          <w:szCs w:val="22"/>
        </w:rPr>
      </w:pPr>
      <w:r w:rsidRPr="003E73CD">
        <w:rPr>
          <w:sz w:val="22"/>
          <w:szCs w:val="22"/>
        </w:rPr>
        <w:t>CONCLUSIONS</w:t>
      </w:r>
    </w:p>
    <w:p w14:paraId="36B41AB2" w14:textId="1B49A143" w:rsidR="005C71FE" w:rsidRPr="003E73CD" w:rsidRDefault="005C71FE" w:rsidP="005C71FE">
      <w:pPr>
        <w:spacing w:line="480" w:lineRule="auto"/>
        <w:rPr>
          <w:sz w:val="22"/>
          <w:szCs w:val="22"/>
        </w:rPr>
      </w:pPr>
      <w:r w:rsidRPr="003E73CD">
        <w:rPr>
          <w:sz w:val="22"/>
          <w:szCs w:val="22"/>
        </w:rPr>
        <w:tab/>
      </w:r>
      <w:r w:rsidR="002E4841" w:rsidRPr="003E73CD">
        <w:rPr>
          <w:sz w:val="22"/>
          <w:szCs w:val="22"/>
        </w:rPr>
        <w:t xml:space="preserve">Sentinel node positive melanoma patients who underwent completion lymph node dissection were categorized into 4 prognostic groups </w:t>
      </w:r>
      <w:r w:rsidR="0073158E" w:rsidRPr="003E73CD">
        <w:rPr>
          <w:sz w:val="22"/>
          <w:szCs w:val="22"/>
        </w:rPr>
        <w:t xml:space="preserve">using a previously developed survival tree model, </w:t>
      </w:r>
      <w:r w:rsidR="002E4841" w:rsidRPr="003E73CD">
        <w:rPr>
          <w:sz w:val="22"/>
          <w:szCs w:val="22"/>
        </w:rPr>
        <w:t>based on 5 routinely collected variables</w:t>
      </w:r>
      <w:r w:rsidR="00DA1E3C" w:rsidRPr="003E73CD">
        <w:rPr>
          <w:sz w:val="22"/>
          <w:szCs w:val="22"/>
        </w:rPr>
        <w:t xml:space="preserve"> (age, Breslow thickness, primary tumour mitotic rate, total number of metastatic nodes and non-sentinel node status)</w:t>
      </w:r>
      <w:r w:rsidR="002E4841" w:rsidRPr="003E73CD">
        <w:rPr>
          <w:sz w:val="22"/>
          <w:szCs w:val="22"/>
        </w:rPr>
        <w:t xml:space="preserve">.  These groups </w:t>
      </w:r>
      <w:r w:rsidR="0073158E" w:rsidRPr="003E73CD">
        <w:rPr>
          <w:sz w:val="22"/>
          <w:szCs w:val="22"/>
        </w:rPr>
        <w:t xml:space="preserve">(1-4) </w:t>
      </w:r>
      <w:r w:rsidR="002E4841" w:rsidRPr="003E73CD">
        <w:rPr>
          <w:sz w:val="22"/>
          <w:szCs w:val="22"/>
        </w:rPr>
        <w:t xml:space="preserve">determined </w:t>
      </w:r>
      <w:r w:rsidR="0073158E" w:rsidRPr="003E73CD">
        <w:rPr>
          <w:sz w:val="22"/>
          <w:szCs w:val="22"/>
        </w:rPr>
        <w:t xml:space="preserve">actual </w:t>
      </w:r>
      <w:r w:rsidR="002E4841" w:rsidRPr="003E73CD">
        <w:rPr>
          <w:sz w:val="22"/>
          <w:szCs w:val="22"/>
        </w:rPr>
        <w:t>overall survival at 5 y</w:t>
      </w:r>
      <w:r w:rsidR="0073158E" w:rsidRPr="003E73CD">
        <w:rPr>
          <w:sz w:val="22"/>
          <w:szCs w:val="22"/>
        </w:rPr>
        <w:t>ears (100%, 85%, 58% and 0% respectively).  The prognostic accuracy of the survival tree model compared favourably when evaluated against widely available prognostic calculators.  This simple tool could be used to select patients for adjuvant therapy.</w:t>
      </w:r>
    </w:p>
    <w:p w14:paraId="6CA4E449" w14:textId="77777777" w:rsidR="0061482C" w:rsidRPr="003E73CD" w:rsidRDefault="0061482C" w:rsidP="0061482C">
      <w:pPr>
        <w:spacing w:line="480" w:lineRule="auto"/>
        <w:ind w:firstLine="720"/>
        <w:rPr>
          <w:sz w:val="22"/>
          <w:szCs w:val="22"/>
        </w:rPr>
      </w:pPr>
    </w:p>
    <w:p w14:paraId="66D8AAC8" w14:textId="77777777" w:rsidR="009F3345" w:rsidRDefault="0061482C"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r w:rsidRPr="003E73CD">
        <w:rPr>
          <w:b/>
          <w:sz w:val="28"/>
          <w:szCs w:val="28"/>
        </w:rPr>
        <w:br w:type="page"/>
      </w:r>
    </w:p>
    <w:p w14:paraId="211CA2F5"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62A464D9"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57BDBC7C"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24F4D137"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5F0B0199"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44492386"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44E49675"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106CEAFC" w14:textId="76810BA5"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r>
        <w:rPr>
          <w:sz w:val="48"/>
          <w:szCs w:val="48"/>
        </w:rPr>
        <w:t>Section 4</w:t>
      </w:r>
    </w:p>
    <w:p w14:paraId="3D7F8F47"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61A86671"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146EDA1D"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7BB254F0"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03716331"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2FF706C6"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32CBA7B5"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49ED930F"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3A2F8B27"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4CFA35CD"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35EEE31F"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288BFA73"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1D13CD9E"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1BC3F6F3"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3FBA3D91" w14:textId="16EA9128" w:rsidR="009F3345" w:rsidRPr="009F3345" w:rsidRDefault="009F3345" w:rsidP="009F3345">
      <w:pPr>
        <w:pBdr>
          <w:top w:val="single" w:sz="4" w:space="1" w:color="auto" w:shadow="1"/>
          <w:left w:val="single" w:sz="4" w:space="4" w:color="auto" w:shadow="1"/>
          <w:bottom w:val="single" w:sz="4" w:space="1" w:color="auto" w:shadow="1"/>
          <w:right w:val="single" w:sz="4" w:space="4" w:color="auto" w:shadow="1"/>
        </w:pBdr>
        <w:rPr>
          <w:b/>
          <w:sz w:val="48"/>
          <w:szCs w:val="48"/>
          <w:bdr w:val="single" w:sz="4" w:space="0" w:color="auto" w:shadow="1"/>
        </w:rPr>
      </w:pPr>
      <w:r w:rsidRPr="0048668C">
        <w:rPr>
          <w:b/>
          <w:sz w:val="48"/>
          <w:szCs w:val="48"/>
          <w:bdr w:val="single" w:sz="4" w:space="0" w:color="auto" w:shadow="1"/>
        </w:rPr>
        <w:br w:type="page"/>
      </w:r>
    </w:p>
    <w:p w14:paraId="0CD6AB1A" w14:textId="5F684F62" w:rsidR="0061482C" w:rsidRPr="003E73CD" w:rsidRDefault="0061482C" w:rsidP="0061482C">
      <w:pPr>
        <w:spacing w:line="480" w:lineRule="auto"/>
        <w:rPr>
          <w:sz w:val="22"/>
          <w:szCs w:val="22"/>
        </w:rPr>
      </w:pPr>
      <w:r w:rsidRPr="003E73CD">
        <w:rPr>
          <w:b/>
          <w:sz w:val="28"/>
          <w:szCs w:val="28"/>
        </w:rPr>
        <w:t>Section 4 – General summary and conclusions</w:t>
      </w:r>
    </w:p>
    <w:p w14:paraId="6FB4369E" w14:textId="68550092" w:rsidR="00B31DCE" w:rsidRPr="003E73CD" w:rsidRDefault="00B31DCE" w:rsidP="00B31DCE">
      <w:pPr>
        <w:spacing w:line="480" w:lineRule="auto"/>
        <w:ind w:firstLine="720"/>
        <w:rPr>
          <w:sz w:val="22"/>
          <w:szCs w:val="22"/>
        </w:rPr>
      </w:pPr>
      <w:r w:rsidRPr="003E73CD">
        <w:rPr>
          <w:sz w:val="22"/>
          <w:szCs w:val="22"/>
        </w:rPr>
        <w:t>The aim of this thesis was to enhance the quality and individualization of care for melanoma patients by improving the consistency and accuracy of information that is obtained</w:t>
      </w:r>
      <w:r w:rsidR="009176B8" w:rsidRPr="003E73CD">
        <w:rPr>
          <w:sz w:val="22"/>
          <w:szCs w:val="22"/>
        </w:rPr>
        <w:t xml:space="preserve"> from, or can be applied to,</w:t>
      </w:r>
      <w:r w:rsidRPr="003E73CD">
        <w:rPr>
          <w:sz w:val="22"/>
          <w:szCs w:val="22"/>
        </w:rPr>
        <w:t xml:space="preserve"> individual melanoma patient</w:t>
      </w:r>
      <w:r w:rsidR="009176B8" w:rsidRPr="003E73CD">
        <w:rPr>
          <w:sz w:val="22"/>
          <w:szCs w:val="22"/>
        </w:rPr>
        <w:t xml:space="preserve">s </w:t>
      </w:r>
      <w:r w:rsidRPr="003E73CD">
        <w:rPr>
          <w:sz w:val="22"/>
          <w:szCs w:val="22"/>
        </w:rPr>
        <w:t>treated using the sentinel node biopsy-based management pathway (Figure 0.1).   Specific objectives were:</w:t>
      </w:r>
    </w:p>
    <w:p w14:paraId="649F0B08" w14:textId="77777777" w:rsidR="0056030F" w:rsidRPr="003E73CD" w:rsidRDefault="0056030F" w:rsidP="0056030F">
      <w:pPr>
        <w:spacing w:line="480" w:lineRule="auto"/>
        <w:ind w:firstLine="720"/>
        <w:rPr>
          <w:sz w:val="22"/>
          <w:szCs w:val="22"/>
        </w:rPr>
      </w:pPr>
      <w:r w:rsidRPr="003E73CD">
        <w:rPr>
          <w:sz w:val="22"/>
          <w:szCs w:val="22"/>
        </w:rPr>
        <w:t>1) To identify potential sources of inaccuracy or failure related to lymphoscintigraphy, the critical first step in the pathway.</w:t>
      </w:r>
    </w:p>
    <w:p w14:paraId="44771317" w14:textId="77777777" w:rsidR="0056030F" w:rsidRPr="003E73CD" w:rsidRDefault="0056030F" w:rsidP="0056030F">
      <w:pPr>
        <w:spacing w:line="480" w:lineRule="auto"/>
        <w:ind w:firstLine="720"/>
        <w:rPr>
          <w:sz w:val="22"/>
          <w:szCs w:val="22"/>
        </w:rPr>
      </w:pPr>
      <w:r w:rsidRPr="003E73CD">
        <w:rPr>
          <w:sz w:val="22"/>
          <w:szCs w:val="22"/>
        </w:rPr>
        <w:t>2) To determine the prognostic significance of non-sentinel node metastasis by testing the following null hypothesis:  There is no significant difference in prognosis when patients have metastasis to sentinel versus sentinel and non-sentinel nodes.</w:t>
      </w:r>
    </w:p>
    <w:p w14:paraId="27242363" w14:textId="77777777" w:rsidR="0056030F" w:rsidRPr="003E73CD" w:rsidRDefault="0056030F" w:rsidP="0056030F">
      <w:pPr>
        <w:spacing w:line="480" w:lineRule="auto"/>
        <w:ind w:firstLine="720"/>
        <w:rPr>
          <w:sz w:val="22"/>
          <w:szCs w:val="22"/>
        </w:rPr>
      </w:pPr>
      <w:r w:rsidRPr="003E73CD">
        <w:rPr>
          <w:sz w:val="22"/>
          <w:szCs w:val="22"/>
        </w:rPr>
        <w:t>3) To develop and validate a prognostic tool that could be easily applied to all patients completing this pathway.  This tool could then be used to provide accurate prognostic information and to determine groups who are at high risk of having occult distant metastases and may benefit from adjuvant therapy and/or inclusion in clinical trials.</w:t>
      </w:r>
    </w:p>
    <w:p w14:paraId="4306132A" w14:textId="17162BC0" w:rsidR="008D4C42" w:rsidRPr="003E73CD" w:rsidRDefault="0056030F" w:rsidP="0061482C">
      <w:pPr>
        <w:spacing w:line="480" w:lineRule="auto"/>
        <w:rPr>
          <w:sz w:val="22"/>
          <w:szCs w:val="22"/>
        </w:rPr>
      </w:pPr>
      <w:r w:rsidRPr="003E73CD">
        <w:rPr>
          <w:sz w:val="22"/>
          <w:szCs w:val="22"/>
        </w:rPr>
        <w:tab/>
        <w:t>By addressing lymphoscintigraphy, the crit</w:t>
      </w:r>
      <w:r w:rsidR="00FA2E67" w:rsidRPr="003E73CD">
        <w:rPr>
          <w:sz w:val="22"/>
          <w:szCs w:val="22"/>
        </w:rPr>
        <w:t>ical first step in the pathway,</w:t>
      </w:r>
      <w:r w:rsidR="003A0900" w:rsidRPr="003E73CD">
        <w:rPr>
          <w:sz w:val="22"/>
          <w:szCs w:val="22"/>
        </w:rPr>
        <w:t xml:space="preserve"> </w:t>
      </w:r>
      <w:r w:rsidRPr="003E73CD">
        <w:rPr>
          <w:sz w:val="22"/>
          <w:szCs w:val="22"/>
        </w:rPr>
        <w:t>and identifying factors that could affect th</w:t>
      </w:r>
      <w:r w:rsidR="003A0900" w:rsidRPr="003E73CD">
        <w:rPr>
          <w:sz w:val="22"/>
          <w:szCs w:val="22"/>
        </w:rPr>
        <w:t xml:space="preserve">e accuracy of the procedure, including </w:t>
      </w:r>
      <w:r w:rsidRPr="003E73CD">
        <w:rPr>
          <w:sz w:val="22"/>
          <w:szCs w:val="22"/>
        </w:rPr>
        <w:t>factors that could account for cases of failure to identify any sentinel nodes (non-localization)</w:t>
      </w:r>
      <w:r w:rsidR="003A0900" w:rsidRPr="003E73CD">
        <w:rPr>
          <w:sz w:val="22"/>
          <w:szCs w:val="22"/>
        </w:rPr>
        <w:t>,</w:t>
      </w:r>
      <w:r w:rsidRPr="003E73CD">
        <w:rPr>
          <w:sz w:val="22"/>
          <w:szCs w:val="22"/>
        </w:rPr>
        <w:t xml:space="preserve"> it has been possible to provide strategies to deal</w:t>
      </w:r>
      <w:r w:rsidR="00142A05" w:rsidRPr="003E73CD">
        <w:rPr>
          <w:sz w:val="22"/>
          <w:szCs w:val="22"/>
        </w:rPr>
        <w:t xml:space="preserve"> with these situations.  Dissemination of this information should lead to increased awareness and avoidance of potential pitfalls</w:t>
      </w:r>
      <w:r w:rsidR="00FA2E67" w:rsidRPr="003E73CD">
        <w:rPr>
          <w:sz w:val="22"/>
          <w:szCs w:val="22"/>
        </w:rPr>
        <w:t>,</w:t>
      </w:r>
      <w:r w:rsidR="00142A05" w:rsidRPr="003E73CD">
        <w:rPr>
          <w:sz w:val="22"/>
          <w:szCs w:val="22"/>
        </w:rPr>
        <w:t xml:space="preserve"> and thus to greater consistency in obtaining sentine</w:t>
      </w:r>
      <w:r w:rsidR="00501DA8" w:rsidRPr="003E73CD">
        <w:rPr>
          <w:sz w:val="22"/>
          <w:szCs w:val="22"/>
        </w:rPr>
        <w:t>l nodes at surgery.  I</w:t>
      </w:r>
      <w:r w:rsidR="00142A05" w:rsidRPr="003E73CD">
        <w:rPr>
          <w:sz w:val="22"/>
          <w:szCs w:val="22"/>
        </w:rPr>
        <w:t xml:space="preserve">n turn </w:t>
      </w:r>
      <w:r w:rsidR="00501DA8" w:rsidRPr="003E73CD">
        <w:rPr>
          <w:sz w:val="22"/>
          <w:szCs w:val="22"/>
        </w:rPr>
        <w:t xml:space="preserve">this will </w:t>
      </w:r>
      <w:r w:rsidR="00142A05" w:rsidRPr="003E73CD">
        <w:rPr>
          <w:sz w:val="22"/>
          <w:szCs w:val="22"/>
        </w:rPr>
        <w:t>mean</w:t>
      </w:r>
      <w:r w:rsidR="00501DA8" w:rsidRPr="003E73CD">
        <w:rPr>
          <w:sz w:val="22"/>
          <w:szCs w:val="22"/>
        </w:rPr>
        <w:t>, for the individual patient, that better quality</w:t>
      </w:r>
      <w:r w:rsidR="00142A05" w:rsidRPr="003E73CD">
        <w:rPr>
          <w:sz w:val="22"/>
          <w:szCs w:val="22"/>
        </w:rPr>
        <w:t xml:space="preserve"> prognostic information </w:t>
      </w:r>
      <w:r w:rsidR="00501DA8" w:rsidRPr="003E73CD">
        <w:rPr>
          <w:sz w:val="22"/>
          <w:szCs w:val="22"/>
        </w:rPr>
        <w:t>will be provided.</w:t>
      </w:r>
      <w:r w:rsidR="00142A05" w:rsidRPr="003E73CD">
        <w:rPr>
          <w:sz w:val="22"/>
          <w:szCs w:val="22"/>
        </w:rPr>
        <w:t xml:space="preserve"> </w:t>
      </w:r>
      <w:r w:rsidR="003A0900" w:rsidRPr="003E73CD">
        <w:rPr>
          <w:sz w:val="22"/>
          <w:szCs w:val="22"/>
        </w:rPr>
        <w:t xml:space="preserve"> Similarly, by focusing on a </w:t>
      </w:r>
      <w:r w:rsidR="005E7729" w:rsidRPr="003E73CD">
        <w:rPr>
          <w:sz w:val="22"/>
          <w:szCs w:val="22"/>
        </w:rPr>
        <w:t>small area of the head and neck:</w:t>
      </w:r>
      <w:r w:rsidR="003A0900" w:rsidRPr="003E73CD">
        <w:rPr>
          <w:sz w:val="22"/>
          <w:szCs w:val="22"/>
        </w:rPr>
        <w:t xml:space="preserve"> the forehead, and documenting lymphatic drainage patterns from different sites within this small area, it has been possible</w:t>
      </w:r>
      <w:r w:rsidR="000E2E9E" w:rsidRPr="003E73CD">
        <w:rPr>
          <w:sz w:val="22"/>
          <w:szCs w:val="22"/>
        </w:rPr>
        <w:t xml:space="preserve"> to demonstrate that distinct</w:t>
      </w:r>
      <w:r w:rsidR="003A0900" w:rsidRPr="003E73CD">
        <w:rPr>
          <w:sz w:val="22"/>
          <w:szCs w:val="22"/>
        </w:rPr>
        <w:t xml:space="preserve"> patterns of lymphatic drainage do exist on a population basis and that</w:t>
      </w:r>
      <w:r w:rsidR="00FA2E67" w:rsidRPr="003E73CD">
        <w:rPr>
          <w:sz w:val="22"/>
          <w:szCs w:val="22"/>
        </w:rPr>
        <w:t xml:space="preserve"> these patterns differ dependent on</w:t>
      </w:r>
      <w:r w:rsidR="003A0900" w:rsidRPr="003E73CD">
        <w:rPr>
          <w:sz w:val="22"/>
          <w:szCs w:val="22"/>
        </w:rPr>
        <w:t xml:space="preserve"> location even within this small area.  This information has allowed new recommendations to be made regarding the extent of neck dissection depend</w:t>
      </w:r>
      <w:r w:rsidR="00FA2E67" w:rsidRPr="003E73CD">
        <w:rPr>
          <w:sz w:val="22"/>
          <w:szCs w:val="22"/>
        </w:rPr>
        <w:t>ent on the primary tumour site, thus signifying an increase in the quality and the utility of information for the individual patient who presents with a melanoma on the forehead.</w:t>
      </w:r>
      <w:r w:rsidR="00970516" w:rsidRPr="003E73CD">
        <w:rPr>
          <w:sz w:val="22"/>
          <w:szCs w:val="22"/>
        </w:rPr>
        <w:t xml:space="preserve">  In future research, the approach taken for the forehead could be replicated for other regions of the</w:t>
      </w:r>
      <w:r w:rsidR="003A0900" w:rsidRPr="003E73CD">
        <w:rPr>
          <w:sz w:val="22"/>
          <w:szCs w:val="22"/>
        </w:rPr>
        <w:t xml:space="preserve"> </w:t>
      </w:r>
      <w:r w:rsidR="00970516" w:rsidRPr="003E73CD">
        <w:rPr>
          <w:sz w:val="22"/>
          <w:szCs w:val="22"/>
        </w:rPr>
        <w:t>head and neck to similarly refine understanding of the likely patterns of metastasis.</w:t>
      </w:r>
    </w:p>
    <w:p w14:paraId="102C99D2" w14:textId="6EAAB439" w:rsidR="008D4C42" w:rsidRPr="003E73CD" w:rsidRDefault="00FA2E67" w:rsidP="0061482C">
      <w:pPr>
        <w:spacing w:line="480" w:lineRule="auto"/>
        <w:rPr>
          <w:sz w:val="22"/>
          <w:szCs w:val="22"/>
        </w:rPr>
      </w:pPr>
      <w:r w:rsidRPr="003E73CD">
        <w:rPr>
          <w:sz w:val="22"/>
          <w:szCs w:val="22"/>
        </w:rPr>
        <w:tab/>
        <w:t>The null hypothesis that there is no significant difference in prognosis when patients have metastasis to sentinel versus sentinel and non-sentinel nodes has been disproven</w:t>
      </w:r>
      <w:r w:rsidR="00CA6904" w:rsidRPr="003E73CD">
        <w:rPr>
          <w:sz w:val="22"/>
          <w:szCs w:val="22"/>
        </w:rPr>
        <w:t>.  N</w:t>
      </w:r>
      <w:r w:rsidR="00DD37EB" w:rsidRPr="003E73CD">
        <w:rPr>
          <w:sz w:val="22"/>
          <w:szCs w:val="22"/>
        </w:rPr>
        <w:t>on-sentinel node status has been established as an independent prognostic factor for patients who undergo sentinel node biopsy-based management</w:t>
      </w:r>
      <w:r w:rsidRPr="003E73CD">
        <w:rPr>
          <w:sz w:val="22"/>
          <w:szCs w:val="22"/>
        </w:rPr>
        <w:t xml:space="preserve">.  </w:t>
      </w:r>
      <w:r w:rsidR="00970516" w:rsidRPr="003E73CD">
        <w:rPr>
          <w:sz w:val="22"/>
          <w:szCs w:val="22"/>
        </w:rPr>
        <w:t xml:space="preserve">Consideration should be given to including non-sentinel node status as a discriminator in future versions of the AJCC staging system for melanoma.  </w:t>
      </w:r>
      <w:r w:rsidR="00DD37EB" w:rsidRPr="003E73CD">
        <w:rPr>
          <w:sz w:val="22"/>
          <w:szCs w:val="22"/>
        </w:rPr>
        <w:t>The prognostic significance of non-sentinel node status has been incorporated into a survival tree model and this has been validated on an independent population.  As a result, when a patient undergoes completion lymph node dissection, following a positive</w:t>
      </w:r>
      <w:r w:rsidR="000A0DB8" w:rsidRPr="003E73CD">
        <w:rPr>
          <w:sz w:val="22"/>
          <w:szCs w:val="22"/>
        </w:rPr>
        <w:t xml:space="preserve"> sentinel node biopsy, it is</w:t>
      </w:r>
      <w:r w:rsidR="00CA6904" w:rsidRPr="003E73CD">
        <w:rPr>
          <w:sz w:val="22"/>
          <w:szCs w:val="22"/>
        </w:rPr>
        <w:t xml:space="preserve"> now</w:t>
      </w:r>
      <w:r w:rsidR="00DD37EB" w:rsidRPr="003E73CD">
        <w:rPr>
          <w:sz w:val="22"/>
          <w:szCs w:val="22"/>
        </w:rPr>
        <w:t xml:space="preserve"> possible to provide that individual with more accurate prognostic information.  </w:t>
      </w:r>
      <w:r w:rsidR="00970516" w:rsidRPr="003E73CD">
        <w:rPr>
          <w:sz w:val="22"/>
          <w:szCs w:val="22"/>
        </w:rPr>
        <w:t xml:space="preserve">Future research that aims to further validate the survival tree model in separate melanoma populations would be beneficial.  </w:t>
      </w:r>
    </w:p>
    <w:p w14:paraId="42B8E628" w14:textId="0A8FDEE1" w:rsidR="0015098B" w:rsidRPr="003E73CD" w:rsidRDefault="00816561" w:rsidP="0061482C">
      <w:pPr>
        <w:spacing w:line="480" w:lineRule="auto"/>
        <w:rPr>
          <w:sz w:val="22"/>
          <w:szCs w:val="22"/>
        </w:rPr>
      </w:pPr>
      <w:r w:rsidRPr="003E73CD">
        <w:rPr>
          <w:sz w:val="22"/>
          <w:szCs w:val="22"/>
        </w:rPr>
        <w:tab/>
      </w:r>
      <w:r w:rsidR="000A0DB8" w:rsidRPr="003E73CD">
        <w:rPr>
          <w:sz w:val="22"/>
          <w:szCs w:val="22"/>
        </w:rPr>
        <w:t>On a more general note, t</w:t>
      </w:r>
      <w:r w:rsidRPr="003E73CD">
        <w:rPr>
          <w:sz w:val="22"/>
          <w:szCs w:val="22"/>
        </w:rPr>
        <w:t>he finding that prognosis is worse when non-sentinel node metastasis occurs in comparison to sentinel node metastasis alone, independent of the total number of metastatic nodes</w:t>
      </w:r>
      <w:r w:rsidR="000361A9" w:rsidRPr="003E73CD">
        <w:rPr>
          <w:sz w:val="22"/>
          <w:szCs w:val="22"/>
        </w:rPr>
        <w:t>,</w:t>
      </w:r>
      <w:r w:rsidRPr="003E73CD">
        <w:rPr>
          <w:sz w:val="22"/>
          <w:szCs w:val="22"/>
        </w:rPr>
        <w:t xml:space="preserve"> is important</w:t>
      </w:r>
      <w:r w:rsidR="001F2B9C" w:rsidRPr="003E73CD">
        <w:rPr>
          <w:sz w:val="22"/>
          <w:szCs w:val="22"/>
        </w:rPr>
        <w:t xml:space="preserve"> because it indicates that there is a difference between metastases in sentinel nodes and metastases in non-sentinel nodes</w:t>
      </w:r>
      <w:r w:rsidRPr="003E73CD">
        <w:rPr>
          <w:sz w:val="22"/>
          <w:szCs w:val="22"/>
        </w:rPr>
        <w:t xml:space="preserve">.  </w:t>
      </w:r>
      <w:r w:rsidR="001B2C11" w:rsidRPr="003E73CD">
        <w:rPr>
          <w:sz w:val="22"/>
          <w:szCs w:val="22"/>
        </w:rPr>
        <w:t>This has implicat</w:t>
      </w:r>
      <w:r w:rsidR="000A0DB8" w:rsidRPr="003E73CD">
        <w:rPr>
          <w:sz w:val="22"/>
          <w:szCs w:val="22"/>
        </w:rPr>
        <w:t>ions for the validity of theories on</w:t>
      </w:r>
      <w:r w:rsidR="001B2C11" w:rsidRPr="003E73CD">
        <w:rPr>
          <w:sz w:val="22"/>
          <w:szCs w:val="22"/>
        </w:rPr>
        <w:t xml:space="preserve"> cancer metastasis.  </w:t>
      </w:r>
      <w:r w:rsidR="00CA6904" w:rsidRPr="003E73CD">
        <w:rPr>
          <w:sz w:val="22"/>
          <w:szCs w:val="22"/>
        </w:rPr>
        <w:t>Breast cancer has inspired the formulati</w:t>
      </w:r>
      <w:r w:rsidR="00CE5FB7" w:rsidRPr="003E73CD">
        <w:rPr>
          <w:sz w:val="22"/>
          <w:szCs w:val="22"/>
        </w:rPr>
        <w:t>on of several theories pertaining to</w:t>
      </w:r>
      <w:r w:rsidR="00CA6904" w:rsidRPr="003E73CD">
        <w:rPr>
          <w:sz w:val="22"/>
          <w:szCs w:val="22"/>
        </w:rPr>
        <w:t xml:space="preserve"> </w:t>
      </w:r>
      <w:r w:rsidR="00CE5FB7" w:rsidRPr="003E73CD">
        <w:rPr>
          <w:sz w:val="22"/>
          <w:szCs w:val="22"/>
        </w:rPr>
        <w:t>the significance or implications of nodal metastasis and its relation</w:t>
      </w:r>
      <w:r w:rsidR="00D05881" w:rsidRPr="003E73CD">
        <w:rPr>
          <w:sz w:val="22"/>
          <w:szCs w:val="22"/>
        </w:rPr>
        <w:t>ship</w:t>
      </w:r>
      <w:r w:rsidR="00CE5FB7" w:rsidRPr="003E73CD">
        <w:rPr>
          <w:sz w:val="22"/>
          <w:szCs w:val="22"/>
        </w:rPr>
        <w:t xml:space="preserve"> to distant metastasis.  Halsted’s notion that cancer metastasizes in an orderly, contiguous fashion from the primary site</w:t>
      </w:r>
      <w:r w:rsidR="009D3C12" w:rsidRPr="003E73CD">
        <w:rPr>
          <w:sz w:val="22"/>
          <w:szCs w:val="22"/>
        </w:rPr>
        <w:t>,</w:t>
      </w:r>
      <w:r w:rsidR="00CE5FB7" w:rsidRPr="003E73CD">
        <w:rPr>
          <w:sz w:val="22"/>
          <w:szCs w:val="22"/>
        </w:rPr>
        <w:t xml:space="preserve"> via lymphatics</w:t>
      </w:r>
      <w:r w:rsidR="009D3C12" w:rsidRPr="003E73CD">
        <w:rPr>
          <w:sz w:val="22"/>
          <w:szCs w:val="22"/>
        </w:rPr>
        <w:t xml:space="preserve"> and lymph nodes,</w:t>
      </w:r>
      <w:r w:rsidR="00CE5FB7" w:rsidRPr="003E73CD">
        <w:rPr>
          <w:sz w:val="22"/>
          <w:szCs w:val="22"/>
        </w:rPr>
        <w:t xml:space="preserve"> and remains contiguous even as it reaches distant sites</w:t>
      </w:r>
      <w:r w:rsidR="009D3C12" w:rsidRPr="003E73CD">
        <w:rPr>
          <w:sz w:val="22"/>
          <w:szCs w:val="22"/>
        </w:rPr>
        <w:t>,</w:t>
      </w:r>
      <w:r w:rsidR="00CE5FB7" w:rsidRPr="003E73CD">
        <w:rPr>
          <w:sz w:val="22"/>
          <w:szCs w:val="22"/>
        </w:rPr>
        <w:t xml:space="preserve"> has been comprehensively disproven</w:t>
      </w:r>
      <w:r w:rsidR="009D3C12" w:rsidRPr="003E73CD">
        <w:rPr>
          <w:sz w:val="22"/>
          <w:szCs w:val="22"/>
        </w:rPr>
        <w:t>, but only after it influenced the management of a variety of cancers for nearly a centu</w:t>
      </w:r>
      <w:r w:rsidR="00D05881" w:rsidRPr="003E73CD">
        <w:rPr>
          <w:sz w:val="22"/>
          <w:szCs w:val="22"/>
        </w:rPr>
        <w:t>ry</w:t>
      </w:r>
      <w:r w:rsidR="009D3C12" w:rsidRPr="003E73CD">
        <w:rPr>
          <w:sz w:val="22"/>
          <w:szCs w:val="22"/>
        </w:rPr>
        <w:t>.</w:t>
      </w:r>
      <w:r w:rsidR="002467D7" w:rsidRPr="003E73CD">
        <w:rPr>
          <w:sz w:val="22"/>
          <w:szCs w:val="22"/>
        </w:rPr>
        <w:fldChar w:fldCharType="begin" w:fldLock="1"/>
      </w:r>
      <w:r w:rsidR="005676A9">
        <w:rPr>
          <w:sz w:val="22"/>
          <w:szCs w:val="22"/>
        </w:rPr>
        <w:instrText>ADDIN CSL_CITATION { "citationItems" : [ { "id" : "ITEM-1", "itemData" : { "ISSN" : "0003-4932", "PMID" : "17860107", "author" : [ { "dropping-particle" : "", "family" : "Halsted", "given" : "W S", "non-dropping-particle" : "", "parse-names" : false, "suffix" : "" } ], "container-title" : "Annals of surgery", "id" : "ITEM-1", "issue" : "5", "issued" : { "date-parts" : [ [ "1894", "11" ] ] }, "page" : "497-555", "title" : "I. The Results of Operations for the Cure of Cancer of the Breast Performed at the Johns Hopkins Hospital from June, 1889, to January, 1894.", "type" : "article-journal", "volume" : "20" }, "uris" : [ "http://www.mendeley.com/documents/?uuid=a965bf28-2d3b-46d8-b9db-f1af5551c92a" ] }, { "id" : "ITEM-2", "itemData" : { "DOI" : "10.1158/0008-5472.CAN-08-0186", "ISSN" : "1538-7445", "PMID" : "19074862", "abstract" : "During the 19th, and for most of the 20th century, malignant tumors were removed by mutilating radical anatomic dissection. Advances such as anesthesia, asepsis, and blood transfusion made possible increasingly more radical operations. There was no scientific rationale for the operations being performed. Surgery in the 20th century was dominated by the principles of William S. Halsted, who contended that the bloodstream was of little significance as a route of tumor cell dissemination; a tumor was autonomous of its host; and cancer was a local-regional disease that spread in an orderly fashion based on mechanical considerations. Halsted believed that both the extent and nuances of an operation influenced patient outcome and that inadequate surgical skill was responsible for the failure to cure. A new surgical era arose in 1957, when cancer surgery began to be influenced by laboratory and clinical research, with results contrary to Halstedian principles. A new hypothesis resulted in a scientific basis for cancer surgery. Clinical trials supported the thesis that operable cancer is a systemic disease and that variations in local-regional therapy are unlikely to substantially affect survival. Complex host-tumor relationships were shown to affect every aspect of cancer and, contrary to Halsted's thesis, the bloodstream is of considerable importance in tumor dissemination. Clinical trials also have shown that less radical surgery is justified. Studies have shown that improved survival can be achieved with systemic therapy after surgery. Such therapy can reduce both the incidence of distant disease and the tumor recurrence at the tumor site after minimal surgery. The use of systemic therapy in patients who have no identifiable metastatic disease is a drastic departure from previous strategies. New technological innovations resulting from engineering research have improved the quality of life of patients by eliminating the need for some surgical procedures. Because cancer is apt to be a systemic disease, however, clinical trials are necessary to determine the effect of these modalities on patient outcome. Although technological developments will continue to play a role in cancer therapy, research in molecular biology and genetics will dictate the future status of cancer treatment and, ultimately, the future of surgery.", "author" : [ { "dropping-particle" : "", "family" : "Fisher", "given" : "Bernard", "non-dropping-particle" : "", "parse-names" : false, "suffix" : "" } ], "container-title" : "Cancer research", "id" : "ITEM-2", "issue" : "24", "issued" : { "date-parts" : [ [ "2008", "12", "15" ] ] }, "page" : "10007-20", "title" : "Biological research in the evolution of cancer surgery: a personal perspective.", "type" : "article-journal", "volume" : "68" }, "uris" : [ "http://www.mendeley.com/documents/?uuid=4223cb81-eef8-41a7-802d-a9a5e3455c99" ] } ], "mendeley" : { "formattedCitation" : "&lt;sup&gt;233,234&lt;/sup&gt;", "plainTextFormattedCitation" : "233,234", "previouslyFormattedCitation" : "&lt;sup&gt;233,234&lt;/sup&gt;" }, "properties" : { "noteIndex" : 0 }, "schema" : "https://github.com/citation-style-language/schema/raw/master/csl-citation.json" }</w:instrText>
      </w:r>
      <w:r w:rsidR="002467D7" w:rsidRPr="003E73CD">
        <w:rPr>
          <w:sz w:val="22"/>
          <w:szCs w:val="22"/>
        </w:rPr>
        <w:fldChar w:fldCharType="separate"/>
      </w:r>
      <w:r w:rsidR="00217FAC" w:rsidRPr="00217FAC">
        <w:rPr>
          <w:noProof/>
          <w:sz w:val="22"/>
          <w:szCs w:val="22"/>
          <w:vertAlign w:val="superscript"/>
        </w:rPr>
        <w:t>233,234</w:t>
      </w:r>
      <w:r w:rsidR="002467D7" w:rsidRPr="003E73CD">
        <w:rPr>
          <w:sz w:val="22"/>
          <w:szCs w:val="22"/>
        </w:rPr>
        <w:fldChar w:fldCharType="end"/>
      </w:r>
      <w:r w:rsidR="009D3C12" w:rsidRPr="003E73CD">
        <w:rPr>
          <w:sz w:val="22"/>
          <w:szCs w:val="22"/>
        </w:rPr>
        <w:t xml:space="preserve">  This model views the lymph nodes as an incubator where cancer cells could grow before moving on to the next point in their journey.   Halsted developed his theory as a result of </w:t>
      </w:r>
      <w:r w:rsidR="00591CDF" w:rsidRPr="003E73CD">
        <w:rPr>
          <w:sz w:val="22"/>
          <w:szCs w:val="22"/>
        </w:rPr>
        <w:t>experience performing mastectomies for patients with generally fairly advanced breast cancers, often with nodal and extranodal involvement.  He reported a low rate of local (or locoregional) recurrence when en bloc resection was performed.</w:t>
      </w:r>
      <w:r w:rsidR="002467D7" w:rsidRPr="003E73CD">
        <w:rPr>
          <w:sz w:val="22"/>
          <w:szCs w:val="22"/>
        </w:rPr>
        <w:fldChar w:fldCharType="begin" w:fldLock="1"/>
      </w:r>
      <w:r w:rsidR="005676A9">
        <w:rPr>
          <w:sz w:val="22"/>
          <w:szCs w:val="22"/>
        </w:rPr>
        <w:instrText>ADDIN CSL_CITATION { "citationItems" : [ { "id" : "ITEM-1", "itemData" : { "ISSN" : "0003-4932", "PMID" : "17860107", "author" : [ { "dropping-particle" : "", "family" : "Halsted", "given" : "W S", "non-dropping-particle" : "", "parse-names" : false, "suffix" : "" } ], "container-title" : "Annals of surgery", "id" : "ITEM-1", "issue" : "5", "issued" : { "date-parts" : [ [ "1894", "11" ] ] }, "page" : "497-555", "title" : "I. The Results of Operations for the Cure of Cancer of the Breast Performed at the Johns Hopkins Hospital from June, 1889, to January, 1894.", "type" : "article-journal", "volume" : "20" }, "uris" : [ "http://www.mendeley.com/documents/?uuid=a965bf28-2d3b-46d8-b9db-f1af5551c92a" ] } ], "mendeley" : { "formattedCitation" : "&lt;sup&gt;233&lt;/sup&gt;", "plainTextFormattedCitation" : "233", "previouslyFormattedCitation" : "&lt;sup&gt;233&lt;/sup&gt;" }, "properties" : { "noteIndex" : 0 }, "schema" : "https://github.com/citation-style-language/schema/raw/master/csl-citation.json" }</w:instrText>
      </w:r>
      <w:r w:rsidR="002467D7" w:rsidRPr="003E73CD">
        <w:rPr>
          <w:sz w:val="22"/>
          <w:szCs w:val="22"/>
        </w:rPr>
        <w:fldChar w:fldCharType="separate"/>
      </w:r>
      <w:r w:rsidR="00217FAC" w:rsidRPr="00217FAC">
        <w:rPr>
          <w:noProof/>
          <w:sz w:val="22"/>
          <w:szCs w:val="22"/>
          <w:vertAlign w:val="superscript"/>
        </w:rPr>
        <w:t>233</w:t>
      </w:r>
      <w:r w:rsidR="002467D7" w:rsidRPr="003E73CD">
        <w:rPr>
          <w:sz w:val="22"/>
          <w:szCs w:val="22"/>
        </w:rPr>
        <w:fldChar w:fldCharType="end"/>
      </w:r>
      <w:r w:rsidR="002467D7" w:rsidRPr="003E73CD">
        <w:rPr>
          <w:sz w:val="22"/>
          <w:szCs w:val="22"/>
        </w:rPr>
        <w:t xml:space="preserve"> </w:t>
      </w:r>
      <w:r w:rsidR="00591CDF" w:rsidRPr="003E73CD">
        <w:rPr>
          <w:sz w:val="22"/>
          <w:szCs w:val="22"/>
        </w:rPr>
        <w:t xml:space="preserve"> This included removal of the axillary contents, the pectoralis major muscle and a large area of skin as well as the breast.  When Fisher began to provide evidence that such radical surgery did not improve survival</w:t>
      </w:r>
      <w:r w:rsidR="0025410C" w:rsidRPr="003E73CD">
        <w:rPr>
          <w:sz w:val="22"/>
          <w:szCs w:val="22"/>
        </w:rPr>
        <w:t>, the Halstedian theory began to lose credibility and the systemic theory</w:t>
      </w:r>
      <w:r w:rsidR="00D93834" w:rsidRPr="003E73CD">
        <w:rPr>
          <w:sz w:val="22"/>
          <w:szCs w:val="22"/>
        </w:rPr>
        <w:t>,</w:t>
      </w:r>
      <w:r w:rsidR="0025410C" w:rsidRPr="003E73CD">
        <w:rPr>
          <w:sz w:val="22"/>
          <w:szCs w:val="22"/>
        </w:rPr>
        <w:t xml:space="preserve"> developed by Fisher</w:t>
      </w:r>
      <w:r w:rsidR="00D93834" w:rsidRPr="003E73CD">
        <w:rPr>
          <w:sz w:val="22"/>
          <w:szCs w:val="22"/>
        </w:rPr>
        <w:t>,</w:t>
      </w:r>
      <w:r w:rsidR="0025410C" w:rsidRPr="003E73CD">
        <w:rPr>
          <w:sz w:val="22"/>
          <w:szCs w:val="22"/>
        </w:rPr>
        <w:t xml:space="preserve"> became established.</w:t>
      </w:r>
      <w:r w:rsidR="00555296" w:rsidRPr="003E73CD">
        <w:rPr>
          <w:sz w:val="22"/>
          <w:szCs w:val="22"/>
        </w:rPr>
        <w:fldChar w:fldCharType="begin" w:fldLock="1"/>
      </w:r>
      <w:r w:rsidR="005676A9">
        <w:rPr>
          <w:sz w:val="22"/>
          <w:szCs w:val="22"/>
        </w:rPr>
        <w:instrText>ADDIN CSL_CITATION { "citationItems" : [ { "id" : "ITEM-1", "itemData" : { "DOI" : "10.1158/0008-5472.CAN-08-0186", "ISSN" : "1538-7445", "PMID" : "19074862", "abstract" : "During the 19th, and for most of the 20th century, malignant tumors were removed by mutilating radical anatomic dissection. Advances such as anesthesia, asepsis, and blood transfusion made possible increasingly more radical operations. There was no scientific rationale for the operations being performed. Surgery in the 20th century was dominated by the principles of William S. Halsted, who contended that the bloodstream was of little significance as a route of tumor cell dissemination; a tumor was autonomous of its host; and cancer was a local-regional disease that spread in an orderly fashion based on mechanical considerations. Halsted believed that both the extent and nuances of an operation influenced patient outcome and that inadequate surgical skill was responsible for the failure to cure. A new surgical era arose in 1957, when cancer surgery began to be influenced by laboratory and clinical research, with results contrary to Halstedian principles. A new hypothesis resulted in a scientific basis for cancer surgery. Clinical trials supported the thesis that operable cancer is a systemic disease and that variations in local-regional therapy are unlikely to substantially affect survival. Complex host-tumor relationships were shown to affect every aspect of cancer and, contrary to Halsted's thesis, the bloodstream is of considerable importance in tumor dissemination. Clinical trials also have shown that less radical surgery is justified. Studies have shown that improved survival can be achieved with systemic therapy after surgery. Such therapy can reduce both the incidence of distant disease and the tumor recurrence at the tumor site after minimal surgery. The use of systemic therapy in patients who have no identifiable metastatic disease is a drastic departure from previous strategies. New technological innovations resulting from engineering research have improved the quality of life of patients by eliminating the need for some surgical procedures. Because cancer is apt to be a systemic disease, however, clinical trials are necessary to determine the effect of these modalities on patient outcome. Although technological developments will continue to play a role in cancer therapy, research in molecular biology and genetics will dictate the future status of cancer treatment and, ultimately, the future of surgery.", "author" : [ { "dropping-particle" : "", "family" : "Fisher", "given" : "Bernard", "non-dropping-particle" : "", "parse-names" : false, "suffix" : "" } ], "container-title" : "Cancer research", "id" : "ITEM-1", "issue" : "24", "issued" : { "date-parts" : [ [ "2008", "12", "15" ] ] }, "page" : "10007-20", "title" : "Biological research in the evolution of cancer surgery: a personal perspective.", "type" : "article-journal", "volume" : "68" }, "uris" : [ "http://www.mendeley.com/documents/?uuid=4223cb81-eef8-41a7-802d-a9a5e3455c99" ] } ], "mendeley" : { "formattedCitation" : "&lt;sup&gt;234&lt;/sup&gt;", "plainTextFormattedCitation" : "234", "previouslyFormattedCitation" : "&lt;sup&gt;234&lt;/sup&gt;" }, "properties" : { "noteIndex" : 0 }, "schema" : "https://github.com/citation-style-language/schema/raw/master/csl-citation.json" }</w:instrText>
      </w:r>
      <w:r w:rsidR="00555296" w:rsidRPr="003E73CD">
        <w:rPr>
          <w:sz w:val="22"/>
          <w:szCs w:val="22"/>
        </w:rPr>
        <w:fldChar w:fldCharType="separate"/>
      </w:r>
      <w:r w:rsidR="00217FAC" w:rsidRPr="00217FAC">
        <w:rPr>
          <w:noProof/>
          <w:sz w:val="22"/>
          <w:szCs w:val="22"/>
          <w:vertAlign w:val="superscript"/>
        </w:rPr>
        <w:t>234</w:t>
      </w:r>
      <w:r w:rsidR="00555296" w:rsidRPr="003E73CD">
        <w:rPr>
          <w:sz w:val="22"/>
          <w:szCs w:val="22"/>
        </w:rPr>
        <w:fldChar w:fldCharType="end"/>
      </w:r>
      <w:r w:rsidR="0025410C" w:rsidRPr="003E73CD">
        <w:rPr>
          <w:sz w:val="22"/>
          <w:szCs w:val="22"/>
        </w:rPr>
        <w:t xml:space="preserve">  This embodies the notion that cancer is a systemic disease from the outset and that lymph node metastases are simply a marker of a cancer that is already systemic.  As a result, treatment that simply addresses the locoregional disease will not affect prognosis.  Hellman questioned the validity of Fisher’s model based on findings in patients with sm</w:t>
      </w:r>
      <w:r w:rsidR="00190362" w:rsidRPr="003E73CD">
        <w:rPr>
          <w:sz w:val="22"/>
          <w:szCs w:val="22"/>
        </w:rPr>
        <w:t>all breast cancers and considered ‘</w:t>
      </w:r>
      <w:r w:rsidR="00190362" w:rsidRPr="003E73CD">
        <w:rPr>
          <w:i/>
          <w:sz w:val="22"/>
          <w:szCs w:val="22"/>
        </w:rPr>
        <w:t>breast cancer to be a heterogeneous disease that can be thought of as a spectrum of proclivities extending from a disease that remains local throughout it course to one that is systemic when first detectable.”</w:t>
      </w:r>
      <w:r w:rsidR="00190362" w:rsidRPr="003E73CD">
        <w:rPr>
          <w:sz w:val="22"/>
          <w:szCs w:val="22"/>
        </w:rPr>
        <w:t xml:space="preserve"> </w:t>
      </w:r>
      <w:r w:rsidR="00555296" w:rsidRPr="003E73CD">
        <w:rPr>
          <w:sz w:val="22"/>
          <w:szCs w:val="22"/>
        </w:rPr>
        <w:fldChar w:fldCharType="begin" w:fldLock="1"/>
      </w:r>
      <w:r w:rsidR="005676A9">
        <w:rPr>
          <w:sz w:val="22"/>
          <w:szCs w:val="22"/>
        </w:rPr>
        <w:instrText>ADDIN CSL_CITATION { "citationItems" : [ { "id" : "ITEM-1", "itemData" : { "ISSN" : "0732-183X", "PMID" : "7931493", "author" : [ { "dropping-particle" : "", "family" : "Hellman", "given" : "S", "non-dropping-particle" : "", "parse-names" : false, "suffix" : "" } ], "container-title" : "Journal of clinical oncology : official journal of the American Society of Clinical Oncology", "id" : "ITEM-1", "issue" : "10", "issued" : { "date-parts" : [ [ "1994", "10" ] ] }, "page" : "2229-34", "title" : "Karnofsky Memorial Lecture. Natural history of small breast cancers.", "type" : "article-journal", "volume" : "12" }, "uris" : [ "http://www.mendeley.com/documents/?uuid=101c43bc-f0a4-4b88-921a-7512ac8c06d7" ] } ], "mendeley" : { "formattedCitation" : "&lt;sup&gt;235&lt;/sup&gt;", "plainTextFormattedCitation" : "235", "previouslyFormattedCitation" : "&lt;sup&gt;235&lt;/sup&gt;" }, "properties" : { "noteIndex" : 0 }, "schema" : "https://github.com/citation-style-language/schema/raw/master/csl-citation.json" }</w:instrText>
      </w:r>
      <w:r w:rsidR="00555296" w:rsidRPr="003E73CD">
        <w:rPr>
          <w:sz w:val="22"/>
          <w:szCs w:val="22"/>
        </w:rPr>
        <w:fldChar w:fldCharType="separate"/>
      </w:r>
      <w:r w:rsidR="00217FAC" w:rsidRPr="00217FAC">
        <w:rPr>
          <w:noProof/>
          <w:sz w:val="22"/>
          <w:szCs w:val="22"/>
          <w:vertAlign w:val="superscript"/>
        </w:rPr>
        <w:t>235</w:t>
      </w:r>
      <w:r w:rsidR="00555296" w:rsidRPr="003E73CD">
        <w:rPr>
          <w:sz w:val="22"/>
          <w:szCs w:val="22"/>
        </w:rPr>
        <w:fldChar w:fldCharType="end"/>
      </w:r>
      <w:r w:rsidR="00190362" w:rsidRPr="003E73CD">
        <w:rPr>
          <w:sz w:val="22"/>
          <w:szCs w:val="22"/>
        </w:rPr>
        <w:t xml:space="preserve"> </w:t>
      </w:r>
      <w:r w:rsidR="0025410C" w:rsidRPr="003E73CD">
        <w:rPr>
          <w:i/>
          <w:sz w:val="22"/>
          <w:szCs w:val="22"/>
        </w:rPr>
        <w:t xml:space="preserve"> </w:t>
      </w:r>
      <w:r w:rsidR="009D3C12" w:rsidRPr="003E73CD">
        <w:rPr>
          <w:sz w:val="22"/>
          <w:szCs w:val="22"/>
        </w:rPr>
        <w:t xml:space="preserve">The </w:t>
      </w:r>
      <w:r w:rsidR="00190362" w:rsidRPr="003E73CD">
        <w:rPr>
          <w:sz w:val="22"/>
          <w:szCs w:val="22"/>
        </w:rPr>
        <w:t xml:space="preserve">evidence relating to prognostic factors in melanoma does not seem to fit any of the aforementioned theories entirely.  The “seed and soil” theory introduced by Stephen Paget in 1889 to explain his observations of differing frequencies of </w:t>
      </w:r>
      <w:r w:rsidR="00036476" w:rsidRPr="003E73CD">
        <w:rPr>
          <w:sz w:val="22"/>
          <w:szCs w:val="22"/>
        </w:rPr>
        <w:t>distant metastases in different organs</w:t>
      </w:r>
      <w:r w:rsidR="00555296" w:rsidRPr="003E73CD">
        <w:rPr>
          <w:sz w:val="22"/>
          <w:szCs w:val="22"/>
        </w:rPr>
        <w:t>,</w:t>
      </w:r>
      <w:r w:rsidR="00036476" w:rsidRPr="003E73CD">
        <w:rPr>
          <w:sz w:val="22"/>
          <w:szCs w:val="22"/>
        </w:rPr>
        <w:t xml:space="preserve"> and with different primary cancers</w:t>
      </w:r>
      <w:r w:rsidR="00555296" w:rsidRPr="003E73CD">
        <w:rPr>
          <w:sz w:val="22"/>
          <w:szCs w:val="22"/>
        </w:rPr>
        <w:t>,</w:t>
      </w:r>
      <w:r w:rsidR="00036476" w:rsidRPr="003E73CD">
        <w:rPr>
          <w:sz w:val="22"/>
          <w:szCs w:val="22"/>
        </w:rPr>
        <w:t xml:space="preserve"> has been strengthened by experimental evidence over the last half-century.</w:t>
      </w:r>
      <w:r w:rsidR="00555296" w:rsidRPr="003E73CD">
        <w:rPr>
          <w:sz w:val="22"/>
          <w:szCs w:val="22"/>
        </w:rPr>
        <w:fldChar w:fldCharType="begin" w:fldLock="1"/>
      </w:r>
      <w:r w:rsidR="005676A9">
        <w:rPr>
          <w:sz w:val="22"/>
          <w:szCs w:val="22"/>
        </w:rPr>
        <w:instrText>ADDIN CSL_CITATION { "citationItems" : [ { "id" : "ITEM-1", "itemData" : { "author" : [ { "dropping-particle" : "", "family" : "Paget", "given" : "S", "non-dropping-particle" : "", "parse-names" : false, "suffix" : "" } ], "container-title" : "Lancet", "id" : "ITEM-1", "issue" : "3421", "issued" : { "date-parts" : [ [ "1889" ] ] }, "page" : "571-573", "title" : "The distribution of secondary growths in cancer of the breast. 1889.", "type" : "article-journal", "volume" : "133" }, "uris" : [ "http://www.mendeley.com/documents/?uuid=2d3868c9-f635-4029-9742-1a173f490887" ] }, { "id" : "ITEM-2", "itemData" : { "DOI" : "10.1038/nrc1098", "ISSN" : "1474-175X", "PMID" : "12778135", "abstract" : "Researchers have been studying metastasis for more than 100 years, and only recently have we gained insight into the mechanisms by which metastatic cells arise from primary tumours and the reasons that certain tumour types tend to metastasize to specific organs. Stephen Paget's 1889 proposal that metastasis depends on cross-talk between selected cancer cells (the 'seeds') and specific organ microenvironments (the 'soil') still holds forth today. It is now known that the potential of a tumour cell to metastasize depends on its interactions with the homeostatic factors that promote tumour-cell growth, survival, angiogenesis, invasion and metastasis. How has this field developed over the past century, and what major breakthroughs are most likely to lead to effective therapeutic approaches?", "author" : [ { "dropping-particle" : "", "family" : "Fidler", "given" : "Isaiah J", "non-dropping-particle" : "", "parse-names" : false, "suffix" : "" } ], "container-title" : "Nature reviews. Cancer", "id" : "ITEM-2", "issue" : "6", "issued" : { "date-parts" : [ [ "2003", "6" ] ] }, "page" : "453-8", "title" : "The pathogenesis of cancer metastasis: the 'seed and soil' hypothesis revisited.", "type" : "article-journal", "volume" : "3" }, "uris" : [ "http://www.mendeley.com/documents/?uuid=b0c2af11-145c-415c-9daa-bfced5ded757" ] } ], "mendeley" : { "formattedCitation" : "&lt;sup&gt;236,237&lt;/sup&gt;", "plainTextFormattedCitation" : "236,237", "previouslyFormattedCitation" : "&lt;sup&gt;236,237&lt;/sup&gt;" }, "properties" : { "noteIndex" : 0 }, "schema" : "https://github.com/citation-style-language/schema/raw/master/csl-citation.json" }</w:instrText>
      </w:r>
      <w:r w:rsidR="00555296" w:rsidRPr="003E73CD">
        <w:rPr>
          <w:sz w:val="22"/>
          <w:szCs w:val="22"/>
        </w:rPr>
        <w:fldChar w:fldCharType="separate"/>
      </w:r>
      <w:r w:rsidR="00217FAC" w:rsidRPr="00217FAC">
        <w:rPr>
          <w:noProof/>
          <w:sz w:val="22"/>
          <w:szCs w:val="22"/>
          <w:vertAlign w:val="superscript"/>
        </w:rPr>
        <w:t>236,237</w:t>
      </w:r>
      <w:r w:rsidR="00555296" w:rsidRPr="003E73CD">
        <w:rPr>
          <w:sz w:val="22"/>
          <w:szCs w:val="22"/>
        </w:rPr>
        <w:fldChar w:fldCharType="end"/>
      </w:r>
      <w:r w:rsidR="00036476" w:rsidRPr="003E73CD">
        <w:rPr>
          <w:sz w:val="22"/>
          <w:szCs w:val="22"/>
        </w:rPr>
        <w:t xml:space="preserve">  It is now thought that metastases occur when single cells possess the qualities that allow them to travel and survive the journey from the primary tumour to a distant site where they are able to enter the tissue, evade host defences and become established.</w:t>
      </w:r>
      <w:r w:rsidR="00555296" w:rsidRPr="003E73CD">
        <w:rPr>
          <w:sz w:val="22"/>
          <w:szCs w:val="22"/>
        </w:rPr>
        <w:fldChar w:fldCharType="begin" w:fldLock="1"/>
      </w:r>
      <w:r w:rsidR="005676A9">
        <w:rPr>
          <w:sz w:val="22"/>
          <w:szCs w:val="22"/>
        </w:rPr>
        <w:instrText>ADDIN CSL_CITATION { "citationItems" : [ { "id" : "ITEM-1", "itemData" : { "DOI" : "10.1038/nrc1098", "ISSN" : "1474-175X", "PMID" : "12778135", "abstract" : "Researchers have been studying metastasis for more than 100 years, and only recently have we gained insight into the mechanisms by which metastatic cells arise from primary tumours and the reasons that certain tumour types tend to metastasize to specific organs. Stephen Paget's 1889 proposal that metastasis depends on cross-talk between selected cancer cells (the 'seeds') and specific organ microenvironments (the 'soil') still holds forth today. It is now known that the potential of a tumour cell to metastasize depends on its interactions with the homeostatic factors that promote tumour-cell growth, survival, angiogenesis, invasion and metastasis. How has this field developed over the past century, and what major breakthroughs are most likely to lead to effective therapeutic approaches?", "author" : [ { "dropping-particle" : "", "family" : "Fidler", "given" : "Isaiah J", "non-dropping-particle" : "", "parse-names" : false, "suffix" : "" } ], "container-title" : "Nature reviews. Cancer", "id" : "ITEM-1", "issue" : "6", "issued" : { "date-parts" : [ [ "2003", "6" ] ] }, "page" : "453-8", "title" : "The pathogenesis of cancer metastasis: the 'seed and soil' hypothesis revisited.", "type" : "article-journal", "volume" : "3" }, "uris" : [ "http://www.mendeley.com/documents/?uuid=b0c2af11-145c-415c-9daa-bfced5ded757" ] } ], "mendeley" : { "formattedCitation" : "&lt;sup&gt;237&lt;/sup&gt;", "plainTextFormattedCitation" : "237", "previouslyFormattedCitation" : "&lt;sup&gt;237&lt;/sup&gt;" }, "properties" : { "noteIndex" : 0 }, "schema" : "https://github.com/citation-style-language/schema/raw/master/csl-citation.json" }</w:instrText>
      </w:r>
      <w:r w:rsidR="00555296" w:rsidRPr="003E73CD">
        <w:rPr>
          <w:sz w:val="22"/>
          <w:szCs w:val="22"/>
        </w:rPr>
        <w:fldChar w:fldCharType="separate"/>
      </w:r>
      <w:r w:rsidR="00217FAC" w:rsidRPr="00217FAC">
        <w:rPr>
          <w:noProof/>
          <w:sz w:val="22"/>
          <w:szCs w:val="22"/>
          <w:vertAlign w:val="superscript"/>
        </w:rPr>
        <w:t>237</w:t>
      </w:r>
      <w:r w:rsidR="00555296" w:rsidRPr="003E73CD">
        <w:rPr>
          <w:sz w:val="22"/>
          <w:szCs w:val="22"/>
        </w:rPr>
        <w:fldChar w:fldCharType="end"/>
      </w:r>
      <w:r w:rsidR="00036476" w:rsidRPr="003E73CD">
        <w:rPr>
          <w:sz w:val="22"/>
          <w:szCs w:val="22"/>
        </w:rPr>
        <w:t xml:space="preserve">  The </w:t>
      </w:r>
      <w:r w:rsidR="00616B65" w:rsidRPr="003E73CD">
        <w:rPr>
          <w:sz w:val="22"/>
          <w:szCs w:val="22"/>
        </w:rPr>
        <w:t xml:space="preserve">likelihood </w:t>
      </w:r>
      <w:r w:rsidR="00555296" w:rsidRPr="003E73CD">
        <w:rPr>
          <w:sz w:val="22"/>
          <w:szCs w:val="22"/>
        </w:rPr>
        <w:t>that cells with distant metastastic potential</w:t>
      </w:r>
      <w:r w:rsidR="00AE0C9C" w:rsidRPr="003E73CD">
        <w:rPr>
          <w:sz w:val="22"/>
          <w:szCs w:val="22"/>
        </w:rPr>
        <w:t xml:space="preserve"> exist within a particular</w:t>
      </w:r>
      <w:r w:rsidR="005E7729" w:rsidRPr="003E73CD">
        <w:rPr>
          <w:sz w:val="22"/>
          <w:szCs w:val="22"/>
        </w:rPr>
        <w:t xml:space="preserve"> cancer </w:t>
      </w:r>
      <w:r w:rsidR="00616B65" w:rsidRPr="003E73CD">
        <w:rPr>
          <w:sz w:val="22"/>
          <w:szCs w:val="22"/>
        </w:rPr>
        <w:t>could</w:t>
      </w:r>
      <w:r w:rsidR="00036476" w:rsidRPr="003E73CD">
        <w:rPr>
          <w:sz w:val="22"/>
          <w:szCs w:val="22"/>
        </w:rPr>
        <w:t xml:space="preserve"> be </w:t>
      </w:r>
      <w:r w:rsidR="00616B65" w:rsidRPr="003E73CD">
        <w:rPr>
          <w:sz w:val="22"/>
          <w:szCs w:val="22"/>
        </w:rPr>
        <w:t>indicated by a number of features</w:t>
      </w:r>
      <w:r w:rsidR="00AE0C9C" w:rsidRPr="003E73CD">
        <w:rPr>
          <w:sz w:val="22"/>
          <w:szCs w:val="22"/>
        </w:rPr>
        <w:t xml:space="preserve"> related to various aspects of the individual as well as specific features of the tumour itself</w:t>
      </w:r>
      <w:r w:rsidR="00616B65" w:rsidRPr="003E73CD">
        <w:rPr>
          <w:sz w:val="22"/>
          <w:szCs w:val="22"/>
        </w:rPr>
        <w:t>.  These are likely to be the same features that determine prognosis</w:t>
      </w:r>
      <w:r w:rsidR="00C31601" w:rsidRPr="003E73CD">
        <w:rPr>
          <w:sz w:val="22"/>
          <w:szCs w:val="22"/>
        </w:rPr>
        <w:t xml:space="preserve"> when locoregional treatment has been completed and there is no clinical evidence of distant metastases</w:t>
      </w:r>
      <w:r w:rsidR="00983409" w:rsidRPr="003E73CD">
        <w:rPr>
          <w:sz w:val="22"/>
          <w:szCs w:val="22"/>
        </w:rPr>
        <w:t>,</w:t>
      </w:r>
      <w:r w:rsidR="00C31601" w:rsidRPr="003E73CD">
        <w:rPr>
          <w:sz w:val="22"/>
          <w:szCs w:val="22"/>
        </w:rPr>
        <w:t xml:space="preserve"> because prognosis is usually</w:t>
      </w:r>
      <w:r w:rsidR="00AE0C9C" w:rsidRPr="003E73CD">
        <w:rPr>
          <w:sz w:val="22"/>
          <w:szCs w:val="22"/>
        </w:rPr>
        <w:t xml:space="preserve"> </w:t>
      </w:r>
      <w:r w:rsidR="00616B65" w:rsidRPr="003E73CD">
        <w:rPr>
          <w:sz w:val="22"/>
          <w:szCs w:val="22"/>
        </w:rPr>
        <w:t xml:space="preserve">related to the risk of </w:t>
      </w:r>
      <w:r w:rsidR="00C31601" w:rsidRPr="003E73CD">
        <w:rPr>
          <w:sz w:val="22"/>
          <w:szCs w:val="22"/>
        </w:rPr>
        <w:t xml:space="preserve">occult </w:t>
      </w:r>
      <w:r w:rsidR="00616B65" w:rsidRPr="003E73CD">
        <w:rPr>
          <w:sz w:val="22"/>
          <w:szCs w:val="22"/>
        </w:rPr>
        <w:t xml:space="preserve">distant metastasis having </w:t>
      </w:r>
      <w:r w:rsidR="00C31601" w:rsidRPr="003E73CD">
        <w:rPr>
          <w:sz w:val="22"/>
          <w:szCs w:val="22"/>
        </w:rPr>
        <w:t xml:space="preserve">already </w:t>
      </w:r>
      <w:r w:rsidR="00616B65" w:rsidRPr="003E73CD">
        <w:rPr>
          <w:sz w:val="22"/>
          <w:szCs w:val="22"/>
        </w:rPr>
        <w:t xml:space="preserve">occurred.  If this is the case then </w:t>
      </w:r>
      <w:r w:rsidR="00CF4146" w:rsidRPr="003E73CD">
        <w:rPr>
          <w:sz w:val="22"/>
          <w:szCs w:val="22"/>
        </w:rPr>
        <w:t>features relating to the patient</w:t>
      </w:r>
      <w:r w:rsidR="0014640D" w:rsidRPr="003E73CD">
        <w:rPr>
          <w:sz w:val="22"/>
          <w:szCs w:val="22"/>
        </w:rPr>
        <w:t xml:space="preserve"> (e.g. age, sex)</w:t>
      </w:r>
      <w:r w:rsidR="00CF4146" w:rsidRPr="003E73CD">
        <w:rPr>
          <w:sz w:val="22"/>
          <w:szCs w:val="22"/>
        </w:rPr>
        <w:t>, the primary tumo</w:t>
      </w:r>
      <w:r w:rsidR="0014640D" w:rsidRPr="003E73CD">
        <w:rPr>
          <w:sz w:val="22"/>
          <w:szCs w:val="22"/>
        </w:rPr>
        <w:t xml:space="preserve">ur (e.g. mitotic rate, thickness), the lymph nodes (e.g. size of metastasis, number of metastases) and so on, could be regarded as indicators of the relative risk of </w:t>
      </w:r>
      <w:r w:rsidR="00C31601" w:rsidRPr="003E73CD">
        <w:rPr>
          <w:sz w:val="22"/>
          <w:szCs w:val="22"/>
        </w:rPr>
        <w:t>cells with distant me</w:t>
      </w:r>
      <w:r w:rsidR="00AF1AC4" w:rsidRPr="003E73CD">
        <w:rPr>
          <w:sz w:val="22"/>
          <w:szCs w:val="22"/>
        </w:rPr>
        <w:t>tastatic potential existing</w:t>
      </w:r>
      <w:r w:rsidR="00C31601" w:rsidRPr="003E73CD">
        <w:rPr>
          <w:sz w:val="22"/>
          <w:szCs w:val="22"/>
        </w:rPr>
        <w:t xml:space="preserve"> and/or favourable</w:t>
      </w:r>
      <w:r w:rsidR="00555296" w:rsidRPr="003E73CD">
        <w:rPr>
          <w:sz w:val="22"/>
          <w:szCs w:val="22"/>
        </w:rPr>
        <w:t xml:space="preserve"> conditions being present </w:t>
      </w:r>
      <w:r w:rsidR="00C31601" w:rsidRPr="003E73CD">
        <w:rPr>
          <w:sz w:val="22"/>
          <w:szCs w:val="22"/>
        </w:rPr>
        <w:t>to permit the establishment of metastases by such cells</w:t>
      </w:r>
      <w:r w:rsidR="00CF4146" w:rsidRPr="003E73CD">
        <w:rPr>
          <w:sz w:val="22"/>
          <w:szCs w:val="22"/>
        </w:rPr>
        <w:t xml:space="preserve">.  </w:t>
      </w:r>
      <w:r w:rsidR="0014640D" w:rsidRPr="003E73CD">
        <w:rPr>
          <w:sz w:val="22"/>
          <w:szCs w:val="22"/>
        </w:rPr>
        <w:t>In this “Increasing Relative Risks” model, e</w:t>
      </w:r>
      <w:r w:rsidR="000C7215" w:rsidRPr="003E73CD">
        <w:rPr>
          <w:sz w:val="22"/>
          <w:szCs w:val="22"/>
        </w:rPr>
        <w:t>ach feature in itself would not denote the presence or absence of distant metastasis</w:t>
      </w:r>
      <w:r w:rsidR="00AE0C9C" w:rsidRPr="003E73CD">
        <w:rPr>
          <w:sz w:val="22"/>
          <w:szCs w:val="22"/>
        </w:rPr>
        <w:t>,</w:t>
      </w:r>
      <w:r w:rsidR="00B14681" w:rsidRPr="003E73CD">
        <w:rPr>
          <w:sz w:val="22"/>
          <w:szCs w:val="22"/>
        </w:rPr>
        <w:t xml:space="preserve"> but </w:t>
      </w:r>
      <w:r w:rsidR="00C31601" w:rsidRPr="003E73CD">
        <w:rPr>
          <w:sz w:val="22"/>
          <w:szCs w:val="22"/>
        </w:rPr>
        <w:t>would contribute a proportion to the total value for the relative risk of distant metastasis.  A</w:t>
      </w:r>
      <w:r w:rsidR="00AF1AC4" w:rsidRPr="003E73CD">
        <w:rPr>
          <w:sz w:val="22"/>
          <w:szCs w:val="22"/>
        </w:rPr>
        <w:t>n increasing</w:t>
      </w:r>
      <w:r w:rsidR="00CF4146" w:rsidRPr="003E73CD">
        <w:rPr>
          <w:sz w:val="22"/>
          <w:szCs w:val="22"/>
        </w:rPr>
        <w:t xml:space="preserve"> number of poor prognostic fe</w:t>
      </w:r>
      <w:r w:rsidR="00AF1AC4" w:rsidRPr="003E73CD">
        <w:rPr>
          <w:sz w:val="22"/>
          <w:szCs w:val="22"/>
        </w:rPr>
        <w:t>atures would result in an increased</w:t>
      </w:r>
      <w:r w:rsidR="0014640D" w:rsidRPr="003E73CD">
        <w:rPr>
          <w:sz w:val="22"/>
          <w:szCs w:val="22"/>
        </w:rPr>
        <w:t xml:space="preserve"> relative risk</w:t>
      </w:r>
      <w:r w:rsidR="00CF4146" w:rsidRPr="003E73CD">
        <w:rPr>
          <w:sz w:val="22"/>
          <w:szCs w:val="22"/>
        </w:rPr>
        <w:t xml:space="preserve"> of metastasis having </w:t>
      </w:r>
      <w:r w:rsidR="00AF1AC4" w:rsidRPr="003E73CD">
        <w:rPr>
          <w:sz w:val="22"/>
          <w:szCs w:val="22"/>
        </w:rPr>
        <w:t xml:space="preserve">already </w:t>
      </w:r>
      <w:r w:rsidR="00CF4146" w:rsidRPr="003E73CD">
        <w:rPr>
          <w:sz w:val="22"/>
          <w:szCs w:val="22"/>
        </w:rPr>
        <w:t xml:space="preserve">occurred.  </w:t>
      </w:r>
      <w:r w:rsidR="00AF1AC4" w:rsidRPr="003E73CD">
        <w:rPr>
          <w:sz w:val="22"/>
          <w:szCs w:val="22"/>
        </w:rPr>
        <w:t>This model would fit with</w:t>
      </w:r>
      <w:r w:rsidR="00B14681" w:rsidRPr="003E73CD">
        <w:rPr>
          <w:sz w:val="22"/>
          <w:szCs w:val="22"/>
        </w:rPr>
        <w:t xml:space="preserve"> the finding that there is a difference in survival between patients who have 2 positive sentinel nodes and patients who have 1 positive sentinel node and 1 positive non-sentinel node.   It would also be consistent with the finding </w:t>
      </w:r>
      <w:r w:rsidR="00CF4146" w:rsidRPr="003E73CD">
        <w:rPr>
          <w:sz w:val="22"/>
          <w:szCs w:val="22"/>
        </w:rPr>
        <w:t>that so</w:t>
      </w:r>
      <w:r w:rsidR="00B14681" w:rsidRPr="003E73CD">
        <w:rPr>
          <w:sz w:val="22"/>
          <w:szCs w:val="22"/>
        </w:rPr>
        <w:t>me patients with nodal metastasi</w:t>
      </w:r>
      <w:r w:rsidR="00CF4146" w:rsidRPr="003E73CD">
        <w:rPr>
          <w:sz w:val="22"/>
          <w:szCs w:val="22"/>
        </w:rPr>
        <w:t>s have survival r</w:t>
      </w:r>
      <w:r w:rsidR="00B14681" w:rsidRPr="003E73CD">
        <w:rPr>
          <w:sz w:val="22"/>
          <w:szCs w:val="22"/>
        </w:rPr>
        <w:t xml:space="preserve">ates that are as good as those for </w:t>
      </w:r>
      <w:r w:rsidR="00AE0C9C" w:rsidRPr="003E73CD">
        <w:rPr>
          <w:sz w:val="22"/>
          <w:szCs w:val="22"/>
        </w:rPr>
        <w:t>patients with no evidence of nodal metastasis</w:t>
      </w:r>
      <w:r w:rsidR="00B14681" w:rsidRPr="003E73CD">
        <w:rPr>
          <w:sz w:val="22"/>
          <w:szCs w:val="22"/>
        </w:rPr>
        <w:t>.  Similarly</w:t>
      </w:r>
      <w:r w:rsidR="00AF1AC4" w:rsidRPr="003E73CD">
        <w:rPr>
          <w:sz w:val="22"/>
          <w:szCs w:val="22"/>
        </w:rPr>
        <w:t>,</w:t>
      </w:r>
      <w:r w:rsidR="00B14681" w:rsidRPr="003E73CD">
        <w:rPr>
          <w:sz w:val="22"/>
          <w:szCs w:val="22"/>
        </w:rPr>
        <w:t xml:space="preserve"> it would account for the situation where distant metastases</w:t>
      </w:r>
      <w:r w:rsidR="00AE0C9C" w:rsidRPr="003E73CD">
        <w:rPr>
          <w:sz w:val="22"/>
          <w:szCs w:val="22"/>
        </w:rPr>
        <w:t xml:space="preserve"> occur </w:t>
      </w:r>
      <w:r w:rsidR="00CF4146" w:rsidRPr="003E73CD">
        <w:rPr>
          <w:sz w:val="22"/>
          <w:szCs w:val="22"/>
        </w:rPr>
        <w:t>in the a</w:t>
      </w:r>
      <w:r w:rsidR="00AE0C9C" w:rsidRPr="003E73CD">
        <w:rPr>
          <w:sz w:val="22"/>
          <w:szCs w:val="22"/>
        </w:rPr>
        <w:t>bsence of nodal metastases</w:t>
      </w:r>
      <w:r w:rsidR="00B14681" w:rsidRPr="003E73CD">
        <w:rPr>
          <w:sz w:val="22"/>
          <w:szCs w:val="22"/>
        </w:rPr>
        <w:t>.</w:t>
      </w:r>
      <w:r w:rsidR="000C7215" w:rsidRPr="003E73CD">
        <w:rPr>
          <w:sz w:val="22"/>
          <w:szCs w:val="22"/>
        </w:rPr>
        <w:t xml:space="preserve">  </w:t>
      </w:r>
      <w:r w:rsidR="00733AC9" w:rsidRPr="003E73CD">
        <w:rPr>
          <w:sz w:val="22"/>
          <w:szCs w:val="22"/>
        </w:rPr>
        <w:t>In contrast to the Spectrum</w:t>
      </w:r>
      <w:r w:rsidR="00B14681" w:rsidRPr="003E73CD">
        <w:rPr>
          <w:sz w:val="22"/>
          <w:szCs w:val="22"/>
        </w:rPr>
        <w:t xml:space="preserve"> theory</w:t>
      </w:r>
      <w:r w:rsidR="00733AC9" w:rsidRPr="003E73CD">
        <w:rPr>
          <w:sz w:val="22"/>
          <w:szCs w:val="22"/>
        </w:rPr>
        <w:t xml:space="preserve"> and the Halstedian theory, the </w:t>
      </w:r>
      <w:r w:rsidR="00B14681" w:rsidRPr="003E73CD">
        <w:rPr>
          <w:sz w:val="22"/>
          <w:szCs w:val="22"/>
        </w:rPr>
        <w:t>Increasing Relative R</w:t>
      </w:r>
      <w:r w:rsidR="00733AC9" w:rsidRPr="003E73CD">
        <w:rPr>
          <w:sz w:val="22"/>
          <w:szCs w:val="22"/>
        </w:rPr>
        <w:t xml:space="preserve">isks </w:t>
      </w:r>
      <w:r w:rsidR="00B14681" w:rsidRPr="003E73CD">
        <w:rPr>
          <w:sz w:val="22"/>
          <w:szCs w:val="22"/>
        </w:rPr>
        <w:t xml:space="preserve">theory </w:t>
      </w:r>
      <w:r w:rsidR="000C7215" w:rsidRPr="003E73CD">
        <w:rPr>
          <w:sz w:val="22"/>
          <w:szCs w:val="22"/>
        </w:rPr>
        <w:t xml:space="preserve">permits metastasis to occur from a </w:t>
      </w:r>
      <w:r w:rsidR="00B14681" w:rsidRPr="003E73CD">
        <w:rPr>
          <w:sz w:val="22"/>
          <w:szCs w:val="22"/>
        </w:rPr>
        <w:t xml:space="preserve">small or relatively good prognosis </w:t>
      </w:r>
      <w:r w:rsidR="000C7215" w:rsidRPr="003E73CD">
        <w:rPr>
          <w:sz w:val="22"/>
          <w:szCs w:val="22"/>
        </w:rPr>
        <w:t xml:space="preserve">primary tumour </w:t>
      </w:r>
      <w:r w:rsidR="00B14681" w:rsidRPr="003E73CD">
        <w:rPr>
          <w:sz w:val="22"/>
          <w:szCs w:val="22"/>
        </w:rPr>
        <w:t>because features are present that indicate the possibility, albeit small</w:t>
      </w:r>
      <w:r w:rsidR="00733AC9" w:rsidRPr="003E73CD">
        <w:rPr>
          <w:sz w:val="22"/>
          <w:szCs w:val="22"/>
        </w:rPr>
        <w:t>, of that tumour containing cells that have the capacity to form distant metastases.  In contrast to the Systemic theory, the Increasing Relative Risks theory</w:t>
      </w:r>
      <w:r w:rsidR="000C7215" w:rsidRPr="003E73CD">
        <w:rPr>
          <w:sz w:val="22"/>
          <w:szCs w:val="22"/>
        </w:rPr>
        <w:t xml:space="preserve"> permits distant metastasis to be absent </w:t>
      </w:r>
      <w:r w:rsidR="00733AC9" w:rsidRPr="003E73CD">
        <w:rPr>
          <w:sz w:val="22"/>
          <w:szCs w:val="22"/>
        </w:rPr>
        <w:t xml:space="preserve">even </w:t>
      </w:r>
      <w:r w:rsidR="000C7215" w:rsidRPr="003E73CD">
        <w:rPr>
          <w:sz w:val="22"/>
          <w:szCs w:val="22"/>
        </w:rPr>
        <w:t>in the presence of nodal metastasis</w:t>
      </w:r>
      <w:r w:rsidR="00733AC9" w:rsidRPr="003E73CD">
        <w:rPr>
          <w:sz w:val="22"/>
          <w:szCs w:val="22"/>
        </w:rPr>
        <w:t>,</w:t>
      </w:r>
      <w:r w:rsidR="000C7215" w:rsidRPr="003E73CD">
        <w:rPr>
          <w:sz w:val="22"/>
          <w:szCs w:val="22"/>
        </w:rPr>
        <w:t xml:space="preserve"> </w:t>
      </w:r>
      <w:r w:rsidR="00733AC9" w:rsidRPr="003E73CD">
        <w:rPr>
          <w:sz w:val="22"/>
          <w:szCs w:val="22"/>
        </w:rPr>
        <w:t xml:space="preserve">because although the relative risk of cells being present with the capability of forming </w:t>
      </w:r>
      <w:r w:rsidR="00983409" w:rsidRPr="003E73CD">
        <w:rPr>
          <w:sz w:val="22"/>
          <w:szCs w:val="22"/>
        </w:rPr>
        <w:t xml:space="preserve">distant </w:t>
      </w:r>
      <w:r w:rsidR="00733AC9" w:rsidRPr="003E73CD">
        <w:rPr>
          <w:sz w:val="22"/>
          <w:szCs w:val="22"/>
        </w:rPr>
        <w:t>metastases is high, it is not 100%</w:t>
      </w:r>
      <w:r w:rsidR="00AF1AC4" w:rsidRPr="003E73CD">
        <w:rPr>
          <w:sz w:val="22"/>
          <w:szCs w:val="22"/>
        </w:rPr>
        <w:t xml:space="preserve"> and even if they are present they may fail to become established</w:t>
      </w:r>
      <w:r w:rsidR="00983409" w:rsidRPr="003E73CD">
        <w:rPr>
          <w:sz w:val="22"/>
          <w:szCs w:val="22"/>
        </w:rPr>
        <w:t xml:space="preserve"> at distant sites</w:t>
      </w:r>
      <w:r w:rsidR="00AF1AC4" w:rsidRPr="003E73CD">
        <w:rPr>
          <w:sz w:val="22"/>
          <w:szCs w:val="22"/>
        </w:rPr>
        <w:t xml:space="preserve"> due to other factors such as the patient’s immune system</w:t>
      </w:r>
      <w:r w:rsidR="00733AC9" w:rsidRPr="003E73CD">
        <w:rPr>
          <w:sz w:val="22"/>
          <w:szCs w:val="22"/>
        </w:rPr>
        <w:t xml:space="preserve">.  Finally, the Increasing Relative Risks theory also allows </w:t>
      </w:r>
      <w:r w:rsidR="008947D9" w:rsidRPr="003E73CD">
        <w:rPr>
          <w:sz w:val="22"/>
          <w:szCs w:val="22"/>
        </w:rPr>
        <w:t>a stepwise progression of the metastatic process from the primary tumour to sentinel nodes, then on to non-sentinel nodes, with an increasing relative r</w:t>
      </w:r>
      <w:r w:rsidR="00733AC9" w:rsidRPr="003E73CD">
        <w:rPr>
          <w:sz w:val="22"/>
          <w:szCs w:val="22"/>
        </w:rPr>
        <w:t xml:space="preserve">isk of distant metastasis occurring </w:t>
      </w:r>
      <w:r w:rsidR="008947D9" w:rsidRPr="003E73CD">
        <w:rPr>
          <w:sz w:val="22"/>
          <w:szCs w:val="22"/>
        </w:rPr>
        <w:t xml:space="preserve">at each stage. </w:t>
      </w:r>
      <w:r w:rsidR="00970FEA" w:rsidRPr="003E73CD">
        <w:rPr>
          <w:sz w:val="22"/>
          <w:szCs w:val="22"/>
        </w:rPr>
        <w:t xml:space="preserve">  The Seed and Soil theory can work in harmony with the Inc</w:t>
      </w:r>
      <w:r w:rsidR="006357A1" w:rsidRPr="003E73CD">
        <w:rPr>
          <w:sz w:val="22"/>
          <w:szCs w:val="22"/>
        </w:rPr>
        <w:t>reasing Relative Risks theory because</w:t>
      </w:r>
      <w:r w:rsidR="00970FEA" w:rsidRPr="003E73CD">
        <w:rPr>
          <w:sz w:val="22"/>
          <w:szCs w:val="22"/>
        </w:rPr>
        <w:t xml:space="preserve"> the factors that determine the relative risk of distant metastasis may relate to the seed i.e. the cancer cell and its likelihood of possessing all the features that are required to achieve distant metastasis, or they may relate to factors determining</w:t>
      </w:r>
      <w:r w:rsidR="00561B86" w:rsidRPr="003E73CD">
        <w:rPr>
          <w:sz w:val="22"/>
          <w:szCs w:val="22"/>
        </w:rPr>
        <w:t xml:space="preserve"> the state of the soil i.e. specific organs</w:t>
      </w:r>
      <w:r w:rsidR="00983409" w:rsidRPr="003E73CD">
        <w:rPr>
          <w:sz w:val="22"/>
          <w:szCs w:val="22"/>
        </w:rPr>
        <w:t>,</w:t>
      </w:r>
      <w:r w:rsidR="00561B86" w:rsidRPr="003E73CD">
        <w:rPr>
          <w:sz w:val="22"/>
          <w:szCs w:val="22"/>
        </w:rPr>
        <w:t xml:space="preserve"> within </w:t>
      </w:r>
      <w:r w:rsidR="00970FEA" w:rsidRPr="003E73CD">
        <w:rPr>
          <w:sz w:val="22"/>
          <w:szCs w:val="22"/>
        </w:rPr>
        <w:t>the individual</w:t>
      </w:r>
      <w:r w:rsidR="00983409" w:rsidRPr="003E73CD">
        <w:rPr>
          <w:sz w:val="22"/>
          <w:szCs w:val="22"/>
        </w:rPr>
        <w:t>,</w:t>
      </w:r>
      <w:r w:rsidR="00970FEA" w:rsidRPr="003E73CD">
        <w:rPr>
          <w:sz w:val="22"/>
          <w:szCs w:val="22"/>
        </w:rPr>
        <w:t xml:space="preserve"> </w:t>
      </w:r>
      <w:r w:rsidR="00561B86" w:rsidRPr="003E73CD">
        <w:rPr>
          <w:sz w:val="22"/>
          <w:szCs w:val="22"/>
        </w:rPr>
        <w:t>being good hosts for metastatic cells</w:t>
      </w:r>
      <w:r w:rsidR="0015098B" w:rsidRPr="003E73CD">
        <w:rPr>
          <w:sz w:val="22"/>
          <w:szCs w:val="22"/>
        </w:rPr>
        <w:t>.  The seed and soil concept could even be expanded to include the “climate”</w:t>
      </w:r>
      <w:r w:rsidR="00AF1AC4" w:rsidRPr="003E73CD">
        <w:rPr>
          <w:sz w:val="22"/>
          <w:szCs w:val="22"/>
        </w:rPr>
        <w:t xml:space="preserve"> if factors such as age, sex and </w:t>
      </w:r>
      <w:r w:rsidR="00970FEA" w:rsidRPr="003E73CD">
        <w:rPr>
          <w:sz w:val="22"/>
          <w:szCs w:val="22"/>
        </w:rPr>
        <w:t xml:space="preserve">the ability of the immune system </w:t>
      </w:r>
      <w:r w:rsidR="00561B86" w:rsidRPr="003E73CD">
        <w:rPr>
          <w:sz w:val="22"/>
          <w:szCs w:val="22"/>
        </w:rPr>
        <w:t xml:space="preserve">in general </w:t>
      </w:r>
      <w:r w:rsidR="00970FEA" w:rsidRPr="003E73CD">
        <w:rPr>
          <w:sz w:val="22"/>
          <w:szCs w:val="22"/>
        </w:rPr>
        <w:t>to defend against metastasis</w:t>
      </w:r>
      <w:r w:rsidR="00AF1AC4" w:rsidRPr="003E73CD">
        <w:rPr>
          <w:sz w:val="22"/>
          <w:szCs w:val="22"/>
        </w:rPr>
        <w:t xml:space="preserve"> are taken into account</w:t>
      </w:r>
      <w:r w:rsidR="00970FEA" w:rsidRPr="003E73CD">
        <w:rPr>
          <w:sz w:val="22"/>
          <w:szCs w:val="22"/>
        </w:rPr>
        <w:t xml:space="preserve">.  </w:t>
      </w:r>
      <w:r w:rsidR="006357A1" w:rsidRPr="003E73CD">
        <w:rPr>
          <w:sz w:val="22"/>
          <w:szCs w:val="22"/>
        </w:rPr>
        <w:t>This ‘seed, soil and climate’ model would then explain how occult distant metastases can occur, before locoregional treatment is provided, and then lie dormant for many years, before changes in the climate, such as increased age or a</w:t>
      </w:r>
      <w:r w:rsidR="00B92577" w:rsidRPr="003E73CD">
        <w:rPr>
          <w:sz w:val="22"/>
          <w:szCs w:val="22"/>
        </w:rPr>
        <w:t xml:space="preserve"> period of immunosuppression</w:t>
      </w:r>
      <w:r w:rsidR="006357A1" w:rsidRPr="003E73CD">
        <w:rPr>
          <w:sz w:val="22"/>
          <w:szCs w:val="22"/>
        </w:rPr>
        <w:t xml:space="preserve"> occur</w:t>
      </w:r>
      <w:r w:rsidR="00B92577" w:rsidRPr="003E73CD">
        <w:rPr>
          <w:sz w:val="22"/>
          <w:szCs w:val="22"/>
        </w:rPr>
        <w:t xml:space="preserve">, </w:t>
      </w:r>
      <w:r w:rsidR="006357A1" w:rsidRPr="003E73CD">
        <w:rPr>
          <w:sz w:val="22"/>
          <w:szCs w:val="22"/>
        </w:rPr>
        <w:t>allow</w:t>
      </w:r>
      <w:r w:rsidR="00B92577" w:rsidRPr="003E73CD">
        <w:rPr>
          <w:sz w:val="22"/>
          <w:szCs w:val="22"/>
        </w:rPr>
        <w:t>ing</w:t>
      </w:r>
      <w:r w:rsidR="006357A1" w:rsidRPr="003E73CD">
        <w:rPr>
          <w:sz w:val="22"/>
          <w:szCs w:val="22"/>
        </w:rPr>
        <w:t xml:space="preserve"> them to grow and become clinically detectable.</w:t>
      </w:r>
      <w:r w:rsidR="0088648F" w:rsidRPr="003E73CD">
        <w:rPr>
          <w:sz w:val="22"/>
          <w:szCs w:val="22"/>
        </w:rPr>
        <w:t xml:space="preserve">  Amalgamation of both models would produce a unifying model.  This could be termed the ‘seed, soil and climate increasing relative risks model for cancer metastasis’.</w:t>
      </w:r>
    </w:p>
    <w:p w14:paraId="3A09F2B0" w14:textId="77777777" w:rsidR="0015098B" w:rsidRPr="003E73CD" w:rsidRDefault="0015098B" w:rsidP="0061482C">
      <w:pPr>
        <w:spacing w:line="480" w:lineRule="auto"/>
        <w:rPr>
          <w:sz w:val="22"/>
          <w:szCs w:val="22"/>
        </w:rPr>
      </w:pPr>
    </w:p>
    <w:p w14:paraId="097C9F3F" w14:textId="5579BEE2" w:rsidR="00476A5D" w:rsidRPr="003E73CD" w:rsidRDefault="001D1CBE" w:rsidP="006425B8">
      <w:pPr>
        <w:spacing w:line="480" w:lineRule="auto"/>
        <w:ind w:firstLine="720"/>
        <w:rPr>
          <w:i/>
          <w:sz w:val="22"/>
          <w:szCs w:val="22"/>
        </w:rPr>
      </w:pPr>
      <w:r w:rsidRPr="003E73CD">
        <w:rPr>
          <w:i/>
          <w:sz w:val="22"/>
          <w:szCs w:val="22"/>
        </w:rPr>
        <w:t>In fertile soil</w:t>
      </w:r>
      <w:r w:rsidR="00AF4081" w:rsidRPr="003E73CD">
        <w:rPr>
          <w:i/>
          <w:sz w:val="22"/>
          <w:szCs w:val="22"/>
        </w:rPr>
        <w:t>, when the</w:t>
      </w:r>
      <w:r w:rsidR="0015098B" w:rsidRPr="003E73CD">
        <w:rPr>
          <w:i/>
          <w:sz w:val="22"/>
          <w:szCs w:val="22"/>
        </w:rPr>
        <w:t xml:space="preserve"> climate</w:t>
      </w:r>
      <w:r w:rsidR="00AF4081" w:rsidRPr="003E73CD">
        <w:rPr>
          <w:i/>
          <w:sz w:val="22"/>
          <w:szCs w:val="22"/>
        </w:rPr>
        <w:t xml:space="preserve"> is right</w:t>
      </w:r>
      <w:r w:rsidRPr="003E73CD">
        <w:rPr>
          <w:i/>
          <w:sz w:val="22"/>
          <w:szCs w:val="22"/>
        </w:rPr>
        <w:t xml:space="preserve">, a single </w:t>
      </w:r>
      <w:r w:rsidR="00476A5D" w:rsidRPr="003E73CD">
        <w:rPr>
          <w:i/>
          <w:sz w:val="22"/>
          <w:szCs w:val="22"/>
        </w:rPr>
        <w:t>seed will</w:t>
      </w:r>
      <w:r w:rsidR="0015098B" w:rsidRPr="003E73CD">
        <w:rPr>
          <w:i/>
          <w:sz w:val="22"/>
          <w:szCs w:val="22"/>
        </w:rPr>
        <w:t xml:space="preserve"> thrive</w:t>
      </w:r>
      <w:r w:rsidR="00476A5D" w:rsidRPr="003E73CD">
        <w:rPr>
          <w:i/>
          <w:sz w:val="22"/>
          <w:szCs w:val="22"/>
        </w:rPr>
        <w:t>,</w:t>
      </w:r>
    </w:p>
    <w:p w14:paraId="16285C32" w14:textId="5A97176C" w:rsidR="00476A5D" w:rsidRPr="003E73CD" w:rsidRDefault="00476A5D" w:rsidP="006425B8">
      <w:pPr>
        <w:spacing w:line="480" w:lineRule="auto"/>
        <w:ind w:firstLine="720"/>
        <w:rPr>
          <w:i/>
          <w:sz w:val="22"/>
          <w:szCs w:val="22"/>
        </w:rPr>
      </w:pPr>
      <w:r w:rsidRPr="003E73CD">
        <w:rPr>
          <w:i/>
          <w:sz w:val="22"/>
          <w:szCs w:val="22"/>
        </w:rPr>
        <w:t>With climate</w:t>
      </w:r>
      <w:r w:rsidR="0015098B" w:rsidRPr="003E73CD">
        <w:rPr>
          <w:i/>
          <w:sz w:val="22"/>
          <w:szCs w:val="22"/>
        </w:rPr>
        <w:t xml:space="preserve"> </w:t>
      </w:r>
      <w:r w:rsidR="001D1CBE" w:rsidRPr="003E73CD">
        <w:rPr>
          <w:i/>
          <w:sz w:val="22"/>
          <w:szCs w:val="22"/>
        </w:rPr>
        <w:t>ho</w:t>
      </w:r>
      <w:r w:rsidR="0015098B" w:rsidRPr="003E73CD">
        <w:rPr>
          <w:i/>
          <w:sz w:val="22"/>
          <w:szCs w:val="22"/>
        </w:rPr>
        <w:t>stile</w:t>
      </w:r>
      <w:r w:rsidR="006425B8" w:rsidRPr="003E73CD">
        <w:rPr>
          <w:i/>
          <w:sz w:val="22"/>
          <w:szCs w:val="22"/>
        </w:rPr>
        <w:t>, a thousan</w:t>
      </w:r>
      <w:r w:rsidRPr="003E73CD">
        <w:rPr>
          <w:i/>
          <w:sz w:val="22"/>
          <w:szCs w:val="22"/>
        </w:rPr>
        <w:t>d seeds sown, not a single one alive</w:t>
      </w:r>
      <w:r w:rsidR="0015098B" w:rsidRPr="003E73CD">
        <w:rPr>
          <w:i/>
          <w:sz w:val="22"/>
          <w:szCs w:val="22"/>
        </w:rPr>
        <w:t>,</w:t>
      </w:r>
    </w:p>
    <w:p w14:paraId="70323B5C" w14:textId="494BAC7F" w:rsidR="00816561" w:rsidRPr="003E73CD" w:rsidRDefault="00AF4081" w:rsidP="006425B8">
      <w:pPr>
        <w:spacing w:line="480" w:lineRule="auto"/>
        <w:ind w:left="4320" w:firstLine="720"/>
        <w:rPr>
          <w:i/>
          <w:sz w:val="22"/>
          <w:szCs w:val="22"/>
        </w:rPr>
      </w:pPr>
      <w:r w:rsidRPr="003E73CD">
        <w:rPr>
          <w:i/>
          <w:sz w:val="22"/>
          <w:szCs w:val="22"/>
        </w:rPr>
        <w:t>…</w:t>
      </w:r>
      <w:r w:rsidR="0015098B" w:rsidRPr="003E73CD">
        <w:rPr>
          <w:i/>
          <w:sz w:val="22"/>
          <w:szCs w:val="22"/>
        </w:rPr>
        <w:t>that is until the climate changes</w:t>
      </w:r>
      <w:r w:rsidR="001D1CBE" w:rsidRPr="003E73CD">
        <w:rPr>
          <w:i/>
          <w:sz w:val="22"/>
          <w:szCs w:val="22"/>
        </w:rPr>
        <w:t>.</w:t>
      </w:r>
    </w:p>
    <w:p w14:paraId="0AAA0065" w14:textId="77777777" w:rsidR="0061482C" w:rsidRPr="003E73CD" w:rsidRDefault="0061482C" w:rsidP="0061482C">
      <w:pPr>
        <w:spacing w:line="480" w:lineRule="auto"/>
        <w:rPr>
          <w:sz w:val="22"/>
          <w:szCs w:val="22"/>
        </w:rPr>
      </w:pPr>
    </w:p>
    <w:p w14:paraId="36DDDFC2" w14:textId="77777777" w:rsidR="0061482C" w:rsidRPr="003E73CD" w:rsidRDefault="0061482C" w:rsidP="0061482C">
      <w:pPr>
        <w:spacing w:line="480" w:lineRule="auto"/>
        <w:rPr>
          <w:sz w:val="22"/>
          <w:szCs w:val="22"/>
        </w:rPr>
      </w:pPr>
    </w:p>
    <w:p w14:paraId="78DDF0BC" w14:textId="77777777" w:rsidR="0061482C" w:rsidRPr="003E73CD" w:rsidRDefault="0061482C" w:rsidP="0061482C">
      <w:pPr>
        <w:spacing w:line="480" w:lineRule="auto"/>
        <w:rPr>
          <w:sz w:val="22"/>
          <w:szCs w:val="22"/>
        </w:rPr>
      </w:pPr>
    </w:p>
    <w:p w14:paraId="756965A3" w14:textId="77777777" w:rsidR="0061482C" w:rsidRPr="003E73CD" w:rsidRDefault="0061482C" w:rsidP="0061482C">
      <w:pPr>
        <w:spacing w:line="480" w:lineRule="auto"/>
        <w:rPr>
          <w:sz w:val="22"/>
          <w:szCs w:val="22"/>
        </w:rPr>
      </w:pPr>
    </w:p>
    <w:p w14:paraId="676D1C78" w14:textId="77777777" w:rsidR="0061482C" w:rsidRPr="003E73CD" w:rsidRDefault="0061482C" w:rsidP="0061482C">
      <w:pPr>
        <w:spacing w:line="480" w:lineRule="auto"/>
        <w:rPr>
          <w:sz w:val="22"/>
          <w:szCs w:val="22"/>
        </w:rPr>
      </w:pPr>
    </w:p>
    <w:p w14:paraId="5FEA03FB" w14:textId="77777777" w:rsidR="0061482C" w:rsidRPr="003E73CD" w:rsidRDefault="0061482C" w:rsidP="0061482C">
      <w:pPr>
        <w:spacing w:line="480" w:lineRule="auto"/>
        <w:rPr>
          <w:sz w:val="22"/>
          <w:szCs w:val="22"/>
        </w:rPr>
      </w:pPr>
    </w:p>
    <w:p w14:paraId="2FA78C9A" w14:textId="77777777" w:rsidR="0061482C" w:rsidRPr="003E73CD" w:rsidRDefault="0061482C" w:rsidP="0061482C">
      <w:pPr>
        <w:spacing w:line="480" w:lineRule="auto"/>
        <w:rPr>
          <w:sz w:val="22"/>
          <w:szCs w:val="22"/>
        </w:rPr>
      </w:pPr>
    </w:p>
    <w:p w14:paraId="49C9B04F" w14:textId="77777777" w:rsidR="0061482C" w:rsidRPr="003E73CD" w:rsidRDefault="0061482C" w:rsidP="0061482C">
      <w:pPr>
        <w:spacing w:line="480" w:lineRule="auto"/>
        <w:rPr>
          <w:sz w:val="22"/>
          <w:szCs w:val="22"/>
        </w:rPr>
      </w:pPr>
    </w:p>
    <w:p w14:paraId="597DA1A9" w14:textId="77777777" w:rsidR="0061482C" w:rsidRPr="003E73CD" w:rsidRDefault="0061482C" w:rsidP="0061482C">
      <w:pPr>
        <w:spacing w:line="480" w:lineRule="auto"/>
        <w:rPr>
          <w:sz w:val="22"/>
          <w:szCs w:val="22"/>
        </w:rPr>
      </w:pPr>
    </w:p>
    <w:p w14:paraId="7304640F"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0A7F76E2"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57007113"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46FECFDA"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3878B1E4"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094D4D8D"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75A4C5E7"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4D492B26"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0B0930F1" w14:textId="0232CBFF"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r>
        <w:rPr>
          <w:sz w:val="48"/>
          <w:szCs w:val="48"/>
        </w:rPr>
        <w:t>Section 5</w:t>
      </w:r>
    </w:p>
    <w:p w14:paraId="7AA742BF"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7DB8983D"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2DB549EE"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1EE20D59"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6126D9A9"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2A79096E"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006B7D0F"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36A94F7D"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185B3A3E"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7ED61491"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75DFF9C8"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2C7E5848"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060D87EB"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5023F9F8" w14:textId="77777777" w:rsidR="009F3345" w:rsidRDefault="009F3345" w:rsidP="009F3345">
      <w:pPr>
        <w:pBdr>
          <w:top w:val="single" w:sz="4" w:space="1" w:color="auto" w:shadow="1"/>
          <w:left w:val="single" w:sz="4" w:space="4" w:color="auto" w:shadow="1"/>
          <w:bottom w:val="single" w:sz="4" w:space="1" w:color="auto" w:shadow="1"/>
          <w:right w:val="single" w:sz="4" w:space="4" w:color="auto" w:shadow="1"/>
        </w:pBdr>
        <w:jc w:val="center"/>
        <w:rPr>
          <w:sz w:val="48"/>
          <w:szCs w:val="48"/>
        </w:rPr>
      </w:pPr>
    </w:p>
    <w:p w14:paraId="1345ACD7" w14:textId="37A84AC2" w:rsidR="009F3345" w:rsidRPr="009F3345" w:rsidRDefault="009F3345" w:rsidP="009F3345">
      <w:pPr>
        <w:pBdr>
          <w:top w:val="single" w:sz="4" w:space="1" w:color="auto" w:shadow="1"/>
          <w:left w:val="single" w:sz="4" w:space="4" w:color="auto" w:shadow="1"/>
          <w:bottom w:val="single" w:sz="4" w:space="1" w:color="auto" w:shadow="1"/>
          <w:right w:val="single" w:sz="4" w:space="4" w:color="auto" w:shadow="1"/>
        </w:pBdr>
        <w:rPr>
          <w:b/>
          <w:sz w:val="48"/>
          <w:szCs w:val="48"/>
          <w:bdr w:val="single" w:sz="4" w:space="0" w:color="auto" w:shadow="1"/>
        </w:rPr>
      </w:pPr>
      <w:r>
        <w:rPr>
          <w:b/>
          <w:sz w:val="28"/>
          <w:szCs w:val="28"/>
        </w:rPr>
        <w:br w:type="page"/>
      </w:r>
    </w:p>
    <w:p w14:paraId="66AE7F33" w14:textId="3FCF6AEC" w:rsidR="0061482C" w:rsidRPr="003E73CD" w:rsidRDefault="00E04711" w:rsidP="0061482C">
      <w:pPr>
        <w:spacing w:line="480" w:lineRule="auto"/>
        <w:rPr>
          <w:b/>
          <w:sz w:val="28"/>
          <w:szCs w:val="28"/>
        </w:rPr>
      </w:pPr>
      <w:r w:rsidRPr="003E73CD">
        <w:rPr>
          <w:b/>
          <w:sz w:val="28"/>
          <w:szCs w:val="28"/>
        </w:rPr>
        <w:t>Section 5 - References</w:t>
      </w:r>
    </w:p>
    <w:p w14:paraId="0C19020C" w14:textId="0EAEDE78" w:rsidR="005676A9" w:rsidRPr="005676A9" w:rsidRDefault="0061482C">
      <w:pPr>
        <w:pStyle w:val="NormalWeb"/>
        <w:ind w:left="640" w:hanging="640"/>
        <w:divId w:val="1281687768"/>
        <w:rPr>
          <w:rFonts w:ascii="Cambria" w:eastAsiaTheme="minorEastAsia" w:hAnsi="Cambria"/>
          <w:noProof/>
          <w:sz w:val="22"/>
        </w:rPr>
      </w:pPr>
      <w:r w:rsidRPr="003E73CD">
        <w:rPr>
          <w:sz w:val="22"/>
          <w:szCs w:val="22"/>
        </w:rPr>
        <w:fldChar w:fldCharType="begin" w:fldLock="1"/>
      </w:r>
      <w:r w:rsidRPr="003E73CD">
        <w:rPr>
          <w:sz w:val="22"/>
          <w:szCs w:val="22"/>
        </w:rPr>
        <w:instrText xml:space="preserve">ADDIN Mendeley Bibliography CSL_BIBLIOGRAPHY </w:instrText>
      </w:r>
      <w:r w:rsidRPr="003E73CD">
        <w:rPr>
          <w:sz w:val="22"/>
          <w:szCs w:val="22"/>
        </w:rPr>
        <w:fldChar w:fldCharType="separate"/>
      </w:r>
      <w:r w:rsidR="005676A9" w:rsidRPr="005676A9">
        <w:rPr>
          <w:rFonts w:ascii="Cambria" w:hAnsi="Cambria"/>
          <w:noProof/>
          <w:sz w:val="22"/>
        </w:rPr>
        <w:t>1.</w:t>
      </w:r>
      <w:r w:rsidR="005676A9" w:rsidRPr="005676A9">
        <w:rPr>
          <w:rFonts w:ascii="Cambria" w:hAnsi="Cambria"/>
          <w:noProof/>
          <w:sz w:val="22"/>
        </w:rPr>
        <w:tab/>
        <w:t xml:space="preserve">UK, C. R. Cancer Incidence for Common Cancers. </w:t>
      </w:r>
      <w:r w:rsidR="005676A9" w:rsidRPr="005676A9">
        <w:rPr>
          <w:rFonts w:ascii="Cambria" w:hAnsi="Cambria"/>
          <w:i/>
          <w:iCs/>
          <w:noProof/>
          <w:sz w:val="22"/>
        </w:rPr>
        <w:t>Cancer Research UK</w:t>
      </w:r>
      <w:r w:rsidR="005676A9" w:rsidRPr="005676A9">
        <w:rPr>
          <w:rFonts w:ascii="Cambria" w:hAnsi="Cambria"/>
          <w:noProof/>
          <w:sz w:val="22"/>
        </w:rPr>
        <w:t xml:space="preserve"> 1 (2013). at &lt;http://www.cancerresearchuk.org/cancer-info/cancerstats/incidence/commoncancers/uk-cancer-incidence-statistics-for-common-cancers&gt;</w:t>
      </w:r>
    </w:p>
    <w:p w14:paraId="36704D51"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2.</w:t>
      </w:r>
      <w:r w:rsidRPr="005676A9">
        <w:rPr>
          <w:rFonts w:ascii="Cambria" w:hAnsi="Cambria"/>
          <w:noProof/>
          <w:sz w:val="22"/>
        </w:rPr>
        <w:tab/>
        <w:t xml:space="preserve">Mistry, M., Parkin, D. M., Ahmad, A. S. &amp; Sasieni, P. Cancer incidence in the United Kingdom: projections to the year 2030. </w:t>
      </w:r>
      <w:r w:rsidRPr="005676A9">
        <w:rPr>
          <w:rFonts w:ascii="Cambria" w:hAnsi="Cambria"/>
          <w:i/>
          <w:iCs/>
          <w:noProof/>
          <w:sz w:val="22"/>
        </w:rPr>
        <w:t>Br. J. Cancer</w:t>
      </w:r>
      <w:r w:rsidRPr="005676A9">
        <w:rPr>
          <w:rFonts w:ascii="Cambria" w:hAnsi="Cambria"/>
          <w:noProof/>
          <w:sz w:val="22"/>
        </w:rPr>
        <w:t xml:space="preserve"> </w:t>
      </w:r>
      <w:r w:rsidRPr="005676A9">
        <w:rPr>
          <w:rFonts w:ascii="Cambria" w:hAnsi="Cambria"/>
          <w:b/>
          <w:bCs/>
          <w:noProof/>
          <w:sz w:val="22"/>
        </w:rPr>
        <w:t>105,</w:t>
      </w:r>
      <w:r w:rsidRPr="005676A9">
        <w:rPr>
          <w:rFonts w:ascii="Cambria" w:hAnsi="Cambria"/>
          <w:noProof/>
          <w:sz w:val="22"/>
        </w:rPr>
        <w:t xml:space="preserve"> 1795–803 (2011).</w:t>
      </w:r>
    </w:p>
    <w:p w14:paraId="0D52F6CB"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3.</w:t>
      </w:r>
      <w:r w:rsidRPr="005676A9">
        <w:rPr>
          <w:rFonts w:ascii="Cambria" w:hAnsi="Cambria"/>
          <w:noProof/>
          <w:sz w:val="22"/>
        </w:rPr>
        <w:tab/>
        <w:t xml:space="preserve">Parkin, D. M., Mesher, D. &amp; Sasieni, P. 13. Cancers attributable to solar (ultraviolet) radiation exposure in the UK in 2010. </w:t>
      </w:r>
      <w:r w:rsidRPr="005676A9">
        <w:rPr>
          <w:rFonts w:ascii="Cambria" w:hAnsi="Cambria"/>
          <w:i/>
          <w:iCs/>
          <w:noProof/>
          <w:sz w:val="22"/>
        </w:rPr>
        <w:t>Br. J. Cancer</w:t>
      </w:r>
      <w:r w:rsidRPr="005676A9">
        <w:rPr>
          <w:rFonts w:ascii="Cambria" w:hAnsi="Cambria"/>
          <w:noProof/>
          <w:sz w:val="22"/>
        </w:rPr>
        <w:t xml:space="preserve"> </w:t>
      </w:r>
      <w:r w:rsidRPr="005676A9">
        <w:rPr>
          <w:rFonts w:ascii="Cambria" w:hAnsi="Cambria"/>
          <w:b/>
          <w:bCs/>
          <w:noProof/>
          <w:sz w:val="22"/>
        </w:rPr>
        <w:t>105 Suppl ,</w:t>
      </w:r>
      <w:r w:rsidRPr="005676A9">
        <w:rPr>
          <w:rFonts w:ascii="Cambria" w:hAnsi="Cambria"/>
          <w:noProof/>
          <w:sz w:val="22"/>
        </w:rPr>
        <w:t xml:space="preserve"> S66–9 (2011).</w:t>
      </w:r>
    </w:p>
    <w:p w14:paraId="42D27F78"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4.</w:t>
      </w:r>
      <w:r w:rsidRPr="005676A9">
        <w:rPr>
          <w:rFonts w:ascii="Cambria" w:hAnsi="Cambria"/>
          <w:noProof/>
          <w:sz w:val="22"/>
        </w:rPr>
        <w:tab/>
        <w:t xml:space="preserve">Garbe, C. &amp; Leiter, U. Epidemiology of melanoma and nonmelanoma skin cancer-the role of sunlight. </w:t>
      </w:r>
      <w:r w:rsidRPr="005676A9">
        <w:rPr>
          <w:rFonts w:ascii="Cambria" w:hAnsi="Cambria"/>
          <w:i/>
          <w:iCs/>
          <w:noProof/>
          <w:sz w:val="22"/>
        </w:rPr>
        <w:t>Advances in Experimental Medicine and Biology</w:t>
      </w:r>
      <w:r w:rsidRPr="005676A9">
        <w:rPr>
          <w:rFonts w:ascii="Cambria" w:hAnsi="Cambria"/>
          <w:noProof/>
          <w:sz w:val="22"/>
        </w:rPr>
        <w:t xml:space="preserve"> </w:t>
      </w:r>
      <w:r w:rsidRPr="005676A9">
        <w:rPr>
          <w:rFonts w:ascii="Cambria" w:hAnsi="Cambria"/>
          <w:b/>
          <w:bCs/>
          <w:noProof/>
          <w:sz w:val="22"/>
        </w:rPr>
        <w:t>624,</w:t>
      </w:r>
      <w:r w:rsidRPr="005676A9">
        <w:rPr>
          <w:rFonts w:ascii="Cambria" w:hAnsi="Cambria"/>
          <w:noProof/>
          <w:sz w:val="22"/>
        </w:rPr>
        <w:t xml:space="preserve"> 89–103 (2008).</w:t>
      </w:r>
    </w:p>
    <w:p w14:paraId="20710180"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5.</w:t>
      </w:r>
      <w:r w:rsidRPr="005676A9">
        <w:rPr>
          <w:rFonts w:ascii="Cambria" w:hAnsi="Cambria"/>
          <w:noProof/>
          <w:sz w:val="22"/>
        </w:rPr>
        <w:tab/>
        <w:t xml:space="preserve">Olsen, C. M., Carroll, H. J. &amp; Whiteman, D. C. Estimating the attributable fraction for melanoma: A meta-analysis of pigmentary characteristics and freckling. </w:t>
      </w:r>
      <w:r w:rsidRPr="005676A9">
        <w:rPr>
          <w:rFonts w:ascii="Cambria" w:hAnsi="Cambria"/>
          <w:i/>
          <w:iCs/>
          <w:noProof/>
          <w:sz w:val="22"/>
        </w:rPr>
        <w:t>Int. J. Cancer</w:t>
      </w:r>
      <w:r w:rsidRPr="005676A9">
        <w:rPr>
          <w:rFonts w:ascii="Cambria" w:hAnsi="Cambria"/>
          <w:noProof/>
          <w:sz w:val="22"/>
        </w:rPr>
        <w:t xml:space="preserve"> </w:t>
      </w:r>
      <w:r w:rsidRPr="005676A9">
        <w:rPr>
          <w:rFonts w:ascii="Cambria" w:hAnsi="Cambria"/>
          <w:b/>
          <w:bCs/>
          <w:noProof/>
          <w:sz w:val="22"/>
        </w:rPr>
        <w:t>127,</w:t>
      </w:r>
      <w:r w:rsidRPr="005676A9">
        <w:rPr>
          <w:rFonts w:ascii="Cambria" w:hAnsi="Cambria"/>
          <w:noProof/>
          <w:sz w:val="22"/>
        </w:rPr>
        <w:t xml:space="preserve"> 2430–2445 (2010).</w:t>
      </w:r>
    </w:p>
    <w:p w14:paraId="2A535C59"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6.</w:t>
      </w:r>
      <w:r w:rsidRPr="005676A9">
        <w:rPr>
          <w:rFonts w:ascii="Cambria" w:hAnsi="Cambria"/>
          <w:noProof/>
          <w:sz w:val="22"/>
        </w:rPr>
        <w:tab/>
      </w:r>
      <w:r w:rsidRPr="005676A9">
        <w:rPr>
          <w:rFonts w:ascii="Cambria" w:hAnsi="Cambria"/>
          <w:i/>
          <w:iCs/>
          <w:noProof/>
          <w:sz w:val="22"/>
        </w:rPr>
        <w:t>Australian Cancer Network Melanoma Guidelines Revision Working Party. Clinical Practice Guidelines for the Management of Melanoma in Australia and New Zealand. Cancer Council Australia and Australian Cancer Network, Sydney and New Zealand Guidelines Group</w:t>
      </w:r>
      <w:r w:rsidRPr="005676A9">
        <w:rPr>
          <w:rFonts w:ascii="Cambria" w:hAnsi="Cambria"/>
          <w:noProof/>
          <w:sz w:val="22"/>
        </w:rPr>
        <w:t>. (2008).</w:t>
      </w:r>
    </w:p>
    <w:p w14:paraId="5B0A9BCC"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7.</w:t>
      </w:r>
      <w:r w:rsidRPr="005676A9">
        <w:rPr>
          <w:rFonts w:ascii="Cambria" w:hAnsi="Cambria"/>
          <w:noProof/>
          <w:sz w:val="22"/>
        </w:rPr>
        <w:tab/>
        <w:t>UK, C. R. Skin Cancer. Cancer Statistics Report. (2013). at &lt;http://publications.cancerresearchuk.org/downloads/product/CS_CS_SKIN.pdf&gt;</w:t>
      </w:r>
    </w:p>
    <w:p w14:paraId="4107B64E"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8.</w:t>
      </w:r>
      <w:r w:rsidRPr="005676A9">
        <w:rPr>
          <w:rFonts w:ascii="Cambria" w:hAnsi="Cambria"/>
          <w:noProof/>
          <w:sz w:val="22"/>
        </w:rPr>
        <w:tab/>
        <w:t xml:space="preserve">Erdmann, F. </w:t>
      </w:r>
      <w:r w:rsidRPr="005676A9">
        <w:rPr>
          <w:rFonts w:ascii="Cambria" w:hAnsi="Cambria"/>
          <w:i/>
          <w:iCs/>
          <w:noProof/>
          <w:sz w:val="22"/>
        </w:rPr>
        <w:t>et al.</w:t>
      </w:r>
      <w:r w:rsidRPr="005676A9">
        <w:rPr>
          <w:rFonts w:ascii="Cambria" w:hAnsi="Cambria"/>
          <w:noProof/>
          <w:sz w:val="22"/>
        </w:rPr>
        <w:t xml:space="preserve"> International trends in the incidence of malignant melanoma 1953-2008-are recent generations at higher or lower risk? </w:t>
      </w:r>
      <w:r w:rsidRPr="005676A9">
        <w:rPr>
          <w:rFonts w:ascii="Cambria" w:hAnsi="Cambria"/>
          <w:i/>
          <w:iCs/>
          <w:noProof/>
          <w:sz w:val="22"/>
        </w:rPr>
        <w:t>Int. J. Cancer</w:t>
      </w:r>
      <w:r w:rsidRPr="005676A9">
        <w:rPr>
          <w:rFonts w:ascii="Cambria" w:hAnsi="Cambria"/>
          <w:noProof/>
          <w:sz w:val="22"/>
        </w:rPr>
        <w:t xml:space="preserve"> </w:t>
      </w:r>
      <w:r w:rsidRPr="005676A9">
        <w:rPr>
          <w:rFonts w:ascii="Cambria" w:hAnsi="Cambria"/>
          <w:b/>
          <w:bCs/>
          <w:noProof/>
          <w:sz w:val="22"/>
        </w:rPr>
        <w:t>132,</w:t>
      </w:r>
      <w:r w:rsidRPr="005676A9">
        <w:rPr>
          <w:rFonts w:ascii="Cambria" w:hAnsi="Cambria"/>
          <w:noProof/>
          <w:sz w:val="22"/>
        </w:rPr>
        <w:t xml:space="preserve"> 385–400 (2013).</w:t>
      </w:r>
    </w:p>
    <w:p w14:paraId="5FE995F7"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9.</w:t>
      </w:r>
      <w:r w:rsidRPr="005676A9">
        <w:rPr>
          <w:rFonts w:ascii="Cambria" w:hAnsi="Cambria"/>
          <w:noProof/>
          <w:sz w:val="22"/>
        </w:rPr>
        <w:tab/>
        <w:t xml:space="preserve">Friedman, R. J., Rigel, D. S. &amp; Kopf, A. W. Early Detection of Malignant Melanoma: The Role of Physician Examination and Self-Examination of the Skin. </w:t>
      </w:r>
      <w:r w:rsidRPr="005676A9">
        <w:rPr>
          <w:rFonts w:ascii="Cambria" w:hAnsi="Cambria"/>
          <w:i/>
          <w:iCs/>
          <w:noProof/>
          <w:sz w:val="22"/>
        </w:rPr>
        <w:t>CA. Cancer J. Clin.</w:t>
      </w:r>
      <w:r w:rsidRPr="005676A9">
        <w:rPr>
          <w:rFonts w:ascii="Cambria" w:hAnsi="Cambria"/>
          <w:noProof/>
          <w:sz w:val="22"/>
        </w:rPr>
        <w:t xml:space="preserve"> </w:t>
      </w:r>
      <w:r w:rsidRPr="005676A9">
        <w:rPr>
          <w:rFonts w:ascii="Cambria" w:hAnsi="Cambria"/>
          <w:b/>
          <w:bCs/>
          <w:noProof/>
          <w:sz w:val="22"/>
        </w:rPr>
        <w:t>35,</w:t>
      </w:r>
      <w:r w:rsidRPr="005676A9">
        <w:rPr>
          <w:rFonts w:ascii="Cambria" w:hAnsi="Cambria"/>
          <w:noProof/>
          <w:sz w:val="22"/>
        </w:rPr>
        <w:t xml:space="preserve"> 130–151 (1985).</w:t>
      </w:r>
    </w:p>
    <w:p w14:paraId="1F2B1773"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10.</w:t>
      </w:r>
      <w:r w:rsidRPr="005676A9">
        <w:rPr>
          <w:rFonts w:ascii="Cambria" w:hAnsi="Cambria"/>
          <w:noProof/>
          <w:sz w:val="22"/>
        </w:rPr>
        <w:tab/>
        <w:t xml:space="preserve">Abbasi, N. R. </w:t>
      </w:r>
      <w:r w:rsidRPr="005676A9">
        <w:rPr>
          <w:rFonts w:ascii="Cambria" w:hAnsi="Cambria"/>
          <w:i/>
          <w:iCs/>
          <w:noProof/>
          <w:sz w:val="22"/>
        </w:rPr>
        <w:t>et al.</w:t>
      </w:r>
      <w:r w:rsidRPr="005676A9">
        <w:rPr>
          <w:rFonts w:ascii="Cambria" w:hAnsi="Cambria"/>
          <w:noProof/>
          <w:sz w:val="22"/>
        </w:rPr>
        <w:t xml:space="preserve"> Early Diagnosis of Cutaneous Melanoma. </w:t>
      </w:r>
      <w:r w:rsidRPr="005676A9">
        <w:rPr>
          <w:rFonts w:ascii="Cambria" w:hAnsi="Cambria"/>
          <w:i/>
          <w:iCs/>
          <w:noProof/>
          <w:sz w:val="22"/>
        </w:rPr>
        <w:t>JAMA</w:t>
      </w:r>
      <w:r w:rsidRPr="005676A9">
        <w:rPr>
          <w:rFonts w:ascii="Cambria" w:hAnsi="Cambria"/>
          <w:noProof/>
          <w:sz w:val="22"/>
        </w:rPr>
        <w:t xml:space="preserve"> </w:t>
      </w:r>
      <w:r w:rsidRPr="005676A9">
        <w:rPr>
          <w:rFonts w:ascii="Cambria" w:hAnsi="Cambria"/>
          <w:b/>
          <w:bCs/>
          <w:noProof/>
          <w:sz w:val="22"/>
        </w:rPr>
        <w:t>292,</w:t>
      </w:r>
      <w:r w:rsidRPr="005676A9">
        <w:rPr>
          <w:rFonts w:ascii="Cambria" w:hAnsi="Cambria"/>
          <w:noProof/>
          <w:sz w:val="22"/>
        </w:rPr>
        <w:t xml:space="preserve"> 2771–2776 (2004).</w:t>
      </w:r>
    </w:p>
    <w:p w14:paraId="532F4DC6"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11.</w:t>
      </w:r>
      <w:r w:rsidRPr="005676A9">
        <w:rPr>
          <w:rFonts w:ascii="Cambria" w:hAnsi="Cambria"/>
          <w:noProof/>
          <w:sz w:val="22"/>
        </w:rPr>
        <w:tab/>
        <w:t xml:space="preserve">Grob, J. J. &amp; Bonerandi, J. J. The ‘Ugly Duckling’ Sign: Identification of the Common Characteristics of Nevi in an Individual as a Basis for Melanoma Screening. </w:t>
      </w:r>
      <w:r w:rsidRPr="005676A9">
        <w:rPr>
          <w:rFonts w:ascii="Cambria" w:hAnsi="Cambria"/>
          <w:i/>
          <w:iCs/>
          <w:noProof/>
          <w:sz w:val="22"/>
        </w:rPr>
        <w:t>Arch. Dermatol.</w:t>
      </w:r>
      <w:r w:rsidRPr="005676A9">
        <w:rPr>
          <w:rFonts w:ascii="Cambria" w:hAnsi="Cambria"/>
          <w:noProof/>
          <w:sz w:val="22"/>
        </w:rPr>
        <w:t xml:space="preserve"> </w:t>
      </w:r>
      <w:r w:rsidRPr="005676A9">
        <w:rPr>
          <w:rFonts w:ascii="Cambria" w:hAnsi="Cambria"/>
          <w:b/>
          <w:bCs/>
          <w:noProof/>
          <w:sz w:val="22"/>
        </w:rPr>
        <w:t>134,</w:t>
      </w:r>
      <w:r w:rsidRPr="005676A9">
        <w:rPr>
          <w:rFonts w:ascii="Cambria" w:hAnsi="Cambria"/>
          <w:noProof/>
          <w:sz w:val="22"/>
        </w:rPr>
        <w:t xml:space="preserve"> 103–104 (1998).</w:t>
      </w:r>
    </w:p>
    <w:p w14:paraId="58C78B35"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12.</w:t>
      </w:r>
      <w:r w:rsidRPr="005676A9">
        <w:rPr>
          <w:rFonts w:ascii="Cambria" w:hAnsi="Cambria"/>
          <w:noProof/>
          <w:sz w:val="22"/>
        </w:rPr>
        <w:tab/>
        <w:t xml:space="preserve">Rajadhyaksha, M., Grossman, M., Esterowitz, D., Webb, R. H. &amp; Anderson, R. R. In vivo confocal scanning laser microscopy of human skin: melanin provides strong contrast. </w:t>
      </w:r>
      <w:r w:rsidRPr="005676A9">
        <w:rPr>
          <w:rFonts w:ascii="Cambria" w:hAnsi="Cambria"/>
          <w:i/>
          <w:iCs/>
          <w:noProof/>
          <w:sz w:val="22"/>
        </w:rPr>
        <w:t>J. Invest. Dermatol.</w:t>
      </w:r>
      <w:r w:rsidRPr="005676A9">
        <w:rPr>
          <w:rFonts w:ascii="Cambria" w:hAnsi="Cambria"/>
          <w:noProof/>
          <w:sz w:val="22"/>
        </w:rPr>
        <w:t xml:space="preserve"> </w:t>
      </w:r>
      <w:r w:rsidRPr="005676A9">
        <w:rPr>
          <w:rFonts w:ascii="Cambria" w:hAnsi="Cambria"/>
          <w:b/>
          <w:bCs/>
          <w:noProof/>
          <w:sz w:val="22"/>
        </w:rPr>
        <w:t>104,</w:t>
      </w:r>
      <w:r w:rsidRPr="005676A9">
        <w:rPr>
          <w:rFonts w:ascii="Cambria" w:hAnsi="Cambria"/>
          <w:noProof/>
          <w:sz w:val="22"/>
        </w:rPr>
        <w:t xml:space="preserve"> 946–52 (1995).</w:t>
      </w:r>
    </w:p>
    <w:p w14:paraId="7A3447C4"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13.</w:t>
      </w:r>
      <w:r w:rsidRPr="005676A9">
        <w:rPr>
          <w:rFonts w:ascii="Cambria" w:hAnsi="Cambria"/>
          <w:noProof/>
          <w:sz w:val="22"/>
        </w:rPr>
        <w:tab/>
        <w:t xml:space="preserve">Carli, P. </w:t>
      </w:r>
      <w:r w:rsidRPr="005676A9">
        <w:rPr>
          <w:rFonts w:ascii="Cambria" w:hAnsi="Cambria"/>
          <w:i/>
          <w:iCs/>
          <w:noProof/>
          <w:sz w:val="22"/>
        </w:rPr>
        <w:t>et al.</w:t>
      </w:r>
      <w:r w:rsidRPr="005676A9">
        <w:rPr>
          <w:rFonts w:ascii="Cambria" w:hAnsi="Cambria"/>
          <w:noProof/>
          <w:sz w:val="22"/>
        </w:rPr>
        <w:t xml:space="preserve"> Addition of dermoscopy to conventional naked-eye examination in melanoma screening: a randomized study. </w:t>
      </w:r>
      <w:r w:rsidRPr="005676A9">
        <w:rPr>
          <w:rFonts w:ascii="Cambria" w:hAnsi="Cambria"/>
          <w:i/>
          <w:iCs/>
          <w:noProof/>
          <w:sz w:val="22"/>
        </w:rPr>
        <w:t>J. Am. Acad. Dermatol.</w:t>
      </w:r>
      <w:r w:rsidRPr="005676A9">
        <w:rPr>
          <w:rFonts w:ascii="Cambria" w:hAnsi="Cambria"/>
          <w:noProof/>
          <w:sz w:val="22"/>
        </w:rPr>
        <w:t xml:space="preserve"> </w:t>
      </w:r>
      <w:r w:rsidRPr="005676A9">
        <w:rPr>
          <w:rFonts w:ascii="Cambria" w:hAnsi="Cambria"/>
          <w:b/>
          <w:bCs/>
          <w:noProof/>
          <w:sz w:val="22"/>
        </w:rPr>
        <w:t>50,</w:t>
      </w:r>
      <w:r w:rsidRPr="005676A9">
        <w:rPr>
          <w:rFonts w:ascii="Cambria" w:hAnsi="Cambria"/>
          <w:noProof/>
          <w:sz w:val="22"/>
        </w:rPr>
        <w:t xml:space="preserve"> 683–9 (2004).</w:t>
      </w:r>
    </w:p>
    <w:p w14:paraId="42B23066"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14.</w:t>
      </w:r>
      <w:r w:rsidRPr="005676A9">
        <w:rPr>
          <w:rFonts w:ascii="Cambria" w:hAnsi="Cambria"/>
          <w:noProof/>
          <w:sz w:val="22"/>
        </w:rPr>
        <w:tab/>
        <w:t xml:space="preserve">Vestergaard, M. E., Macaskill, P., Holt, P. E. &amp; Menzies, S. W. Dermoscopy compared with naked eye examination for the diagnosis of primary melanoma: a meta-analysis of studies performed in a clinical setting. </w:t>
      </w:r>
      <w:r w:rsidRPr="005676A9">
        <w:rPr>
          <w:rFonts w:ascii="Cambria" w:hAnsi="Cambria"/>
          <w:i/>
          <w:iCs/>
          <w:noProof/>
          <w:sz w:val="22"/>
        </w:rPr>
        <w:t>Br. J. Dermatol.</w:t>
      </w:r>
      <w:r w:rsidRPr="005676A9">
        <w:rPr>
          <w:rFonts w:ascii="Cambria" w:hAnsi="Cambria"/>
          <w:noProof/>
          <w:sz w:val="22"/>
        </w:rPr>
        <w:t xml:space="preserve"> </w:t>
      </w:r>
      <w:r w:rsidRPr="005676A9">
        <w:rPr>
          <w:rFonts w:ascii="Cambria" w:hAnsi="Cambria"/>
          <w:b/>
          <w:bCs/>
          <w:noProof/>
          <w:sz w:val="22"/>
        </w:rPr>
        <w:t>159,</w:t>
      </w:r>
      <w:r w:rsidRPr="005676A9">
        <w:rPr>
          <w:rFonts w:ascii="Cambria" w:hAnsi="Cambria"/>
          <w:noProof/>
          <w:sz w:val="22"/>
        </w:rPr>
        <w:t xml:space="preserve"> 669–76 (2008).</w:t>
      </w:r>
    </w:p>
    <w:p w14:paraId="48F79F2F"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15.</w:t>
      </w:r>
      <w:r w:rsidRPr="005676A9">
        <w:rPr>
          <w:rFonts w:ascii="Cambria" w:hAnsi="Cambria"/>
          <w:noProof/>
          <w:sz w:val="22"/>
        </w:rPr>
        <w:tab/>
        <w:t xml:space="preserve">Marsden, J. R. </w:t>
      </w:r>
      <w:r w:rsidRPr="005676A9">
        <w:rPr>
          <w:rFonts w:ascii="Cambria" w:hAnsi="Cambria"/>
          <w:i/>
          <w:iCs/>
          <w:noProof/>
          <w:sz w:val="22"/>
        </w:rPr>
        <w:t>et al.</w:t>
      </w:r>
      <w:r w:rsidRPr="005676A9">
        <w:rPr>
          <w:rFonts w:ascii="Cambria" w:hAnsi="Cambria"/>
          <w:noProof/>
          <w:sz w:val="22"/>
        </w:rPr>
        <w:t xml:space="preserve"> Revised UK guidelines for the management of cutaneous melanoma 2010. </w:t>
      </w:r>
      <w:r w:rsidRPr="005676A9">
        <w:rPr>
          <w:rFonts w:ascii="Cambria" w:hAnsi="Cambria"/>
          <w:i/>
          <w:iCs/>
          <w:noProof/>
          <w:sz w:val="22"/>
        </w:rPr>
        <w:t>J. Plast. Reconstr. Aesthet. Surg.</w:t>
      </w:r>
      <w:r w:rsidRPr="005676A9">
        <w:rPr>
          <w:rFonts w:ascii="Cambria" w:hAnsi="Cambria"/>
          <w:noProof/>
          <w:sz w:val="22"/>
        </w:rPr>
        <w:t xml:space="preserve"> </w:t>
      </w:r>
      <w:r w:rsidRPr="005676A9">
        <w:rPr>
          <w:rFonts w:ascii="Cambria" w:hAnsi="Cambria"/>
          <w:b/>
          <w:bCs/>
          <w:noProof/>
          <w:sz w:val="22"/>
        </w:rPr>
        <w:t>63,</w:t>
      </w:r>
      <w:r w:rsidRPr="005676A9">
        <w:rPr>
          <w:rFonts w:ascii="Cambria" w:hAnsi="Cambria"/>
          <w:noProof/>
          <w:sz w:val="22"/>
        </w:rPr>
        <w:t xml:space="preserve"> 1401–19 (2010).</w:t>
      </w:r>
    </w:p>
    <w:p w14:paraId="5EA297A7"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16.</w:t>
      </w:r>
      <w:r w:rsidRPr="005676A9">
        <w:rPr>
          <w:rFonts w:ascii="Cambria" w:hAnsi="Cambria"/>
          <w:noProof/>
          <w:sz w:val="22"/>
        </w:rPr>
        <w:tab/>
        <w:t xml:space="preserve">Sharma, K. S., Lim, P. &amp; Brotherston, M. T. Excision versus incision biopsy in the management of malignant melanoma. </w:t>
      </w:r>
      <w:r w:rsidRPr="005676A9">
        <w:rPr>
          <w:rFonts w:ascii="Cambria" w:hAnsi="Cambria"/>
          <w:i/>
          <w:iCs/>
          <w:noProof/>
          <w:sz w:val="22"/>
        </w:rPr>
        <w:t>J. Dermatolog. Treat.</w:t>
      </w:r>
      <w:r w:rsidRPr="005676A9">
        <w:rPr>
          <w:rFonts w:ascii="Cambria" w:hAnsi="Cambria"/>
          <w:noProof/>
          <w:sz w:val="22"/>
        </w:rPr>
        <w:t xml:space="preserve"> </w:t>
      </w:r>
      <w:r w:rsidRPr="005676A9">
        <w:rPr>
          <w:rFonts w:ascii="Cambria" w:hAnsi="Cambria"/>
          <w:b/>
          <w:bCs/>
          <w:noProof/>
          <w:sz w:val="22"/>
        </w:rPr>
        <w:t>17,</w:t>
      </w:r>
      <w:r w:rsidRPr="005676A9">
        <w:rPr>
          <w:rFonts w:ascii="Cambria" w:hAnsi="Cambria"/>
          <w:noProof/>
          <w:sz w:val="22"/>
        </w:rPr>
        <w:t xml:space="preserve"> 1–3 (2015).</w:t>
      </w:r>
    </w:p>
    <w:p w14:paraId="1EA0C9BF"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17.</w:t>
      </w:r>
      <w:r w:rsidRPr="005676A9">
        <w:rPr>
          <w:rFonts w:ascii="Cambria" w:hAnsi="Cambria"/>
          <w:noProof/>
          <w:sz w:val="22"/>
        </w:rPr>
        <w:tab/>
        <w:t xml:space="preserve">Scolyer, R. A. </w:t>
      </w:r>
      <w:r w:rsidRPr="005676A9">
        <w:rPr>
          <w:rFonts w:ascii="Cambria" w:hAnsi="Cambria"/>
          <w:i/>
          <w:iCs/>
          <w:noProof/>
          <w:sz w:val="22"/>
        </w:rPr>
        <w:t>et al.</w:t>
      </w:r>
      <w:r w:rsidRPr="005676A9">
        <w:rPr>
          <w:rFonts w:ascii="Cambria" w:hAnsi="Cambria"/>
          <w:noProof/>
          <w:sz w:val="22"/>
        </w:rPr>
        <w:t xml:space="preserve"> Data set for pathology reporting of cutaneous invasive melanoma: recommendations from the international collaboration on cancer reporting (ICCR). </w:t>
      </w:r>
      <w:r w:rsidRPr="005676A9">
        <w:rPr>
          <w:rFonts w:ascii="Cambria" w:hAnsi="Cambria"/>
          <w:i/>
          <w:iCs/>
          <w:noProof/>
          <w:sz w:val="22"/>
        </w:rPr>
        <w:t>Am. J. Surg. Pathol.</w:t>
      </w:r>
      <w:r w:rsidRPr="005676A9">
        <w:rPr>
          <w:rFonts w:ascii="Cambria" w:hAnsi="Cambria"/>
          <w:noProof/>
          <w:sz w:val="22"/>
        </w:rPr>
        <w:t xml:space="preserve"> </w:t>
      </w:r>
      <w:r w:rsidRPr="005676A9">
        <w:rPr>
          <w:rFonts w:ascii="Cambria" w:hAnsi="Cambria"/>
          <w:b/>
          <w:bCs/>
          <w:noProof/>
          <w:sz w:val="22"/>
        </w:rPr>
        <w:t>37,</w:t>
      </w:r>
      <w:r w:rsidRPr="005676A9">
        <w:rPr>
          <w:rFonts w:ascii="Cambria" w:hAnsi="Cambria"/>
          <w:noProof/>
          <w:sz w:val="22"/>
        </w:rPr>
        <w:t xml:space="preserve"> 1797–814 (2013).</w:t>
      </w:r>
    </w:p>
    <w:p w14:paraId="19686354"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18.</w:t>
      </w:r>
      <w:r w:rsidRPr="005676A9">
        <w:rPr>
          <w:rFonts w:ascii="Cambria" w:hAnsi="Cambria"/>
          <w:noProof/>
          <w:sz w:val="22"/>
        </w:rPr>
        <w:tab/>
        <w:t xml:space="preserve">Clark, W., From, l, Bernandino, E. &amp; Mihm, M. The histogenesis and biologic behaviour of primary human malignant melanoma of the skin. </w:t>
      </w:r>
      <w:r w:rsidRPr="005676A9">
        <w:rPr>
          <w:rFonts w:ascii="Cambria" w:hAnsi="Cambria"/>
          <w:i/>
          <w:iCs/>
          <w:noProof/>
          <w:sz w:val="22"/>
        </w:rPr>
        <w:t>Cancer Res</w:t>
      </w:r>
      <w:r w:rsidRPr="005676A9">
        <w:rPr>
          <w:rFonts w:ascii="Cambria" w:hAnsi="Cambria"/>
          <w:noProof/>
          <w:sz w:val="22"/>
        </w:rPr>
        <w:t xml:space="preserve"> </w:t>
      </w:r>
      <w:r w:rsidRPr="005676A9">
        <w:rPr>
          <w:rFonts w:ascii="Cambria" w:hAnsi="Cambria"/>
          <w:b/>
          <w:bCs/>
          <w:noProof/>
          <w:sz w:val="22"/>
        </w:rPr>
        <w:t>29,</w:t>
      </w:r>
      <w:r w:rsidRPr="005676A9">
        <w:rPr>
          <w:rFonts w:ascii="Cambria" w:hAnsi="Cambria"/>
          <w:noProof/>
          <w:sz w:val="22"/>
        </w:rPr>
        <w:t xml:space="preserve"> 705–727 (1969).</w:t>
      </w:r>
    </w:p>
    <w:p w14:paraId="54B7572B"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19.</w:t>
      </w:r>
      <w:r w:rsidRPr="005676A9">
        <w:rPr>
          <w:rFonts w:ascii="Cambria" w:hAnsi="Cambria"/>
          <w:noProof/>
          <w:sz w:val="22"/>
        </w:rPr>
        <w:tab/>
        <w:t xml:space="preserve">Breslow, A. Thickness, cross-sectional areas and depth of invasion in the prognosis of cutaneous melanoma. </w:t>
      </w:r>
      <w:r w:rsidRPr="005676A9">
        <w:rPr>
          <w:rFonts w:ascii="Cambria" w:hAnsi="Cambria"/>
          <w:i/>
          <w:iCs/>
          <w:noProof/>
          <w:sz w:val="22"/>
        </w:rPr>
        <w:t>Ann. Surg.</w:t>
      </w:r>
      <w:r w:rsidRPr="005676A9">
        <w:rPr>
          <w:rFonts w:ascii="Cambria" w:hAnsi="Cambria"/>
          <w:noProof/>
          <w:sz w:val="22"/>
        </w:rPr>
        <w:t xml:space="preserve"> </w:t>
      </w:r>
      <w:r w:rsidRPr="005676A9">
        <w:rPr>
          <w:rFonts w:ascii="Cambria" w:hAnsi="Cambria"/>
          <w:b/>
          <w:bCs/>
          <w:noProof/>
          <w:sz w:val="22"/>
        </w:rPr>
        <w:t>172,</w:t>
      </w:r>
      <w:r w:rsidRPr="005676A9">
        <w:rPr>
          <w:rFonts w:ascii="Cambria" w:hAnsi="Cambria"/>
          <w:noProof/>
          <w:sz w:val="22"/>
        </w:rPr>
        <w:t xml:space="preserve"> 902–8 (1970).</w:t>
      </w:r>
    </w:p>
    <w:p w14:paraId="1897FBAB"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20.</w:t>
      </w:r>
      <w:r w:rsidRPr="005676A9">
        <w:rPr>
          <w:rFonts w:ascii="Cambria" w:hAnsi="Cambria"/>
          <w:noProof/>
          <w:sz w:val="22"/>
        </w:rPr>
        <w:tab/>
        <w:t xml:space="preserve">Balch, C. M. </w:t>
      </w:r>
      <w:r w:rsidRPr="005676A9">
        <w:rPr>
          <w:rFonts w:ascii="Cambria" w:hAnsi="Cambria"/>
          <w:i/>
          <w:iCs/>
          <w:noProof/>
          <w:sz w:val="22"/>
        </w:rPr>
        <w:t>et al.</w:t>
      </w:r>
      <w:r w:rsidRPr="005676A9">
        <w:rPr>
          <w:rFonts w:ascii="Cambria" w:hAnsi="Cambria"/>
          <w:noProof/>
          <w:sz w:val="22"/>
        </w:rPr>
        <w:t xml:space="preserve"> A multifactorial analysis of melanoma: prognostic histopathological features comparing Clark’s and Breslow's staging methods. </w:t>
      </w:r>
      <w:r w:rsidRPr="005676A9">
        <w:rPr>
          <w:rFonts w:ascii="Cambria" w:hAnsi="Cambria"/>
          <w:i/>
          <w:iCs/>
          <w:noProof/>
          <w:sz w:val="22"/>
        </w:rPr>
        <w:t>Ann. Surg.</w:t>
      </w:r>
      <w:r w:rsidRPr="005676A9">
        <w:rPr>
          <w:rFonts w:ascii="Cambria" w:hAnsi="Cambria"/>
          <w:noProof/>
          <w:sz w:val="22"/>
        </w:rPr>
        <w:t xml:space="preserve"> </w:t>
      </w:r>
      <w:r w:rsidRPr="005676A9">
        <w:rPr>
          <w:rFonts w:ascii="Cambria" w:hAnsi="Cambria"/>
          <w:b/>
          <w:bCs/>
          <w:noProof/>
          <w:sz w:val="22"/>
        </w:rPr>
        <w:t>188,</w:t>
      </w:r>
      <w:r w:rsidRPr="005676A9">
        <w:rPr>
          <w:rFonts w:ascii="Cambria" w:hAnsi="Cambria"/>
          <w:noProof/>
          <w:sz w:val="22"/>
        </w:rPr>
        <w:t xml:space="preserve"> 732–42 (1978).</w:t>
      </w:r>
    </w:p>
    <w:p w14:paraId="199E89F1"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21.</w:t>
      </w:r>
      <w:r w:rsidRPr="005676A9">
        <w:rPr>
          <w:rFonts w:ascii="Cambria" w:hAnsi="Cambria"/>
          <w:noProof/>
          <w:sz w:val="22"/>
        </w:rPr>
        <w:tab/>
        <w:t xml:space="preserve">Azzola, M. F. </w:t>
      </w:r>
      <w:r w:rsidRPr="005676A9">
        <w:rPr>
          <w:rFonts w:ascii="Cambria" w:hAnsi="Cambria"/>
          <w:i/>
          <w:iCs/>
          <w:noProof/>
          <w:sz w:val="22"/>
        </w:rPr>
        <w:t>et al.</w:t>
      </w:r>
      <w:r w:rsidRPr="005676A9">
        <w:rPr>
          <w:rFonts w:ascii="Cambria" w:hAnsi="Cambria"/>
          <w:noProof/>
          <w:sz w:val="22"/>
        </w:rPr>
        <w:t xml:space="preserve"> Tumor mitotic rate is a more powerful prognostic indicator than ulceration in patients with primary cutaneous melanoma: An analysis of 3661 patients from a single center. </w:t>
      </w:r>
      <w:r w:rsidRPr="005676A9">
        <w:rPr>
          <w:rFonts w:ascii="Cambria" w:hAnsi="Cambria"/>
          <w:i/>
          <w:iCs/>
          <w:noProof/>
          <w:sz w:val="22"/>
        </w:rPr>
        <w:t>Cancer</w:t>
      </w:r>
      <w:r w:rsidRPr="005676A9">
        <w:rPr>
          <w:rFonts w:ascii="Cambria" w:hAnsi="Cambria"/>
          <w:noProof/>
          <w:sz w:val="22"/>
        </w:rPr>
        <w:t xml:space="preserve"> </w:t>
      </w:r>
      <w:r w:rsidRPr="005676A9">
        <w:rPr>
          <w:rFonts w:ascii="Cambria" w:hAnsi="Cambria"/>
          <w:b/>
          <w:bCs/>
          <w:noProof/>
          <w:sz w:val="22"/>
        </w:rPr>
        <w:t>97,</w:t>
      </w:r>
      <w:r w:rsidRPr="005676A9">
        <w:rPr>
          <w:rFonts w:ascii="Cambria" w:hAnsi="Cambria"/>
          <w:noProof/>
          <w:sz w:val="22"/>
        </w:rPr>
        <w:t xml:space="preserve"> 1488–1498 (2003).</w:t>
      </w:r>
    </w:p>
    <w:p w14:paraId="721EAC94"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22.</w:t>
      </w:r>
      <w:r w:rsidRPr="005676A9">
        <w:rPr>
          <w:rFonts w:ascii="Cambria" w:hAnsi="Cambria"/>
          <w:noProof/>
          <w:sz w:val="22"/>
        </w:rPr>
        <w:tab/>
        <w:t xml:space="preserve">Balch, C. M. </w:t>
      </w:r>
      <w:r w:rsidRPr="005676A9">
        <w:rPr>
          <w:rFonts w:ascii="Cambria" w:hAnsi="Cambria"/>
          <w:i/>
          <w:iCs/>
          <w:noProof/>
          <w:sz w:val="22"/>
        </w:rPr>
        <w:t>et al.</w:t>
      </w:r>
      <w:r w:rsidRPr="005676A9">
        <w:rPr>
          <w:rFonts w:ascii="Cambria" w:hAnsi="Cambria"/>
          <w:noProof/>
          <w:sz w:val="22"/>
        </w:rPr>
        <w:t xml:space="preserve"> Prognostic factors analysis of 17,600 melanoma patients: Validation of the American Joint Committee on Cancer melanoma staging system. </w:t>
      </w:r>
      <w:r w:rsidRPr="005676A9">
        <w:rPr>
          <w:rFonts w:ascii="Cambria" w:hAnsi="Cambria"/>
          <w:i/>
          <w:iCs/>
          <w:noProof/>
          <w:sz w:val="22"/>
        </w:rPr>
        <w:t>J. Clin. Oncol.</w:t>
      </w:r>
      <w:r w:rsidRPr="005676A9">
        <w:rPr>
          <w:rFonts w:ascii="Cambria" w:hAnsi="Cambria"/>
          <w:noProof/>
          <w:sz w:val="22"/>
        </w:rPr>
        <w:t xml:space="preserve"> </w:t>
      </w:r>
      <w:r w:rsidRPr="005676A9">
        <w:rPr>
          <w:rFonts w:ascii="Cambria" w:hAnsi="Cambria"/>
          <w:b/>
          <w:bCs/>
          <w:noProof/>
          <w:sz w:val="22"/>
        </w:rPr>
        <w:t>19,</w:t>
      </w:r>
      <w:r w:rsidRPr="005676A9">
        <w:rPr>
          <w:rFonts w:ascii="Cambria" w:hAnsi="Cambria"/>
          <w:noProof/>
          <w:sz w:val="22"/>
        </w:rPr>
        <w:t xml:space="preserve"> 3622–3634 (2001).</w:t>
      </w:r>
    </w:p>
    <w:p w14:paraId="1DCF954A"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23.</w:t>
      </w:r>
      <w:r w:rsidRPr="005676A9">
        <w:rPr>
          <w:rFonts w:ascii="Cambria" w:hAnsi="Cambria"/>
          <w:noProof/>
          <w:sz w:val="22"/>
        </w:rPr>
        <w:tab/>
        <w:t xml:space="preserve">Balch, C. M. </w:t>
      </w:r>
      <w:r w:rsidRPr="005676A9">
        <w:rPr>
          <w:rFonts w:ascii="Cambria" w:hAnsi="Cambria"/>
          <w:i/>
          <w:iCs/>
          <w:noProof/>
          <w:sz w:val="22"/>
        </w:rPr>
        <w:t>et al.</w:t>
      </w:r>
      <w:r w:rsidRPr="005676A9">
        <w:rPr>
          <w:rFonts w:ascii="Cambria" w:hAnsi="Cambria"/>
          <w:noProof/>
          <w:sz w:val="22"/>
        </w:rPr>
        <w:t xml:space="preserve"> Final version of 2009 AJCC melanoma staging and classification. </w:t>
      </w:r>
      <w:r w:rsidRPr="005676A9">
        <w:rPr>
          <w:rFonts w:ascii="Cambria" w:hAnsi="Cambria"/>
          <w:i/>
          <w:iCs/>
          <w:noProof/>
          <w:sz w:val="22"/>
        </w:rPr>
        <w:t>J. Clin. Oncol.</w:t>
      </w:r>
      <w:r w:rsidRPr="005676A9">
        <w:rPr>
          <w:rFonts w:ascii="Cambria" w:hAnsi="Cambria"/>
          <w:noProof/>
          <w:sz w:val="22"/>
        </w:rPr>
        <w:t xml:space="preserve"> </w:t>
      </w:r>
      <w:r w:rsidRPr="005676A9">
        <w:rPr>
          <w:rFonts w:ascii="Cambria" w:hAnsi="Cambria"/>
          <w:b/>
          <w:bCs/>
          <w:noProof/>
          <w:sz w:val="22"/>
        </w:rPr>
        <w:t>27,</w:t>
      </w:r>
      <w:r w:rsidRPr="005676A9">
        <w:rPr>
          <w:rFonts w:ascii="Cambria" w:hAnsi="Cambria"/>
          <w:noProof/>
          <w:sz w:val="22"/>
        </w:rPr>
        <w:t xml:space="preserve"> 6199–6206 (2009).</w:t>
      </w:r>
    </w:p>
    <w:p w14:paraId="3F9F0489"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24.</w:t>
      </w:r>
      <w:r w:rsidRPr="005676A9">
        <w:rPr>
          <w:rFonts w:ascii="Cambria" w:hAnsi="Cambria"/>
          <w:noProof/>
          <w:sz w:val="22"/>
        </w:rPr>
        <w:tab/>
        <w:t xml:space="preserve">Lindsay, C. R., Spiliopoulou, P. &amp; Waterston, A. Blinded by the light: why the treatment of metastatic melanoma has created a new paradigm for the management of cancer. </w:t>
      </w:r>
      <w:r w:rsidRPr="005676A9">
        <w:rPr>
          <w:rFonts w:ascii="Cambria" w:hAnsi="Cambria"/>
          <w:i/>
          <w:iCs/>
          <w:noProof/>
          <w:sz w:val="22"/>
        </w:rPr>
        <w:t>Ther. Adv. Med. Oncol.</w:t>
      </w:r>
      <w:r w:rsidRPr="005676A9">
        <w:rPr>
          <w:rFonts w:ascii="Cambria" w:hAnsi="Cambria"/>
          <w:noProof/>
          <w:sz w:val="22"/>
        </w:rPr>
        <w:t xml:space="preserve"> </w:t>
      </w:r>
      <w:r w:rsidRPr="005676A9">
        <w:rPr>
          <w:rFonts w:ascii="Cambria" w:hAnsi="Cambria"/>
          <w:b/>
          <w:bCs/>
          <w:noProof/>
          <w:sz w:val="22"/>
        </w:rPr>
        <w:t>7,</w:t>
      </w:r>
      <w:r w:rsidRPr="005676A9">
        <w:rPr>
          <w:rFonts w:ascii="Cambria" w:hAnsi="Cambria"/>
          <w:noProof/>
          <w:sz w:val="22"/>
        </w:rPr>
        <w:t xml:space="preserve"> 107–21 (2015).</w:t>
      </w:r>
    </w:p>
    <w:p w14:paraId="527DCEA4"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25.</w:t>
      </w:r>
      <w:r w:rsidRPr="005676A9">
        <w:rPr>
          <w:rFonts w:ascii="Cambria" w:hAnsi="Cambria"/>
          <w:noProof/>
          <w:sz w:val="22"/>
        </w:rPr>
        <w:tab/>
        <w:t xml:space="preserve">Gyorki, D. E., Spillane, J., Speakman, D., Shackleton, M. &amp; Henderson, M. A. Current management of advanced melanoma: a transformed landscape. </w:t>
      </w:r>
      <w:r w:rsidRPr="005676A9">
        <w:rPr>
          <w:rFonts w:ascii="Cambria" w:hAnsi="Cambria"/>
          <w:i/>
          <w:iCs/>
          <w:noProof/>
          <w:sz w:val="22"/>
        </w:rPr>
        <w:t>ANZ J. Surg.</w:t>
      </w:r>
      <w:r w:rsidRPr="005676A9">
        <w:rPr>
          <w:rFonts w:ascii="Cambria" w:hAnsi="Cambria"/>
          <w:noProof/>
          <w:sz w:val="22"/>
        </w:rPr>
        <w:t xml:space="preserve"> </w:t>
      </w:r>
      <w:r w:rsidRPr="005676A9">
        <w:rPr>
          <w:rFonts w:ascii="Cambria" w:hAnsi="Cambria"/>
          <w:b/>
          <w:bCs/>
          <w:noProof/>
          <w:sz w:val="22"/>
        </w:rPr>
        <w:t>84,</w:t>
      </w:r>
      <w:r w:rsidRPr="005676A9">
        <w:rPr>
          <w:rFonts w:ascii="Cambria" w:hAnsi="Cambria"/>
          <w:noProof/>
          <w:sz w:val="22"/>
        </w:rPr>
        <w:t xml:space="preserve"> 612–617 (2014).</w:t>
      </w:r>
    </w:p>
    <w:p w14:paraId="3F6D3F5F"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26.</w:t>
      </w:r>
      <w:r w:rsidRPr="005676A9">
        <w:rPr>
          <w:rFonts w:ascii="Cambria" w:hAnsi="Cambria"/>
          <w:noProof/>
          <w:sz w:val="22"/>
        </w:rPr>
        <w:tab/>
        <w:t xml:space="preserve">Morton, D. L. </w:t>
      </w:r>
      <w:r w:rsidRPr="005676A9">
        <w:rPr>
          <w:rFonts w:ascii="Cambria" w:hAnsi="Cambria"/>
          <w:i/>
          <w:iCs/>
          <w:noProof/>
          <w:sz w:val="22"/>
        </w:rPr>
        <w:t>et al.</w:t>
      </w:r>
      <w:r w:rsidRPr="005676A9">
        <w:rPr>
          <w:rFonts w:ascii="Cambria" w:hAnsi="Cambria"/>
          <w:noProof/>
          <w:sz w:val="22"/>
        </w:rPr>
        <w:t xml:space="preserve"> Lymphatic mapping and sentinel lymphadenectomy for early-stage melanoma: therapeutic utility and implications of nodal microanatomy and molecular staging for improving the accuracy of detection of nodal micrometastases. </w:t>
      </w:r>
      <w:r w:rsidRPr="005676A9">
        <w:rPr>
          <w:rFonts w:ascii="Cambria" w:hAnsi="Cambria"/>
          <w:i/>
          <w:iCs/>
          <w:noProof/>
          <w:sz w:val="22"/>
        </w:rPr>
        <w:t>Ann. Surg.</w:t>
      </w:r>
      <w:r w:rsidRPr="005676A9">
        <w:rPr>
          <w:rFonts w:ascii="Cambria" w:hAnsi="Cambria"/>
          <w:noProof/>
          <w:sz w:val="22"/>
        </w:rPr>
        <w:t xml:space="preserve"> </w:t>
      </w:r>
      <w:r w:rsidRPr="005676A9">
        <w:rPr>
          <w:rFonts w:ascii="Cambria" w:hAnsi="Cambria"/>
          <w:b/>
          <w:bCs/>
          <w:noProof/>
          <w:sz w:val="22"/>
        </w:rPr>
        <w:t>238,</w:t>
      </w:r>
      <w:r w:rsidRPr="005676A9">
        <w:rPr>
          <w:rFonts w:ascii="Cambria" w:hAnsi="Cambria"/>
          <w:noProof/>
          <w:sz w:val="22"/>
        </w:rPr>
        <w:t xml:space="preserve"> 538–549; discussion 549–550 (2003).</w:t>
      </w:r>
    </w:p>
    <w:p w14:paraId="5D24F886"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27.</w:t>
      </w:r>
      <w:r w:rsidRPr="005676A9">
        <w:rPr>
          <w:rFonts w:ascii="Cambria" w:hAnsi="Cambria"/>
          <w:noProof/>
          <w:sz w:val="22"/>
        </w:rPr>
        <w:tab/>
        <w:t xml:space="preserve">Agarwala, S. S. </w:t>
      </w:r>
      <w:r w:rsidRPr="005676A9">
        <w:rPr>
          <w:rFonts w:ascii="Cambria" w:hAnsi="Cambria"/>
          <w:i/>
          <w:iCs/>
          <w:noProof/>
          <w:sz w:val="22"/>
        </w:rPr>
        <w:t>et al.</w:t>
      </w:r>
      <w:r w:rsidRPr="005676A9">
        <w:rPr>
          <w:rFonts w:ascii="Cambria" w:hAnsi="Cambria"/>
          <w:noProof/>
          <w:sz w:val="22"/>
        </w:rPr>
        <w:t xml:space="preserve"> LDH correlation with survival in advanced melanoma from two large, randomised trials (Oblimersen GM301 and EORTC 18951). </w:t>
      </w:r>
      <w:r w:rsidRPr="005676A9">
        <w:rPr>
          <w:rFonts w:ascii="Cambria" w:hAnsi="Cambria"/>
          <w:i/>
          <w:iCs/>
          <w:noProof/>
          <w:sz w:val="22"/>
        </w:rPr>
        <w:t>Eur. J. Cancer</w:t>
      </w:r>
      <w:r w:rsidRPr="005676A9">
        <w:rPr>
          <w:rFonts w:ascii="Cambria" w:hAnsi="Cambria"/>
          <w:noProof/>
          <w:sz w:val="22"/>
        </w:rPr>
        <w:t xml:space="preserve"> </w:t>
      </w:r>
      <w:r w:rsidRPr="005676A9">
        <w:rPr>
          <w:rFonts w:ascii="Cambria" w:hAnsi="Cambria"/>
          <w:b/>
          <w:bCs/>
          <w:noProof/>
          <w:sz w:val="22"/>
        </w:rPr>
        <w:t>45,</w:t>
      </w:r>
      <w:r w:rsidRPr="005676A9">
        <w:rPr>
          <w:rFonts w:ascii="Cambria" w:hAnsi="Cambria"/>
          <w:noProof/>
          <w:sz w:val="22"/>
        </w:rPr>
        <w:t xml:space="preserve"> 1807–14 (2009).</w:t>
      </w:r>
    </w:p>
    <w:p w14:paraId="6E5F24CA"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28.</w:t>
      </w:r>
      <w:r w:rsidRPr="005676A9">
        <w:rPr>
          <w:rFonts w:ascii="Cambria" w:hAnsi="Cambria"/>
          <w:noProof/>
          <w:sz w:val="22"/>
        </w:rPr>
        <w:tab/>
        <w:t xml:space="preserve">Sirott, M. N. </w:t>
      </w:r>
      <w:r w:rsidRPr="005676A9">
        <w:rPr>
          <w:rFonts w:ascii="Cambria" w:hAnsi="Cambria"/>
          <w:i/>
          <w:iCs/>
          <w:noProof/>
          <w:sz w:val="22"/>
        </w:rPr>
        <w:t>et al.</w:t>
      </w:r>
      <w:r w:rsidRPr="005676A9">
        <w:rPr>
          <w:rFonts w:ascii="Cambria" w:hAnsi="Cambria"/>
          <w:noProof/>
          <w:sz w:val="22"/>
        </w:rPr>
        <w:t xml:space="preserve"> Prognostic factors in patients with metastatic malignant melanoma. A multivariate analysis. </w:t>
      </w:r>
      <w:r w:rsidRPr="005676A9">
        <w:rPr>
          <w:rFonts w:ascii="Cambria" w:hAnsi="Cambria"/>
          <w:i/>
          <w:iCs/>
          <w:noProof/>
          <w:sz w:val="22"/>
        </w:rPr>
        <w:t>Cancer</w:t>
      </w:r>
      <w:r w:rsidRPr="005676A9">
        <w:rPr>
          <w:rFonts w:ascii="Cambria" w:hAnsi="Cambria"/>
          <w:noProof/>
          <w:sz w:val="22"/>
        </w:rPr>
        <w:t xml:space="preserve"> </w:t>
      </w:r>
      <w:r w:rsidRPr="005676A9">
        <w:rPr>
          <w:rFonts w:ascii="Cambria" w:hAnsi="Cambria"/>
          <w:b/>
          <w:bCs/>
          <w:noProof/>
          <w:sz w:val="22"/>
        </w:rPr>
        <w:t>72,</w:t>
      </w:r>
      <w:r w:rsidRPr="005676A9">
        <w:rPr>
          <w:rFonts w:ascii="Cambria" w:hAnsi="Cambria"/>
          <w:noProof/>
          <w:sz w:val="22"/>
        </w:rPr>
        <w:t xml:space="preserve"> 3091–8 (1993).</w:t>
      </w:r>
    </w:p>
    <w:p w14:paraId="531339BD"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29.</w:t>
      </w:r>
      <w:r w:rsidRPr="005676A9">
        <w:rPr>
          <w:rFonts w:ascii="Cambria" w:hAnsi="Cambria"/>
          <w:noProof/>
          <w:sz w:val="22"/>
        </w:rPr>
        <w:tab/>
        <w:t xml:space="preserve">Eton, O. </w:t>
      </w:r>
      <w:r w:rsidRPr="005676A9">
        <w:rPr>
          <w:rFonts w:ascii="Cambria" w:hAnsi="Cambria"/>
          <w:i/>
          <w:iCs/>
          <w:noProof/>
          <w:sz w:val="22"/>
        </w:rPr>
        <w:t>et al.</w:t>
      </w:r>
      <w:r w:rsidRPr="005676A9">
        <w:rPr>
          <w:rFonts w:ascii="Cambria" w:hAnsi="Cambria"/>
          <w:noProof/>
          <w:sz w:val="22"/>
        </w:rPr>
        <w:t xml:space="preserve"> Prognostic factors for survival of patients treated systemically for disseminated melanoma. </w:t>
      </w:r>
      <w:r w:rsidRPr="005676A9">
        <w:rPr>
          <w:rFonts w:ascii="Cambria" w:hAnsi="Cambria"/>
          <w:i/>
          <w:iCs/>
          <w:noProof/>
          <w:sz w:val="22"/>
        </w:rPr>
        <w:t>J. Clin. Oncol.</w:t>
      </w:r>
      <w:r w:rsidRPr="005676A9">
        <w:rPr>
          <w:rFonts w:ascii="Cambria" w:hAnsi="Cambria"/>
          <w:noProof/>
          <w:sz w:val="22"/>
        </w:rPr>
        <w:t xml:space="preserve"> </w:t>
      </w:r>
      <w:r w:rsidRPr="005676A9">
        <w:rPr>
          <w:rFonts w:ascii="Cambria" w:hAnsi="Cambria"/>
          <w:b/>
          <w:bCs/>
          <w:noProof/>
          <w:sz w:val="22"/>
        </w:rPr>
        <w:t>16,</w:t>
      </w:r>
      <w:r w:rsidRPr="005676A9">
        <w:rPr>
          <w:rFonts w:ascii="Cambria" w:hAnsi="Cambria"/>
          <w:noProof/>
          <w:sz w:val="22"/>
        </w:rPr>
        <w:t xml:space="preserve"> 1103–11 (1998).</w:t>
      </w:r>
    </w:p>
    <w:p w14:paraId="239AF848"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30.</w:t>
      </w:r>
      <w:r w:rsidRPr="005676A9">
        <w:rPr>
          <w:rFonts w:ascii="Cambria" w:hAnsi="Cambria"/>
          <w:noProof/>
          <w:sz w:val="22"/>
        </w:rPr>
        <w:tab/>
        <w:t xml:space="preserve">Manola, J., Atkins, M., Ibrahim, J. &amp; Kirkwood, J. Prognostic factors in metastatic melanoma: a pooled analysis of Eastern Cooperative Oncology Group trials. </w:t>
      </w:r>
      <w:r w:rsidRPr="005676A9">
        <w:rPr>
          <w:rFonts w:ascii="Cambria" w:hAnsi="Cambria"/>
          <w:i/>
          <w:iCs/>
          <w:noProof/>
          <w:sz w:val="22"/>
        </w:rPr>
        <w:t>J. Clin. Oncol.</w:t>
      </w:r>
      <w:r w:rsidRPr="005676A9">
        <w:rPr>
          <w:rFonts w:ascii="Cambria" w:hAnsi="Cambria"/>
          <w:noProof/>
          <w:sz w:val="22"/>
        </w:rPr>
        <w:t xml:space="preserve"> </w:t>
      </w:r>
      <w:r w:rsidRPr="005676A9">
        <w:rPr>
          <w:rFonts w:ascii="Cambria" w:hAnsi="Cambria"/>
          <w:b/>
          <w:bCs/>
          <w:noProof/>
          <w:sz w:val="22"/>
        </w:rPr>
        <w:t>18,</w:t>
      </w:r>
      <w:r w:rsidRPr="005676A9">
        <w:rPr>
          <w:rFonts w:ascii="Cambria" w:hAnsi="Cambria"/>
          <w:noProof/>
          <w:sz w:val="22"/>
        </w:rPr>
        <w:t xml:space="preserve"> 3782–93 (2000).</w:t>
      </w:r>
    </w:p>
    <w:p w14:paraId="0B3395DC"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31.</w:t>
      </w:r>
      <w:r w:rsidRPr="005676A9">
        <w:rPr>
          <w:rFonts w:ascii="Cambria" w:hAnsi="Cambria"/>
          <w:noProof/>
          <w:sz w:val="22"/>
        </w:rPr>
        <w:tab/>
        <w:t xml:space="preserve">Weide, B. </w:t>
      </w:r>
      <w:r w:rsidRPr="005676A9">
        <w:rPr>
          <w:rFonts w:ascii="Cambria" w:hAnsi="Cambria"/>
          <w:i/>
          <w:iCs/>
          <w:noProof/>
          <w:sz w:val="22"/>
        </w:rPr>
        <w:t>et al.</w:t>
      </w:r>
      <w:r w:rsidRPr="005676A9">
        <w:rPr>
          <w:rFonts w:ascii="Cambria" w:hAnsi="Cambria"/>
          <w:noProof/>
          <w:sz w:val="22"/>
        </w:rPr>
        <w:t xml:space="preserve"> Serum markers lactate dehydrogenase and S100B predict independently disease outcome in melanoma patients with distant metastasis. </w:t>
      </w:r>
      <w:r w:rsidRPr="005676A9">
        <w:rPr>
          <w:rFonts w:ascii="Cambria" w:hAnsi="Cambria"/>
          <w:i/>
          <w:iCs/>
          <w:noProof/>
          <w:sz w:val="22"/>
        </w:rPr>
        <w:t>Br. J. Cancer</w:t>
      </w:r>
      <w:r w:rsidRPr="005676A9">
        <w:rPr>
          <w:rFonts w:ascii="Cambria" w:hAnsi="Cambria"/>
          <w:noProof/>
          <w:sz w:val="22"/>
        </w:rPr>
        <w:t xml:space="preserve"> </w:t>
      </w:r>
      <w:r w:rsidRPr="005676A9">
        <w:rPr>
          <w:rFonts w:ascii="Cambria" w:hAnsi="Cambria"/>
          <w:b/>
          <w:bCs/>
          <w:noProof/>
          <w:sz w:val="22"/>
        </w:rPr>
        <w:t>107,</w:t>
      </w:r>
      <w:r w:rsidRPr="005676A9">
        <w:rPr>
          <w:rFonts w:ascii="Cambria" w:hAnsi="Cambria"/>
          <w:noProof/>
          <w:sz w:val="22"/>
        </w:rPr>
        <w:t xml:space="preserve"> 422–8 (2012).</w:t>
      </w:r>
    </w:p>
    <w:p w14:paraId="5508D922"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32.</w:t>
      </w:r>
      <w:r w:rsidRPr="005676A9">
        <w:rPr>
          <w:rFonts w:ascii="Cambria" w:hAnsi="Cambria"/>
          <w:noProof/>
          <w:sz w:val="22"/>
        </w:rPr>
        <w:tab/>
        <w:t xml:space="preserve">Handley, W. The Hunterian Lectures on the pathology of melanotic growths in relation to their operative treatment. </w:t>
      </w:r>
      <w:r w:rsidRPr="005676A9">
        <w:rPr>
          <w:rFonts w:ascii="Cambria" w:hAnsi="Cambria"/>
          <w:i/>
          <w:iCs/>
          <w:noProof/>
          <w:sz w:val="22"/>
        </w:rPr>
        <w:t>Lancet</w:t>
      </w:r>
      <w:r w:rsidRPr="005676A9">
        <w:rPr>
          <w:rFonts w:ascii="Cambria" w:hAnsi="Cambria"/>
          <w:noProof/>
          <w:sz w:val="22"/>
        </w:rPr>
        <w:t xml:space="preserve"> </w:t>
      </w:r>
      <w:r w:rsidRPr="005676A9">
        <w:rPr>
          <w:rFonts w:ascii="Cambria" w:hAnsi="Cambria"/>
          <w:b/>
          <w:bCs/>
          <w:noProof/>
          <w:sz w:val="22"/>
        </w:rPr>
        <w:t>169,</w:t>
      </w:r>
      <w:r w:rsidRPr="005676A9">
        <w:rPr>
          <w:rFonts w:ascii="Cambria" w:hAnsi="Cambria"/>
          <w:noProof/>
          <w:sz w:val="22"/>
        </w:rPr>
        <w:t xml:space="preserve"> 927–933 (1907).</w:t>
      </w:r>
    </w:p>
    <w:p w14:paraId="4F7EE0BE"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33.</w:t>
      </w:r>
      <w:r w:rsidRPr="005676A9">
        <w:rPr>
          <w:rFonts w:ascii="Cambria" w:hAnsi="Cambria"/>
          <w:noProof/>
          <w:sz w:val="22"/>
        </w:rPr>
        <w:tab/>
        <w:t xml:space="preserve">Handley, W. The Hunterian Lectures on the pathology of melanotic growths in relation to their operative treatment. </w:t>
      </w:r>
      <w:r w:rsidRPr="005676A9">
        <w:rPr>
          <w:rFonts w:ascii="Cambria" w:hAnsi="Cambria"/>
          <w:i/>
          <w:iCs/>
          <w:noProof/>
          <w:sz w:val="22"/>
        </w:rPr>
        <w:t>Lancet</w:t>
      </w:r>
      <w:r w:rsidRPr="005676A9">
        <w:rPr>
          <w:rFonts w:ascii="Cambria" w:hAnsi="Cambria"/>
          <w:noProof/>
          <w:sz w:val="22"/>
        </w:rPr>
        <w:t xml:space="preserve"> </w:t>
      </w:r>
      <w:r w:rsidRPr="005676A9">
        <w:rPr>
          <w:rFonts w:ascii="Cambria" w:hAnsi="Cambria"/>
          <w:b/>
          <w:bCs/>
          <w:noProof/>
          <w:sz w:val="22"/>
        </w:rPr>
        <w:t>169,</w:t>
      </w:r>
      <w:r w:rsidRPr="005676A9">
        <w:rPr>
          <w:rFonts w:ascii="Cambria" w:hAnsi="Cambria"/>
          <w:noProof/>
          <w:sz w:val="22"/>
        </w:rPr>
        <w:t xml:space="preserve"> 996–1003 (1907).</w:t>
      </w:r>
    </w:p>
    <w:p w14:paraId="5180A85F"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34.</w:t>
      </w:r>
      <w:r w:rsidRPr="005676A9">
        <w:rPr>
          <w:rFonts w:ascii="Cambria" w:hAnsi="Cambria"/>
          <w:noProof/>
          <w:sz w:val="22"/>
        </w:rPr>
        <w:tab/>
        <w:t xml:space="preserve">Balch, C. M. </w:t>
      </w:r>
      <w:r w:rsidRPr="005676A9">
        <w:rPr>
          <w:rFonts w:ascii="Cambria" w:hAnsi="Cambria"/>
          <w:i/>
          <w:iCs/>
          <w:noProof/>
          <w:sz w:val="22"/>
        </w:rPr>
        <w:t>et al.</w:t>
      </w:r>
      <w:r w:rsidRPr="005676A9">
        <w:rPr>
          <w:rFonts w:ascii="Cambria" w:hAnsi="Cambria"/>
          <w:noProof/>
          <w:sz w:val="22"/>
        </w:rPr>
        <w:t xml:space="preserve"> Tumor thickness as a guide to surgical management of clinical stage I melanoma patients. </w:t>
      </w:r>
      <w:r w:rsidRPr="005676A9">
        <w:rPr>
          <w:rFonts w:ascii="Cambria" w:hAnsi="Cambria"/>
          <w:i/>
          <w:iCs/>
          <w:noProof/>
          <w:sz w:val="22"/>
        </w:rPr>
        <w:t>Cancer</w:t>
      </w:r>
      <w:r w:rsidRPr="005676A9">
        <w:rPr>
          <w:rFonts w:ascii="Cambria" w:hAnsi="Cambria"/>
          <w:noProof/>
          <w:sz w:val="22"/>
        </w:rPr>
        <w:t xml:space="preserve"> </w:t>
      </w:r>
      <w:r w:rsidRPr="005676A9">
        <w:rPr>
          <w:rFonts w:ascii="Cambria" w:hAnsi="Cambria"/>
          <w:b/>
          <w:bCs/>
          <w:noProof/>
          <w:sz w:val="22"/>
        </w:rPr>
        <w:t>43,</w:t>
      </w:r>
      <w:r w:rsidRPr="005676A9">
        <w:rPr>
          <w:rFonts w:ascii="Cambria" w:hAnsi="Cambria"/>
          <w:noProof/>
          <w:sz w:val="22"/>
        </w:rPr>
        <w:t xml:space="preserve"> 883–8 (1979).</w:t>
      </w:r>
    </w:p>
    <w:p w14:paraId="4FC82C10"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35.</w:t>
      </w:r>
      <w:r w:rsidRPr="005676A9">
        <w:rPr>
          <w:rFonts w:ascii="Cambria" w:hAnsi="Cambria"/>
          <w:noProof/>
          <w:sz w:val="22"/>
        </w:rPr>
        <w:tab/>
        <w:t xml:space="preserve">Breslow, A. &amp; Macht, S. D. Optimal size of resection margin for thin cutaneous melanoma. </w:t>
      </w:r>
      <w:r w:rsidRPr="005676A9">
        <w:rPr>
          <w:rFonts w:ascii="Cambria" w:hAnsi="Cambria"/>
          <w:i/>
          <w:iCs/>
          <w:noProof/>
          <w:sz w:val="22"/>
        </w:rPr>
        <w:t>Surg. Gynecol. Obstet.</w:t>
      </w:r>
      <w:r w:rsidRPr="005676A9">
        <w:rPr>
          <w:rFonts w:ascii="Cambria" w:hAnsi="Cambria"/>
          <w:noProof/>
          <w:sz w:val="22"/>
        </w:rPr>
        <w:t xml:space="preserve"> </w:t>
      </w:r>
      <w:r w:rsidRPr="005676A9">
        <w:rPr>
          <w:rFonts w:ascii="Cambria" w:hAnsi="Cambria"/>
          <w:b/>
          <w:bCs/>
          <w:noProof/>
          <w:sz w:val="22"/>
        </w:rPr>
        <w:t>145,</w:t>
      </w:r>
      <w:r w:rsidRPr="005676A9">
        <w:rPr>
          <w:rFonts w:ascii="Cambria" w:hAnsi="Cambria"/>
          <w:noProof/>
          <w:sz w:val="22"/>
        </w:rPr>
        <w:t xml:space="preserve"> 691–2 (1977).</w:t>
      </w:r>
    </w:p>
    <w:p w14:paraId="4D4F3CB3"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36.</w:t>
      </w:r>
      <w:r w:rsidRPr="005676A9">
        <w:rPr>
          <w:rFonts w:ascii="Cambria" w:hAnsi="Cambria"/>
          <w:noProof/>
          <w:sz w:val="22"/>
        </w:rPr>
        <w:tab/>
        <w:t xml:space="preserve">Cosimi, A. B., Sober, A. J., Mihm, M. C. &amp; Fitzpatrick, T. B. Conservative surgical management of superficially invasive cutaneous melanoma. </w:t>
      </w:r>
      <w:r w:rsidRPr="005676A9">
        <w:rPr>
          <w:rFonts w:ascii="Cambria" w:hAnsi="Cambria"/>
          <w:i/>
          <w:iCs/>
          <w:noProof/>
          <w:sz w:val="22"/>
        </w:rPr>
        <w:t>Cancer</w:t>
      </w:r>
      <w:r w:rsidRPr="005676A9">
        <w:rPr>
          <w:rFonts w:ascii="Cambria" w:hAnsi="Cambria"/>
          <w:noProof/>
          <w:sz w:val="22"/>
        </w:rPr>
        <w:t xml:space="preserve"> </w:t>
      </w:r>
      <w:r w:rsidRPr="005676A9">
        <w:rPr>
          <w:rFonts w:ascii="Cambria" w:hAnsi="Cambria"/>
          <w:b/>
          <w:bCs/>
          <w:noProof/>
          <w:sz w:val="22"/>
        </w:rPr>
        <w:t>53,</w:t>
      </w:r>
      <w:r w:rsidRPr="005676A9">
        <w:rPr>
          <w:rFonts w:ascii="Cambria" w:hAnsi="Cambria"/>
          <w:noProof/>
          <w:sz w:val="22"/>
        </w:rPr>
        <w:t xml:space="preserve"> 1256–9 (1984).</w:t>
      </w:r>
    </w:p>
    <w:p w14:paraId="73D88587"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37.</w:t>
      </w:r>
      <w:r w:rsidRPr="005676A9">
        <w:rPr>
          <w:rFonts w:ascii="Cambria" w:hAnsi="Cambria"/>
          <w:noProof/>
          <w:sz w:val="22"/>
        </w:rPr>
        <w:tab/>
        <w:t xml:space="preserve">Day, C. L., Mihm, M. C., Sober, A. J., Fitzpatrick, T. B. &amp; Malt, R. A. Narrower margins for clinical stage I malignant melanoma. </w:t>
      </w:r>
      <w:r w:rsidRPr="005676A9">
        <w:rPr>
          <w:rFonts w:ascii="Cambria" w:hAnsi="Cambria"/>
          <w:i/>
          <w:iCs/>
          <w:noProof/>
          <w:sz w:val="22"/>
        </w:rPr>
        <w:t>N. Engl. J. Med.</w:t>
      </w:r>
      <w:r w:rsidRPr="005676A9">
        <w:rPr>
          <w:rFonts w:ascii="Cambria" w:hAnsi="Cambria"/>
          <w:noProof/>
          <w:sz w:val="22"/>
        </w:rPr>
        <w:t xml:space="preserve"> </w:t>
      </w:r>
      <w:r w:rsidRPr="005676A9">
        <w:rPr>
          <w:rFonts w:ascii="Cambria" w:hAnsi="Cambria"/>
          <w:b/>
          <w:bCs/>
          <w:noProof/>
          <w:sz w:val="22"/>
        </w:rPr>
        <w:t>306,</w:t>
      </w:r>
      <w:r w:rsidRPr="005676A9">
        <w:rPr>
          <w:rFonts w:ascii="Cambria" w:hAnsi="Cambria"/>
          <w:noProof/>
          <w:sz w:val="22"/>
        </w:rPr>
        <w:t xml:space="preserve"> 479–82 (1982).</w:t>
      </w:r>
    </w:p>
    <w:p w14:paraId="54877877"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38.</w:t>
      </w:r>
      <w:r w:rsidRPr="005676A9">
        <w:rPr>
          <w:rFonts w:ascii="Cambria" w:hAnsi="Cambria"/>
          <w:noProof/>
          <w:sz w:val="22"/>
        </w:rPr>
        <w:tab/>
        <w:t xml:space="preserve">Elder, D. E. </w:t>
      </w:r>
      <w:r w:rsidRPr="005676A9">
        <w:rPr>
          <w:rFonts w:ascii="Cambria" w:hAnsi="Cambria"/>
          <w:i/>
          <w:iCs/>
          <w:noProof/>
          <w:sz w:val="22"/>
        </w:rPr>
        <w:t>et al.</w:t>
      </w:r>
      <w:r w:rsidRPr="005676A9">
        <w:rPr>
          <w:rFonts w:ascii="Cambria" w:hAnsi="Cambria"/>
          <w:noProof/>
          <w:sz w:val="22"/>
        </w:rPr>
        <w:t xml:space="preserve"> Optimal resection margin for cutaneous malignant melanoma. </w:t>
      </w:r>
      <w:r w:rsidRPr="005676A9">
        <w:rPr>
          <w:rFonts w:ascii="Cambria" w:hAnsi="Cambria"/>
          <w:i/>
          <w:iCs/>
          <w:noProof/>
          <w:sz w:val="22"/>
        </w:rPr>
        <w:t>Plast. Reconstr. Surg.</w:t>
      </w:r>
      <w:r w:rsidRPr="005676A9">
        <w:rPr>
          <w:rFonts w:ascii="Cambria" w:hAnsi="Cambria"/>
          <w:noProof/>
          <w:sz w:val="22"/>
        </w:rPr>
        <w:t xml:space="preserve"> </w:t>
      </w:r>
      <w:r w:rsidRPr="005676A9">
        <w:rPr>
          <w:rFonts w:ascii="Cambria" w:hAnsi="Cambria"/>
          <w:b/>
          <w:bCs/>
          <w:noProof/>
          <w:sz w:val="22"/>
        </w:rPr>
        <w:t>71,</w:t>
      </w:r>
      <w:r w:rsidRPr="005676A9">
        <w:rPr>
          <w:rFonts w:ascii="Cambria" w:hAnsi="Cambria"/>
          <w:noProof/>
          <w:sz w:val="22"/>
        </w:rPr>
        <w:t xml:space="preserve"> 66–72 (1983).</w:t>
      </w:r>
    </w:p>
    <w:p w14:paraId="6C2540C6"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39.</w:t>
      </w:r>
      <w:r w:rsidRPr="005676A9">
        <w:rPr>
          <w:rFonts w:ascii="Cambria" w:hAnsi="Cambria"/>
          <w:noProof/>
          <w:sz w:val="22"/>
        </w:rPr>
        <w:tab/>
        <w:t xml:space="preserve">Goldman, L. I. &amp; Byrd, R. Narrowing resection margins for patients with low-risk melanoma. </w:t>
      </w:r>
      <w:r w:rsidRPr="005676A9">
        <w:rPr>
          <w:rFonts w:ascii="Cambria" w:hAnsi="Cambria"/>
          <w:i/>
          <w:iCs/>
          <w:noProof/>
          <w:sz w:val="22"/>
        </w:rPr>
        <w:t>Am. J. Surg.</w:t>
      </w:r>
      <w:r w:rsidRPr="005676A9">
        <w:rPr>
          <w:rFonts w:ascii="Cambria" w:hAnsi="Cambria"/>
          <w:noProof/>
          <w:sz w:val="22"/>
        </w:rPr>
        <w:t xml:space="preserve"> </w:t>
      </w:r>
      <w:r w:rsidRPr="005676A9">
        <w:rPr>
          <w:rFonts w:ascii="Cambria" w:hAnsi="Cambria"/>
          <w:b/>
          <w:bCs/>
          <w:noProof/>
          <w:sz w:val="22"/>
        </w:rPr>
        <w:t>155,</w:t>
      </w:r>
      <w:r w:rsidRPr="005676A9">
        <w:rPr>
          <w:rFonts w:ascii="Cambria" w:hAnsi="Cambria"/>
          <w:noProof/>
          <w:sz w:val="22"/>
        </w:rPr>
        <w:t xml:space="preserve"> 242–4 (1988).</w:t>
      </w:r>
    </w:p>
    <w:p w14:paraId="6C32DA12"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40.</w:t>
      </w:r>
      <w:r w:rsidRPr="005676A9">
        <w:rPr>
          <w:rFonts w:ascii="Cambria" w:hAnsi="Cambria"/>
          <w:noProof/>
          <w:sz w:val="22"/>
        </w:rPr>
        <w:tab/>
        <w:t xml:space="preserve">Stage I melanoma of the skin: the problem of resection margins. W.H.O. Collaborating Centres for Evaluation of Methods of Diagnosis and Treatment of Melanoma. </w:t>
      </w:r>
      <w:r w:rsidRPr="005676A9">
        <w:rPr>
          <w:rFonts w:ascii="Cambria" w:hAnsi="Cambria"/>
          <w:i/>
          <w:iCs/>
          <w:noProof/>
          <w:sz w:val="22"/>
        </w:rPr>
        <w:t>Eur. J. Cancer</w:t>
      </w:r>
      <w:r w:rsidRPr="005676A9">
        <w:rPr>
          <w:rFonts w:ascii="Cambria" w:hAnsi="Cambria"/>
          <w:noProof/>
          <w:sz w:val="22"/>
        </w:rPr>
        <w:t xml:space="preserve"> </w:t>
      </w:r>
      <w:r w:rsidRPr="005676A9">
        <w:rPr>
          <w:rFonts w:ascii="Cambria" w:hAnsi="Cambria"/>
          <w:b/>
          <w:bCs/>
          <w:noProof/>
          <w:sz w:val="22"/>
        </w:rPr>
        <w:t>16,</w:t>
      </w:r>
      <w:r w:rsidRPr="005676A9">
        <w:rPr>
          <w:rFonts w:ascii="Cambria" w:hAnsi="Cambria"/>
          <w:noProof/>
          <w:sz w:val="22"/>
        </w:rPr>
        <w:t xml:space="preserve"> 1079–85 (1980).</w:t>
      </w:r>
    </w:p>
    <w:p w14:paraId="75E4E556"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41.</w:t>
      </w:r>
      <w:r w:rsidRPr="005676A9">
        <w:rPr>
          <w:rFonts w:ascii="Cambria" w:hAnsi="Cambria"/>
          <w:noProof/>
          <w:sz w:val="22"/>
        </w:rPr>
        <w:tab/>
        <w:t xml:space="preserve">Veronesi, U. </w:t>
      </w:r>
      <w:r w:rsidRPr="005676A9">
        <w:rPr>
          <w:rFonts w:ascii="Cambria" w:hAnsi="Cambria"/>
          <w:i/>
          <w:iCs/>
          <w:noProof/>
          <w:sz w:val="22"/>
        </w:rPr>
        <w:t>et al.</w:t>
      </w:r>
      <w:r w:rsidRPr="005676A9">
        <w:rPr>
          <w:rFonts w:ascii="Cambria" w:hAnsi="Cambria"/>
          <w:noProof/>
          <w:sz w:val="22"/>
        </w:rPr>
        <w:t xml:space="preserve"> Thin stage I primary cutaneous malignant melanoma. Comparison of excision with margins of 1 or 3 cm. </w:t>
      </w:r>
      <w:r w:rsidRPr="005676A9">
        <w:rPr>
          <w:rFonts w:ascii="Cambria" w:hAnsi="Cambria"/>
          <w:i/>
          <w:iCs/>
          <w:noProof/>
          <w:sz w:val="22"/>
        </w:rPr>
        <w:t>N. Engl. J. Med.</w:t>
      </w:r>
      <w:r w:rsidRPr="005676A9">
        <w:rPr>
          <w:rFonts w:ascii="Cambria" w:hAnsi="Cambria"/>
          <w:noProof/>
          <w:sz w:val="22"/>
        </w:rPr>
        <w:t xml:space="preserve"> </w:t>
      </w:r>
      <w:r w:rsidRPr="005676A9">
        <w:rPr>
          <w:rFonts w:ascii="Cambria" w:hAnsi="Cambria"/>
          <w:b/>
          <w:bCs/>
          <w:noProof/>
          <w:sz w:val="22"/>
        </w:rPr>
        <w:t>318,</w:t>
      </w:r>
      <w:r w:rsidRPr="005676A9">
        <w:rPr>
          <w:rFonts w:ascii="Cambria" w:hAnsi="Cambria"/>
          <w:noProof/>
          <w:sz w:val="22"/>
        </w:rPr>
        <w:t xml:space="preserve"> 1159–62 (1988).</w:t>
      </w:r>
    </w:p>
    <w:p w14:paraId="693F1DBC"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42.</w:t>
      </w:r>
      <w:r w:rsidRPr="005676A9">
        <w:rPr>
          <w:rFonts w:ascii="Cambria" w:hAnsi="Cambria"/>
          <w:noProof/>
          <w:sz w:val="22"/>
        </w:rPr>
        <w:tab/>
        <w:t xml:space="preserve">Balch, C. M. </w:t>
      </w:r>
      <w:r w:rsidRPr="005676A9">
        <w:rPr>
          <w:rFonts w:ascii="Cambria" w:hAnsi="Cambria"/>
          <w:i/>
          <w:iCs/>
          <w:noProof/>
          <w:sz w:val="22"/>
        </w:rPr>
        <w:t>et al.</w:t>
      </w:r>
      <w:r w:rsidRPr="005676A9">
        <w:rPr>
          <w:rFonts w:ascii="Cambria" w:hAnsi="Cambria"/>
          <w:noProof/>
          <w:sz w:val="22"/>
        </w:rPr>
        <w:t xml:space="preserve"> Efficacy of 2-cm surgical margins for intermediate-thickness melanomas (1 to 4 mm). Results of a multi-institutional randomized surgical trial. </w:t>
      </w:r>
      <w:r w:rsidRPr="005676A9">
        <w:rPr>
          <w:rFonts w:ascii="Cambria" w:hAnsi="Cambria"/>
          <w:i/>
          <w:iCs/>
          <w:noProof/>
          <w:sz w:val="22"/>
        </w:rPr>
        <w:t>Ann. Surg.</w:t>
      </w:r>
      <w:r w:rsidRPr="005676A9">
        <w:rPr>
          <w:rFonts w:ascii="Cambria" w:hAnsi="Cambria"/>
          <w:noProof/>
          <w:sz w:val="22"/>
        </w:rPr>
        <w:t xml:space="preserve"> </w:t>
      </w:r>
      <w:r w:rsidRPr="005676A9">
        <w:rPr>
          <w:rFonts w:ascii="Cambria" w:hAnsi="Cambria"/>
          <w:b/>
          <w:bCs/>
          <w:noProof/>
          <w:sz w:val="22"/>
        </w:rPr>
        <w:t>218,</w:t>
      </w:r>
      <w:r w:rsidRPr="005676A9">
        <w:rPr>
          <w:rFonts w:ascii="Cambria" w:hAnsi="Cambria"/>
          <w:noProof/>
          <w:sz w:val="22"/>
        </w:rPr>
        <w:t xml:space="preserve"> 262–7; discussion 267–9 (1993).</w:t>
      </w:r>
    </w:p>
    <w:p w14:paraId="35649B20"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43.</w:t>
      </w:r>
      <w:r w:rsidRPr="005676A9">
        <w:rPr>
          <w:rFonts w:ascii="Cambria" w:hAnsi="Cambria"/>
          <w:noProof/>
          <w:sz w:val="22"/>
        </w:rPr>
        <w:tab/>
        <w:t xml:space="preserve">Ringborg, U. </w:t>
      </w:r>
      <w:r w:rsidRPr="005676A9">
        <w:rPr>
          <w:rFonts w:ascii="Cambria" w:hAnsi="Cambria"/>
          <w:i/>
          <w:iCs/>
          <w:noProof/>
          <w:sz w:val="22"/>
        </w:rPr>
        <w:t>et al.</w:t>
      </w:r>
      <w:r w:rsidRPr="005676A9">
        <w:rPr>
          <w:rFonts w:ascii="Cambria" w:hAnsi="Cambria"/>
          <w:noProof/>
          <w:sz w:val="22"/>
        </w:rPr>
        <w:t xml:space="preserve"> Resection margins of 2 versus 5 cm for cutaneous malignant melanoma with a tumor thickness of 0.8 to 2.0 mm: randomized study by the Swedish Melanoma Study Group. </w:t>
      </w:r>
      <w:r w:rsidRPr="005676A9">
        <w:rPr>
          <w:rFonts w:ascii="Cambria" w:hAnsi="Cambria"/>
          <w:i/>
          <w:iCs/>
          <w:noProof/>
          <w:sz w:val="22"/>
        </w:rPr>
        <w:t>Cancer</w:t>
      </w:r>
      <w:r w:rsidRPr="005676A9">
        <w:rPr>
          <w:rFonts w:ascii="Cambria" w:hAnsi="Cambria"/>
          <w:noProof/>
          <w:sz w:val="22"/>
        </w:rPr>
        <w:t xml:space="preserve"> </w:t>
      </w:r>
      <w:r w:rsidRPr="005676A9">
        <w:rPr>
          <w:rFonts w:ascii="Cambria" w:hAnsi="Cambria"/>
          <w:b/>
          <w:bCs/>
          <w:noProof/>
          <w:sz w:val="22"/>
        </w:rPr>
        <w:t>77,</w:t>
      </w:r>
      <w:r w:rsidRPr="005676A9">
        <w:rPr>
          <w:rFonts w:ascii="Cambria" w:hAnsi="Cambria"/>
          <w:noProof/>
          <w:sz w:val="22"/>
        </w:rPr>
        <w:t xml:space="preserve"> 1809–14 (1996).</w:t>
      </w:r>
    </w:p>
    <w:p w14:paraId="6F9FEEB1"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44.</w:t>
      </w:r>
      <w:r w:rsidRPr="005676A9">
        <w:rPr>
          <w:rFonts w:ascii="Cambria" w:hAnsi="Cambria"/>
          <w:noProof/>
          <w:sz w:val="22"/>
        </w:rPr>
        <w:tab/>
        <w:t xml:space="preserve">Khayat, D. </w:t>
      </w:r>
      <w:r w:rsidRPr="005676A9">
        <w:rPr>
          <w:rFonts w:ascii="Cambria" w:hAnsi="Cambria"/>
          <w:i/>
          <w:iCs/>
          <w:noProof/>
          <w:sz w:val="22"/>
        </w:rPr>
        <w:t>et al.</w:t>
      </w:r>
      <w:r w:rsidRPr="005676A9">
        <w:rPr>
          <w:rFonts w:ascii="Cambria" w:hAnsi="Cambria"/>
          <w:noProof/>
          <w:sz w:val="22"/>
        </w:rPr>
        <w:t xml:space="preserve"> Surgical margins in cutaneous melanoma (2 cm versus 5 cm for lesions measuring less than 2.1-mm thick). </w:t>
      </w:r>
      <w:r w:rsidRPr="005676A9">
        <w:rPr>
          <w:rFonts w:ascii="Cambria" w:hAnsi="Cambria"/>
          <w:i/>
          <w:iCs/>
          <w:noProof/>
          <w:sz w:val="22"/>
        </w:rPr>
        <w:t>Cancer</w:t>
      </w:r>
      <w:r w:rsidRPr="005676A9">
        <w:rPr>
          <w:rFonts w:ascii="Cambria" w:hAnsi="Cambria"/>
          <w:noProof/>
          <w:sz w:val="22"/>
        </w:rPr>
        <w:t xml:space="preserve"> </w:t>
      </w:r>
      <w:r w:rsidRPr="005676A9">
        <w:rPr>
          <w:rFonts w:ascii="Cambria" w:hAnsi="Cambria"/>
          <w:b/>
          <w:bCs/>
          <w:noProof/>
          <w:sz w:val="22"/>
        </w:rPr>
        <w:t>97,</w:t>
      </w:r>
      <w:r w:rsidRPr="005676A9">
        <w:rPr>
          <w:rFonts w:ascii="Cambria" w:hAnsi="Cambria"/>
          <w:noProof/>
          <w:sz w:val="22"/>
        </w:rPr>
        <w:t xml:space="preserve"> 1941–6 (2003).</w:t>
      </w:r>
    </w:p>
    <w:p w14:paraId="6594F4DC"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45.</w:t>
      </w:r>
      <w:r w:rsidRPr="005676A9">
        <w:rPr>
          <w:rFonts w:ascii="Cambria" w:hAnsi="Cambria"/>
          <w:noProof/>
          <w:sz w:val="22"/>
        </w:rPr>
        <w:tab/>
        <w:t xml:space="preserve">Thomas, J. M. </w:t>
      </w:r>
      <w:r w:rsidRPr="005676A9">
        <w:rPr>
          <w:rFonts w:ascii="Cambria" w:hAnsi="Cambria"/>
          <w:i/>
          <w:iCs/>
          <w:noProof/>
          <w:sz w:val="22"/>
        </w:rPr>
        <w:t>et al.</w:t>
      </w:r>
      <w:r w:rsidRPr="005676A9">
        <w:rPr>
          <w:rFonts w:ascii="Cambria" w:hAnsi="Cambria"/>
          <w:noProof/>
          <w:sz w:val="22"/>
        </w:rPr>
        <w:t xml:space="preserve"> Excision margins in high-risk malignant melanoma. </w:t>
      </w:r>
      <w:r w:rsidRPr="005676A9">
        <w:rPr>
          <w:rFonts w:ascii="Cambria" w:hAnsi="Cambria"/>
          <w:i/>
          <w:iCs/>
          <w:noProof/>
          <w:sz w:val="22"/>
        </w:rPr>
        <w:t>N. Engl. J. Med.</w:t>
      </w:r>
      <w:r w:rsidRPr="005676A9">
        <w:rPr>
          <w:rFonts w:ascii="Cambria" w:hAnsi="Cambria"/>
          <w:noProof/>
          <w:sz w:val="22"/>
        </w:rPr>
        <w:t xml:space="preserve"> </w:t>
      </w:r>
      <w:r w:rsidRPr="005676A9">
        <w:rPr>
          <w:rFonts w:ascii="Cambria" w:hAnsi="Cambria"/>
          <w:b/>
          <w:bCs/>
          <w:noProof/>
          <w:sz w:val="22"/>
        </w:rPr>
        <w:t>350,</w:t>
      </w:r>
      <w:r w:rsidRPr="005676A9">
        <w:rPr>
          <w:rFonts w:ascii="Cambria" w:hAnsi="Cambria"/>
          <w:noProof/>
          <w:sz w:val="22"/>
        </w:rPr>
        <w:t xml:space="preserve"> 757–66 (2004).</w:t>
      </w:r>
    </w:p>
    <w:p w14:paraId="1E827FCE"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46.</w:t>
      </w:r>
      <w:r w:rsidRPr="005676A9">
        <w:rPr>
          <w:rFonts w:ascii="Cambria" w:hAnsi="Cambria"/>
          <w:noProof/>
          <w:sz w:val="22"/>
        </w:rPr>
        <w:tab/>
        <w:t xml:space="preserve">Gillgren, P. </w:t>
      </w:r>
      <w:r w:rsidRPr="005676A9">
        <w:rPr>
          <w:rFonts w:ascii="Cambria" w:hAnsi="Cambria"/>
          <w:i/>
          <w:iCs/>
          <w:noProof/>
          <w:sz w:val="22"/>
        </w:rPr>
        <w:t>et al.</w:t>
      </w:r>
      <w:r w:rsidRPr="005676A9">
        <w:rPr>
          <w:rFonts w:ascii="Cambria" w:hAnsi="Cambria"/>
          <w:noProof/>
          <w:sz w:val="22"/>
        </w:rPr>
        <w:t xml:space="preserve"> 2-cm versus 4-cm surgical excision margins for primary cutaneous melanoma thicker than 2 mm: a randomised, multicentre trial. </w:t>
      </w:r>
      <w:r w:rsidRPr="005676A9">
        <w:rPr>
          <w:rFonts w:ascii="Cambria" w:hAnsi="Cambria"/>
          <w:i/>
          <w:iCs/>
          <w:noProof/>
          <w:sz w:val="22"/>
        </w:rPr>
        <w:t>Lancet</w:t>
      </w:r>
      <w:r w:rsidRPr="005676A9">
        <w:rPr>
          <w:rFonts w:ascii="Cambria" w:hAnsi="Cambria"/>
          <w:noProof/>
          <w:sz w:val="22"/>
        </w:rPr>
        <w:t xml:space="preserve"> </w:t>
      </w:r>
      <w:r w:rsidRPr="005676A9">
        <w:rPr>
          <w:rFonts w:ascii="Cambria" w:hAnsi="Cambria"/>
          <w:b/>
          <w:bCs/>
          <w:noProof/>
          <w:sz w:val="22"/>
        </w:rPr>
        <w:t>378,</w:t>
      </w:r>
      <w:r w:rsidRPr="005676A9">
        <w:rPr>
          <w:rFonts w:ascii="Cambria" w:hAnsi="Cambria"/>
          <w:noProof/>
          <w:sz w:val="22"/>
        </w:rPr>
        <w:t xml:space="preserve"> 1635–42 (2011).</w:t>
      </w:r>
    </w:p>
    <w:p w14:paraId="0F6DBA2F"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47.</w:t>
      </w:r>
      <w:r w:rsidRPr="005676A9">
        <w:rPr>
          <w:rFonts w:ascii="Cambria" w:hAnsi="Cambria"/>
          <w:noProof/>
          <w:sz w:val="22"/>
        </w:rPr>
        <w:tab/>
        <w:t xml:space="preserve">Veronesi, U. &amp; Cascinelli, N. Narrow excision (1-cm margin). A safe procedure for thin cutaneous melanoma. </w:t>
      </w:r>
      <w:r w:rsidRPr="005676A9">
        <w:rPr>
          <w:rFonts w:ascii="Cambria" w:hAnsi="Cambria"/>
          <w:i/>
          <w:iCs/>
          <w:noProof/>
          <w:sz w:val="22"/>
        </w:rPr>
        <w:t>Arch. Surg.</w:t>
      </w:r>
      <w:r w:rsidRPr="005676A9">
        <w:rPr>
          <w:rFonts w:ascii="Cambria" w:hAnsi="Cambria"/>
          <w:noProof/>
          <w:sz w:val="22"/>
        </w:rPr>
        <w:t xml:space="preserve"> </w:t>
      </w:r>
      <w:r w:rsidRPr="005676A9">
        <w:rPr>
          <w:rFonts w:ascii="Cambria" w:hAnsi="Cambria"/>
          <w:b/>
          <w:bCs/>
          <w:noProof/>
          <w:sz w:val="22"/>
        </w:rPr>
        <w:t>126,</w:t>
      </w:r>
      <w:r w:rsidRPr="005676A9">
        <w:rPr>
          <w:rFonts w:ascii="Cambria" w:hAnsi="Cambria"/>
          <w:noProof/>
          <w:sz w:val="22"/>
        </w:rPr>
        <w:t xml:space="preserve"> 438–41 (1991).</w:t>
      </w:r>
    </w:p>
    <w:p w14:paraId="7F8C6753"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48.</w:t>
      </w:r>
      <w:r w:rsidRPr="005676A9">
        <w:rPr>
          <w:rFonts w:ascii="Cambria" w:hAnsi="Cambria"/>
          <w:noProof/>
          <w:sz w:val="22"/>
        </w:rPr>
        <w:tab/>
        <w:t xml:space="preserve">Cascinelli, N. Margin of resection in the management of primary melanoma. </w:t>
      </w:r>
      <w:r w:rsidRPr="005676A9">
        <w:rPr>
          <w:rFonts w:ascii="Cambria" w:hAnsi="Cambria"/>
          <w:i/>
          <w:iCs/>
          <w:noProof/>
          <w:sz w:val="22"/>
        </w:rPr>
        <w:t>Semin. Surg. Oncol.</w:t>
      </w:r>
      <w:r w:rsidRPr="005676A9">
        <w:rPr>
          <w:rFonts w:ascii="Cambria" w:hAnsi="Cambria"/>
          <w:noProof/>
          <w:sz w:val="22"/>
        </w:rPr>
        <w:t xml:space="preserve"> </w:t>
      </w:r>
      <w:r w:rsidRPr="005676A9">
        <w:rPr>
          <w:rFonts w:ascii="Cambria" w:hAnsi="Cambria"/>
          <w:b/>
          <w:bCs/>
          <w:noProof/>
          <w:sz w:val="22"/>
        </w:rPr>
        <w:t>14,</w:t>
      </w:r>
      <w:r w:rsidRPr="005676A9">
        <w:rPr>
          <w:rFonts w:ascii="Cambria" w:hAnsi="Cambria"/>
          <w:noProof/>
          <w:sz w:val="22"/>
        </w:rPr>
        <w:t xml:space="preserve"> 272–5 (1998).</w:t>
      </w:r>
    </w:p>
    <w:p w14:paraId="4864DB94"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49.</w:t>
      </w:r>
      <w:r w:rsidRPr="005676A9">
        <w:rPr>
          <w:rFonts w:ascii="Cambria" w:hAnsi="Cambria"/>
          <w:noProof/>
          <w:sz w:val="22"/>
        </w:rPr>
        <w:tab/>
        <w:t xml:space="preserve">Balch, C. M. </w:t>
      </w:r>
      <w:r w:rsidRPr="005676A9">
        <w:rPr>
          <w:rFonts w:ascii="Cambria" w:hAnsi="Cambria"/>
          <w:i/>
          <w:iCs/>
          <w:noProof/>
          <w:sz w:val="22"/>
        </w:rPr>
        <w:t>et al.</w:t>
      </w:r>
      <w:r w:rsidRPr="005676A9">
        <w:rPr>
          <w:rFonts w:ascii="Cambria" w:hAnsi="Cambria"/>
          <w:noProof/>
          <w:sz w:val="22"/>
        </w:rPr>
        <w:t xml:space="preserve"> Long-term results of a prospective surgical trial comparing 2 cm vs. 4 cm excision margins for 740 patients with 1-4 mm melanomas. </w:t>
      </w:r>
      <w:r w:rsidRPr="005676A9">
        <w:rPr>
          <w:rFonts w:ascii="Cambria" w:hAnsi="Cambria"/>
          <w:i/>
          <w:iCs/>
          <w:noProof/>
          <w:sz w:val="22"/>
        </w:rPr>
        <w:t>Ann. Surg. Oncol.</w:t>
      </w:r>
      <w:r w:rsidRPr="005676A9">
        <w:rPr>
          <w:rFonts w:ascii="Cambria" w:hAnsi="Cambria"/>
          <w:noProof/>
          <w:sz w:val="22"/>
        </w:rPr>
        <w:t xml:space="preserve"> </w:t>
      </w:r>
      <w:r w:rsidRPr="005676A9">
        <w:rPr>
          <w:rFonts w:ascii="Cambria" w:hAnsi="Cambria"/>
          <w:b/>
          <w:bCs/>
          <w:noProof/>
          <w:sz w:val="22"/>
        </w:rPr>
        <w:t>8,</w:t>
      </w:r>
      <w:r w:rsidRPr="005676A9">
        <w:rPr>
          <w:rFonts w:ascii="Cambria" w:hAnsi="Cambria"/>
          <w:noProof/>
          <w:sz w:val="22"/>
        </w:rPr>
        <w:t xml:space="preserve"> 101–8 (2001).</w:t>
      </w:r>
    </w:p>
    <w:p w14:paraId="6048A37E"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50.</w:t>
      </w:r>
      <w:r w:rsidRPr="005676A9">
        <w:rPr>
          <w:rFonts w:ascii="Cambria" w:hAnsi="Cambria"/>
          <w:noProof/>
          <w:sz w:val="22"/>
        </w:rPr>
        <w:tab/>
        <w:t xml:space="preserve">Cohn-Cedermark, G. </w:t>
      </w:r>
      <w:r w:rsidRPr="005676A9">
        <w:rPr>
          <w:rFonts w:ascii="Cambria" w:hAnsi="Cambria"/>
          <w:i/>
          <w:iCs/>
          <w:noProof/>
          <w:sz w:val="22"/>
        </w:rPr>
        <w:t>et al.</w:t>
      </w:r>
      <w:r w:rsidRPr="005676A9">
        <w:rPr>
          <w:rFonts w:ascii="Cambria" w:hAnsi="Cambria"/>
          <w:noProof/>
          <w:sz w:val="22"/>
        </w:rPr>
        <w:t xml:space="preserve"> Long term results of a randomized study by the Swedish Melanoma Study Group on 2-cm versus 5-cm resection margins for patients with cutaneous melanoma with a tumor thickness of 0.8-2.0 mm. </w:t>
      </w:r>
      <w:r w:rsidRPr="005676A9">
        <w:rPr>
          <w:rFonts w:ascii="Cambria" w:hAnsi="Cambria"/>
          <w:i/>
          <w:iCs/>
          <w:noProof/>
          <w:sz w:val="22"/>
        </w:rPr>
        <w:t>Cancer</w:t>
      </w:r>
      <w:r w:rsidRPr="005676A9">
        <w:rPr>
          <w:rFonts w:ascii="Cambria" w:hAnsi="Cambria"/>
          <w:noProof/>
          <w:sz w:val="22"/>
        </w:rPr>
        <w:t xml:space="preserve"> </w:t>
      </w:r>
      <w:r w:rsidRPr="005676A9">
        <w:rPr>
          <w:rFonts w:ascii="Cambria" w:hAnsi="Cambria"/>
          <w:b/>
          <w:bCs/>
          <w:noProof/>
          <w:sz w:val="22"/>
        </w:rPr>
        <w:t>89,</w:t>
      </w:r>
      <w:r w:rsidRPr="005676A9">
        <w:rPr>
          <w:rFonts w:ascii="Cambria" w:hAnsi="Cambria"/>
          <w:noProof/>
          <w:sz w:val="22"/>
        </w:rPr>
        <w:t xml:space="preserve"> 1495–501 (2000).</w:t>
      </w:r>
    </w:p>
    <w:p w14:paraId="5DB4F3BC"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51.</w:t>
      </w:r>
      <w:r w:rsidRPr="005676A9">
        <w:rPr>
          <w:rFonts w:ascii="Cambria" w:hAnsi="Cambria"/>
          <w:noProof/>
          <w:sz w:val="22"/>
        </w:rPr>
        <w:tab/>
        <w:t xml:space="preserve">Hayes, A. J. </w:t>
      </w:r>
      <w:r w:rsidRPr="005676A9">
        <w:rPr>
          <w:rFonts w:ascii="Cambria" w:hAnsi="Cambria"/>
          <w:i/>
          <w:iCs/>
          <w:noProof/>
          <w:sz w:val="22"/>
        </w:rPr>
        <w:t>et al.</w:t>
      </w:r>
      <w:r w:rsidRPr="005676A9">
        <w:rPr>
          <w:rFonts w:ascii="Cambria" w:hAnsi="Cambria"/>
          <w:noProof/>
          <w:sz w:val="22"/>
        </w:rPr>
        <w:t xml:space="preserve"> Long term follow up of survival in a randomised trial of wide or narrow excision margins in high risk primary melanoma. </w:t>
      </w:r>
      <w:r w:rsidRPr="005676A9">
        <w:rPr>
          <w:rFonts w:ascii="Cambria" w:hAnsi="Cambria"/>
          <w:i/>
          <w:iCs/>
          <w:noProof/>
          <w:sz w:val="22"/>
        </w:rPr>
        <w:t>ASCO Meet. Abstr.</w:t>
      </w:r>
      <w:r w:rsidRPr="005676A9">
        <w:rPr>
          <w:rFonts w:ascii="Cambria" w:hAnsi="Cambria"/>
          <w:noProof/>
          <w:sz w:val="22"/>
        </w:rPr>
        <w:t xml:space="preserve"> </w:t>
      </w:r>
      <w:r w:rsidRPr="005676A9">
        <w:rPr>
          <w:rFonts w:ascii="Cambria" w:hAnsi="Cambria"/>
          <w:b/>
          <w:bCs/>
          <w:noProof/>
          <w:sz w:val="22"/>
        </w:rPr>
        <w:t>33,</w:t>
      </w:r>
      <w:r w:rsidRPr="005676A9">
        <w:rPr>
          <w:rFonts w:ascii="Cambria" w:hAnsi="Cambria"/>
          <w:noProof/>
          <w:sz w:val="22"/>
        </w:rPr>
        <w:t xml:space="preserve"> 9001 (2015).</w:t>
      </w:r>
    </w:p>
    <w:p w14:paraId="01F760C5"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52.</w:t>
      </w:r>
      <w:r w:rsidRPr="005676A9">
        <w:rPr>
          <w:rFonts w:ascii="Cambria" w:hAnsi="Cambria"/>
          <w:noProof/>
          <w:sz w:val="22"/>
        </w:rPr>
        <w:tab/>
        <w:t xml:space="preserve">Sladden, M. J. </w:t>
      </w:r>
      <w:r w:rsidRPr="005676A9">
        <w:rPr>
          <w:rFonts w:ascii="Cambria" w:hAnsi="Cambria"/>
          <w:i/>
          <w:iCs/>
          <w:noProof/>
          <w:sz w:val="22"/>
        </w:rPr>
        <w:t>et al.</w:t>
      </w:r>
      <w:r w:rsidRPr="005676A9">
        <w:rPr>
          <w:rFonts w:ascii="Cambria" w:hAnsi="Cambria"/>
          <w:noProof/>
          <w:sz w:val="22"/>
        </w:rPr>
        <w:t xml:space="preserve"> Surgical excision margins for primary cutaneous melanoma. </w:t>
      </w:r>
      <w:r w:rsidRPr="005676A9">
        <w:rPr>
          <w:rFonts w:ascii="Cambria" w:hAnsi="Cambria"/>
          <w:i/>
          <w:iCs/>
          <w:noProof/>
          <w:sz w:val="22"/>
        </w:rPr>
        <w:t>The Cochrane Libary</w:t>
      </w:r>
      <w:r w:rsidRPr="005676A9">
        <w:rPr>
          <w:rFonts w:ascii="Cambria" w:hAnsi="Cambria"/>
          <w:noProof/>
          <w:sz w:val="22"/>
        </w:rPr>
        <w:t xml:space="preserve"> (2009). doi:10.1002/14651858.CD004835.pub2</w:t>
      </w:r>
    </w:p>
    <w:p w14:paraId="0A482782"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53.</w:t>
      </w:r>
      <w:r w:rsidRPr="005676A9">
        <w:rPr>
          <w:rFonts w:ascii="Cambria" w:hAnsi="Cambria"/>
          <w:noProof/>
          <w:sz w:val="22"/>
        </w:rPr>
        <w:tab/>
        <w:t xml:space="preserve">Heenan, P. J. Local recurrence of melanoma. </w:t>
      </w:r>
      <w:r w:rsidRPr="005676A9">
        <w:rPr>
          <w:rFonts w:ascii="Cambria" w:hAnsi="Cambria"/>
          <w:i/>
          <w:iCs/>
          <w:noProof/>
          <w:sz w:val="22"/>
        </w:rPr>
        <w:t>Pathology</w:t>
      </w:r>
      <w:r w:rsidRPr="005676A9">
        <w:rPr>
          <w:rFonts w:ascii="Cambria" w:hAnsi="Cambria"/>
          <w:noProof/>
          <w:sz w:val="22"/>
        </w:rPr>
        <w:t xml:space="preserve"> </w:t>
      </w:r>
      <w:r w:rsidRPr="005676A9">
        <w:rPr>
          <w:rFonts w:ascii="Cambria" w:hAnsi="Cambria"/>
          <w:b/>
          <w:bCs/>
          <w:noProof/>
          <w:sz w:val="22"/>
        </w:rPr>
        <w:t>36,</w:t>
      </w:r>
      <w:r w:rsidRPr="005676A9">
        <w:rPr>
          <w:rFonts w:ascii="Cambria" w:hAnsi="Cambria"/>
          <w:noProof/>
          <w:sz w:val="22"/>
        </w:rPr>
        <w:t xml:space="preserve"> 491–5 (2004).</w:t>
      </w:r>
    </w:p>
    <w:p w14:paraId="0D2053B7"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54.</w:t>
      </w:r>
      <w:r w:rsidRPr="005676A9">
        <w:rPr>
          <w:rFonts w:ascii="Cambria" w:hAnsi="Cambria"/>
          <w:noProof/>
          <w:sz w:val="22"/>
        </w:rPr>
        <w:tab/>
        <w:t xml:space="preserve">Pawlik, T. M. </w:t>
      </w:r>
      <w:r w:rsidRPr="005676A9">
        <w:rPr>
          <w:rFonts w:ascii="Cambria" w:hAnsi="Cambria"/>
          <w:i/>
          <w:iCs/>
          <w:noProof/>
          <w:sz w:val="22"/>
        </w:rPr>
        <w:t>et al.</w:t>
      </w:r>
      <w:r w:rsidRPr="005676A9">
        <w:rPr>
          <w:rFonts w:ascii="Cambria" w:hAnsi="Cambria"/>
          <w:noProof/>
          <w:sz w:val="22"/>
        </w:rPr>
        <w:t xml:space="preserve"> Predictors and natural history of in-transit melanoma after sentinel lymphadenectomy. </w:t>
      </w:r>
      <w:r w:rsidRPr="005676A9">
        <w:rPr>
          <w:rFonts w:ascii="Cambria" w:hAnsi="Cambria"/>
          <w:i/>
          <w:iCs/>
          <w:noProof/>
          <w:sz w:val="22"/>
        </w:rPr>
        <w:t>Ann. Surg. Oncol.</w:t>
      </w:r>
      <w:r w:rsidRPr="005676A9">
        <w:rPr>
          <w:rFonts w:ascii="Cambria" w:hAnsi="Cambria"/>
          <w:noProof/>
          <w:sz w:val="22"/>
        </w:rPr>
        <w:t xml:space="preserve"> </w:t>
      </w:r>
      <w:r w:rsidRPr="005676A9">
        <w:rPr>
          <w:rFonts w:ascii="Cambria" w:hAnsi="Cambria"/>
          <w:b/>
          <w:bCs/>
          <w:noProof/>
          <w:sz w:val="22"/>
        </w:rPr>
        <w:t>12,</w:t>
      </w:r>
      <w:r w:rsidRPr="005676A9">
        <w:rPr>
          <w:rFonts w:ascii="Cambria" w:hAnsi="Cambria"/>
          <w:noProof/>
          <w:sz w:val="22"/>
        </w:rPr>
        <w:t xml:space="preserve"> 587–96 (2005).</w:t>
      </w:r>
    </w:p>
    <w:p w14:paraId="2C384167"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55.</w:t>
      </w:r>
      <w:r w:rsidRPr="005676A9">
        <w:rPr>
          <w:rFonts w:ascii="Cambria" w:hAnsi="Cambria"/>
          <w:noProof/>
          <w:sz w:val="22"/>
        </w:rPr>
        <w:tab/>
        <w:t xml:space="preserve">Francken, A. B. </w:t>
      </w:r>
      <w:r w:rsidRPr="005676A9">
        <w:rPr>
          <w:rFonts w:ascii="Cambria" w:hAnsi="Cambria"/>
          <w:i/>
          <w:iCs/>
          <w:noProof/>
          <w:sz w:val="22"/>
        </w:rPr>
        <w:t>et al.</w:t>
      </w:r>
      <w:r w:rsidRPr="005676A9">
        <w:rPr>
          <w:rFonts w:ascii="Cambria" w:hAnsi="Cambria"/>
          <w:noProof/>
          <w:sz w:val="22"/>
        </w:rPr>
        <w:t xml:space="preserve"> Prognosis and determinants of outcome following locoregional or distant recurrence in patients with cutaneous melanoma. </w:t>
      </w:r>
      <w:r w:rsidRPr="005676A9">
        <w:rPr>
          <w:rFonts w:ascii="Cambria" w:hAnsi="Cambria"/>
          <w:i/>
          <w:iCs/>
          <w:noProof/>
          <w:sz w:val="22"/>
        </w:rPr>
        <w:t>Ann. Surg. Oncol.</w:t>
      </w:r>
      <w:r w:rsidRPr="005676A9">
        <w:rPr>
          <w:rFonts w:ascii="Cambria" w:hAnsi="Cambria"/>
          <w:noProof/>
          <w:sz w:val="22"/>
        </w:rPr>
        <w:t xml:space="preserve"> </w:t>
      </w:r>
      <w:r w:rsidRPr="005676A9">
        <w:rPr>
          <w:rFonts w:ascii="Cambria" w:hAnsi="Cambria"/>
          <w:b/>
          <w:bCs/>
          <w:noProof/>
          <w:sz w:val="22"/>
        </w:rPr>
        <w:t>15,</w:t>
      </w:r>
      <w:r w:rsidRPr="005676A9">
        <w:rPr>
          <w:rFonts w:ascii="Cambria" w:hAnsi="Cambria"/>
          <w:noProof/>
          <w:sz w:val="22"/>
        </w:rPr>
        <w:t xml:space="preserve"> 1476–84 (2008).</w:t>
      </w:r>
    </w:p>
    <w:p w14:paraId="0531E444"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56.</w:t>
      </w:r>
      <w:r w:rsidRPr="005676A9">
        <w:rPr>
          <w:rFonts w:ascii="Cambria" w:hAnsi="Cambria"/>
          <w:noProof/>
          <w:sz w:val="22"/>
        </w:rPr>
        <w:tab/>
        <w:t xml:space="preserve">Dong, X. D., Tyler, D., Johnson, J. L., DeMatos, P. &amp; Seigler, H. F. Analysis of prognosis and disease progression after local recurrence of melanoma. </w:t>
      </w:r>
      <w:r w:rsidRPr="005676A9">
        <w:rPr>
          <w:rFonts w:ascii="Cambria" w:hAnsi="Cambria"/>
          <w:i/>
          <w:iCs/>
          <w:noProof/>
          <w:sz w:val="22"/>
        </w:rPr>
        <w:t>Cancer</w:t>
      </w:r>
      <w:r w:rsidRPr="005676A9">
        <w:rPr>
          <w:rFonts w:ascii="Cambria" w:hAnsi="Cambria"/>
          <w:noProof/>
          <w:sz w:val="22"/>
        </w:rPr>
        <w:t xml:space="preserve"> </w:t>
      </w:r>
      <w:r w:rsidRPr="005676A9">
        <w:rPr>
          <w:rFonts w:ascii="Cambria" w:hAnsi="Cambria"/>
          <w:b/>
          <w:bCs/>
          <w:noProof/>
          <w:sz w:val="22"/>
        </w:rPr>
        <w:t>88,</w:t>
      </w:r>
      <w:r w:rsidRPr="005676A9">
        <w:rPr>
          <w:rFonts w:ascii="Cambria" w:hAnsi="Cambria"/>
          <w:noProof/>
          <w:sz w:val="22"/>
        </w:rPr>
        <w:t xml:space="preserve"> 1063–71 (2000).</w:t>
      </w:r>
    </w:p>
    <w:p w14:paraId="660EBB19"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57.</w:t>
      </w:r>
      <w:r w:rsidRPr="005676A9">
        <w:rPr>
          <w:rFonts w:ascii="Cambria" w:hAnsi="Cambria"/>
          <w:noProof/>
          <w:sz w:val="22"/>
        </w:rPr>
        <w:tab/>
        <w:t xml:space="preserve">Snow, H. Melanotic cancerous disease. </w:t>
      </w:r>
      <w:r w:rsidRPr="005676A9">
        <w:rPr>
          <w:rFonts w:ascii="Cambria" w:hAnsi="Cambria"/>
          <w:i/>
          <w:iCs/>
          <w:noProof/>
          <w:sz w:val="22"/>
        </w:rPr>
        <w:t>Lancet</w:t>
      </w:r>
      <w:r w:rsidRPr="005676A9">
        <w:rPr>
          <w:rFonts w:ascii="Cambria" w:hAnsi="Cambria"/>
          <w:noProof/>
          <w:sz w:val="22"/>
        </w:rPr>
        <w:t xml:space="preserve"> </w:t>
      </w:r>
      <w:r w:rsidRPr="005676A9">
        <w:rPr>
          <w:rFonts w:ascii="Cambria" w:hAnsi="Cambria"/>
          <w:b/>
          <w:bCs/>
          <w:noProof/>
          <w:sz w:val="22"/>
        </w:rPr>
        <w:t>2,</w:t>
      </w:r>
      <w:r w:rsidRPr="005676A9">
        <w:rPr>
          <w:rFonts w:ascii="Cambria" w:hAnsi="Cambria"/>
          <w:noProof/>
          <w:sz w:val="22"/>
        </w:rPr>
        <w:t xml:space="preserve"> 872–874 (1892).</w:t>
      </w:r>
    </w:p>
    <w:p w14:paraId="5E2CA956"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58.</w:t>
      </w:r>
      <w:r w:rsidRPr="005676A9">
        <w:rPr>
          <w:rFonts w:ascii="Cambria" w:hAnsi="Cambria"/>
          <w:noProof/>
          <w:sz w:val="22"/>
        </w:rPr>
        <w:tab/>
        <w:t xml:space="preserve">Veronesi, U. </w:t>
      </w:r>
      <w:r w:rsidRPr="005676A9">
        <w:rPr>
          <w:rFonts w:ascii="Cambria" w:hAnsi="Cambria"/>
          <w:i/>
          <w:iCs/>
          <w:noProof/>
          <w:sz w:val="22"/>
        </w:rPr>
        <w:t>et al.</w:t>
      </w:r>
      <w:r w:rsidRPr="005676A9">
        <w:rPr>
          <w:rFonts w:ascii="Cambria" w:hAnsi="Cambria"/>
          <w:noProof/>
          <w:sz w:val="22"/>
        </w:rPr>
        <w:t xml:space="preserve"> Inefficacy of immediate node dissection in stage 1 melanoma of the limbs. </w:t>
      </w:r>
      <w:r w:rsidRPr="005676A9">
        <w:rPr>
          <w:rFonts w:ascii="Cambria" w:hAnsi="Cambria"/>
          <w:i/>
          <w:iCs/>
          <w:noProof/>
          <w:sz w:val="22"/>
        </w:rPr>
        <w:t>N. Engl. J. Med.</w:t>
      </w:r>
      <w:r w:rsidRPr="005676A9">
        <w:rPr>
          <w:rFonts w:ascii="Cambria" w:hAnsi="Cambria"/>
          <w:noProof/>
          <w:sz w:val="22"/>
        </w:rPr>
        <w:t xml:space="preserve"> </w:t>
      </w:r>
      <w:r w:rsidRPr="005676A9">
        <w:rPr>
          <w:rFonts w:ascii="Cambria" w:hAnsi="Cambria"/>
          <w:b/>
          <w:bCs/>
          <w:noProof/>
          <w:sz w:val="22"/>
        </w:rPr>
        <w:t>297,</w:t>
      </w:r>
      <w:r w:rsidRPr="005676A9">
        <w:rPr>
          <w:rFonts w:ascii="Cambria" w:hAnsi="Cambria"/>
          <w:noProof/>
          <w:sz w:val="22"/>
        </w:rPr>
        <w:t xml:space="preserve"> 627–30 (1977).</w:t>
      </w:r>
    </w:p>
    <w:p w14:paraId="726940B9"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59.</w:t>
      </w:r>
      <w:r w:rsidRPr="005676A9">
        <w:rPr>
          <w:rFonts w:ascii="Cambria" w:hAnsi="Cambria"/>
          <w:noProof/>
          <w:sz w:val="22"/>
        </w:rPr>
        <w:tab/>
        <w:t xml:space="preserve">Sim, F. H., Taylor, W. F., Ivins, J. C., Pritchard, D. J. &amp; Soule, E. H. A prospective randomized study of the efficacy of routine elective lymphadenectomy in management of malignant melanoma. Preliminary results. </w:t>
      </w:r>
      <w:r w:rsidRPr="005676A9">
        <w:rPr>
          <w:rFonts w:ascii="Cambria" w:hAnsi="Cambria"/>
          <w:i/>
          <w:iCs/>
          <w:noProof/>
          <w:sz w:val="22"/>
        </w:rPr>
        <w:t>Cancer</w:t>
      </w:r>
      <w:r w:rsidRPr="005676A9">
        <w:rPr>
          <w:rFonts w:ascii="Cambria" w:hAnsi="Cambria"/>
          <w:noProof/>
          <w:sz w:val="22"/>
        </w:rPr>
        <w:t xml:space="preserve"> </w:t>
      </w:r>
      <w:r w:rsidRPr="005676A9">
        <w:rPr>
          <w:rFonts w:ascii="Cambria" w:hAnsi="Cambria"/>
          <w:b/>
          <w:bCs/>
          <w:noProof/>
          <w:sz w:val="22"/>
        </w:rPr>
        <w:t>41,</w:t>
      </w:r>
      <w:r w:rsidRPr="005676A9">
        <w:rPr>
          <w:rFonts w:ascii="Cambria" w:hAnsi="Cambria"/>
          <w:noProof/>
          <w:sz w:val="22"/>
        </w:rPr>
        <w:t xml:space="preserve"> 948–56 (1978).</w:t>
      </w:r>
    </w:p>
    <w:p w14:paraId="4AE4FC68"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60.</w:t>
      </w:r>
      <w:r w:rsidRPr="005676A9">
        <w:rPr>
          <w:rFonts w:ascii="Cambria" w:hAnsi="Cambria"/>
          <w:noProof/>
          <w:sz w:val="22"/>
        </w:rPr>
        <w:tab/>
        <w:t xml:space="preserve">Balch, C. M. </w:t>
      </w:r>
      <w:r w:rsidRPr="005676A9">
        <w:rPr>
          <w:rFonts w:ascii="Cambria" w:hAnsi="Cambria"/>
          <w:i/>
          <w:iCs/>
          <w:noProof/>
          <w:sz w:val="22"/>
        </w:rPr>
        <w:t>et al.</w:t>
      </w:r>
      <w:r w:rsidRPr="005676A9">
        <w:rPr>
          <w:rFonts w:ascii="Cambria" w:hAnsi="Cambria"/>
          <w:noProof/>
          <w:sz w:val="22"/>
        </w:rPr>
        <w:t xml:space="preserve"> Efficacy of an elective regional lymph node dissection of 1 to 4 mm thick melanomas for patients 60 years of age and younger. </w:t>
      </w:r>
      <w:r w:rsidRPr="005676A9">
        <w:rPr>
          <w:rFonts w:ascii="Cambria" w:hAnsi="Cambria"/>
          <w:i/>
          <w:iCs/>
          <w:noProof/>
          <w:sz w:val="22"/>
        </w:rPr>
        <w:t>Ann. Surg.</w:t>
      </w:r>
      <w:r w:rsidRPr="005676A9">
        <w:rPr>
          <w:rFonts w:ascii="Cambria" w:hAnsi="Cambria"/>
          <w:noProof/>
          <w:sz w:val="22"/>
        </w:rPr>
        <w:t xml:space="preserve"> </w:t>
      </w:r>
      <w:r w:rsidRPr="005676A9">
        <w:rPr>
          <w:rFonts w:ascii="Cambria" w:hAnsi="Cambria"/>
          <w:b/>
          <w:bCs/>
          <w:noProof/>
          <w:sz w:val="22"/>
        </w:rPr>
        <w:t>224,</w:t>
      </w:r>
      <w:r w:rsidRPr="005676A9">
        <w:rPr>
          <w:rFonts w:ascii="Cambria" w:hAnsi="Cambria"/>
          <w:noProof/>
          <w:sz w:val="22"/>
        </w:rPr>
        <w:t xml:space="preserve"> 255–63; discussion 263–6 (1996).</w:t>
      </w:r>
    </w:p>
    <w:p w14:paraId="4DB3FDB8"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61.</w:t>
      </w:r>
      <w:r w:rsidRPr="005676A9">
        <w:rPr>
          <w:rFonts w:ascii="Cambria" w:hAnsi="Cambria"/>
          <w:noProof/>
          <w:sz w:val="22"/>
        </w:rPr>
        <w:tab/>
        <w:t xml:space="preserve">Veronesi, U. </w:t>
      </w:r>
      <w:r w:rsidRPr="005676A9">
        <w:rPr>
          <w:rFonts w:ascii="Cambria" w:hAnsi="Cambria"/>
          <w:i/>
          <w:iCs/>
          <w:noProof/>
          <w:sz w:val="22"/>
        </w:rPr>
        <w:t>et al.</w:t>
      </w:r>
      <w:r w:rsidRPr="005676A9">
        <w:rPr>
          <w:rFonts w:ascii="Cambria" w:hAnsi="Cambria"/>
          <w:noProof/>
          <w:sz w:val="22"/>
        </w:rPr>
        <w:t xml:space="preserve"> Delayed regional lymph node dissection in stage I melanoma of the skin of the lower extremities. </w:t>
      </w:r>
      <w:r w:rsidRPr="005676A9">
        <w:rPr>
          <w:rFonts w:ascii="Cambria" w:hAnsi="Cambria"/>
          <w:i/>
          <w:iCs/>
          <w:noProof/>
          <w:sz w:val="22"/>
        </w:rPr>
        <w:t>Cancer</w:t>
      </w:r>
      <w:r w:rsidRPr="005676A9">
        <w:rPr>
          <w:rFonts w:ascii="Cambria" w:hAnsi="Cambria"/>
          <w:noProof/>
          <w:sz w:val="22"/>
        </w:rPr>
        <w:t xml:space="preserve"> </w:t>
      </w:r>
      <w:r w:rsidRPr="005676A9">
        <w:rPr>
          <w:rFonts w:ascii="Cambria" w:hAnsi="Cambria"/>
          <w:b/>
          <w:bCs/>
          <w:noProof/>
          <w:sz w:val="22"/>
        </w:rPr>
        <w:t>49,</w:t>
      </w:r>
      <w:r w:rsidRPr="005676A9">
        <w:rPr>
          <w:rFonts w:ascii="Cambria" w:hAnsi="Cambria"/>
          <w:noProof/>
          <w:sz w:val="22"/>
        </w:rPr>
        <w:t xml:space="preserve"> 2420–30 (1982).</w:t>
      </w:r>
    </w:p>
    <w:p w14:paraId="0D1950D1"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62.</w:t>
      </w:r>
      <w:r w:rsidRPr="005676A9">
        <w:rPr>
          <w:rFonts w:ascii="Cambria" w:hAnsi="Cambria"/>
          <w:noProof/>
          <w:sz w:val="22"/>
        </w:rPr>
        <w:tab/>
        <w:t xml:space="preserve">Milton, G. W. </w:t>
      </w:r>
      <w:r w:rsidRPr="005676A9">
        <w:rPr>
          <w:rFonts w:ascii="Cambria" w:hAnsi="Cambria"/>
          <w:i/>
          <w:iCs/>
          <w:noProof/>
          <w:sz w:val="22"/>
        </w:rPr>
        <w:t>et al.</w:t>
      </w:r>
      <w:r w:rsidRPr="005676A9">
        <w:rPr>
          <w:rFonts w:ascii="Cambria" w:hAnsi="Cambria"/>
          <w:noProof/>
          <w:sz w:val="22"/>
        </w:rPr>
        <w:t xml:space="preserve"> Prophylactic lymph node dissection in clinical stage I cutaneous malignant melanoma: results of surgical treatment in 1319 patients. </w:t>
      </w:r>
      <w:r w:rsidRPr="005676A9">
        <w:rPr>
          <w:rFonts w:ascii="Cambria" w:hAnsi="Cambria"/>
          <w:i/>
          <w:iCs/>
          <w:noProof/>
          <w:sz w:val="22"/>
        </w:rPr>
        <w:t>Br. J. Surg.</w:t>
      </w:r>
      <w:r w:rsidRPr="005676A9">
        <w:rPr>
          <w:rFonts w:ascii="Cambria" w:hAnsi="Cambria"/>
          <w:noProof/>
          <w:sz w:val="22"/>
        </w:rPr>
        <w:t xml:space="preserve"> </w:t>
      </w:r>
      <w:r w:rsidRPr="005676A9">
        <w:rPr>
          <w:rFonts w:ascii="Cambria" w:hAnsi="Cambria"/>
          <w:b/>
          <w:bCs/>
          <w:noProof/>
          <w:sz w:val="22"/>
        </w:rPr>
        <w:t>69,</w:t>
      </w:r>
      <w:r w:rsidRPr="005676A9">
        <w:rPr>
          <w:rFonts w:ascii="Cambria" w:hAnsi="Cambria"/>
          <w:noProof/>
          <w:sz w:val="22"/>
        </w:rPr>
        <w:t xml:space="preserve"> 108–11 (1982).</w:t>
      </w:r>
    </w:p>
    <w:p w14:paraId="1F3E14A8"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63.</w:t>
      </w:r>
      <w:r w:rsidRPr="005676A9">
        <w:rPr>
          <w:rFonts w:ascii="Cambria" w:hAnsi="Cambria"/>
          <w:noProof/>
          <w:sz w:val="22"/>
        </w:rPr>
        <w:tab/>
        <w:t xml:space="preserve">Balch, C. M. </w:t>
      </w:r>
      <w:r w:rsidRPr="005676A9">
        <w:rPr>
          <w:rFonts w:ascii="Cambria" w:hAnsi="Cambria"/>
          <w:i/>
          <w:iCs/>
          <w:noProof/>
          <w:sz w:val="22"/>
        </w:rPr>
        <w:t>et al.</w:t>
      </w:r>
      <w:r w:rsidRPr="005676A9">
        <w:rPr>
          <w:rFonts w:ascii="Cambria" w:hAnsi="Cambria"/>
          <w:noProof/>
          <w:sz w:val="22"/>
        </w:rPr>
        <w:t xml:space="preserve"> A comparison of prognostic factors and surgical results in 1,786 patients with localized (stage I) melanoma treated in Alabama, USA, and New South Wales, Australia. </w:t>
      </w:r>
      <w:r w:rsidRPr="005676A9">
        <w:rPr>
          <w:rFonts w:ascii="Cambria" w:hAnsi="Cambria"/>
          <w:i/>
          <w:iCs/>
          <w:noProof/>
          <w:sz w:val="22"/>
        </w:rPr>
        <w:t>Ann. Surg.</w:t>
      </w:r>
      <w:r w:rsidRPr="005676A9">
        <w:rPr>
          <w:rFonts w:ascii="Cambria" w:hAnsi="Cambria"/>
          <w:noProof/>
          <w:sz w:val="22"/>
        </w:rPr>
        <w:t xml:space="preserve"> </w:t>
      </w:r>
      <w:r w:rsidRPr="005676A9">
        <w:rPr>
          <w:rFonts w:ascii="Cambria" w:hAnsi="Cambria"/>
          <w:b/>
          <w:bCs/>
          <w:noProof/>
          <w:sz w:val="22"/>
        </w:rPr>
        <w:t>196,</w:t>
      </w:r>
      <w:r w:rsidRPr="005676A9">
        <w:rPr>
          <w:rFonts w:ascii="Cambria" w:hAnsi="Cambria"/>
          <w:noProof/>
          <w:sz w:val="22"/>
        </w:rPr>
        <w:t xml:space="preserve"> 677–84 (1982).</w:t>
      </w:r>
    </w:p>
    <w:p w14:paraId="2BAB2362"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64.</w:t>
      </w:r>
      <w:r w:rsidRPr="005676A9">
        <w:rPr>
          <w:rFonts w:ascii="Cambria" w:hAnsi="Cambria"/>
          <w:noProof/>
          <w:sz w:val="22"/>
        </w:rPr>
        <w:tab/>
        <w:t xml:space="preserve">Uren, R. F., Howman-Giles, R. &amp; Thompson, J. F. Patterns of lymphatic drainage from the skin in patients with melanoma. </w:t>
      </w:r>
      <w:r w:rsidRPr="005676A9">
        <w:rPr>
          <w:rFonts w:ascii="Cambria" w:hAnsi="Cambria"/>
          <w:i/>
          <w:iCs/>
          <w:noProof/>
          <w:sz w:val="22"/>
        </w:rPr>
        <w:t>J. Nucl. Med.</w:t>
      </w:r>
      <w:r w:rsidRPr="005676A9">
        <w:rPr>
          <w:rFonts w:ascii="Cambria" w:hAnsi="Cambria"/>
          <w:noProof/>
          <w:sz w:val="22"/>
        </w:rPr>
        <w:t xml:space="preserve"> </w:t>
      </w:r>
      <w:r w:rsidRPr="005676A9">
        <w:rPr>
          <w:rFonts w:ascii="Cambria" w:hAnsi="Cambria"/>
          <w:b/>
          <w:bCs/>
          <w:noProof/>
          <w:sz w:val="22"/>
        </w:rPr>
        <w:t>44,</w:t>
      </w:r>
      <w:r w:rsidRPr="005676A9">
        <w:rPr>
          <w:rFonts w:ascii="Cambria" w:hAnsi="Cambria"/>
          <w:noProof/>
          <w:sz w:val="22"/>
        </w:rPr>
        <w:t xml:space="preserve"> 570–82 (2003).</w:t>
      </w:r>
    </w:p>
    <w:p w14:paraId="5F7942D6"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65.</w:t>
      </w:r>
      <w:r w:rsidRPr="005676A9">
        <w:rPr>
          <w:rFonts w:ascii="Cambria" w:hAnsi="Cambria"/>
          <w:noProof/>
          <w:sz w:val="22"/>
        </w:rPr>
        <w:tab/>
        <w:t xml:space="preserve">Norman, J. </w:t>
      </w:r>
      <w:r w:rsidRPr="005676A9">
        <w:rPr>
          <w:rFonts w:ascii="Cambria" w:hAnsi="Cambria"/>
          <w:i/>
          <w:iCs/>
          <w:noProof/>
          <w:sz w:val="22"/>
        </w:rPr>
        <w:t>et al.</w:t>
      </w:r>
      <w:r w:rsidRPr="005676A9">
        <w:rPr>
          <w:rFonts w:ascii="Cambria" w:hAnsi="Cambria"/>
          <w:noProof/>
          <w:sz w:val="22"/>
        </w:rPr>
        <w:t xml:space="preserve"> The expanding role of lymphoscintigraphy in the management of cutaneous melanoma. First Place Winner: Conrad Jobst award. </w:t>
      </w:r>
      <w:r w:rsidRPr="005676A9">
        <w:rPr>
          <w:rFonts w:ascii="Cambria" w:hAnsi="Cambria"/>
          <w:i/>
          <w:iCs/>
          <w:noProof/>
          <w:sz w:val="22"/>
        </w:rPr>
        <w:t>Am. Surg.</w:t>
      </w:r>
      <w:r w:rsidRPr="005676A9">
        <w:rPr>
          <w:rFonts w:ascii="Cambria" w:hAnsi="Cambria"/>
          <w:noProof/>
          <w:sz w:val="22"/>
        </w:rPr>
        <w:t xml:space="preserve"> </w:t>
      </w:r>
      <w:r w:rsidRPr="005676A9">
        <w:rPr>
          <w:rFonts w:ascii="Cambria" w:hAnsi="Cambria"/>
          <w:b/>
          <w:bCs/>
          <w:noProof/>
          <w:sz w:val="22"/>
        </w:rPr>
        <w:t>55,</w:t>
      </w:r>
      <w:r w:rsidRPr="005676A9">
        <w:rPr>
          <w:rFonts w:ascii="Cambria" w:hAnsi="Cambria"/>
          <w:noProof/>
          <w:sz w:val="22"/>
        </w:rPr>
        <w:t xml:space="preserve"> 689–94 (1989).</w:t>
      </w:r>
    </w:p>
    <w:p w14:paraId="4A05FC95"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66.</w:t>
      </w:r>
      <w:r w:rsidRPr="005676A9">
        <w:rPr>
          <w:rFonts w:ascii="Cambria" w:hAnsi="Cambria"/>
          <w:noProof/>
          <w:sz w:val="22"/>
        </w:rPr>
        <w:tab/>
        <w:t xml:space="preserve">Jones, R. F., Moe, R. E. &amp; Nelp, W. Use of radionuclide lymphograms to determine lymphatic drainage of truncal melanomas. </w:t>
      </w:r>
      <w:r w:rsidRPr="005676A9">
        <w:rPr>
          <w:rFonts w:ascii="Cambria" w:hAnsi="Cambria"/>
          <w:i/>
          <w:iCs/>
          <w:noProof/>
          <w:sz w:val="22"/>
        </w:rPr>
        <w:t>Am. J. Surg.</w:t>
      </w:r>
      <w:r w:rsidRPr="005676A9">
        <w:rPr>
          <w:rFonts w:ascii="Cambria" w:hAnsi="Cambria"/>
          <w:noProof/>
          <w:sz w:val="22"/>
        </w:rPr>
        <w:t xml:space="preserve"> </w:t>
      </w:r>
      <w:r w:rsidRPr="005676A9">
        <w:rPr>
          <w:rFonts w:ascii="Cambria" w:hAnsi="Cambria"/>
          <w:b/>
          <w:bCs/>
          <w:noProof/>
          <w:sz w:val="22"/>
        </w:rPr>
        <w:t>149,</w:t>
      </w:r>
      <w:r w:rsidRPr="005676A9">
        <w:rPr>
          <w:rFonts w:ascii="Cambria" w:hAnsi="Cambria"/>
          <w:noProof/>
          <w:sz w:val="22"/>
        </w:rPr>
        <w:t xml:space="preserve"> 613–4 (1985).</w:t>
      </w:r>
    </w:p>
    <w:p w14:paraId="62B7CF19"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67.</w:t>
      </w:r>
      <w:r w:rsidRPr="005676A9">
        <w:rPr>
          <w:rFonts w:ascii="Cambria" w:hAnsi="Cambria"/>
          <w:noProof/>
          <w:sz w:val="22"/>
        </w:rPr>
        <w:tab/>
        <w:t xml:space="preserve">Morton, D. L. </w:t>
      </w:r>
      <w:r w:rsidRPr="005676A9">
        <w:rPr>
          <w:rFonts w:ascii="Cambria" w:hAnsi="Cambria"/>
          <w:i/>
          <w:iCs/>
          <w:noProof/>
          <w:sz w:val="22"/>
        </w:rPr>
        <w:t>et al.</w:t>
      </w:r>
      <w:r w:rsidRPr="005676A9">
        <w:rPr>
          <w:rFonts w:ascii="Cambria" w:hAnsi="Cambria"/>
          <w:noProof/>
          <w:sz w:val="22"/>
        </w:rPr>
        <w:t xml:space="preserve"> Technical details of intraoperative lymphatic mapping for early stage melanoma. </w:t>
      </w:r>
      <w:r w:rsidRPr="005676A9">
        <w:rPr>
          <w:rFonts w:ascii="Cambria" w:hAnsi="Cambria"/>
          <w:i/>
          <w:iCs/>
          <w:noProof/>
          <w:sz w:val="22"/>
        </w:rPr>
        <w:t>Arch. Surg.</w:t>
      </w:r>
      <w:r w:rsidRPr="005676A9">
        <w:rPr>
          <w:rFonts w:ascii="Cambria" w:hAnsi="Cambria"/>
          <w:noProof/>
          <w:sz w:val="22"/>
        </w:rPr>
        <w:t xml:space="preserve"> </w:t>
      </w:r>
      <w:r w:rsidRPr="005676A9">
        <w:rPr>
          <w:rFonts w:ascii="Cambria" w:hAnsi="Cambria"/>
          <w:b/>
          <w:bCs/>
          <w:noProof/>
          <w:sz w:val="22"/>
        </w:rPr>
        <w:t>127,</w:t>
      </w:r>
      <w:r w:rsidRPr="005676A9">
        <w:rPr>
          <w:rFonts w:ascii="Cambria" w:hAnsi="Cambria"/>
          <w:noProof/>
          <w:sz w:val="22"/>
        </w:rPr>
        <w:t xml:space="preserve"> 392–9 (1992).</w:t>
      </w:r>
    </w:p>
    <w:p w14:paraId="4090CC4C"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68.</w:t>
      </w:r>
      <w:r w:rsidRPr="005676A9">
        <w:rPr>
          <w:rFonts w:ascii="Cambria" w:hAnsi="Cambria"/>
          <w:noProof/>
          <w:sz w:val="22"/>
        </w:rPr>
        <w:tab/>
        <w:t xml:space="preserve">Cancer Research UK. CancerStats: Cancer Statistics for the UK. </w:t>
      </w:r>
      <w:r w:rsidRPr="005676A9">
        <w:rPr>
          <w:rFonts w:ascii="Cambria" w:hAnsi="Cambria"/>
          <w:i/>
          <w:iCs/>
          <w:noProof/>
          <w:sz w:val="22"/>
        </w:rPr>
        <w:t>Online Source. www.cancerresearchuk.org/cancer-info/cancerstats/</w:t>
      </w:r>
      <w:r w:rsidRPr="005676A9">
        <w:rPr>
          <w:rFonts w:ascii="Cambria" w:hAnsi="Cambria"/>
          <w:noProof/>
          <w:sz w:val="22"/>
        </w:rPr>
        <w:t xml:space="preserve"> (2012). at &lt;http://www.cancerresearchuk.org/cancer-info/cancerstats/&gt;</w:t>
      </w:r>
    </w:p>
    <w:p w14:paraId="0DFA4DC3"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69.</w:t>
      </w:r>
      <w:r w:rsidRPr="005676A9">
        <w:rPr>
          <w:rFonts w:ascii="Cambria" w:hAnsi="Cambria"/>
          <w:noProof/>
          <w:sz w:val="22"/>
        </w:rPr>
        <w:tab/>
        <w:t xml:space="preserve">Stevens, G. &amp; McKay, M. J. Dispelling the myths surrounding radiotherapy for treatment of cutaneous melanoma. </w:t>
      </w:r>
      <w:r w:rsidRPr="005676A9">
        <w:rPr>
          <w:rFonts w:ascii="Cambria" w:hAnsi="Cambria"/>
          <w:i/>
          <w:iCs/>
          <w:noProof/>
          <w:sz w:val="22"/>
        </w:rPr>
        <w:t>Lancet. Oncol.</w:t>
      </w:r>
      <w:r w:rsidRPr="005676A9">
        <w:rPr>
          <w:rFonts w:ascii="Cambria" w:hAnsi="Cambria"/>
          <w:noProof/>
          <w:sz w:val="22"/>
        </w:rPr>
        <w:t xml:space="preserve"> </w:t>
      </w:r>
      <w:r w:rsidRPr="005676A9">
        <w:rPr>
          <w:rFonts w:ascii="Cambria" w:hAnsi="Cambria"/>
          <w:b/>
          <w:bCs/>
          <w:noProof/>
          <w:sz w:val="22"/>
        </w:rPr>
        <w:t>7,</w:t>
      </w:r>
      <w:r w:rsidRPr="005676A9">
        <w:rPr>
          <w:rFonts w:ascii="Cambria" w:hAnsi="Cambria"/>
          <w:noProof/>
          <w:sz w:val="22"/>
        </w:rPr>
        <w:t xml:space="preserve"> 575–83 (2006).</w:t>
      </w:r>
    </w:p>
    <w:p w14:paraId="5685F69F"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70.</w:t>
      </w:r>
      <w:r w:rsidRPr="005676A9">
        <w:rPr>
          <w:rFonts w:ascii="Cambria" w:hAnsi="Cambria"/>
          <w:noProof/>
          <w:sz w:val="22"/>
        </w:rPr>
        <w:tab/>
        <w:t xml:space="preserve">Barker, C. A. &amp; Lee, N. Y. Radiation therapy for cutaneous melanoma. </w:t>
      </w:r>
      <w:r w:rsidRPr="005676A9">
        <w:rPr>
          <w:rFonts w:ascii="Cambria" w:hAnsi="Cambria"/>
          <w:i/>
          <w:iCs/>
          <w:noProof/>
          <w:sz w:val="22"/>
        </w:rPr>
        <w:t>Dermatol. Clin.</w:t>
      </w:r>
      <w:r w:rsidRPr="005676A9">
        <w:rPr>
          <w:rFonts w:ascii="Cambria" w:hAnsi="Cambria"/>
          <w:noProof/>
          <w:sz w:val="22"/>
        </w:rPr>
        <w:t xml:space="preserve"> </w:t>
      </w:r>
      <w:r w:rsidRPr="005676A9">
        <w:rPr>
          <w:rFonts w:ascii="Cambria" w:hAnsi="Cambria"/>
          <w:b/>
          <w:bCs/>
          <w:noProof/>
          <w:sz w:val="22"/>
        </w:rPr>
        <w:t>30,</w:t>
      </w:r>
      <w:r w:rsidRPr="005676A9">
        <w:rPr>
          <w:rFonts w:ascii="Cambria" w:hAnsi="Cambria"/>
          <w:noProof/>
          <w:sz w:val="22"/>
        </w:rPr>
        <w:t xml:space="preserve"> 525–33 (2012).</w:t>
      </w:r>
    </w:p>
    <w:p w14:paraId="6C532839"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71.</w:t>
      </w:r>
      <w:r w:rsidRPr="005676A9">
        <w:rPr>
          <w:rFonts w:ascii="Cambria" w:hAnsi="Cambria"/>
          <w:noProof/>
          <w:sz w:val="22"/>
        </w:rPr>
        <w:tab/>
        <w:t xml:space="preserve">Robert, C. </w:t>
      </w:r>
      <w:r w:rsidRPr="005676A9">
        <w:rPr>
          <w:rFonts w:ascii="Cambria" w:hAnsi="Cambria"/>
          <w:i/>
          <w:iCs/>
          <w:noProof/>
          <w:sz w:val="22"/>
        </w:rPr>
        <w:t>et al.</w:t>
      </w:r>
      <w:r w:rsidRPr="005676A9">
        <w:rPr>
          <w:rFonts w:ascii="Cambria" w:hAnsi="Cambria"/>
          <w:noProof/>
          <w:sz w:val="22"/>
        </w:rPr>
        <w:t xml:space="preserve"> Ipilimumab plus dacarbazine for previously untreated metastatic melanoma. </w:t>
      </w:r>
      <w:r w:rsidRPr="005676A9">
        <w:rPr>
          <w:rFonts w:ascii="Cambria" w:hAnsi="Cambria"/>
          <w:i/>
          <w:iCs/>
          <w:noProof/>
          <w:sz w:val="22"/>
        </w:rPr>
        <w:t>N. Engl. J. Med.</w:t>
      </w:r>
      <w:r w:rsidRPr="005676A9">
        <w:rPr>
          <w:rFonts w:ascii="Cambria" w:hAnsi="Cambria"/>
          <w:noProof/>
          <w:sz w:val="22"/>
        </w:rPr>
        <w:t xml:space="preserve"> </w:t>
      </w:r>
      <w:r w:rsidRPr="005676A9">
        <w:rPr>
          <w:rFonts w:ascii="Cambria" w:hAnsi="Cambria"/>
          <w:b/>
          <w:bCs/>
          <w:noProof/>
          <w:sz w:val="22"/>
        </w:rPr>
        <w:t>364,</w:t>
      </w:r>
      <w:r w:rsidRPr="005676A9">
        <w:rPr>
          <w:rFonts w:ascii="Cambria" w:hAnsi="Cambria"/>
          <w:noProof/>
          <w:sz w:val="22"/>
        </w:rPr>
        <w:t xml:space="preserve"> 2517–2526 (2011).</w:t>
      </w:r>
    </w:p>
    <w:p w14:paraId="4D3AF337"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72.</w:t>
      </w:r>
      <w:r w:rsidRPr="005676A9">
        <w:rPr>
          <w:rFonts w:ascii="Cambria" w:hAnsi="Cambria"/>
          <w:noProof/>
          <w:sz w:val="22"/>
        </w:rPr>
        <w:tab/>
        <w:t xml:space="preserve">Davies, H. </w:t>
      </w:r>
      <w:r w:rsidRPr="005676A9">
        <w:rPr>
          <w:rFonts w:ascii="Cambria" w:hAnsi="Cambria"/>
          <w:i/>
          <w:iCs/>
          <w:noProof/>
          <w:sz w:val="22"/>
        </w:rPr>
        <w:t>et al.</w:t>
      </w:r>
      <w:r w:rsidRPr="005676A9">
        <w:rPr>
          <w:rFonts w:ascii="Cambria" w:hAnsi="Cambria"/>
          <w:noProof/>
          <w:sz w:val="22"/>
        </w:rPr>
        <w:t xml:space="preserve"> Mutations of the BRAF gene in human cancer. </w:t>
      </w:r>
      <w:r w:rsidRPr="005676A9">
        <w:rPr>
          <w:rFonts w:ascii="Cambria" w:hAnsi="Cambria"/>
          <w:i/>
          <w:iCs/>
          <w:noProof/>
          <w:sz w:val="22"/>
        </w:rPr>
        <w:t>Nature</w:t>
      </w:r>
      <w:r w:rsidRPr="005676A9">
        <w:rPr>
          <w:rFonts w:ascii="Cambria" w:hAnsi="Cambria"/>
          <w:noProof/>
          <w:sz w:val="22"/>
        </w:rPr>
        <w:t xml:space="preserve"> </w:t>
      </w:r>
      <w:r w:rsidRPr="005676A9">
        <w:rPr>
          <w:rFonts w:ascii="Cambria" w:hAnsi="Cambria"/>
          <w:b/>
          <w:bCs/>
          <w:noProof/>
          <w:sz w:val="22"/>
        </w:rPr>
        <w:t>417,</w:t>
      </w:r>
      <w:r w:rsidRPr="005676A9">
        <w:rPr>
          <w:rFonts w:ascii="Cambria" w:hAnsi="Cambria"/>
          <w:noProof/>
          <w:sz w:val="22"/>
        </w:rPr>
        <w:t xml:space="preserve"> 949–54 (2002).</w:t>
      </w:r>
    </w:p>
    <w:p w14:paraId="69915D05"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73.</w:t>
      </w:r>
      <w:r w:rsidRPr="005676A9">
        <w:rPr>
          <w:rFonts w:ascii="Cambria" w:hAnsi="Cambria"/>
          <w:noProof/>
          <w:sz w:val="22"/>
        </w:rPr>
        <w:tab/>
        <w:t xml:space="preserve">Gray-Schopfer, V., Wellbrock, C. &amp; Marais, R. Melanoma biology and new targeted therapy. </w:t>
      </w:r>
      <w:r w:rsidRPr="005676A9">
        <w:rPr>
          <w:rFonts w:ascii="Cambria" w:hAnsi="Cambria"/>
          <w:i/>
          <w:iCs/>
          <w:noProof/>
          <w:sz w:val="22"/>
        </w:rPr>
        <w:t>Nature</w:t>
      </w:r>
      <w:r w:rsidRPr="005676A9">
        <w:rPr>
          <w:rFonts w:ascii="Cambria" w:hAnsi="Cambria"/>
          <w:noProof/>
          <w:sz w:val="22"/>
        </w:rPr>
        <w:t xml:space="preserve"> </w:t>
      </w:r>
      <w:r w:rsidRPr="005676A9">
        <w:rPr>
          <w:rFonts w:ascii="Cambria" w:hAnsi="Cambria"/>
          <w:b/>
          <w:bCs/>
          <w:noProof/>
          <w:sz w:val="22"/>
        </w:rPr>
        <w:t>445,</w:t>
      </w:r>
      <w:r w:rsidRPr="005676A9">
        <w:rPr>
          <w:rFonts w:ascii="Cambria" w:hAnsi="Cambria"/>
          <w:noProof/>
          <w:sz w:val="22"/>
        </w:rPr>
        <w:t xml:space="preserve"> 851–857 (2007).</w:t>
      </w:r>
    </w:p>
    <w:p w14:paraId="08AA7312"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74.</w:t>
      </w:r>
      <w:r w:rsidRPr="005676A9">
        <w:rPr>
          <w:rFonts w:ascii="Cambria" w:hAnsi="Cambria"/>
          <w:noProof/>
          <w:sz w:val="22"/>
        </w:rPr>
        <w:tab/>
        <w:t xml:space="preserve">Rubinstein, J. C. </w:t>
      </w:r>
      <w:r w:rsidRPr="005676A9">
        <w:rPr>
          <w:rFonts w:ascii="Cambria" w:hAnsi="Cambria"/>
          <w:i/>
          <w:iCs/>
          <w:noProof/>
          <w:sz w:val="22"/>
        </w:rPr>
        <w:t>et al.</w:t>
      </w:r>
      <w:r w:rsidRPr="005676A9">
        <w:rPr>
          <w:rFonts w:ascii="Cambria" w:hAnsi="Cambria"/>
          <w:noProof/>
          <w:sz w:val="22"/>
        </w:rPr>
        <w:t xml:space="preserve"> Incidence of the V600K mutation among melanoma patients with BRAF mutations, and potential therapeutic response to the specific BRAF inhibitor PLX4032. </w:t>
      </w:r>
      <w:r w:rsidRPr="005676A9">
        <w:rPr>
          <w:rFonts w:ascii="Cambria" w:hAnsi="Cambria"/>
          <w:i/>
          <w:iCs/>
          <w:noProof/>
          <w:sz w:val="22"/>
        </w:rPr>
        <w:t>J. Transl. Med.</w:t>
      </w:r>
      <w:r w:rsidRPr="005676A9">
        <w:rPr>
          <w:rFonts w:ascii="Cambria" w:hAnsi="Cambria"/>
          <w:noProof/>
          <w:sz w:val="22"/>
        </w:rPr>
        <w:t xml:space="preserve"> </w:t>
      </w:r>
      <w:r w:rsidRPr="005676A9">
        <w:rPr>
          <w:rFonts w:ascii="Cambria" w:hAnsi="Cambria"/>
          <w:b/>
          <w:bCs/>
          <w:noProof/>
          <w:sz w:val="22"/>
        </w:rPr>
        <w:t>8,</w:t>
      </w:r>
      <w:r w:rsidRPr="005676A9">
        <w:rPr>
          <w:rFonts w:ascii="Cambria" w:hAnsi="Cambria"/>
          <w:noProof/>
          <w:sz w:val="22"/>
        </w:rPr>
        <w:t xml:space="preserve"> 67 (2010).</w:t>
      </w:r>
    </w:p>
    <w:p w14:paraId="0E0D1C62"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75.</w:t>
      </w:r>
      <w:r w:rsidRPr="005676A9">
        <w:rPr>
          <w:rFonts w:ascii="Cambria" w:hAnsi="Cambria"/>
          <w:noProof/>
          <w:sz w:val="22"/>
        </w:rPr>
        <w:tab/>
        <w:t xml:space="preserve">Flaherty, K. T. </w:t>
      </w:r>
      <w:r w:rsidRPr="005676A9">
        <w:rPr>
          <w:rFonts w:ascii="Cambria" w:hAnsi="Cambria"/>
          <w:i/>
          <w:iCs/>
          <w:noProof/>
          <w:sz w:val="22"/>
        </w:rPr>
        <w:t>et al.</w:t>
      </w:r>
      <w:r w:rsidRPr="005676A9">
        <w:rPr>
          <w:rFonts w:ascii="Cambria" w:hAnsi="Cambria"/>
          <w:noProof/>
          <w:sz w:val="22"/>
        </w:rPr>
        <w:t xml:space="preserve"> Inhibition of mutated, activated BRAF in metastatic melanoma. </w:t>
      </w:r>
      <w:r w:rsidRPr="005676A9">
        <w:rPr>
          <w:rFonts w:ascii="Cambria" w:hAnsi="Cambria"/>
          <w:i/>
          <w:iCs/>
          <w:noProof/>
          <w:sz w:val="22"/>
        </w:rPr>
        <w:t>N. Engl. J. Med.</w:t>
      </w:r>
      <w:r w:rsidRPr="005676A9">
        <w:rPr>
          <w:rFonts w:ascii="Cambria" w:hAnsi="Cambria"/>
          <w:noProof/>
          <w:sz w:val="22"/>
        </w:rPr>
        <w:t xml:space="preserve"> </w:t>
      </w:r>
      <w:r w:rsidRPr="005676A9">
        <w:rPr>
          <w:rFonts w:ascii="Cambria" w:hAnsi="Cambria"/>
          <w:b/>
          <w:bCs/>
          <w:noProof/>
          <w:sz w:val="22"/>
        </w:rPr>
        <w:t>363,</w:t>
      </w:r>
      <w:r w:rsidRPr="005676A9">
        <w:rPr>
          <w:rFonts w:ascii="Cambria" w:hAnsi="Cambria"/>
          <w:noProof/>
          <w:sz w:val="22"/>
        </w:rPr>
        <w:t xml:space="preserve"> 809–19 (2010).</w:t>
      </w:r>
    </w:p>
    <w:p w14:paraId="2806A0D6"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76.</w:t>
      </w:r>
      <w:r w:rsidRPr="005676A9">
        <w:rPr>
          <w:rFonts w:ascii="Cambria" w:hAnsi="Cambria"/>
          <w:noProof/>
          <w:sz w:val="22"/>
        </w:rPr>
        <w:tab/>
        <w:t xml:space="preserve">Chapman, P. B. </w:t>
      </w:r>
      <w:r w:rsidRPr="005676A9">
        <w:rPr>
          <w:rFonts w:ascii="Cambria" w:hAnsi="Cambria"/>
          <w:i/>
          <w:iCs/>
          <w:noProof/>
          <w:sz w:val="22"/>
        </w:rPr>
        <w:t>et al.</w:t>
      </w:r>
      <w:r w:rsidRPr="005676A9">
        <w:rPr>
          <w:rFonts w:ascii="Cambria" w:hAnsi="Cambria"/>
          <w:noProof/>
          <w:sz w:val="22"/>
        </w:rPr>
        <w:t xml:space="preserve"> Improved survival with vemurafenib in melanoma with BRAF V600E mutation. </w:t>
      </w:r>
      <w:r w:rsidRPr="005676A9">
        <w:rPr>
          <w:rFonts w:ascii="Cambria" w:hAnsi="Cambria"/>
          <w:i/>
          <w:iCs/>
          <w:noProof/>
          <w:sz w:val="22"/>
        </w:rPr>
        <w:t>N. Engl. J. Med.</w:t>
      </w:r>
      <w:r w:rsidRPr="005676A9">
        <w:rPr>
          <w:rFonts w:ascii="Cambria" w:hAnsi="Cambria"/>
          <w:noProof/>
          <w:sz w:val="22"/>
        </w:rPr>
        <w:t xml:space="preserve"> </w:t>
      </w:r>
      <w:r w:rsidRPr="005676A9">
        <w:rPr>
          <w:rFonts w:ascii="Cambria" w:hAnsi="Cambria"/>
          <w:b/>
          <w:bCs/>
          <w:noProof/>
          <w:sz w:val="22"/>
        </w:rPr>
        <w:t>364,</w:t>
      </w:r>
      <w:r w:rsidRPr="005676A9">
        <w:rPr>
          <w:rFonts w:ascii="Cambria" w:hAnsi="Cambria"/>
          <w:noProof/>
          <w:sz w:val="22"/>
        </w:rPr>
        <w:t xml:space="preserve"> 2507–16 (2011).</w:t>
      </w:r>
    </w:p>
    <w:p w14:paraId="2155054A"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77.</w:t>
      </w:r>
      <w:r w:rsidRPr="005676A9">
        <w:rPr>
          <w:rFonts w:ascii="Cambria" w:hAnsi="Cambria"/>
          <w:noProof/>
          <w:sz w:val="22"/>
        </w:rPr>
        <w:tab/>
        <w:t xml:space="preserve">Hauschild, A. </w:t>
      </w:r>
      <w:r w:rsidRPr="005676A9">
        <w:rPr>
          <w:rFonts w:ascii="Cambria" w:hAnsi="Cambria"/>
          <w:i/>
          <w:iCs/>
          <w:noProof/>
          <w:sz w:val="22"/>
        </w:rPr>
        <w:t>et al.</w:t>
      </w:r>
      <w:r w:rsidRPr="005676A9">
        <w:rPr>
          <w:rFonts w:ascii="Cambria" w:hAnsi="Cambria"/>
          <w:noProof/>
          <w:sz w:val="22"/>
        </w:rPr>
        <w:t xml:space="preserve"> Dabrafenib in BRAF-mutated metastatic melanoma: A multicentre, open-label, phase 3 randomised controlled trial. </w:t>
      </w:r>
      <w:r w:rsidRPr="005676A9">
        <w:rPr>
          <w:rFonts w:ascii="Cambria" w:hAnsi="Cambria"/>
          <w:i/>
          <w:iCs/>
          <w:noProof/>
          <w:sz w:val="22"/>
        </w:rPr>
        <w:t>Lancet</w:t>
      </w:r>
      <w:r w:rsidRPr="005676A9">
        <w:rPr>
          <w:rFonts w:ascii="Cambria" w:hAnsi="Cambria"/>
          <w:noProof/>
          <w:sz w:val="22"/>
        </w:rPr>
        <w:t xml:space="preserve"> </w:t>
      </w:r>
      <w:r w:rsidRPr="005676A9">
        <w:rPr>
          <w:rFonts w:ascii="Cambria" w:hAnsi="Cambria"/>
          <w:b/>
          <w:bCs/>
          <w:noProof/>
          <w:sz w:val="22"/>
        </w:rPr>
        <w:t>380,</w:t>
      </w:r>
      <w:r w:rsidRPr="005676A9">
        <w:rPr>
          <w:rFonts w:ascii="Cambria" w:hAnsi="Cambria"/>
          <w:noProof/>
          <w:sz w:val="22"/>
        </w:rPr>
        <w:t xml:space="preserve"> 358–365 (2012).</w:t>
      </w:r>
    </w:p>
    <w:p w14:paraId="55B8AFAA"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78.</w:t>
      </w:r>
      <w:r w:rsidRPr="005676A9">
        <w:rPr>
          <w:rFonts w:ascii="Cambria" w:hAnsi="Cambria"/>
          <w:noProof/>
          <w:sz w:val="22"/>
        </w:rPr>
        <w:tab/>
        <w:t xml:space="preserve">Nazarian, R. </w:t>
      </w:r>
      <w:r w:rsidRPr="005676A9">
        <w:rPr>
          <w:rFonts w:ascii="Cambria" w:hAnsi="Cambria"/>
          <w:i/>
          <w:iCs/>
          <w:noProof/>
          <w:sz w:val="22"/>
        </w:rPr>
        <w:t>et al.</w:t>
      </w:r>
      <w:r w:rsidRPr="005676A9">
        <w:rPr>
          <w:rFonts w:ascii="Cambria" w:hAnsi="Cambria"/>
          <w:noProof/>
          <w:sz w:val="22"/>
        </w:rPr>
        <w:t xml:space="preserve"> Melanomas acquire resistance to B-RAF(V600E) inhibition by RTK or N-RAS upregulation. </w:t>
      </w:r>
      <w:r w:rsidRPr="005676A9">
        <w:rPr>
          <w:rFonts w:ascii="Cambria" w:hAnsi="Cambria"/>
          <w:i/>
          <w:iCs/>
          <w:noProof/>
          <w:sz w:val="22"/>
        </w:rPr>
        <w:t>Nature</w:t>
      </w:r>
      <w:r w:rsidRPr="005676A9">
        <w:rPr>
          <w:rFonts w:ascii="Cambria" w:hAnsi="Cambria"/>
          <w:noProof/>
          <w:sz w:val="22"/>
        </w:rPr>
        <w:t xml:space="preserve"> </w:t>
      </w:r>
      <w:r w:rsidRPr="005676A9">
        <w:rPr>
          <w:rFonts w:ascii="Cambria" w:hAnsi="Cambria"/>
          <w:b/>
          <w:bCs/>
          <w:noProof/>
          <w:sz w:val="22"/>
        </w:rPr>
        <w:t>468,</w:t>
      </w:r>
      <w:r w:rsidRPr="005676A9">
        <w:rPr>
          <w:rFonts w:ascii="Cambria" w:hAnsi="Cambria"/>
          <w:noProof/>
          <w:sz w:val="22"/>
        </w:rPr>
        <w:t xml:space="preserve"> 973–977 (2010).</w:t>
      </w:r>
    </w:p>
    <w:p w14:paraId="2937E70C"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79.</w:t>
      </w:r>
      <w:r w:rsidRPr="005676A9">
        <w:rPr>
          <w:rFonts w:ascii="Cambria" w:hAnsi="Cambria"/>
          <w:noProof/>
          <w:sz w:val="22"/>
        </w:rPr>
        <w:tab/>
        <w:t xml:space="preserve">Bastian, B. C. The molecular pathology of melanoma: an integrated taxonomy of melanocytic neoplasia. </w:t>
      </w:r>
      <w:r w:rsidRPr="005676A9">
        <w:rPr>
          <w:rFonts w:ascii="Cambria" w:hAnsi="Cambria"/>
          <w:i/>
          <w:iCs/>
          <w:noProof/>
          <w:sz w:val="22"/>
        </w:rPr>
        <w:t>Annu Rev Pathol</w:t>
      </w:r>
      <w:r w:rsidRPr="005676A9">
        <w:rPr>
          <w:rFonts w:ascii="Cambria" w:hAnsi="Cambria"/>
          <w:noProof/>
          <w:sz w:val="22"/>
        </w:rPr>
        <w:t xml:space="preserve"> </w:t>
      </w:r>
      <w:r w:rsidRPr="005676A9">
        <w:rPr>
          <w:rFonts w:ascii="Cambria" w:hAnsi="Cambria"/>
          <w:b/>
          <w:bCs/>
          <w:noProof/>
          <w:sz w:val="22"/>
        </w:rPr>
        <w:t>9,</w:t>
      </w:r>
      <w:r w:rsidRPr="005676A9">
        <w:rPr>
          <w:rFonts w:ascii="Cambria" w:hAnsi="Cambria"/>
          <w:noProof/>
          <w:sz w:val="22"/>
        </w:rPr>
        <w:t xml:space="preserve"> 239–271 (2014).</w:t>
      </w:r>
    </w:p>
    <w:p w14:paraId="60A78C7A"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80.</w:t>
      </w:r>
      <w:r w:rsidRPr="005676A9">
        <w:rPr>
          <w:rFonts w:ascii="Cambria" w:hAnsi="Cambria"/>
          <w:noProof/>
          <w:sz w:val="22"/>
        </w:rPr>
        <w:tab/>
        <w:t xml:space="preserve">Morton, D. L. </w:t>
      </w:r>
      <w:r w:rsidRPr="005676A9">
        <w:rPr>
          <w:rFonts w:ascii="Cambria" w:hAnsi="Cambria"/>
          <w:i/>
          <w:iCs/>
          <w:noProof/>
          <w:sz w:val="22"/>
        </w:rPr>
        <w:t>et al.</w:t>
      </w:r>
      <w:r w:rsidRPr="005676A9">
        <w:rPr>
          <w:rFonts w:ascii="Cambria" w:hAnsi="Cambria"/>
          <w:noProof/>
          <w:sz w:val="22"/>
        </w:rPr>
        <w:t xml:space="preserve"> BCG immunotherapy of malignant melanoma: summary of a seven-year experience. </w:t>
      </w:r>
      <w:r w:rsidRPr="005676A9">
        <w:rPr>
          <w:rFonts w:ascii="Cambria" w:hAnsi="Cambria"/>
          <w:i/>
          <w:iCs/>
          <w:noProof/>
          <w:sz w:val="22"/>
        </w:rPr>
        <w:t>Ann. Surg.</w:t>
      </w:r>
      <w:r w:rsidRPr="005676A9">
        <w:rPr>
          <w:rFonts w:ascii="Cambria" w:hAnsi="Cambria"/>
          <w:noProof/>
          <w:sz w:val="22"/>
        </w:rPr>
        <w:t xml:space="preserve"> </w:t>
      </w:r>
      <w:r w:rsidRPr="005676A9">
        <w:rPr>
          <w:rFonts w:ascii="Cambria" w:hAnsi="Cambria"/>
          <w:b/>
          <w:bCs/>
          <w:noProof/>
          <w:sz w:val="22"/>
        </w:rPr>
        <w:t>180,</w:t>
      </w:r>
      <w:r w:rsidRPr="005676A9">
        <w:rPr>
          <w:rFonts w:ascii="Cambria" w:hAnsi="Cambria"/>
          <w:noProof/>
          <w:sz w:val="22"/>
        </w:rPr>
        <w:t xml:space="preserve"> 635–43 (1974).</w:t>
      </w:r>
    </w:p>
    <w:p w14:paraId="16C50B59"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81.</w:t>
      </w:r>
      <w:r w:rsidRPr="005676A9">
        <w:rPr>
          <w:rFonts w:ascii="Cambria" w:hAnsi="Cambria"/>
          <w:noProof/>
          <w:sz w:val="22"/>
        </w:rPr>
        <w:tab/>
        <w:t xml:space="preserve">Veronesi, U. </w:t>
      </w:r>
      <w:r w:rsidRPr="005676A9">
        <w:rPr>
          <w:rFonts w:ascii="Cambria" w:hAnsi="Cambria"/>
          <w:i/>
          <w:iCs/>
          <w:noProof/>
          <w:sz w:val="22"/>
        </w:rPr>
        <w:t>et al.</w:t>
      </w:r>
      <w:r w:rsidRPr="005676A9">
        <w:rPr>
          <w:rFonts w:ascii="Cambria" w:hAnsi="Cambria"/>
          <w:noProof/>
          <w:sz w:val="22"/>
        </w:rPr>
        <w:t xml:space="preserve"> A randomized trial of adjuvant chemotherapy and immunotherapy in cutaneous melanoma. </w:t>
      </w:r>
      <w:r w:rsidRPr="005676A9">
        <w:rPr>
          <w:rFonts w:ascii="Cambria" w:hAnsi="Cambria"/>
          <w:i/>
          <w:iCs/>
          <w:noProof/>
          <w:sz w:val="22"/>
        </w:rPr>
        <w:t>N.Engl.J Med.</w:t>
      </w:r>
      <w:r w:rsidRPr="005676A9">
        <w:rPr>
          <w:rFonts w:ascii="Cambria" w:hAnsi="Cambria"/>
          <w:noProof/>
          <w:sz w:val="22"/>
        </w:rPr>
        <w:t xml:space="preserve"> </w:t>
      </w:r>
      <w:r w:rsidRPr="005676A9">
        <w:rPr>
          <w:rFonts w:ascii="Cambria" w:hAnsi="Cambria"/>
          <w:b/>
          <w:bCs/>
          <w:noProof/>
          <w:sz w:val="22"/>
        </w:rPr>
        <w:t>307,</w:t>
      </w:r>
      <w:r w:rsidRPr="005676A9">
        <w:rPr>
          <w:rFonts w:ascii="Cambria" w:hAnsi="Cambria"/>
          <w:noProof/>
          <w:sz w:val="22"/>
        </w:rPr>
        <w:t xml:space="preserve"> 913–916 (1982).</w:t>
      </w:r>
    </w:p>
    <w:p w14:paraId="205125CF"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82.</w:t>
      </w:r>
      <w:r w:rsidRPr="005676A9">
        <w:rPr>
          <w:rFonts w:ascii="Cambria" w:hAnsi="Cambria"/>
          <w:noProof/>
          <w:sz w:val="22"/>
        </w:rPr>
        <w:tab/>
        <w:t xml:space="preserve">Kirkwood, J. </w:t>
      </w:r>
      <w:r w:rsidRPr="005676A9">
        <w:rPr>
          <w:rFonts w:ascii="Cambria" w:hAnsi="Cambria"/>
          <w:i/>
          <w:iCs/>
          <w:noProof/>
          <w:sz w:val="22"/>
        </w:rPr>
        <w:t>et al.</w:t>
      </w:r>
      <w:r w:rsidRPr="005676A9">
        <w:rPr>
          <w:rFonts w:ascii="Cambria" w:hAnsi="Cambria"/>
          <w:noProof/>
          <w:sz w:val="22"/>
        </w:rPr>
        <w:t xml:space="preserve"> Interferon alfa-2b adjuvant therapy of high-risk resected cutaneous melanoma: the Eastern Cooperative Oncology Group Trial EST 1684. </w:t>
      </w:r>
      <w:r w:rsidRPr="005676A9">
        <w:rPr>
          <w:rFonts w:ascii="Cambria" w:hAnsi="Cambria"/>
          <w:i/>
          <w:iCs/>
          <w:noProof/>
          <w:sz w:val="22"/>
        </w:rPr>
        <w:t>J. Clin. Oncol.</w:t>
      </w:r>
      <w:r w:rsidRPr="005676A9">
        <w:rPr>
          <w:rFonts w:ascii="Cambria" w:hAnsi="Cambria"/>
          <w:noProof/>
          <w:sz w:val="22"/>
        </w:rPr>
        <w:t xml:space="preserve"> </w:t>
      </w:r>
      <w:r w:rsidRPr="005676A9">
        <w:rPr>
          <w:rFonts w:ascii="Cambria" w:hAnsi="Cambria"/>
          <w:b/>
          <w:bCs/>
          <w:noProof/>
          <w:sz w:val="22"/>
        </w:rPr>
        <w:t>14,</w:t>
      </w:r>
      <w:r w:rsidRPr="005676A9">
        <w:rPr>
          <w:rFonts w:ascii="Cambria" w:hAnsi="Cambria"/>
          <w:noProof/>
          <w:sz w:val="22"/>
        </w:rPr>
        <w:t xml:space="preserve"> 7–17 (1996).</w:t>
      </w:r>
    </w:p>
    <w:p w14:paraId="64242CD2"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83.</w:t>
      </w:r>
      <w:r w:rsidRPr="005676A9">
        <w:rPr>
          <w:rFonts w:ascii="Cambria" w:hAnsi="Cambria"/>
          <w:noProof/>
          <w:sz w:val="22"/>
        </w:rPr>
        <w:tab/>
        <w:t xml:space="preserve">Hauschild, A. </w:t>
      </w:r>
      <w:r w:rsidRPr="005676A9">
        <w:rPr>
          <w:rFonts w:ascii="Cambria" w:hAnsi="Cambria"/>
          <w:i/>
          <w:iCs/>
          <w:noProof/>
          <w:sz w:val="22"/>
        </w:rPr>
        <w:t>et al.</w:t>
      </w:r>
      <w:r w:rsidRPr="005676A9">
        <w:rPr>
          <w:rFonts w:ascii="Cambria" w:hAnsi="Cambria"/>
          <w:noProof/>
          <w:sz w:val="22"/>
        </w:rPr>
        <w:t xml:space="preserve"> Practical guidelines for the management of interferon-alpha-2b side effects in patients receiving adjuvant treatment for melanoma: expert opinion. </w:t>
      </w:r>
      <w:r w:rsidRPr="005676A9">
        <w:rPr>
          <w:rFonts w:ascii="Cambria" w:hAnsi="Cambria"/>
          <w:i/>
          <w:iCs/>
          <w:noProof/>
          <w:sz w:val="22"/>
        </w:rPr>
        <w:t>Cancer</w:t>
      </w:r>
      <w:r w:rsidRPr="005676A9">
        <w:rPr>
          <w:rFonts w:ascii="Cambria" w:hAnsi="Cambria"/>
          <w:noProof/>
          <w:sz w:val="22"/>
        </w:rPr>
        <w:t xml:space="preserve"> </w:t>
      </w:r>
      <w:r w:rsidRPr="005676A9">
        <w:rPr>
          <w:rFonts w:ascii="Cambria" w:hAnsi="Cambria"/>
          <w:b/>
          <w:bCs/>
          <w:noProof/>
          <w:sz w:val="22"/>
        </w:rPr>
        <w:t>112,</w:t>
      </w:r>
      <w:r w:rsidRPr="005676A9">
        <w:rPr>
          <w:rFonts w:ascii="Cambria" w:hAnsi="Cambria"/>
          <w:noProof/>
          <w:sz w:val="22"/>
        </w:rPr>
        <w:t xml:space="preserve"> 982–94 (2008).</w:t>
      </w:r>
    </w:p>
    <w:p w14:paraId="5AD85E16"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84.</w:t>
      </w:r>
      <w:r w:rsidRPr="005676A9">
        <w:rPr>
          <w:rFonts w:ascii="Cambria" w:hAnsi="Cambria"/>
          <w:noProof/>
          <w:sz w:val="22"/>
        </w:rPr>
        <w:tab/>
        <w:t xml:space="preserve">Kirkwood, J. M. A Pooled Analysis of Eastern Cooperative Oncology Group and Intergroup Trials of Adjuvant High-Dose Interferon for Melanoma. </w:t>
      </w:r>
      <w:r w:rsidRPr="005676A9">
        <w:rPr>
          <w:rFonts w:ascii="Cambria" w:hAnsi="Cambria"/>
          <w:i/>
          <w:iCs/>
          <w:noProof/>
          <w:sz w:val="22"/>
        </w:rPr>
        <w:t>Clin. Cancer Res.</w:t>
      </w:r>
      <w:r w:rsidRPr="005676A9">
        <w:rPr>
          <w:rFonts w:ascii="Cambria" w:hAnsi="Cambria"/>
          <w:noProof/>
          <w:sz w:val="22"/>
        </w:rPr>
        <w:t xml:space="preserve"> </w:t>
      </w:r>
      <w:r w:rsidRPr="005676A9">
        <w:rPr>
          <w:rFonts w:ascii="Cambria" w:hAnsi="Cambria"/>
          <w:b/>
          <w:bCs/>
          <w:noProof/>
          <w:sz w:val="22"/>
        </w:rPr>
        <w:t>10,</w:t>
      </w:r>
      <w:r w:rsidRPr="005676A9">
        <w:rPr>
          <w:rFonts w:ascii="Cambria" w:hAnsi="Cambria"/>
          <w:noProof/>
          <w:sz w:val="22"/>
        </w:rPr>
        <w:t xml:space="preserve"> 1670–1677 (2004).</w:t>
      </w:r>
    </w:p>
    <w:p w14:paraId="399E5E1D"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85.</w:t>
      </w:r>
      <w:r w:rsidRPr="005676A9">
        <w:rPr>
          <w:rFonts w:ascii="Cambria" w:hAnsi="Cambria"/>
          <w:noProof/>
          <w:sz w:val="22"/>
        </w:rPr>
        <w:tab/>
        <w:t xml:space="preserve">Atkins, M. B. </w:t>
      </w:r>
      <w:r w:rsidRPr="005676A9">
        <w:rPr>
          <w:rFonts w:ascii="Cambria" w:hAnsi="Cambria"/>
          <w:i/>
          <w:iCs/>
          <w:noProof/>
          <w:sz w:val="22"/>
        </w:rPr>
        <w:t>et al.</w:t>
      </w:r>
      <w:r w:rsidRPr="005676A9">
        <w:rPr>
          <w:rFonts w:ascii="Cambria" w:hAnsi="Cambria"/>
          <w:noProof/>
          <w:sz w:val="22"/>
        </w:rPr>
        <w:t xml:space="preserve"> High-dose recombinant interleukin 2 therapy for patients with metastatic melanoma: Analysis of 270 patients treated between 1985 and 1993. </w:t>
      </w:r>
      <w:r w:rsidRPr="005676A9">
        <w:rPr>
          <w:rFonts w:ascii="Cambria" w:hAnsi="Cambria"/>
          <w:i/>
          <w:iCs/>
          <w:noProof/>
          <w:sz w:val="22"/>
        </w:rPr>
        <w:t>J. Clin. Oncol.</w:t>
      </w:r>
      <w:r w:rsidRPr="005676A9">
        <w:rPr>
          <w:rFonts w:ascii="Cambria" w:hAnsi="Cambria"/>
          <w:noProof/>
          <w:sz w:val="22"/>
        </w:rPr>
        <w:t xml:space="preserve"> </w:t>
      </w:r>
      <w:r w:rsidRPr="005676A9">
        <w:rPr>
          <w:rFonts w:ascii="Cambria" w:hAnsi="Cambria"/>
          <w:b/>
          <w:bCs/>
          <w:noProof/>
          <w:sz w:val="22"/>
        </w:rPr>
        <w:t>17,</w:t>
      </w:r>
      <w:r w:rsidRPr="005676A9">
        <w:rPr>
          <w:rFonts w:ascii="Cambria" w:hAnsi="Cambria"/>
          <w:noProof/>
          <w:sz w:val="22"/>
        </w:rPr>
        <w:t xml:space="preserve"> 2105–2116 (1999).</w:t>
      </w:r>
    </w:p>
    <w:p w14:paraId="0B8D5C80"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86.</w:t>
      </w:r>
      <w:r w:rsidRPr="005676A9">
        <w:rPr>
          <w:rFonts w:ascii="Cambria" w:hAnsi="Cambria"/>
          <w:noProof/>
          <w:sz w:val="22"/>
        </w:rPr>
        <w:tab/>
        <w:t xml:space="preserve">Atkins, M. B., Kunkel, L., Sznol, M. &amp; Rosenberg, S. A. High-dose recombinant interleukin-2 therapy in patients with metastatic melanoma: long-term survival update. </w:t>
      </w:r>
      <w:r w:rsidRPr="005676A9">
        <w:rPr>
          <w:rFonts w:ascii="Cambria" w:hAnsi="Cambria"/>
          <w:i/>
          <w:iCs/>
          <w:noProof/>
          <w:sz w:val="22"/>
        </w:rPr>
        <w:t>Cancer J. Sci. Am.</w:t>
      </w:r>
      <w:r w:rsidRPr="005676A9">
        <w:rPr>
          <w:rFonts w:ascii="Cambria" w:hAnsi="Cambria"/>
          <w:noProof/>
          <w:sz w:val="22"/>
        </w:rPr>
        <w:t xml:space="preserve"> </w:t>
      </w:r>
      <w:r w:rsidRPr="005676A9">
        <w:rPr>
          <w:rFonts w:ascii="Cambria" w:hAnsi="Cambria"/>
          <w:b/>
          <w:bCs/>
          <w:noProof/>
          <w:sz w:val="22"/>
        </w:rPr>
        <w:t>6 Suppl 1,</w:t>
      </w:r>
      <w:r w:rsidRPr="005676A9">
        <w:rPr>
          <w:rFonts w:ascii="Cambria" w:hAnsi="Cambria"/>
          <w:noProof/>
          <w:sz w:val="22"/>
        </w:rPr>
        <w:t xml:space="preserve"> S11–S14 (2000).</w:t>
      </w:r>
    </w:p>
    <w:p w14:paraId="4922456F"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87.</w:t>
      </w:r>
      <w:r w:rsidRPr="005676A9">
        <w:rPr>
          <w:rFonts w:ascii="Cambria" w:hAnsi="Cambria"/>
          <w:noProof/>
          <w:sz w:val="22"/>
        </w:rPr>
        <w:tab/>
        <w:t xml:space="preserve">Hodi, F. S. </w:t>
      </w:r>
      <w:r w:rsidRPr="005676A9">
        <w:rPr>
          <w:rFonts w:ascii="Cambria" w:hAnsi="Cambria"/>
          <w:i/>
          <w:iCs/>
          <w:noProof/>
          <w:sz w:val="22"/>
        </w:rPr>
        <w:t>et al.</w:t>
      </w:r>
      <w:r w:rsidRPr="005676A9">
        <w:rPr>
          <w:rFonts w:ascii="Cambria" w:hAnsi="Cambria"/>
          <w:noProof/>
          <w:sz w:val="22"/>
        </w:rPr>
        <w:t xml:space="preserve"> Improved survival with ipilimumab in patients with metastatic melanoma. </w:t>
      </w:r>
      <w:r w:rsidRPr="005676A9">
        <w:rPr>
          <w:rFonts w:ascii="Cambria" w:hAnsi="Cambria"/>
          <w:i/>
          <w:iCs/>
          <w:noProof/>
          <w:sz w:val="22"/>
        </w:rPr>
        <w:t>N. Engl. J. Med.</w:t>
      </w:r>
      <w:r w:rsidRPr="005676A9">
        <w:rPr>
          <w:rFonts w:ascii="Cambria" w:hAnsi="Cambria"/>
          <w:noProof/>
          <w:sz w:val="22"/>
        </w:rPr>
        <w:t xml:space="preserve"> </w:t>
      </w:r>
      <w:r w:rsidRPr="005676A9">
        <w:rPr>
          <w:rFonts w:ascii="Cambria" w:hAnsi="Cambria"/>
          <w:b/>
          <w:bCs/>
          <w:noProof/>
          <w:sz w:val="22"/>
        </w:rPr>
        <w:t>363,</w:t>
      </w:r>
      <w:r w:rsidRPr="005676A9">
        <w:rPr>
          <w:rFonts w:ascii="Cambria" w:hAnsi="Cambria"/>
          <w:noProof/>
          <w:sz w:val="22"/>
        </w:rPr>
        <w:t xml:space="preserve"> 711–723 (2010).</w:t>
      </w:r>
    </w:p>
    <w:p w14:paraId="42CE903C"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88.</w:t>
      </w:r>
      <w:r w:rsidRPr="005676A9">
        <w:rPr>
          <w:rFonts w:ascii="Cambria" w:hAnsi="Cambria"/>
          <w:noProof/>
          <w:sz w:val="22"/>
        </w:rPr>
        <w:tab/>
        <w:t xml:space="preserve">Thompson, J. F., Morton, D. L. &amp; Kroon, B. B. R. </w:t>
      </w:r>
      <w:r w:rsidRPr="005676A9">
        <w:rPr>
          <w:rFonts w:ascii="Cambria" w:hAnsi="Cambria"/>
          <w:i/>
          <w:iCs/>
          <w:noProof/>
          <w:sz w:val="22"/>
        </w:rPr>
        <w:t>Textbook of Melanoma</w:t>
      </w:r>
      <w:r w:rsidRPr="005676A9">
        <w:rPr>
          <w:rFonts w:ascii="Cambria" w:hAnsi="Cambria"/>
          <w:noProof/>
          <w:sz w:val="22"/>
        </w:rPr>
        <w:t>. (Martin-Dunitz, 2004).</w:t>
      </w:r>
    </w:p>
    <w:p w14:paraId="098030A2"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89.</w:t>
      </w:r>
      <w:r w:rsidRPr="005676A9">
        <w:rPr>
          <w:rFonts w:ascii="Cambria" w:hAnsi="Cambria"/>
          <w:noProof/>
          <w:sz w:val="22"/>
        </w:rPr>
        <w:tab/>
        <w:t>Cruikshank, W. The anatomy of the absorbing vessels of the human body. (1786).</w:t>
      </w:r>
    </w:p>
    <w:p w14:paraId="15D65A5F"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90.</w:t>
      </w:r>
      <w:r w:rsidRPr="005676A9">
        <w:rPr>
          <w:rFonts w:ascii="Cambria" w:hAnsi="Cambria"/>
          <w:noProof/>
          <w:sz w:val="22"/>
        </w:rPr>
        <w:tab/>
        <w:t xml:space="preserve">Mascagni, P. </w:t>
      </w:r>
      <w:r w:rsidRPr="005676A9">
        <w:rPr>
          <w:rFonts w:ascii="Cambria" w:hAnsi="Cambria"/>
          <w:i/>
          <w:iCs/>
          <w:noProof/>
          <w:sz w:val="22"/>
        </w:rPr>
        <w:t>Vasorum lymphaticum corporis humani historia et ichnographia</w:t>
      </w:r>
      <w:r w:rsidRPr="005676A9">
        <w:rPr>
          <w:rFonts w:ascii="Cambria" w:hAnsi="Cambria"/>
          <w:noProof/>
          <w:sz w:val="22"/>
        </w:rPr>
        <w:t>. (1787).</w:t>
      </w:r>
    </w:p>
    <w:p w14:paraId="5B55A5BC"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91.</w:t>
      </w:r>
      <w:r w:rsidRPr="005676A9">
        <w:rPr>
          <w:rFonts w:ascii="Cambria" w:hAnsi="Cambria"/>
          <w:noProof/>
          <w:sz w:val="22"/>
        </w:rPr>
        <w:tab/>
        <w:t xml:space="preserve">Sappey, P. C. </w:t>
      </w:r>
      <w:r w:rsidRPr="005676A9">
        <w:rPr>
          <w:rFonts w:ascii="Cambria" w:hAnsi="Cambria"/>
          <w:i/>
          <w:iCs/>
          <w:noProof/>
          <w:sz w:val="22"/>
        </w:rPr>
        <w:t>Anatomie, physiologie, pathologie des vaisseaux lymphatiques considâerâes chez l’homme et les vertâebrâes</w:t>
      </w:r>
      <w:r w:rsidRPr="005676A9">
        <w:rPr>
          <w:rFonts w:ascii="Cambria" w:hAnsi="Cambria"/>
          <w:noProof/>
          <w:sz w:val="22"/>
        </w:rPr>
        <w:t>. (Delahaye, 1874).</w:t>
      </w:r>
    </w:p>
    <w:p w14:paraId="7FC3F21D"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92.</w:t>
      </w:r>
      <w:r w:rsidRPr="005676A9">
        <w:rPr>
          <w:rFonts w:ascii="Cambria" w:hAnsi="Cambria"/>
          <w:noProof/>
          <w:sz w:val="22"/>
        </w:rPr>
        <w:tab/>
        <w:t xml:space="preserve">Gerota. Zur Technik der Lymphgefassinjection. Eine neue Injections-masse fur Lymphgefasse. </w:t>
      </w:r>
      <w:r w:rsidRPr="005676A9">
        <w:rPr>
          <w:rFonts w:ascii="Cambria" w:hAnsi="Cambria"/>
          <w:i/>
          <w:iCs/>
          <w:noProof/>
          <w:sz w:val="22"/>
        </w:rPr>
        <w:t>Polychrom Inject. Anat Anzeiger</w:t>
      </w:r>
      <w:r w:rsidRPr="005676A9">
        <w:rPr>
          <w:rFonts w:ascii="Cambria" w:hAnsi="Cambria"/>
          <w:noProof/>
          <w:sz w:val="22"/>
        </w:rPr>
        <w:t xml:space="preserve"> </w:t>
      </w:r>
      <w:r w:rsidRPr="005676A9">
        <w:rPr>
          <w:rFonts w:ascii="Cambria" w:hAnsi="Cambria"/>
          <w:b/>
          <w:bCs/>
          <w:noProof/>
          <w:sz w:val="22"/>
        </w:rPr>
        <w:t>12,</w:t>
      </w:r>
      <w:r w:rsidRPr="005676A9">
        <w:rPr>
          <w:rFonts w:ascii="Cambria" w:hAnsi="Cambria"/>
          <w:noProof/>
          <w:sz w:val="22"/>
        </w:rPr>
        <w:t xml:space="preserve"> 216 (1896).</w:t>
      </w:r>
    </w:p>
    <w:p w14:paraId="1B2C340E"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93.</w:t>
      </w:r>
      <w:r w:rsidRPr="005676A9">
        <w:rPr>
          <w:rFonts w:ascii="Cambria" w:hAnsi="Cambria"/>
          <w:noProof/>
          <w:sz w:val="22"/>
        </w:rPr>
        <w:tab/>
        <w:t xml:space="preserve">Gray, J. H. The relation of lymphatic vessels to the spread of cancer. </w:t>
      </w:r>
      <w:r w:rsidRPr="005676A9">
        <w:rPr>
          <w:rFonts w:ascii="Cambria" w:hAnsi="Cambria"/>
          <w:i/>
          <w:iCs/>
          <w:noProof/>
          <w:sz w:val="22"/>
        </w:rPr>
        <w:t>Br. J. Surg.</w:t>
      </w:r>
      <w:r w:rsidRPr="005676A9">
        <w:rPr>
          <w:rFonts w:ascii="Cambria" w:hAnsi="Cambria"/>
          <w:noProof/>
          <w:sz w:val="22"/>
        </w:rPr>
        <w:t xml:space="preserve"> </w:t>
      </w:r>
      <w:r w:rsidRPr="005676A9">
        <w:rPr>
          <w:rFonts w:ascii="Cambria" w:hAnsi="Cambria"/>
          <w:b/>
          <w:bCs/>
          <w:noProof/>
          <w:sz w:val="22"/>
        </w:rPr>
        <w:t>26,</w:t>
      </w:r>
      <w:r w:rsidRPr="005676A9">
        <w:rPr>
          <w:rFonts w:ascii="Cambria" w:hAnsi="Cambria"/>
          <w:noProof/>
          <w:sz w:val="22"/>
        </w:rPr>
        <w:t xml:space="preserve"> 462–495 (1939).</w:t>
      </w:r>
    </w:p>
    <w:p w14:paraId="09D5B7C2"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94.</w:t>
      </w:r>
      <w:r w:rsidRPr="005676A9">
        <w:rPr>
          <w:rFonts w:ascii="Cambria" w:hAnsi="Cambria"/>
          <w:noProof/>
          <w:sz w:val="22"/>
        </w:rPr>
        <w:tab/>
        <w:t xml:space="preserve">Horta, J. Malignancy and other late effects following administration of Thorootrast. </w:t>
      </w:r>
      <w:r w:rsidRPr="005676A9">
        <w:rPr>
          <w:rFonts w:ascii="Cambria" w:hAnsi="Cambria"/>
          <w:i/>
          <w:iCs/>
          <w:noProof/>
          <w:sz w:val="22"/>
        </w:rPr>
        <w:t>Lancet</w:t>
      </w:r>
      <w:r w:rsidRPr="005676A9">
        <w:rPr>
          <w:rFonts w:ascii="Cambria" w:hAnsi="Cambria"/>
          <w:noProof/>
          <w:sz w:val="22"/>
        </w:rPr>
        <w:t xml:space="preserve"> </w:t>
      </w:r>
      <w:r w:rsidRPr="005676A9">
        <w:rPr>
          <w:rFonts w:ascii="Cambria" w:hAnsi="Cambria"/>
          <w:b/>
          <w:bCs/>
          <w:noProof/>
          <w:sz w:val="22"/>
        </w:rPr>
        <w:t>286,</w:t>
      </w:r>
      <w:r w:rsidRPr="005676A9">
        <w:rPr>
          <w:rFonts w:ascii="Cambria" w:hAnsi="Cambria"/>
          <w:noProof/>
          <w:sz w:val="22"/>
        </w:rPr>
        <w:t xml:space="preserve"> 201–205 (1965).</w:t>
      </w:r>
    </w:p>
    <w:p w14:paraId="66F74991"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95.</w:t>
      </w:r>
      <w:r w:rsidRPr="005676A9">
        <w:rPr>
          <w:rFonts w:ascii="Cambria" w:hAnsi="Cambria"/>
          <w:noProof/>
          <w:sz w:val="22"/>
        </w:rPr>
        <w:tab/>
        <w:t xml:space="preserve">Hudack, S. S. &amp; McMaster, P. D. The lymphatic participation in human cutaneous phenomena: A study of the minute lymphatics of the living skin. </w:t>
      </w:r>
      <w:r w:rsidRPr="005676A9">
        <w:rPr>
          <w:rFonts w:ascii="Cambria" w:hAnsi="Cambria"/>
          <w:i/>
          <w:iCs/>
          <w:noProof/>
          <w:sz w:val="22"/>
        </w:rPr>
        <w:t>J. Exp. Med.</w:t>
      </w:r>
      <w:r w:rsidRPr="005676A9">
        <w:rPr>
          <w:rFonts w:ascii="Cambria" w:hAnsi="Cambria"/>
          <w:noProof/>
          <w:sz w:val="22"/>
        </w:rPr>
        <w:t xml:space="preserve"> </w:t>
      </w:r>
      <w:r w:rsidRPr="005676A9">
        <w:rPr>
          <w:rFonts w:ascii="Cambria" w:hAnsi="Cambria"/>
          <w:b/>
          <w:bCs/>
          <w:noProof/>
          <w:sz w:val="22"/>
        </w:rPr>
        <w:t>57,</w:t>
      </w:r>
      <w:r w:rsidRPr="005676A9">
        <w:rPr>
          <w:rFonts w:ascii="Cambria" w:hAnsi="Cambria"/>
          <w:noProof/>
          <w:sz w:val="22"/>
        </w:rPr>
        <w:t xml:space="preserve"> 751–74 (1933).</w:t>
      </w:r>
    </w:p>
    <w:p w14:paraId="37CE3371"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96.</w:t>
      </w:r>
      <w:r w:rsidRPr="005676A9">
        <w:rPr>
          <w:rFonts w:ascii="Cambria" w:hAnsi="Cambria"/>
          <w:noProof/>
          <w:sz w:val="22"/>
        </w:rPr>
        <w:tab/>
        <w:t xml:space="preserve">Weinberg, J. &amp; Greaney, E. M. Identification of regional lymph nodes by means of a vital staining dye during surgery of gastric cancer. </w:t>
      </w:r>
      <w:r w:rsidRPr="005676A9">
        <w:rPr>
          <w:rFonts w:ascii="Cambria" w:hAnsi="Cambria"/>
          <w:i/>
          <w:iCs/>
          <w:noProof/>
          <w:sz w:val="22"/>
        </w:rPr>
        <w:t>Surg. Gynecol. Obstet.</w:t>
      </w:r>
      <w:r w:rsidRPr="005676A9">
        <w:rPr>
          <w:rFonts w:ascii="Cambria" w:hAnsi="Cambria"/>
          <w:noProof/>
          <w:sz w:val="22"/>
        </w:rPr>
        <w:t xml:space="preserve"> </w:t>
      </w:r>
      <w:r w:rsidRPr="005676A9">
        <w:rPr>
          <w:rFonts w:ascii="Cambria" w:hAnsi="Cambria"/>
          <w:b/>
          <w:bCs/>
          <w:noProof/>
          <w:sz w:val="22"/>
        </w:rPr>
        <w:t>90,</w:t>
      </w:r>
      <w:r w:rsidRPr="005676A9">
        <w:rPr>
          <w:rFonts w:ascii="Cambria" w:hAnsi="Cambria"/>
          <w:noProof/>
          <w:sz w:val="22"/>
        </w:rPr>
        <w:t xml:space="preserve"> 561–7 (1950).</w:t>
      </w:r>
    </w:p>
    <w:p w14:paraId="7C9841E0"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97.</w:t>
      </w:r>
      <w:r w:rsidRPr="005676A9">
        <w:rPr>
          <w:rFonts w:ascii="Cambria" w:hAnsi="Cambria"/>
          <w:noProof/>
          <w:sz w:val="22"/>
        </w:rPr>
        <w:tab/>
        <w:t xml:space="preserve">Kinmonth, J. B. Lymphangiography in man; a method of outlining lymphatic trunks at operation. </w:t>
      </w:r>
      <w:r w:rsidRPr="005676A9">
        <w:rPr>
          <w:rFonts w:ascii="Cambria" w:hAnsi="Cambria"/>
          <w:i/>
          <w:iCs/>
          <w:noProof/>
          <w:sz w:val="22"/>
        </w:rPr>
        <w:t>Clin. Sci. (Lond).</w:t>
      </w:r>
      <w:r w:rsidRPr="005676A9">
        <w:rPr>
          <w:rFonts w:ascii="Cambria" w:hAnsi="Cambria"/>
          <w:noProof/>
          <w:sz w:val="22"/>
        </w:rPr>
        <w:t xml:space="preserve"> </w:t>
      </w:r>
      <w:r w:rsidRPr="005676A9">
        <w:rPr>
          <w:rFonts w:ascii="Cambria" w:hAnsi="Cambria"/>
          <w:b/>
          <w:bCs/>
          <w:noProof/>
          <w:sz w:val="22"/>
        </w:rPr>
        <w:t>11,</w:t>
      </w:r>
      <w:r w:rsidRPr="005676A9">
        <w:rPr>
          <w:rFonts w:ascii="Cambria" w:hAnsi="Cambria"/>
          <w:noProof/>
          <w:sz w:val="22"/>
        </w:rPr>
        <w:t xml:space="preserve"> 13–20 (1952).</w:t>
      </w:r>
    </w:p>
    <w:p w14:paraId="782427AE"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98.</w:t>
      </w:r>
      <w:r w:rsidRPr="005676A9">
        <w:rPr>
          <w:rFonts w:ascii="Cambria" w:hAnsi="Cambria"/>
          <w:noProof/>
          <w:sz w:val="22"/>
        </w:rPr>
        <w:tab/>
        <w:t xml:space="preserve">Sherman, A. I. &amp; Ter-Pogossian, M. Lymph-node concentration of radioactive colloidal gold following interstitial injection. </w:t>
      </w:r>
      <w:r w:rsidRPr="005676A9">
        <w:rPr>
          <w:rFonts w:ascii="Cambria" w:hAnsi="Cambria"/>
          <w:i/>
          <w:iCs/>
          <w:noProof/>
          <w:sz w:val="22"/>
        </w:rPr>
        <w:t>Cancer</w:t>
      </w:r>
      <w:r w:rsidRPr="005676A9">
        <w:rPr>
          <w:rFonts w:ascii="Cambria" w:hAnsi="Cambria"/>
          <w:noProof/>
          <w:sz w:val="22"/>
        </w:rPr>
        <w:t xml:space="preserve"> </w:t>
      </w:r>
      <w:r w:rsidRPr="005676A9">
        <w:rPr>
          <w:rFonts w:ascii="Cambria" w:hAnsi="Cambria"/>
          <w:b/>
          <w:bCs/>
          <w:noProof/>
          <w:sz w:val="22"/>
        </w:rPr>
        <w:t>6,</w:t>
      </w:r>
      <w:r w:rsidRPr="005676A9">
        <w:rPr>
          <w:rFonts w:ascii="Cambria" w:hAnsi="Cambria"/>
          <w:noProof/>
          <w:sz w:val="22"/>
        </w:rPr>
        <w:t xml:space="preserve"> 1238–40 (1953).</w:t>
      </w:r>
    </w:p>
    <w:p w14:paraId="1E13416A"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99.</w:t>
      </w:r>
      <w:r w:rsidRPr="005676A9">
        <w:rPr>
          <w:rFonts w:ascii="Cambria" w:hAnsi="Cambria"/>
          <w:noProof/>
          <w:sz w:val="22"/>
        </w:rPr>
        <w:tab/>
        <w:t xml:space="preserve">Uren, R. F., Howman-Giles, R. B., Shaw, H. M., Thompson, J. F. &amp; McCarthy, W. H. Lymphoscintigraphy in high-risk melanoma of the trunk: predicting draining node groups, defining lymphatic channels and locating the sentinel node. </w:t>
      </w:r>
      <w:r w:rsidRPr="005676A9">
        <w:rPr>
          <w:rFonts w:ascii="Cambria" w:hAnsi="Cambria"/>
          <w:i/>
          <w:iCs/>
          <w:noProof/>
          <w:sz w:val="22"/>
        </w:rPr>
        <w:t>J. Nucl. Med.</w:t>
      </w:r>
      <w:r w:rsidRPr="005676A9">
        <w:rPr>
          <w:rFonts w:ascii="Cambria" w:hAnsi="Cambria"/>
          <w:noProof/>
          <w:sz w:val="22"/>
        </w:rPr>
        <w:t xml:space="preserve"> </w:t>
      </w:r>
      <w:r w:rsidRPr="005676A9">
        <w:rPr>
          <w:rFonts w:ascii="Cambria" w:hAnsi="Cambria"/>
          <w:b/>
          <w:bCs/>
          <w:noProof/>
          <w:sz w:val="22"/>
        </w:rPr>
        <w:t>34,</w:t>
      </w:r>
      <w:r w:rsidRPr="005676A9">
        <w:rPr>
          <w:rFonts w:ascii="Cambria" w:hAnsi="Cambria"/>
          <w:noProof/>
          <w:sz w:val="22"/>
        </w:rPr>
        <w:t xml:space="preserve"> 1435–40 (1993).</w:t>
      </w:r>
    </w:p>
    <w:p w14:paraId="63C13514"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100.</w:t>
      </w:r>
      <w:r w:rsidRPr="005676A9">
        <w:rPr>
          <w:rFonts w:ascii="Cambria" w:hAnsi="Cambria"/>
          <w:noProof/>
          <w:sz w:val="22"/>
        </w:rPr>
        <w:tab/>
        <w:t xml:space="preserve">Wells, K. E. </w:t>
      </w:r>
      <w:r w:rsidRPr="005676A9">
        <w:rPr>
          <w:rFonts w:ascii="Cambria" w:hAnsi="Cambria"/>
          <w:i/>
          <w:iCs/>
          <w:noProof/>
          <w:sz w:val="22"/>
        </w:rPr>
        <w:t>et al.</w:t>
      </w:r>
      <w:r w:rsidRPr="005676A9">
        <w:rPr>
          <w:rFonts w:ascii="Cambria" w:hAnsi="Cambria"/>
          <w:noProof/>
          <w:sz w:val="22"/>
        </w:rPr>
        <w:t xml:space="preserve"> The use of lymphoscintigraphy in melanoma of the head and neck. </w:t>
      </w:r>
      <w:r w:rsidRPr="005676A9">
        <w:rPr>
          <w:rFonts w:ascii="Cambria" w:hAnsi="Cambria"/>
          <w:i/>
          <w:iCs/>
          <w:noProof/>
          <w:sz w:val="22"/>
        </w:rPr>
        <w:t>Plast. Reconstr. Surg.</w:t>
      </w:r>
      <w:r w:rsidRPr="005676A9">
        <w:rPr>
          <w:rFonts w:ascii="Cambria" w:hAnsi="Cambria"/>
          <w:noProof/>
          <w:sz w:val="22"/>
        </w:rPr>
        <w:t xml:space="preserve"> </w:t>
      </w:r>
      <w:r w:rsidRPr="005676A9">
        <w:rPr>
          <w:rFonts w:ascii="Cambria" w:hAnsi="Cambria"/>
          <w:b/>
          <w:bCs/>
          <w:noProof/>
          <w:sz w:val="22"/>
        </w:rPr>
        <w:t>93,</w:t>
      </w:r>
      <w:r w:rsidRPr="005676A9">
        <w:rPr>
          <w:rFonts w:ascii="Cambria" w:hAnsi="Cambria"/>
          <w:noProof/>
          <w:sz w:val="22"/>
        </w:rPr>
        <w:t xml:space="preserve"> 757–61 (1994).</w:t>
      </w:r>
    </w:p>
    <w:p w14:paraId="061E3B9A"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101.</w:t>
      </w:r>
      <w:r w:rsidRPr="005676A9">
        <w:rPr>
          <w:rFonts w:ascii="Cambria" w:hAnsi="Cambria"/>
          <w:noProof/>
          <w:sz w:val="22"/>
        </w:rPr>
        <w:tab/>
        <w:t xml:space="preserve">O’Brien, C. J. </w:t>
      </w:r>
      <w:r w:rsidRPr="005676A9">
        <w:rPr>
          <w:rFonts w:ascii="Cambria" w:hAnsi="Cambria"/>
          <w:i/>
          <w:iCs/>
          <w:noProof/>
          <w:sz w:val="22"/>
        </w:rPr>
        <w:t>et al.</w:t>
      </w:r>
      <w:r w:rsidRPr="005676A9">
        <w:rPr>
          <w:rFonts w:ascii="Cambria" w:hAnsi="Cambria"/>
          <w:noProof/>
          <w:sz w:val="22"/>
        </w:rPr>
        <w:t xml:space="preserve"> Prediction of potential metastatic sites in cutaneous head and neck melanoma using lymphoscintigraphy. </w:t>
      </w:r>
      <w:r w:rsidRPr="005676A9">
        <w:rPr>
          <w:rFonts w:ascii="Cambria" w:hAnsi="Cambria"/>
          <w:i/>
          <w:iCs/>
          <w:noProof/>
          <w:sz w:val="22"/>
        </w:rPr>
        <w:t>Am. J. Surg.</w:t>
      </w:r>
      <w:r w:rsidRPr="005676A9">
        <w:rPr>
          <w:rFonts w:ascii="Cambria" w:hAnsi="Cambria"/>
          <w:noProof/>
          <w:sz w:val="22"/>
        </w:rPr>
        <w:t xml:space="preserve"> </w:t>
      </w:r>
      <w:r w:rsidRPr="005676A9">
        <w:rPr>
          <w:rFonts w:ascii="Cambria" w:hAnsi="Cambria"/>
          <w:b/>
          <w:bCs/>
          <w:noProof/>
          <w:sz w:val="22"/>
        </w:rPr>
        <w:t>170,</w:t>
      </w:r>
      <w:r w:rsidRPr="005676A9">
        <w:rPr>
          <w:rFonts w:ascii="Cambria" w:hAnsi="Cambria"/>
          <w:noProof/>
          <w:sz w:val="22"/>
        </w:rPr>
        <w:t xml:space="preserve"> 461–6 (1995).</w:t>
      </w:r>
    </w:p>
    <w:p w14:paraId="50E135AC"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102.</w:t>
      </w:r>
      <w:r w:rsidRPr="005676A9">
        <w:rPr>
          <w:rFonts w:ascii="Cambria" w:hAnsi="Cambria"/>
          <w:noProof/>
          <w:sz w:val="22"/>
        </w:rPr>
        <w:tab/>
        <w:t xml:space="preserve">Wagner, J. D., Park, H. M., Coleman, J. J., Love, C. &amp; Hayes, J. T. Cervical sentinel lymph node biopsy for melanomas of the head and neck and upper thorax. </w:t>
      </w:r>
      <w:r w:rsidRPr="005676A9">
        <w:rPr>
          <w:rFonts w:ascii="Cambria" w:hAnsi="Cambria"/>
          <w:i/>
          <w:iCs/>
          <w:noProof/>
          <w:sz w:val="22"/>
        </w:rPr>
        <w:t>Arch. Otolaryngol. Head. Neck Surg.</w:t>
      </w:r>
      <w:r w:rsidRPr="005676A9">
        <w:rPr>
          <w:rFonts w:ascii="Cambria" w:hAnsi="Cambria"/>
          <w:noProof/>
          <w:sz w:val="22"/>
        </w:rPr>
        <w:t xml:space="preserve"> </w:t>
      </w:r>
      <w:r w:rsidRPr="005676A9">
        <w:rPr>
          <w:rFonts w:ascii="Cambria" w:hAnsi="Cambria"/>
          <w:b/>
          <w:bCs/>
          <w:noProof/>
          <w:sz w:val="22"/>
        </w:rPr>
        <w:t>126,</w:t>
      </w:r>
      <w:r w:rsidRPr="005676A9">
        <w:rPr>
          <w:rFonts w:ascii="Cambria" w:hAnsi="Cambria"/>
          <w:noProof/>
          <w:sz w:val="22"/>
        </w:rPr>
        <w:t xml:space="preserve"> 313–21 (2000).</w:t>
      </w:r>
    </w:p>
    <w:p w14:paraId="6AD4E032"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103.</w:t>
      </w:r>
      <w:r w:rsidRPr="005676A9">
        <w:rPr>
          <w:rFonts w:ascii="Cambria" w:hAnsi="Cambria"/>
          <w:noProof/>
          <w:sz w:val="22"/>
        </w:rPr>
        <w:tab/>
        <w:t xml:space="preserve">Jansen, L. </w:t>
      </w:r>
      <w:r w:rsidRPr="005676A9">
        <w:rPr>
          <w:rFonts w:ascii="Cambria" w:hAnsi="Cambria"/>
          <w:i/>
          <w:iCs/>
          <w:noProof/>
          <w:sz w:val="22"/>
        </w:rPr>
        <w:t>et al.</w:t>
      </w:r>
      <w:r w:rsidRPr="005676A9">
        <w:rPr>
          <w:rFonts w:ascii="Cambria" w:hAnsi="Cambria"/>
          <w:noProof/>
          <w:sz w:val="22"/>
        </w:rPr>
        <w:t xml:space="preserve"> Sentinel node biopsy for melanoma in the head and neck region. </w:t>
      </w:r>
      <w:r w:rsidRPr="005676A9">
        <w:rPr>
          <w:rFonts w:ascii="Cambria" w:hAnsi="Cambria"/>
          <w:i/>
          <w:iCs/>
          <w:noProof/>
          <w:sz w:val="22"/>
        </w:rPr>
        <w:t>Head Neck</w:t>
      </w:r>
      <w:r w:rsidRPr="005676A9">
        <w:rPr>
          <w:rFonts w:ascii="Cambria" w:hAnsi="Cambria"/>
          <w:noProof/>
          <w:sz w:val="22"/>
        </w:rPr>
        <w:t xml:space="preserve"> </w:t>
      </w:r>
      <w:r w:rsidRPr="005676A9">
        <w:rPr>
          <w:rFonts w:ascii="Cambria" w:hAnsi="Cambria"/>
          <w:b/>
          <w:bCs/>
          <w:noProof/>
          <w:sz w:val="22"/>
        </w:rPr>
        <w:t>22,</w:t>
      </w:r>
      <w:r w:rsidRPr="005676A9">
        <w:rPr>
          <w:rFonts w:ascii="Cambria" w:hAnsi="Cambria"/>
          <w:noProof/>
          <w:sz w:val="22"/>
        </w:rPr>
        <w:t xml:space="preserve"> 27–33 (2000).</w:t>
      </w:r>
    </w:p>
    <w:p w14:paraId="03A9E0C5"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104.</w:t>
      </w:r>
      <w:r w:rsidRPr="005676A9">
        <w:rPr>
          <w:rFonts w:ascii="Cambria" w:hAnsi="Cambria"/>
          <w:noProof/>
          <w:sz w:val="22"/>
        </w:rPr>
        <w:tab/>
        <w:t xml:space="preserve">Shpitzer, T. </w:t>
      </w:r>
      <w:r w:rsidRPr="005676A9">
        <w:rPr>
          <w:rFonts w:ascii="Cambria" w:hAnsi="Cambria"/>
          <w:i/>
          <w:iCs/>
          <w:noProof/>
          <w:sz w:val="22"/>
        </w:rPr>
        <w:t>et al.</w:t>
      </w:r>
      <w:r w:rsidRPr="005676A9">
        <w:rPr>
          <w:rFonts w:ascii="Cambria" w:hAnsi="Cambria"/>
          <w:noProof/>
          <w:sz w:val="22"/>
        </w:rPr>
        <w:t xml:space="preserve"> Sentinel node guided surgery for melanoma in the head and neck region. </w:t>
      </w:r>
      <w:r w:rsidRPr="005676A9">
        <w:rPr>
          <w:rFonts w:ascii="Cambria" w:hAnsi="Cambria"/>
          <w:i/>
          <w:iCs/>
          <w:noProof/>
          <w:sz w:val="22"/>
        </w:rPr>
        <w:t>Melanoma Res.</w:t>
      </w:r>
      <w:r w:rsidRPr="005676A9">
        <w:rPr>
          <w:rFonts w:ascii="Cambria" w:hAnsi="Cambria"/>
          <w:noProof/>
          <w:sz w:val="22"/>
        </w:rPr>
        <w:t xml:space="preserve"> </w:t>
      </w:r>
      <w:r w:rsidRPr="005676A9">
        <w:rPr>
          <w:rFonts w:ascii="Cambria" w:hAnsi="Cambria"/>
          <w:b/>
          <w:bCs/>
          <w:noProof/>
          <w:sz w:val="22"/>
        </w:rPr>
        <w:t>14,</w:t>
      </w:r>
      <w:r w:rsidRPr="005676A9">
        <w:rPr>
          <w:rFonts w:ascii="Cambria" w:hAnsi="Cambria"/>
          <w:noProof/>
          <w:sz w:val="22"/>
        </w:rPr>
        <w:t xml:space="preserve"> 283–7 (2004).</w:t>
      </w:r>
    </w:p>
    <w:p w14:paraId="272089C2"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105.</w:t>
      </w:r>
      <w:r w:rsidRPr="005676A9">
        <w:rPr>
          <w:rFonts w:ascii="Cambria" w:hAnsi="Cambria"/>
          <w:noProof/>
          <w:sz w:val="22"/>
        </w:rPr>
        <w:tab/>
        <w:t xml:space="preserve">Fincher, T. R. </w:t>
      </w:r>
      <w:r w:rsidRPr="005676A9">
        <w:rPr>
          <w:rFonts w:ascii="Cambria" w:hAnsi="Cambria"/>
          <w:i/>
          <w:iCs/>
          <w:noProof/>
          <w:sz w:val="22"/>
        </w:rPr>
        <w:t>et al.</w:t>
      </w:r>
      <w:r w:rsidRPr="005676A9">
        <w:rPr>
          <w:rFonts w:ascii="Cambria" w:hAnsi="Cambria"/>
          <w:noProof/>
          <w:sz w:val="22"/>
        </w:rPr>
        <w:t xml:space="preserve"> Patterns of Drainage and Recurrence Following Sentinel Lymph Node Biopsy for Cutaneous Melanoma of the Head and Neck. </w:t>
      </w:r>
      <w:r w:rsidRPr="005676A9">
        <w:rPr>
          <w:rFonts w:ascii="Cambria" w:hAnsi="Cambria"/>
          <w:i/>
          <w:iCs/>
          <w:noProof/>
          <w:sz w:val="22"/>
        </w:rPr>
        <w:t>Arch. Otolaryngol. Neck Surg.</w:t>
      </w:r>
      <w:r w:rsidRPr="005676A9">
        <w:rPr>
          <w:rFonts w:ascii="Cambria" w:hAnsi="Cambria"/>
          <w:noProof/>
          <w:sz w:val="22"/>
        </w:rPr>
        <w:t xml:space="preserve"> </w:t>
      </w:r>
      <w:r w:rsidRPr="005676A9">
        <w:rPr>
          <w:rFonts w:ascii="Cambria" w:hAnsi="Cambria"/>
          <w:b/>
          <w:bCs/>
          <w:noProof/>
          <w:sz w:val="22"/>
        </w:rPr>
        <w:t>130,</w:t>
      </w:r>
      <w:r w:rsidRPr="005676A9">
        <w:rPr>
          <w:rFonts w:ascii="Cambria" w:hAnsi="Cambria"/>
          <w:noProof/>
          <w:sz w:val="22"/>
        </w:rPr>
        <w:t xml:space="preserve"> 844–848 (2004).</w:t>
      </w:r>
    </w:p>
    <w:p w14:paraId="2651A70D"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106.</w:t>
      </w:r>
      <w:r w:rsidRPr="005676A9">
        <w:rPr>
          <w:rFonts w:ascii="Cambria" w:hAnsi="Cambria"/>
          <w:noProof/>
          <w:sz w:val="22"/>
        </w:rPr>
        <w:tab/>
        <w:t xml:space="preserve">Carlson, G. W., Murray, D. R., Lyles, R. H., Hestley, A. &amp; Cohen, C. Sentinel lymph node biopsy in the management of cutaneous head and neck melanoma. </w:t>
      </w:r>
      <w:r w:rsidRPr="005676A9">
        <w:rPr>
          <w:rFonts w:ascii="Cambria" w:hAnsi="Cambria"/>
          <w:i/>
          <w:iCs/>
          <w:noProof/>
          <w:sz w:val="22"/>
        </w:rPr>
        <w:t>Plast. Reconstr. Surg.</w:t>
      </w:r>
      <w:r w:rsidRPr="005676A9">
        <w:rPr>
          <w:rFonts w:ascii="Cambria" w:hAnsi="Cambria"/>
          <w:noProof/>
          <w:sz w:val="22"/>
        </w:rPr>
        <w:t xml:space="preserve"> </w:t>
      </w:r>
      <w:r w:rsidRPr="005676A9">
        <w:rPr>
          <w:rFonts w:ascii="Cambria" w:hAnsi="Cambria"/>
          <w:b/>
          <w:bCs/>
          <w:noProof/>
          <w:sz w:val="22"/>
        </w:rPr>
        <w:t>115,</w:t>
      </w:r>
      <w:r w:rsidRPr="005676A9">
        <w:rPr>
          <w:rFonts w:ascii="Cambria" w:hAnsi="Cambria"/>
          <w:noProof/>
          <w:sz w:val="22"/>
        </w:rPr>
        <w:t xml:space="preserve"> 721–8 (2005).</w:t>
      </w:r>
    </w:p>
    <w:p w14:paraId="258273D1"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107.</w:t>
      </w:r>
      <w:r w:rsidRPr="005676A9">
        <w:rPr>
          <w:rFonts w:ascii="Cambria" w:hAnsi="Cambria"/>
          <w:noProof/>
          <w:sz w:val="22"/>
        </w:rPr>
        <w:tab/>
        <w:t xml:space="preserve">Braithwaite, L. R. The flow of lymph from the ileocaecal angle, and its possible bearing on the cause of duodenal and gastric ulcer. </w:t>
      </w:r>
      <w:r w:rsidRPr="005676A9">
        <w:rPr>
          <w:rFonts w:ascii="Cambria" w:hAnsi="Cambria"/>
          <w:i/>
          <w:iCs/>
          <w:noProof/>
          <w:sz w:val="22"/>
        </w:rPr>
        <w:t>Br. J. Surg.</w:t>
      </w:r>
      <w:r w:rsidRPr="005676A9">
        <w:rPr>
          <w:rFonts w:ascii="Cambria" w:hAnsi="Cambria"/>
          <w:noProof/>
          <w:sz w:val="22"/>
        </w:rPr>
        <w:t xml:space="preserve"> </w:t>
      </w:r>
      <w:r w:rsidRPr="005676A9">
        <w:rPr>
          <w:rFonts w:ascii="Cambria" w:hAnsi="Cambria"/>
          <w:b/>
          <w:bCs/>
          <w:noProof/>
          <w:sz w:val="22"/>
        </w:rPr>
        <w:t>11,</w:t>
      </w:r>
      <w:r w:rsidRPr="005676A9">
        <w:rPr>
          <w:rFonts w:ascii="Cambria" w:hAnsi="Cambria"/>
          <w:noProof/>
          <w:sz w:val="22"/>
        </w:rPr>
        <w:t xml:space="preserve"> 7–26 (1914).</w:t>
      </w:r>
    </w:p>
    <w:p w14:paraId="18A1E774"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108.</w:t>
      </w:r>
      <w:r w:rsidRPr="005676A9">
        <w:rPr>
          <w:rFonts w:ascii="Cambria" w:hAnsi="Cambria"/>
          <w:noProof/>
          <w:sz w:val="22"/>
        </w:rPr>
        <w:tab/>
        <w:t xml:space="preserve">Busch, F. M., Sayegh, E. S. &amp; Chenault, O. W. Some uses of lymphangiography in the management of testicular tumors. </w:t>
      </w:r>
      <w:r w:rsidRPr="005676A9">
        <w:rPr>
          <w:rFonts w:ascii="Cambria" w:hAnsi="Cambria"/>
          <w:i/>
          <w:iCs/>
          <w:noProof/>
          <w:sz w:val="22"/>
        </w:rPr>
        <w:t>J. Urol.</w:t>
      </w:r>
      <w:r w:rsidRPr="005676A9">
        <w:rPr>
          <w:rFonts w:ascii="Cambria" w:hAnsi="Cambria"/>
          <w:noProof/>
          <w:sz w:val="22"/>
        </w:rPr>
        <w:t xml:space="preserve"> </w:t>
      </w:r>
      <w:r w:rsidRPr="005676A9">
        <w:rPr>
          <w:rFonts w:ascii="Cambria" w:hAnsi="Cambria"/>
          <w:b/>
          <w:bCs/>
          <w:noProof/>
          <w:sz w:val="22"/>
        </w:rPr>
        <w:t>93,</w:t>
      </w:r>
      <w:r w:rsidRPr="005676A9">
        <w:rPr>
          <w:rFonts w:ascii="Cambria" w:hAnsi="Cambria"/>
          <w:noProof/>
          <w:sz w:val="22"/>
        </w:rPr>
        <w:t xml:space="preserve"> 490–5 (1965).</w:t>
      </w:r>
    </w:p>
    <w:p w14:paraId="16390E68"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109.</w:t>
      </w:r>
      <w:r w:rsidRPr="005676A9">
        <w:rPr>
          <w:rFonts w:ascii="Cambria" w:hAnsi="Cambria"/>
          <w:noProof/>
          <w:sz w:val="22"/>
        </w:rPr>
        <w:tab/>
        <w:t xml:space="preserve">Cabanas, R. M. An approach for the treatment of penile carcinoma. </w:t>
      </w:r>
      <w:r w:rsidRPr="005676A9">
        <w:rPr>
          <w:rFonts w:ascii="Cambria" w:hAnsi="Cambria"/>
          <w:i/>
          <w:iCs/>
          <w:noProof/>
          <w:sz w:val="22"/>
        </w:rPr>
        <w:t>Cancer</w:t>
      </w:r>
      <w:r w:rsidRPr="005676A9">
        <w:rPr>
          <w:rFonts w:ascii="Cambria" w:hAnsi="Cambria"/>
          <w:noProof/>
          <w:sz w:val="22"/>
        </w:rPr>
        <w:t xml:space="preserve"> </w:t>
      </w:r>
      <w:r w:rsidRPr="005676A9">
        <w:rPr>
          <w:rFonts w:ascii="Cambria" w:hAnsi="Cambria"/>
          <w:b/>
          <w:bCs/>
          <w:noProof/>
          <w:sz w:val="22"/>
        </w:rPr>
        <w:t>39,</w:t>
      </w:r>
      <w:r w:rsidRPr="005676A9">
        <w:rPr>
          <w:rFonts w:ascii="Cambria" w:hAnsi="Cambria"/>
          <w:noProof/>
          <w:sz w:val="22"/>
        </w:rPr>
        <w:t xml:space="preserve"> 456–66 (1977).</w:t>
      </w:r>
    </w:p>
    <w:p w14:paraId="25EA6747"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110.</w:t>
      </w:r>
      <w:r w:rsidRPr="005676A9">
        <w:rPr>
          <w:rFonts w:ascii="Cambria" w:hAnsi="Cambria"/>
          <w:noProof/>
          <w:sz w:val="22"/>
        </w:rPr>
        <w:tab/>
        <w:t xml:space="preserve">Wong, J. H., Cagle, L. A. &amp; Morton, D. L. Lymphatic drainage of skin to a sentinel lymph node in a feline model. </w:t>
      </w:r>
      <w:r w:rsidRPr="005676A9">
        <w:rPr>
          <w:rFonts w:ascii="Cambria" w:hAnsi="Cambria"/>
          <w:i/>
          <w:iCs/>
          <w:noProof/>
          <w:sz w:val="22"/>
        </w:rPr>
        <w:t>Ann. Surg.</w:t>
      </w:r>
      <w:r w:rsidRPr="005676A9">
        <w:rPr>
          <w:rFonts w:ascii="Cambria" w:hAnsi="Cambria"/>
          <w:noProof/>
          <w:sz w:val="22"/>
        </w:rPr>
        <w:t xml:space="preserve"> </w:t>
      </w:r>
      <w:r w:rsidRPr="005676A9">
        <w:rPr>
          <w:rFonts w:ascii="Cambria" w:hAnsi="Cambria"/>
          <w:b/>
          <w:bCs/>
          <w:noProof/>
          <w:sz w:val="22"/>
        </w:rPr>
        <w:t>214,</w:t>
      </w:r>
      <w:r w:rsidRPr="005676A9">
        <w:rPr>
          <w:rFonts w:ascii="Cambria" w:hAnsi="Cambria"/>
          <w:noProof/>
          <w:sz w:val="22"/>
        </w:rPr>
        <w:t xml:space="preserve"> 637–41 (1991).</w:t>
      </w:r>
    </w:p>
    <w:p w14:paraId="2C88CAD0"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111.</w:t>
      </w:r>
      <w:r w:rsidRPr="005676A9">
        <w:rPr>
          <w:rFonts w:ascii="Cambria" w:hAnsi="Cambria"/>
          <w:noProof/>
          <w:sz w:val="22"/>
        </w:rPr>
        <w:tab/>
        <w:t xml:space="preserve">Alex, J. C. &amp; Krag, D. N. Gamma-probe guided localization of lymph nodes. </w:t>
      </w:r>
      <w:r w:rsidRPr="005676A9">
        <w:rPr>
          <w:rFonts w:ascii="Cambria" w:hAnsi="Cambria"/>
          <w:i/>
          <w:iCs/>
          <w:noProof/>
          <w:sz w:val="22"/>
        </w:rPr>
        <w:t>Surg. Oncol.</w:t>
      </w:r>
      <w:r w:rsidRPr="005676A9">
        <w:rPr>
          <w:rFonts w:ascii="Cambria" w:hAnsi="Cambria"/>
          <w:noProof/>
          <w:sz w:val="22"/>
        </w:rPr>
        <w:t xml:space="preserve"> </w:t>
      </w:r>
      <w:r w:rsidRPr="005676A9">
        <w:rPr>
          <w:rFonts w:ascii="Cambria" w:hAnsi="Cambria"/>
          <w:b/>
          <w:bCs/>
          <w:noProof/>
          <w:sz w:val="22"/>
        </w:rPr>
        <w:t>2,</w:t>
      </w:r>
      <w:r w:rsidRPr="005676A9">
        <w:rPr>
          <w:rFonts w:ascii="Cambria" w:hAnsi="Cambria"/>
          <w:noProof/>
          <w:sz w:val="22"/>
        </w:rPr>
        <w:t xml:space="preserve"> 137–43 (1993).</w:t>
      </w:r>
    </w:p>
    <w:p w14:paraId="16D953FF"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112.</w:t>
      </w:r>
      <w:r w:rsidRPr="005676A9">
        <w:rPr>
          <w:rFonts w:ascii="Cambria" w:hAnsi="Cambria"/>
          <w:noProof/>
          <w:sz w:val="22"/>
        </w:rPr>
        <w:tab/>
        <w:t xml:space="preserve">Alex, J. C., Weaver, D. L., Fairbank, J. T., Rankin, B. S. &amp; Krag, D. N. Gamma-probe-guided lymph node localization in malignant melanoma. </w:t>
      </w:r>
      <w:r w:rsidRPr="005676A9">
        <w:rPr>
          <w:rFonts w:ascii="Cambria" w:hAnsi="Cambria"/>
          <w:i/>
          <w:iCs/>
          <w:noProof/>
          <w:sz w:val="22"/>
        </w:rPr>
        <w:t>Surg. Oncol.</w:t>
      </w:r>
      <w:r w:rsidRPr="005676A9">
        <w:rPr>
          <w:rFonts w:ascii="Cambria" w:hAnsi="Cambria"/>
          <w:noProof/>
          <w:sz w:val="22"/>
        </w:rPr>
        <w:t xml:space="preserve"> </w:t>
      </w:r>
      <w:r w:rsidRPr="005676A9">
        <w:rPr>
          <w:rFonts w:ascii="Cambria" w:hAnsi="Cambria"/>
          <w:b/>
          <w:bCs/>
          <w:noProof/>
          <w:sz w:val="22"/>
        </w:rPr>
        <w:t>2,</w:t>
      </w:r>
      <w:r w:rsidRPr="005676A9">
        <w:rPr>
          <w:rFonts w:ascii="Cambria" w:hAnsi="Cambria"/>
          <w:noProof/>
          <w:sz w:val="22"/>
        </w:rPr>
        <w:t xml:space="preserve"> 303–8 (1993).</w:t>
      </w:r>
    </w:p>
    <w:p w14:paraId="2A782D96"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113.</w:t>
      </w:r>
      <w:r w:rsidRPr="005676A9">
        <w:rPr>
          <w:rFonts w:ascii="Cambria" w:hAnsi="Cambria"/>
          <w:noProof/>
          <w:sz w:val="22"/>
        </w:rPr>
        <w:tab/>
        <w:t xml:space="preserve">Morton, D. L. </w:t>
      </w:r>
      <w:r w:rsidRPr="005676A9">
        <w:rPr>
          <w:rFonts w:ascii="Cambria" w:hAnsi="Cambria"/>
          <w:i/>
          <w:iCs/>
          <w:noProof/>
          <w:sz w:val="22"/>
        </w:rPr>
        <w:t>et al.</w:t>
      </w:r>
      <w:r w:rsidRPr="005676A9">
        <w:rPr>
          <w:rFonts w:ascii="Cambria" w:hAnsi="Cambria"/>
          <w:noProof/>
          <w:sz w:val="22"/>
        </w:rPr>
        <w:t xml:space="preserve"> Validation of the accuracy of intraoperative lymphatic mapping and sentinel lymphadenectomy for early-stage melanoma: a multicenter trial. Multicenter Selective Lymphadenectomy Trial Group. </w:t>
      </w:r>
      <w:r w:rsidRPr="005676A9">
        <w:rPr>
          <w:rFonts w:ascii="Cambria" w:hAnsi="Cambria"/>
          <w:i/>
          <w:iCs/>
          <w:noProof/>
          <w:sz w:val="22"/>
        </w:rPr>
        <w:t>Ann. Surg.</w:t>
      </w:r>
      <w:r w:rsidRPr="005676A9">
        <w:rPr>
          <w:rFonts w:ascii="Cambria" w:hAnsi="Cambria"/>
          <w:noProof/>
          <w:sz w:val="22"/>
        </w:rPr>
        <w:t xml:space="preserve"> </w:t>
      </w:r>
      <w:r w:rsidRPr="005676A9">
        <w:rPr>
          <w:rFonts w:ascii="Cambria" w:hAnsi="Cambria"/>
          <w:b/>
          <w:bCs/>
          <w:noProof/>
          <w:sz w:val="22"/>
        </w:rPr>
        <w:t>230,</w:t>
      </w:r>
      <w:r w:rsidRPr="005676A9">
        <w:rPr>
          <w:rFonts w:ascii="Cambria" w:hAnsi="Cambria"/>
          <w:noProof/>
          <w:sz w:val="22"/>
        </w:rPr>
        <w:t xml:space="preserve"> 453–63; discussion 463–5 (1999).</w:t>
      </w:r>
    </w:p>
    <w:p w14:paraId="5F79A610"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114.</w:t>
      </w:r>
      <w:r w:rsidRPr="005676A9">
        <w:rPr>
          <w:rFonts w:ascii="Cambria" w:hAnsi="Cambria"/>
          <w:noProof/>
          <w:sz w:val="22"/>
        </w:rPr>
        <w:tab/>
        <w:t xml:space="preserve">Thompson, J. F. </w:t>
      </w:r>
      <w:r w:rsidRPr="005676A9">
        <w:rPr>
          <w:rFonts w:ascii="Cambria" w:hAnsi="Cambria"/>
          <w:i/>
          <w:iCs/>
          <w:noProof/>
          <w:sz w:val="22"/>
        </w:rPr>
        <w:t>et al.</w:t>
      </w:r>
      <w:r w:rsidRPr="005676A9">
        <w:rPr>
          <w:rFonts w:ascii="Cambria" w:hAnsi="Cambria"/>
          <w:noProof/>
          <w:sz w:val="22"/>
        </w:rPr>
        <w:t xml:space="preserve"> Single-dose isotope injection for both preoperative lymphoscintigraphy and intraoperative sentinel lymph node identification in melanoma patients. </w:t>
      </w:r>
      <w:r w:rsidRPr="005676A9">
        <w:rPr>
          <w:rFonts w:ascii="Cambria" w:hAnsi="Cambria"/>
          <w:i/>
          <w:iCs/>
          <w:noProof/>
          <w:sz w:val="22"/>
        </w:rPr>
        <w:t>Melanoma Res.</w:t>
      </w:r>
      <w:r w:rsidRPr="005676A9">
        <w:rPr>
          <w:rFonts w:ascii="Cambria" w:hAnsi="Cambria"/>
          <w:noProof/>
          <w:sz w:val="22"/>
        </w:rPr>
        <w:t xml:space="preserve"> </w:t>
      </w:r>
      <w:r w:rsidRPr="005676A9">
        <w:rPr>
          <w:rFonts w:ascii="Cambria" w:hAnsi="Cambria"/>
          <w:b/>
          <w:bCs/>
          <w:noProof/>
          <w:sz w:val="22"/>
        </w:rPr>
        <w:t>7,</w:t>
      </w:r>
      <w:r w:rsidRPr="005676A9">
        <w:rPr>
          <w:rFonts w:ascii="Cambria" w:hAnsi="Cambria"/>
          <w:noProof/>
          <w:sz w:val="22"/>
        </w:rPr>
        <w:t xml:space="preserve"> 500–6 (1997).</w:t>
      </w:r>
    </w:p>
    <w:p w14:paraId="58E49418"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115.</w:t>
      </w:r>
      <w:r w:rsidRPr="005676A9">
        <w:rPr>
          <w:rFonts w:ascii="Cambria" w:hAnsi="Cambria"/>
          <w:noProof/>
          <w:sz w:val="22"/>
        </w:rPr>
        <w:tab/>
        <w:t xml:space="preserve">National Institute for Health and Care Excellence. </w:t>
      </w:r>
      <w:r w:rsidRPr="005676A9">
        <w:rPr>
          <w:rFonts w:ascii="Cambria" w:hAnsi="Cambria"/>
          <w:i/>
          <w:iCs/>
          <w:noProof/>
          <w:sz w:val="22"/>
        </w:rPr>
        <w:t>Melanoma: assessment and management. NICE guideline 14</w:t>
      </w:r>
      <w:r w:rsidRPr="005676A9">
        <w:rPr>
          <w:rFonts w:ascii="Cambria" w:hAnsi="Cambria"/>
          <w:noProof/>
          <w:sz w:val="22"/>
        </w:rPr>
        <w:t xml:space="preserve"> (2015).</w:t>
      </w:r>
    </w:p>
    <w:p w14:paraId="54124638"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116.</w:t>
      </w:r>
      <w:r w:rsidRPr="005676A9">
        <w:rPr>
          <w:rFonts w:ascii="Cambria" w:hAnsi="Cambria"/>
          <w:noProof/>
          <w:sz w:val="22"/>
        </w:rPr>
        <w:tab/>
        <w:t xml:space="preserve">Zhang, F., Niu, G., Lu, G. &amp; Chen, X. Preclinical lymphatic imaging. </w:t>
      </w:r>
      <w:r w:rsidRPr="005676A9">
        <w:rPr>
          <w:rFonts w:ascii="Cambria" w:hAnsi="Cambria"/>
          <w:i/>
          <w:iCs/>
          <w:noProof/>
          <w:sz w:val="22"/>
        </w:rPr>
        <w:t>Mol. Imaging Biol.</w:t>
      </w:r>
      <w:r w:rsidRPr="005676A9">
        <w:rPr>
          <w:rFonts w:ascii="Cambria" w:hAnsi="Cambria"/>
          <w:noProof/>
          <w:sz w:val="22"/>
        </w:rPr>
        <w:t xml:space="preserve"> </w:t>
      </w:r>
      <w:r w:rsidRPr="005676A9">
        <w:rPr>
          <w:rFonts w:ascii="Cambria" w:hAnsi="Cambria"/>
          <w:b/>
          <w:bCs/>
          <w:noProof/>
          <w:sz w:val="22"/>
        </w:rPr>
        <w:t>13,</w:t>
      </w:r>
      <w:r w:rsidRPr="005676A9">
        <w:rPr>
          <w:rFonts w:ascii="Cambria" w:hAnsi="Cambria"/>
          <w:noProof/>
          <w:sz w:val="22"/>
        </w:rPr>
        <w:t xml:space="preserve"> 599–612 (2011).</w:t>
      </w:r>
    </w:p>
    <w:p w14:paraId="5C1CA297"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117.</w:t>
      </w:r>
      <w:r w:rsidRPr="005676A9">
        <w:rPr>
          <w:rFonts w:ascii="Cambria" w:hAnsi="Cambria"/>
          <w:noProof/>
          <w:sz w:val="22"/>
        </w:rPr>
        <w:tab/>
        <w:t xml:space="preserve">Anninga, B. </w:t>
      </w:r>
      <w:r w:rsidRPr="005676A9">
        <w:rPr>
          <w:rFonts w:ascii="Cambria" w:hAnsi="Cambria"/>
          <w:i/>
          <w:iCs/>
          <w:noProof/>
          <w:sz w:val="22"/>
        </w:rPr>
        <w:t>et al.</w:t>
      </w:r>
      <w:r w:rsidRPr="005676A9">
        <w:rPr>
          <w:rFonts w:ascii="Cambria" w:hAnsi="Cambria"/>
          <w:noProof/>
          <w:sz w:val="22"/>
        </w:rPr>
        <w:t xml:space="preserve"> Magnetic Technique for Sentinel Lymph Node Biopsy in Melanoma: The MELAMAG Trial. </w:t>
      </w:r>
      <w:r w:rsidRPr="005676A9">
        <w:rPr>
          <w:rFonts w:ascii="Cambria" w:hAnsi="Cambria"/>
          <w:i/>
          <w:iCs/>
          <w:noProof/>
          <w:sz w:val="22"/>
        </w:rPr>
        <w:t>Ann. Surg. Oncol.</w:t>
      </w:r>
      <w:r w:rsidRPr="005676A9">
        <w:rPr>
          <w:rFonts w:ascii="Cambria" w:hAnsi="Cambria"/>
          <w:noProof/>
          <w:sz w:val="22"/>
        </w:rPr>
        <w:t xml:space="preserve"> (2016). doi:10.1245/s10434-016-5113-7</w:t>
      </w:r>
    </w:p>
    <w:p w14:paraId="5196694D"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118.</w:t>
      </w:r>
      <w:r w:rsidRPr="005676A9">
        <w:rPr>
          <w:rFonts w:ascii="Cambria" w:hAnsi="Cambria"/>
          <w:noProof/>
          <w:sz w:val="22"/>
        </w:rPr>
        <w:tab/>
        <w:t xml:space="preserve">Valsecchi, M. E., Silbermins, D., de Rosa, N., Wong, S. L. &amp; Lyman, G. H. Lymphatic mapping and sentinel lymph node biopsy in patients with melanoma: a meta-analysis. </w:t>
      </w:r>
      <w:r w:rsidRPr="005676A9">
        <w:rPr>
          <w:rFonts w:ascii="Cambria" w:hAnsi="Cambria"/>
          <w:i/>
          <w:iCs/>
          <w:noProof/>
          <w:sz w:val="22"/>
        </w:rPr>
        <w:t>J. Clin. Oncol.</w:t>
      </w:r>
      <w:r w:rsidRPr="005676A9">
        <w:rPr>
          <w:rFonts w:ascii="Cambria" w:hAnsi="Cambria"/>
          <w:noProof/>
          <w:sz w:val="22"/>
        </w:rPr>
        <w:t xml:space="preserve"> </w:t>
      </w:r>
      <w:r w:rsidRPr="005676A9">
        <w:rPr>
          <w:rFonts w:ascii="Cambria" w:hAnsi="Cambria"/>
          <w:b/>
          <w:bCs/>
          <w:noProof/>
          <w:sz w:val="22"/>
        </w:rPr>
        <w:t>29,</w:t>
      </w:r>
      <w:r w:rsidRPr="005676A9">
        <w:rPr>
          <w:rFonts w:ascii="Cambria" w:hAnsi="Cambria"/>
          <w:noProof/>
          <w:sz w:val="22"/>
        </w:rPr>
        <w:t xml:space="preserve"> 1479–87 (2011).</w:t>
      </w:r>
    </w:p>
    <w:p w14:paraId="12527EC6"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119.</w:t>
      </w:r>
      <w:r w:rsidRPr="005676A9">
        <w:rPr>
          <w:rFonts w:ascii="Cambria" w:hAnsi="Cambria"/>
          <w:noProof/>
          <w:sz w:val="22"/>
        </w:rPr>
        <w:tab/>
        <w:t xml:space="preserve">Scoggins, C. R. </w:t>
      </w:r>
      <w:r w:rsidRPr="005676A9">
        <w:rPr>
          <w:rFonts w:ascii="Cambria" w:hAnsi="Cambria"/>
          <w:i/>
          <w:iCs/>
          <w:noProof/>
          <w:sz w:val="22"/>
        </w:rPr>
        <w:t>et al.</w:t>
      </w:r>
      <w:r w:rsidRPr="005676A9">
        <w:rPr>
          <w:rFonts w:ascii="Cambria" w:hAnsi="Cambria"/>
          <w:noProof/>
          <w:sz w:val="22"/>
        </w:rPr>
        <w:t xml:space="preserve"> Gender-related differences in outcome for melanoma patients. </w:t>
      </w:r>
      <w:r w:rsidRPr="005676A9">
        <w:rPr>
          <w:rFonts w:ascii="Cambria" w:hAnsi="Cambria"/>
          <w:i/>
          <w:iCs/>
          <w:noProof/>
          <w:sz w:val="22"/>
        </w:rPr>
        <w:t>Ann. Surg.</w:t>
      </w:r>
      <w:r w:rsidRPr="005676A9">
        <w:rPr>
          <w:rFonts w:ascii="Cambria" w:hAnsi="Cambria"/>
          <w:noProof/>
          <w:sz w:val="22"/>
        </w:rPr>
        <w:t xml:space="preserve"> </w:t>
      </w:r>
      <w:r w:rsidRPr="005676A9">
        <w:rPr>
          <w:rFonts w:ascii="Cambria" w:hAnsi="Cambria"/>
          <w:b/>
          <w:bCs/>
          <w:noProof/>
          <w:sz w:val="22"/>
        </w:rPr>
        <w:t>243,</w:t>
      </w:r>
      <w:r w:rsidRPr="005676A9">
        <w:rPr>
          <w:rFonts w:ascii="Cambria" w:hAnsi="Cambria"/>
          <w:noProof/>
          <w:sz w:val="22"/>
        </w:rPr>
        <w:t xml:space="preserve"> 693–8; discussion 698–700 (2006).</w:t>
      </w:r>
    </w:p>
    <w:p w14:paraId="01D63691"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120.</w:t>
      </w:r>
      <w:r w:rsidRPr="005676A9">
        <w:rPr>
          <w:rFonts w:ascii="Cambria" w:hAnsi="Cambria"/>
          <w:noProof/>
          <w:sz w:val="22"/>
        </w:rPr>
        <w:tab/>
        <w:t xml:space="preserve">McMasters, K. M. </w:t>
      </w:r>
      <w:r w:rsidRPr="005676A9">
        <w:rPr>
          <w:rFonts w:ascii="Cambria" w:hAnsi="Cambria"/>
          <w:i/>
          <w:iCs/>
          <w:noProof/>
          <w:sz w:val="22"/>
        </w:rPr>
        <w:t>et al.</w:t>
      </w:r>
      <w:r w:rsidRPr="005676A9">
        <w:rPr>
          <w:rFonts w:ascii="Cambria" w:hAnsi="Cambria"/>
          <w:noProof/>
          <w:sz w:val="22"/>
        </w:rPr>
        <w:t xml:space="preserve"> Factors that predict the presence of sentinel lymph node metastasis in patients with melanoma. </w:t>
      </w:r>
      <w:r w:rsidRPr="005676A9">
        <w:rPr>
          <w:rFonts w:ascii="Cambria" w:hAnsi="Cambria"/>
          <w:i/>
          <w:iCs/>
          <w:noProof/>
          <w:sz w:val="22"/>
        </w:rPr>
        <w:t>Surgery</w:t>
      </w:r>
      <w:r w:rsidRPr="005676A9">
        <w:rPr>
          <w:rFonts w:ascii="Cambria" w:hAnsi="Cambria"/>
          <w:noProof/>
          <w:sz w:val="22"/>
        </w:rPr>
        <w:t xml:space="preserve"> </w:t>
      </w:r>
      <w:r w:rsidRPr="005676A9">
        <w:rPr>
          <w:rFonts w:ascii="Cambria" w:hAnsi="Cambria"/>
          <w:b/>
          <w:bCs/>
          <w:noProof/>
          <w:sz w:val="22"/>
        </w:rPr>
        <w:t>130,</w:t>
      </w:r>
      <w:r w:rsidRPr="005676A9">
        <w:rPr>
          <w:rFonts w:ascii="Cambria" w:hAnsi="Cambria"/>
          <w:noProof/>
          <w:sz w:val="22"/>
        </w:rPr>
        <w:t xml:space="preserve"> 151–6 (2001).</w:t>
      </w:r>
    </w:p>
    <w:p w14:paraId="11F81AD7"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121.</w:t>
      </w:r>
      <w:r w:rsidRPr="005676A9">
        <w:rPr>
          <w:rFonts w:ascii="Cambria" w:hAnsi="Cambria"/>
          <w:noProof/>
          <w:sz w:val="22"/>
        </w:rPr>
        <w:tab/>
        <w:t xml:space="preserve">Kruper, L. L. </w:t>
      </w:r>
      <w:r w:rsidRPr="005676A9">
        <w:rPr>
          <w:rFonts w:ascii="Cambria" w:hAnsi="Cambria"/>
          <w:i/>
          <w:iCs/>
          <w:noProof/>
          <w:sz w:val="22"/>
        </w:rPr>
        <w:t>et al.</w:t>
      </w:r>
      <w:r w:rsidRPr="005676A9">
        <w:rPr>
          <w:rFonts w:ascii="Cambria" w:hAnsi="Cambria"/>
          <w:noProof/>
          <w:sz w:val="22"/>
        </w:rPr>
        <w:t xml:space="preserve"> Predicting sentinel node status in AJCC stage I/II primary cutaneous melanoma. </w:t>
      </w:r>
      <w:r w:rsidRPr="005676A9">
        <w:rPr>
          <w:rFonts w:ascii="Cambria" w:hAnsi="Cambria"/>
          <w:i/>
          <w:iCs/>
          <w:noProof/>
          <w:sz w:val="22"/>
        </w:rPr>
        <w:t>Cancer</w:t>
      </w:r>
      <w:r w:rsidRPr="005676A9">
        <w:rPr>
          <w:rFonts w:ascii="Cambria" w:hAnsi="Cambria"/>
          <w:noProof/>
          <w:sz w:val="22"/>
        </w:rPr>
        <w:t xml:space="preserve"> </w:t>
      </w:r>
      <w:r w:rsidRPr="005676A9">
        <w:rPr>
          <w:rFonts w:ascii="Cambria" w:hAnsi="Cambria"/>
          <w:b/>
          <w:bCs/>
          <w:noProof/>
          <w:sz w:val="22"/>
        </w:rPr>
        <w:t>107,</w:t>
      </w:r>
      <w:r w:rsidRPr="005676A9">
        <w:rPr>
          <w:rFonts w:ascii="Cambria" w:hAnsi="Cambria"/>
          <w:noProof/>
          <w:sz w:val="22"/>
        </w:rPr>
        <w:t xml:space="preserve"> 2436–45 (2006).</w:t>
      </w:r>
    </w:p>
    <w:p w14:paraId="762A6C7E"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122.</w:t>
      </w:r>
      <w:r w:rsidRPr="005676A9">
        <w:rPr>
          <w:rFonts w:ascii="Cambria" w:hAnsi="Cambria"/>
          <w:noProof/>
          <w:sz w:val="22"/>
        </w:rPr>
        <w:tab/>
        <w:t xml:space="preserve">Paek, S. C. </w:t>
      </w:r>
      <w:r w:rsidRPr="005676A9">
        <w:rPr>
          <w:rFonts w:ascii="Cambria" w:hAnsi="Cambria"/>
          <w:i/>
          <w:iCs/>
          <w:noProof/>
          <w:sz w:val="22"/>
        </w:rPr>
        <w:t>et al.</w:t>
      </w:r>
      <w:r w:rsidRPr="005676A9">
        <w:rPr>
          <w:rFonts w:ascii="Cambria" w:hAnsi="Cambria"/>
          <w:noProof/>
          <w:sz w:val="22"/>
        </w:rPr>
        <w:t xml:space="preserve"> The impact of factors beyond Breslow depth on predicting sentinel lymph node positivity in melanoma. </w:t>
      </w:r>
      <w:r w:rsidRPr="005676A9">
        <w:rPr>
          <w:rFonts w:ascii="Cambria" w:hAnsi="Cambria"/>
          <w:i/>
          <w:iCs/>
          <w:noProof/>
          <w:sz w:val="22"/>
        </w:rPr>
        <w:t>Cancer</w:t>
      </w:r>
      <w:r w:rsidRPr="005676A9">
        <w:rPr>
          <w:rFonts w:ascii="Cambria" w:hAnsi="Cambria"/>
          <w:noProof/>
          <w:sz w:val="22"/>
        </w:rPr>
        <w:t xml:space="preserve"> </w:t>
      </w:r>
      <w:r w:rsidRPr="005676A9">
        <w:rPr>
          <w:rFonts w:ascii="Cambria" w:hAnsi="Cambria"/>
          <w:b/>
          <w:bCs/>
          <w:noProof/>
          <w:sz w:val="22"/>
        </w:rPr>
        <w:t>109,</w:t>
      </w:r>
      <w:r w:rsidRPr="005676A9">
        <w:rPr>
          <w:rFonts w:ascii="Cambria" w:hAnsi="Cambria"/>
          <w:noProof/>
          <w:sz w:val="22"/>
        </w:rPr>
        <w:t xml:space="preserve"> 100–8 (2007).</w:t>
      </w:r>
    </w:p>
    <w:p w14:paraId="54910C11"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123.</w:t>
      </w:r>
      <w:r w:rsidRPr="005676A9">
        <w:rPr>
          <w:rFonts w:ascii="Cambria" w:hAnsi="Cambria"/>
          <w:noProof/>
          <w:sz w:val="22"/>
        </w:rPr>
        <w:tab/>
        <w:t xml:space="preserve">Gershenwald, J. E. </w:t>
      </w:r>
      <w:r w:rsidRPr="005676A9">
        <w:rPr>
          <w:rFonts w:ascii="Cambria" w:hAnsi="Cambria"/>
          <w:i/>
          <w:iCs/>
          <w:noProof/>
          <w:sz w:val="22"/>
        </w:rPr>
        <w:t>et al.</w:t>
      </w:r>
      <w:r w:rsidRPr="005676A9">
        <w:rPr>
          <w:rFonts w:ascii="Cambria" w:hAnsi="Cambria"/>
          <w:noProof/>
          <w:sz w:val="22"/>
        </w:rPr>
        <w:t xml:space="preserve"> Microscopic tumor burden in sentinel lymph nodes predicts synchronous nonsentinel lymph node involvement in patients with melanoma. </w:t>
      </w:r>
      <w:r w:rsidRPr="005676A9">
        <w:rPr>
          <w:rFonts w:ascii="Cambria" w:hAnsi="Cambria"/>
          <w:i/>
          <w:iCs/>
          <w:noProof/>
          <w:sz w:val="22"/>
        </w:rPr>
        <w:t>J. Clin. Oncol.</w:t>
      </w:r>
      <w:r w:rsidRPr="005676A9">
        <w:rPr>
          <w:rFonts w:ascii="Cambria" w:hAnsi="Cambria"/>
          <w:noProof/>
          <w:sz w:val="22"/>
        </w:rPr>
        <w:t xml:space="preserve"> </w:t>
      </w:r>
      <w:r w:rsidRPr="005676A9">
        <w:rPr>
          <w:rFonts w:ascii="Cambria" w:hAnsi="Cambria"/>
          <w:b/>
          <w:bCs/>
          <w:noProof/>
          <w:sz w:val="22"/>
        </w:rPr>
        <w:t>26,</w:t>
      </w:r>
      <w:r w:rsidRPr="005676A9">
        <w:rPr>
          <w:rFonts w:ascii="Cambria" w:hAnsi="Cambria"/>
          <w:noProof/>
          <w:sz w:val="22"/>
        </w:rPr>
        <w:t xml:space="preserve"> 4296–303 (2008).</w:t>
      </w:r>
    </w:p>
    <w:p w14:paraId="5B88D066"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124.</w:t>
      </w:r>
      <w:r w:rsidRPr="005676A9">
        <w:rPr>
          <w:rFonts w:ascii="Cambria" w:hAnsi="Cambria"/>
          <w:noProof/>
          <w:sz w:val="22"/>
        </w:rPr>
        <w:tab/>
        <w:t xml:space="preserve">Morton, D. L. </w:t>
      </w:r>
      <w:r w:rsidRPr="005676A9">
        <w:rPr>
          <w:rFonts w:ascii="Cambria" w:hAnsi="Cambria"/>
          <w:i/>
          <w:iCs/>
          <w:noProof/>
          <w:sz w:val="22"/>
        </w:rPr>
        <w:t>et al.</w:t>
      </w:r>
      <w:r w:rsidRPr="005676A9">
        <w:rPr>
          <w:rFonts w:ascii="Cambria" w:hAnsi="Cambria"/>
          <w:noProof/>
          <w:sz w:val="22"/>
        </w:rPr>
        <w:t xml:space="preserve"> Sentinel-node biopsy or nodal observation in melanoma. </w:t>
      </w:r>
      <w:r w:rsidRPr="005676A9">
        <w:rPr>
          <w:rFonts w:ascii="Cambria" w:hAnsi="Cambria"/>
          <w:i/>
          <w:iCs/>
          <w:noProof/>
          <w:sz w:val="22"/>
        </w:rPr>
        <w:t>N. Engl. J. Med.</w:t>
      </w:r>
      <w:r w:rsidRPr="005676A9">
        <w:rPr>
          <w:rFonts w:ascii="Cambria" w:hAnsi="Cambria"/>
          <w:noProof/>
          <w:sz w:val="22"/>
        </w:rPr>
        <w:t xml:space="preserve"> </w:t>
      </w:r>
      <w:r w:rsidRPr="005676A9">
        <w:rPr>
          <w:rFonts w:ascii="Cambria" w:hAnsi="Cambria"/>
          <w:b/>
          <w:bCs/>
          <w:noProof/>
          <w:sz w:val="22"/>
        </w:rPr>
        <w:t>355,</w:t>
      </w:r>
      <w:r w:rsidRPr="005676A9">
        <w:rPr>
          <w:rFonts w:ascii="Cambria" w:hAnsi="Cambria"/>
          <w:noProof/>
          <w:sz w:val="22"/>
        </w:rPr>
        <w:t xml:space="preserve"> 1307–17 (2006).</w:t>
      </w:r>
    </w:p>
    <w:p w14:paraId="2AAFCC4C"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125.</w:t>
      </w:r>
      <w:r w:rsidRPr="005676A9">
        <w:rPr>
          <w:rFonts w:ascii="Cambria" w:hAnsi="Cambria"/>
          <w:noProof/>
          <w:sz w:val="22"/>
        </w:rPr>
        <w:tab/>
        <w:t xml:space="preserve">Morton, D. L. </w:t>
      </w:r>
      <w:r w:rsidRPr="005676A9">
        <w:rPr>
          <w:rFonts w:ascii="Cambria" w:hAnsi="Cambria"/>
          <w:i/>
          <w:iCs/>
          <w:noProof/>
          <w:sz w:val="22"/>
        </w:rPr>
        <w:t>et al.</w:t>
      </w:r>
      <w:r w:rsidRPr="005676A9">
        <w:rPr>
          <w:rFonts w:ascii="Cambria" w:hAnsi="Cambria"/>
          <w:noProof/>
          <w:sz w:val="22"/>
        </w:rPr>
        <w:t xml:space="preserve"> Final trial report of sentinel-node biopsy versus nodal observation in melanoma. </w:t>
      </w:r>
      <w:r w:rsidRPr="005676A9">
        <w:rPr>
          <w:rFonts w:ascii="Cambria" w:hAnsi="Cambria"/>
          <w:i/>
          <w:iCs/>
          <w:noProof/>
          <w:sz w:val="22"/>
        </w:rPr>
        <w:t>N. Engl. J. Med.</w:t>
      </w:r>
      <w:r w:rsidRPr="005676A9">
        <w:rPr>
          <w:rFonts w:ascii="Cambria" w:hAnsi="Cambria"/>
          <w:noProof/>
          <w:sz w:val="22"/>
        </w:rPr>
        <w:t xml:space="preserve"> </w:t>
      </w:r>
      <w:r w:rsidRPr="005676A9">
        <w:rPr>
          <w:rFonts w:ascii="Cambria" w:hAnsi="Cambria"/>
          <w:b/>
          <w:bCs/>
          <w:noProof/>
          <w:sz w:val="22"/>
        </w:rPr>
        <w:t>370,</w:t>
      </w:r>
      <w:r w:rsidRPr="005676A9">
        <w:rPr>
          <w:rFonts w:ascii="Cambria" w:hAnsi="Cambria"/>
          <w:noProof/>
          <w:sz w:val="22"/>
        </w:rPr>
        <w:t xml:space="preserve"> 599–609 (2014).</w:t>
      </w:r>
    </w:p>
    <w:p w14:paraId="353D4106"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126.</w:t>
      </w:r>
      <w:r w:rsidRPr="005676A9">
        <w:rPr>
          <w:rFonts w:ascii="Cambria" w:hAnsi="Cambria"/>
          <w:noProof/>
          <w:sz w:val="22"/>
        </w:rPr>
        <w:tab/>
        <w:t xml:space="preserve">Cook, M. G. </w:t>
      </w:r>
      <w:r w:rsidRPr="005676A9">
        <w:rPr>
          <w:rFonts w:ascii="Cambria" w:hAnsi="Cambria"/>
          <w:i/>
          <w:iCs/>
          <w:noProof/>
          <w:sz w:val="22"/>
        </w:rPr>
        <w:t>et al.</w:t>
      </w:r>
      <w:r w:rsidRPr="005676A9">
        <w:rPr>
          <w:rFonts w:ascii="Cambria" w:hAnsi="Cambria"/>
          <w:noProof/>
          <w:sz w:val="22"/>
        </w:rPr>
        <w:t xml:space="preserve"> The development of optimal pathological assessment of sentinel lymph nodes for melanoma. </w:t>
      </w:r>
      <w:r w:rsidRPr="005676A9">
        <w:rPr>
          <w:rFonts w:ascii="Cambria" w:hAnsi="Cambria"/>
          <w:i/>
          <w:iCs/>
          <w:noProof/>
          <w:sz w:val="22"/>
        </w:rPr>
        <w:t>J. Pathol.</w:t>
      </w:r>
      <w:r w:rsidRPr="005676A9">
        <w:rPr>
          <w:rFonts w:ascii="Cambria" w:hAnsi="Cambria"/>
          <w:noProof/>
          <w:sz w:val="22"/>
        </w:rPr>
        <w:t xml:space="preserve"> </w:t>
      </w:r>
      <w:r w:rsidRPr="005676A9">
        <w:rPr>
          <w:rFonts w:ascii="Cambria" w:hAnsi="Cambria"/>
          <w:b/>
          <w:bCs/>
          <w:noProof/>
          <w:sz w:val="22"/>
        </w:rPr>
        <w:t>200,</w:t>
      </w:r>
      <w:r w:rsidRPr="005676A9">
        <w:rPr>
          <w:rFonts w:ascii="Cambria" w:hAnsi="Cambria"/>
          <w:noProof/>
          <w:sz w:val="22"/>
        </w:rPr>
        <w:t xml:space="preserve"> 314–9 (2003).</w:t>
      </w:r>
    </w:p>
    <w:p w14:paraId="09F44C9D"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127.</w:t>
      </w:r>
      <w:r w:rsidRPr="005676A9">
        <w:rPr>
          <w:rFonts w:ascii="Cambria" w:hAnsi="Cambria"/>
          <w:noProof/>
          <w:sz w:val="22"/>
        </w:rPr>
        <w:tab/>
        <w:t xml:space="preserve">Gogel, B. M. </w:t>
      </w:r>
      <w:r w:rsidRPr="005676A9">
        <w:rPr>
          <w:rFonts w:ascii="Cambria" w:hAnsi="Cambria"/>
          <w:i/>
          <w:iCs/>
          <w:noProof/>
          <w:sz w:val="22"/>
        </w:rPr>
        <w:t>et al.</w:t>
      </w:r>
      <w:r w:rsidRPr="005676A9">
        <w:rPr>
          <w:rFonts w:ascii="Cambria" w:hAnsi="Cambria"/>
          <w:noProof/>
          <w:sz w:val="22"/>
        </w:rPr>
        <w:t xml:space="preserve"> Sentinel lymph node biopsy for melanoma. </w:t>
      </w:r>
      <w:r w:rsidRPr="005676A9">
        <w:rPr>
          <w:rFonts w:ascii="Cambria" w:hAnsi="Cambria"/>
          <w:i/>
          <w:iCs/>
          <w:noProof/>
          <w:sz w:val="22"/>
        </w:rPr>
        <w:t>Am. J. Surg.</w:t>
      </w:r>
      <w:r w:rsidRPr="005676A9">
        <w:rPr>
          <w:rFonts w:ascii="Cambria" w:hAnsi="Cambria"/>
          <w:noProof/>
          <w:sz w:val="22"/>
        </w:rPr>
        <w:t xml:space="preserve"> </w:t>
      </w:r>
      <w:r w:rsidRPr="005676A9">
        <w:rPr>
          <w:rFonts w:ascii="Cambria" w:hAnsi="Cambria"/>
          <w:b/>
          <w:bCs/>
          <w:noProof/>
          <w:sz w:val="22"/>
        </w:rPr>
        <w:t>176,</w:t>
      </w:r>
      <w:r w:rsidRPr="005676A9">
        <w:rPr>
          <w:rFonts w:ascii="Cambria" w:hAnsi="Cambria"/>
          <w:noProof/>
          <w:sz w:val="22"/>
        </w:rPr>
        <w:t xml:space="preserve"> 544–7 (1998).</w:t>
      </w:r>
    </w:p>
    <w:p w14:paraId="7C2BD6CF"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128.</w:t>
      </w:r>
      <w:r w:rsidRPr="005676A9">
        <w:rPr>
          <w:rFonts w:ascii="Cambria" w:hAnsi="Cambria"/>
          <w:noProof/>
          <w:sz w:val="22"/>
        </w:rPr>
        <w:tab/>
        <w:t xml:space="preserve">Rossi, C. R. </w:t>
      </w:r>
      <w:r w:rsidRPr="005676A9">
        <w:rPr>
          <w:rFonts w:ascii="Cambria" w:hAnsi="Cambria"/>
          <w:i/>
          <w:iCs/>
          <w:noProof/>
          <w:sz w:val="22"/>
        </w:rPr>
        <w:t>et al.</w:t>
      </w:r>
      <w:r w:rsidRPr="005676A9">
        <w:rPr>
          <w:rFonts w:ascii="Cambria" w:hAnsi="Cambria"/>
          <w:noProof/>
          <w:sz w:val="22"/>
        </w:rPr>
        <w:t xml:space="preserve"> The impact of lymphoscintigraphy technique on the outcome of sentinel node biopsy in 1,313 patients with cutaneous melanoma: an Italian Multicentric Study (SOLISM-IMI). </w:t>
      </w:r>
      <w:r w:rsidRPr="005676A9">
        <w:rPr>
          <w:rFonts w:ascii="Cambria" w:hAnsi="Cambria"/>
          <w:i/>
          <w:iCs/>
          <w:noProof/>
          <w:sz w:val="22"/>
        </w:rPr>
        <w:t>J. Nucl. Med.</w:t>
      </w:r>
      <w:r w:rsidRPr="005676A9">
        <w:rPr>
          <w:rFonts w:ascii="Cambria" w:hAnsi="Cambria"/>
          <w:noProof/>
          <w:sz w:val="22"/>
        </w:rPr>
        <w:t xml:space="preserve"> </w:t>
      </w:r>
      <w:r w:rsidRPr="005676A9">
        <w:rPr>
          <w:rFonts w:ascii="Cambria" w:hAnsi="Cambria"/>
          <w:b/>
          <w:bCs/>
          <w:noProof/>
          <w:sz w:val="22"/>
        </w:rPr>
        <w:t>47,</w:t>
      </w:r>
      <w:r w:rsidRPr="005676A9">
        <w:rPr>
          <w:rFonts w:ascii="Cambria" w:hAnsi="Cambria"/>
          <w:noProof/>
          <w:sz w:val="22"/>
        </w:rPr>
        <w:t xml:space="preserve"> 234–41 (2006).</w:t>
      </w:r>
    </w:p>
    <w:p w14:paraId="38DCB0BF"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129.</w:t>
      </w:r>
      <w:r w:rsidRPr="005676A9">
        <w:rPr>
          <w:rFonts w:ascii="Cambria" w:hAnsi="Cambria"/>
          <w:noProof/>
          <w:sz w:val="22"/>
        </w:rPr>
        <w:tab/>
        <w:t xml:space="preserve">Estourgie, S. H., Nieweg, O. E., Valdés Olmos, R. A., Hoefnagel, C. A. &amp; Kroon, B. B. R. Review and evaluation of sentinel node procedures in 250 melanoma patients with a median follow-up of 6 years. </w:t>
      </w:r>
      <w:r w:rsidRPr="005676A9">
        <w:rPr>
          <w:rFonts w:ascii="Cambria" w:hAnsi="Cambria"/>
          <w:i/>
          <w:iCs/>
          <w:noProof/>
          <w:sz w:val="22"/>
        </w:rPr>
        <w:t>Ann. Surg. Oncol.</w:t>
      </w:r>
      <w:r w:rsidRPr="005676A9">
        <w:rPr>
          <w:rFonts w:ascii="Cambria" w:hAnsi="Cambria"/>
          <w:noProof/>
          <w:sz w:val="22"/>
        </w:rPr>
        <w:t xml:space="preserve"> </w:t>
      </w:r>
      <w:r w:rsidRPr="005676A9">
        <w:rPr>
          <w:rFonts w:ascii="Cambria" w:hAnsi="Cambria"/>
          <w:b/>
          <w:bCs/>
          <w:noProof/>
          <w:sz w:val="22"/>
        </w:rPr>
        <w:t>10,</w:t>
      </w:r>
      <w:r w:rsidRPr="005676A9">
        <w:rPr>
          <w:rFonts w:ascii="Cambria" w:hAnsi="Cambria"/>
          <w:noProof/>
          <w:sz w:val="22"/>
        </w:rPr>
        <w:t xml:space="preserve"> 681–8 (2003).</w:t>
      </w:r>
    </w:p>
    <w:p w14:paraId="05755872"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130.</w:t>
      </w:r>
      <w:r w:rsidRPr="005676A9">
        <w:rPr>
          <w:rFonts w:ascii="Cambria" w:hAnsi="Cambria"/>
          <w:noProof/>
          <w:sz w:val="22"/>
        </w:rPr>
        <w:tab/>
        <w:t xml:space="preserve">Cascinelli, N. </w:t>
      </w:r>
      <w:r w:rsidRPr="005676A9">
        <w:rPr>
          <w:rFonts w:ascii="Cambria" w:hAnsi="Cambria"/>
          <w:i/>
          <w:iCs/>
          <w:noProof/>
          <w:sz w:val="22"/>
        </w:rPr>
        <w:t>et al.</w:t>
      </w:r>
      <w:r w:rsidRPr="005676A9">
        <w:rPr>
          <w:rFonts w:ascii="Cambria" w:hAnsi="Cambria"/>
          <w:noProof/>
          <w:sz w:val="22"/>
        </w:rPr>
        <w:t xml:space="preserve"> Sentinel lymph node biopsy in cutaneous melanoma: the WHO Melanoma Program experience. </w:t>
      </w:r>
      <w:r w:rsidRPr="005676A9">
        <w:rPr>
          <w:rFonts w:ascii="Cambria" w:hAnsi="Cambria"/>
          <w:i/>
          <w:iCs/>
          <w:noProof/>
          <w:sz w:val="22"/>
        </w:rPr>
        <w:t>Ann. Surg. Oncol.</w:t>
      </w:r>
      <w:r w:rsidRPr="005676A9">
        <w:rPr>
          <w:rFonts w:ascii="Cambria" w:hAnsi="Cambria"/>
          <w:noProof/>
          <w:sz w:val="22"/>
        </w:rPr>
        <w:t xml:space="preserve"> </w:t>
      </w:r>
      <w:r w:rsidRPr="005676A9">
        <w:rPr>
          <w:rFonts w:ascii="Cambria" w:hAnsi="Cambria"/>
          <w:b/>
          <w:bCs/>
          <w:noProof/>
          <w:sz w:val="22"/>
        </w:rPr>
        <w:t>7,</w:t>
      </w:r>
      <w:r w:rsidRPr="005676A9">
        <w:rPr>
          <w:rFonts w:ascii="Cambria" w:hAnsi="Cambria"/>
          <w:noProof/>
          <w:sz w:val="22"/>
        </w:rPr>
        <w:t xml:space="preserve"> 469–74 (2000).</w:t>
      </w:r>
    </w:p>
    <w:p w14:paraId="01CEC4B7"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131.</w:t>
      </w:r>
      <w:r w:rsidRPr="005676A9">
        <w:rPr>
          <w:rFonts w:ascii="Cambria" w:hAnsi="Cambria"/>
          <w:noProof/>
          <w:sz w:val="22"/>
        </w:rPr>
        <w:tab/>
        <w:t xml:space="preserve">Nowecki, Z. I., Rutkowski, P., Nasierowska-Guttmejer, A. &amp; Ruka, W. Sentinel lymph node biopsy in melanoma patients with clinically negative regional lymph nodes--one institution’s experience. </w:t>
      </w:r>
      <w:r w:rsidRPr="005676A9">
        <w:rPr>
          <w:rFonts w:ascii="Cambria" w:hAnsi="Cambria"/>
          <w:i/>
          <w:iCs/>
          <w:noProof/>
          <w:sz w:val="22"/>
        </w:rPr>
        <w:t>Melanoma Res.</w:t>
      </w:r>
      <w:r w:rsidRPr="005676A9">
        <w:rPr>
          <w:rFonts w:ascii="Cambria" w:hAnsi="Cambria"/>
          <w:noProof/>
          <w:sz w:val="22"/>
        </w:rPr>
        <w:t xml:space="preserve"> </w:t>
      </w:r>
      <w:r w:rsidRPr="005676A9">
        <w:rPr>
          <w:rFonts w:ascii="Cambria" w:hAnsi="Cambria"/>
          <w:b/>
          <w:bCs/>
          <w:noProof/>
          <w:sz w:val="22"/>
        </w:rPr>
        <w:t>13,</w:t>
      </w:r>
      <w:r w:rsidRPr="005676A9">
        <w:rPr>
          <w:rFonts w:ascii="Cambria" w:hAnsi="Cambria"/>
          <w:noProof/>
          <w:sz w:val="22"/>
        </w:rPr>
        <w:t xml:space="preserve"> 35–43 (2003).</w:t>
      </w:r>
    </w:p>
    <w:p w14:paraId="745D55E7"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132.</w:t>
      </w:r>
      <w:r w:rsidRPr="005676A9">
        <w:rPr>
          <w:rFonts w:ascii="Cambria" w:hAnsi="Cambria"/>
          <w:noProof/>
          <w:sz w:val="22"/>
        </w:rPr>
        <w:tab/>
        <w:t xml:space="preserve">Landi, G. </w:t>
      </w:r>
      <w:r w:rsidRPr="005676A9">
        <w:rPr>
          <w:rFonts w:ascii="Cambria" w:hAnsi="Cambria"/>
          <w:i/>
          <w:iCs/>
          <w:noProof/>
          <w:sz w:val="22"/>
        </w:rPr>
        <w:t>et al.</w:t>
      </w:r>
      <w:r w:rsidRPr="005676A9">
        <w:rPr>
          <w:rFonts w:ascii="Cambria" w:hAnsi="Cambria"/>
          <w:noProof/>
          <w:sz w:val="22"/>
        </w:rPr>
        <w:t xml:space="preserve"> Sentinel lymph node biopsy in patients with primary cutaneous melanoma: study of 455 cases. </w:t>
      </w:r>
      <w:r w:rsidRPr="005676A9">
        <w:rPr>
          <w:rFonts w:ascii="Cambria" w:hAnsi="Cambria"/>
          <w:i/>
          <w:iCs/>
          <w:noProof/>
          <w:sz w:val="22"/>
        </w:rPr>
        <w:t>J. Eur. Acad. Dermatol. Venereol.</w:t>
      </w:r>
      <w:r w:rsidRPr="005676A9">
        <w:rPr>
          <w:rFonts w:ascii="Cambria" w:hAnsi="Cambria"/>
          <w:noProof/>
          <w:sz w:val="22"/>
        </w:rPr>
        <w:t xml:space="preserve"> </w:t>
      </w:r>
      <w:r w:rsidRPr="005676A9">
        <w:rPr>
          <w:rFonts w:ascii="Cambria" w:hAnsi="Cambria"/>
          <w:b/>
          <w:bCs/>
          <w:noProof/>
          <w:sz w:val="22"/>
        </w:rPr>
        <w:t>14,</w:t>
      </w:r>
      <w:r w:rsidRPr="005676A9">
        <w:rPr>
          <w:rFonts w:ascii="Cambria" w:hAnsi="Cambria"/>
          <w:noProof/>
          <w:sz w:val="22"/>
        </w:rPr>
        <w:t xml:space="preserve"> 35–45 (2000).</w:t>
      </w:r>
    </w:p>
    <w:p w14:paraId="3BB56C51"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133.</w:t>
      </w:r>
      <w:r w:rsidRPr="005676A9">
        <w:rPr>
          <w:rFonts w:ascii="Cambria" w:hAnsi="Cambria"/>
          <w:noProof/>
          <w:sz w:val="22"/>
        </w:rPr>
        <w:tab/>
        <w:t xml:space="preserve">Biver-Dalle, C. </w:t>
      </w:r>
      <w:r w:rsidRPr="005676A9">
        <w:rPr>
          <w:rFonts w:ascii="Cambria" w:hAnsi="Cambria"/>
          <w:i/>
          <w:iCs/>
          <w:noProof/>
          <w:sz w:val="22"/>
        </w:rPr>
        <w:t>et al.</w:t>
      </w:r>
      <w:r w:rsidRPr="005676A9">
        <w:rPr>
          <w:rFonts w:ascii="Cambria" w:hAnsi="Cambria"/>
          <w:noProof/>
          <w:sz w:val="22"/>
        </w:rPr>
        <w:t xml:space="preserve"> Sentinel lymph node biopsy in melanoma: our 8-year clinical experience in a single French institute (2002-2009). </w:t>
      </w:r>
      <w:r w:rsidRPr="005676A9">
        <w:rPr>
          <w:rFonts w:ascii="Cambria" w:hAnsi="Cambria"/>
          <w:i/>
          <w:iCs/>
          <w:noProof/>
          <w:sz w:val="22"/>
        </w:rPr>
        <w:t>BMC Dermatol.</w:t>
      </w:r>
      <w:r w:rsidRPr="005676A9">
        <w:rPr>
          <w:rFonts w:ascii="Cambria" w:hAnsi="Cambria"/>
          <w:noProof/>
          <w:sz w:val="22"/>
        </w:rPr>
        <w:t xml:space="preserve"> </w:t>
      </w:r>
      <w:r w:rsidRPr="005676A9">
        <w:rPr>
          <w:rFonts w:ascii="Cambria" w:hAnsi="Cambria"/>
          <w:b/>
          <w:bCs/>
          <w:noProof/>
          <w:sz w:val="22"/>
        </w:rPr>
        <w:t>12,</w:t>
      </w:r>
      <w:r w:rsidRPr="005676A9">
        <w:rPr>
          <w:rFonts w:ascii="Cambria" w:hAnsi="Cambria"/>
          <w:noProof/>
          <w:sz w:val="22"/>
        </w:rPr>
        <w:t xml:space="preserve"> 21 (2012).</w:t>
      </w:r>
    </w:p>
    <w:p w14:paraId="3A093179"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134.</w:t>
      </w:r>
      <w:r w:rsidRPr="005676A9">
        <w:rPr>
          <w:rFonts w:ascii="Cambria" w:hAnsi="Cambria"/>
          <w:noProof/>
          <w:sz w:val="22"/>
        </w:rPr>
        <w:tab/>
        <w:t xml:space="preserve">Gershenwald, J. E. </w:t>
      </w:r>
      <w:r w:rsidRPr="005676A9">
        <w:rPr>
          <w:rFonts w:ascii="Cambria" w:hAnsi="Cambria"/>
          <w:i/>
          <w:iCs/>
          <w:noProof/>
          <w:sz w:val="22"/>
        </w:rPr>
        <w:t>et al.</w:t>
      </w:r>
      <w:r w:rsidRPr="005676A9">
        <w:rPr>
          <w:rFonts w:ascii="Cambria" w:hAnsi="Cambria"/>
          <w:noProof/>
          <w:sz w:val="22"/>
        </w:rPr>
        <w:t xml:space="preserve"> Multi-institutional melanoma lymphatic mapping experience: the prognostic value of sentinel lymph node status in 612 stage I or II melanoma patients. </w:t>
      </w:r>
      <w:r w:rsidRPr="005676A9">
        <w:rPr>
          <w:rFonts w:ascii="Cambria" w:hAnsi="Cambria"/>
          <w:i/>
          <w:iCs/>
          <w:noProof/>
          <w:sz w:val="22"/>
        </w:rPr>
        <w:t>J. Clin. Oncol.</w:t>
      </w:r>
      <w:r w:rsidRPr="005676A9">
        <w:rPr>
          <w:rFonts w:ascii="Cambria" w:hAnsi="Cambria"/>
          <w:noProof/>
          <w:sz w:val="22"/>
        </w:rPr>
        <w:t xml:space="preserve"> </w:t>
      </w:r>
      <w:r w:rsidRPr="005676A9">
        <w:rPr>
          <w:rFonts w:ascii="Cambria" w:hAnsi="Cambria"/>
          <w:b/>
          <w:bCs/>
          <w:noProof/>
          <w:sz w:val="22"/>
        </w:rPr>
        <w:t>17,</w:t>
      </w:r>
      <w:r w:rsidRPr="005676A9">
        <w:rPr>
          <w:rFonts w:ascii="Cambria" w:hAnsi="Cambria"/>
          <w:noProof/>
          <w:sz w:val="22"/>
        </w:rPr>
        <w:t xml:space="preserve"> 976–83 (1999).</w:t>
      </w:r>
    </w:p>
    <w:p w14:paraId="0DBBC4D4"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135.</w:t>
      </w:r>
      <w:r w:rsidRPr="005676A9">
        <w:rPr>
          <w:rFonts w:ascii="Cambria" w:hAnsi="Cambria"/>
          <w:noProof/>
          <w:sz w:val="22"/>
        </w:rPr>
        <w:tab/>
        <w:t xml:space="preserve">Vuylsteke, R. J. C. L. M. </w:t>
      </w:r>
      <w:r w:rsidRPr="005676A9">
        <w:rPr>
          <w:rFonts w:ascii="Cambria" w:hAnsi="Cambria"/>
          <w:i/>
          <w:iCs/>
          <w:noProof/>
          <w:sz w:val="22"/>
        </w:rPr>
        <w:t>et al.</w:t>
      </w:r>
      <w:r w:rsidRPr="005676A9">
        <w:rPr>
          <w:rFonts w:ascii="Cambria" w:hAnsi="Cambria"/>
          <w:noProof/>
          <w:sz w:val="22"/>
        </w:rPr>
        <w:t xml:space="preserve"> Clinical outcome of stage I/II melanoma patients after selective sentinel lymph node dissection: long-term follow-up results. </w:t>
      </w:r>
      <w:r w:rsidRPr="005676A9">
        <w:rPr>
          <w:rFonts w:ascii="Cambria" w:hAnsi="Cambria"/>
          <w:i/>
          <w:iCs/>
          <w:noProof/>
          <w:sz w:val="22"/>
        </w:rPr>
        <w:t>J. Clin. Oncol.</w:t>
      </w:r>
      <w:r w:rsidRPr="005676A9">
        <w:rPr>
          <w:rFonts w:ascii="Cambria" w:hAnsi="Cambria"/>
          <w:noProof/>
          <w:sz w:val="22"/>
        </w:rPr>
        <w:t xml:space="preserve"> </w:t>
      </w:r>
      <w:r w:rsidRPr="005676A9">
        <w:rPr>
          <w:rFonts w:ascii="Cambria" w:hAnsi="Cambria"/>
          <w:b/>
          <w:bCs/>
          <w:noProof/>
          <w:sz w:val="22"/>
        </w:rPr>
        <w:t>21,</w:t>
      </w:r>
      <w:r w:rsidRPr="005676A9">
        <w:rPr>
          <w:rFonts w:ascii="Cambria" w:hAnsi="Cambria"/>
          <w:noProof/>
          <w:sz w:val="22"/>
        </w:rPr>
        <w:t xml:space="preserve"> 1057–65 (2003).</w:t>
      </w:r>
    </w:p>
    <w:p w14:paraId="777AB2A2"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136.</w:t>
      </w:r>
      <w:r w:rsidRPr="005676A9">
        <w:rPr>
          <w:rFonts w:ascii="Cambria" w:hAnsi="Cambria"/>
          <w:noProof/>
          <w:sz w:val="22"/>
        </w:rPr>
        <w:tab/>
        <w:t xml:space="preserve">Wagner, J. D. </w:t>
      </w:r>
      <w:r w:rsidRPr="005676A9">
        <w:rPr>
          <w:rFonts w:ascii="Cambria" w:hAnsi="Cambria"/>
          <w:i/>
          <w:iCs/>
          <w:noProof/>
          <w:sz w:val="22"/>
        </w:rPr>
        <w:t>et al.</w:t>
      </w:r>
      <w:r w:rsidRPr="005676A9">
        <w:rPr>
          <w:rFonts w:ascii="Cambria" w:hAnsi="Cambria"/>
          <w:noProof/>
          <w:sz w:val="22"/>
        </w:rPr>
        <w:t xml:space="preserve"> Predicting sentinel and residual lymph node basin disease after sentinel lymph node biopsy for melanoma. </w:t>
      </w:r>
      <w:r w:rsidRPr="005676A9">
        <w:rPr>
          <w:rFonts w:ascii="Cambria" w:hAnsi="Cambria"/>
          <w:i/>
          <w:iCs/>
          <w:noProof/>
          <w:sz w:val="22"/>
        </w:rPr>
        <w:t>Cancer</w:t>
      </w:r>
      <w:r w:rsidRPr="005676A9">
        <w:rPr>
          <w:rFonts w:ascii="Cambria" w:hAnsi="Cambria"/>
          <w:noProof/>
          <w:sz w:val="22"/>
        </w:rPr>
        <w:t xml:space="preserve"> </w:t>
      </w:r>
      <w:r w:rsidRPr="005676A9">
        <w:rPr>
          <w:rFonts w:ascii="Cambria" w:hAnsi="Cambria"/>
          <w:b/>
          <w:bCs/>
          <w:noProof/>
          <w:sz w:val="22"/>
        </w:rPr>
        <w:t>89,</w:t>
      </w:r>
      <w:r w:rsidRPr="005676A9">
        <w:rPr>
          <w:rFonts w:ascii="Cambria" w:hAnsi="Cambria"/>
          <w:noProof/>
          <w:sz w:val="22"/>
        </w:rPr>
        <w:t xml:space="preserve"> 453–62 (2000).</w:t>
      </w:r>
    </w:p>
    <w:p w14:paraId="3923E4D7"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137.</w:t>
      </w:r>
      <w:r w:rsidRPr="005676A9">
        <w:rPr>
          <w:rFonts w:ascii="Cambria" w:hAnsi="Cambria"/>
          <w:noProof/>
          <w:sz w:val="22"/>
        </w:rPr>
        <w:tab/>
        <w:t xml:space="preserve">McMasters, K. M. </w:t>
      </w:r>
      <w:r w:rsidRPr="005676A9">
        <w:rPr>
          <w:rFonts w:ascii="Cambria" w:hAnsi="Cambria"/>
          <w:i/>
          <w:iCs/>
          <w:noProof/>
          <w:sz w:val="22"/>
        </w:rPr>
        <w:t>et al.</w:t>
      </w:r>
      <w:r w:rsidRPr="005676A9">
        <w:rPr>
          <w:rFonts w:ascii="Cambria" w:hAnsi="Cambria"/>
          <w:noProof/>
          <w:sz w:val="22"/>
        </w:rPr>
        <w:t xml:space="preserve"> Frequency of nonsentinel lymph node metastasis in melanoma. </w:t>
      </w:r>
      <w:r w:rsidRPr="005676A9">
        <w:rPr>
          <w:rFonts w:ascii="Cambria" w:hAnsi="Cambria"/>
          <w:i/>
          <w:iCs/>
          <w:noProof/>
          <w:sz w:val="22"/>
        </w:rPr>
        <w:t>Ann. Surg. Oncol.</w:t>
      </w:r>
      <w:r w:rsidRPr="005676A9">
        <w:rPr>
          <w:rFonts w:ascii="Cambria" w:hAnsi="Cambria"/>
          <w:noProof/>
          <w:sz w:val="22"/>
        </w:rPr>
        <w:t xml:space="preserve"> </w:t>
      </w:r>
      <w:r w:rsidRPr="005676A9">
        <w:rPr>
          <w:rFonts w:ascii="Cambria" w:hAnsi="Cambria"/>
          <w:b/>
          <w:bCs/>
          <w:noProof/>
          <w:sz w:val="22"/>
        </w:rPr>
        <w:t>9,</w:t>
      </w:r>
      <w:r w:rsidRPr="005676A9">
        <w:rPr>
          <w:rFonts w:ascii="Cambria" w:hAnsi="Cambria"/>
          <w:noProof/>
          <w:sz w:val="22"/>
        </w:rPr>
        <w:t xml:space="preserve"> 137–41 (2002).</w:t>
      </w:r>
    </w:p>
    <w:p w14:paraId="310EECD7"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138.</w:t>
      </w:r>
      <w:r w:rsidRPr="005676A9">
        <w:rPr>
          <w:rFonts w:ascii="Cambria" w:hAnsi="Cambria"/>
          <w:noProof/>
          <w:sz w:val="22"/>
        </w:rPr>
        <w:tab/>
        <w:t xml:space="preserve">Salti, G. I. &amp; Das Gupta, T. K. Predicting residual lymph node basin disease in melanoma patients with sentinel lymph node metastases. </w:t>
      </w:r>
      <w:r w:rsidRPr="005676A9">
        <w:rPr>
          <w:rFonts w:ascii="Cambria" w:hAnsi="Cambria"/>
          <w:i/>
          <w:iCs/>
          <w:noProof/>
          <w:sz w:val="22"/>
        </w:rPr>
        <w:t>Am. J. Surg.</w:t>
      </w:r>
      <w:r w:rsidRPr="005676A9">
        <w:rPr>
          <w:rFonts w:ascii="Cambria" w:hAnsi="Cambria"/>
          <w:noProof/>
          <w:sz w:val="22"/>
        </w:rPr>
        <w:t xml:space="preserve"> </w:t>
      </w:r>
      <w:r w:rsidRPr="005676A9">
        <w:rPr>
          <w:rFonts w:ascii="Cambria" w:hAnsi="Cambria"/>
          <w:b/>
          <w:bCs/>
          <w:noProof/>
          <w:sz w:val="22"/>
        </w:rPr>
        <w:t>186,</w:t>
      </w:r>
      <w:r w:rsidRPr="005676A9">
        <w:rPr>
          <w:rFonts w:ascii="Cambria" w:hAnsi="Cambria"/>
          <w:noProof/>
          <w:sz w:val="22"/>
        </w:rPr>
        <w:t xml:space="preserve"> 98–101 (2003).</w:t>
      </w:r>
    </w:p>
    <w:p w14:paraId="24A0BAB1"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139.</w:t>
      </w:r>
      <w:r w:rsidRPr="005676A9">
        <w:rPr>
          <w:rFonts w:ascii="Cambria" w:hAnsi="Cambria"/>
          <w:noProof/>
          <w:sz w:val="22"/>
        </w:rPr>
        <w:tab/>
        <w:t xml:space="preserve">Reeves, M. E., Delgado, R., Busam, K. J., Brady, M. S. &amp; Coit, D. G. Prediction of nonsentinel lymph node status in melanoma. </w:t>
      </w:r>
      <w:r w:rsidRPr="005676A9">
        <w:rPr>
          <w:rFonts w:ascii="Cambria" w:hAnsi="Cambria"/>
          <w:i/>
          <w:iCs/>
          <w:noProof/>
          <w:sz w:val="22"/>
        </w:rPr>
        <w:t>Ann. Surg. Oncol.</w:t>
      </w:r>
      <w:r w:rsidRPr="005676A9">
        <w:rPr>
          <w:rFonts w:ascii="Cambria" w:hAnsi="Cambria"/>
          <w:noProof/>
          <w:sz w:val="22"/>
        </w:rPr>
        <w:t xml:space="preserve"> </w:t>
      </w:r>
      <w:r w:rsidRPr="005676A9">
        <w:rPr>
          <w:rFonts w:ascii="Cambria" w:hAnsi="Cambria"/>
          <w:b/>
          <w:bCs/>
          <w:noProof/>
          <w:sz w:val="22"/>
        </w:rPr>
        <w:t>10,</w:t>
      </w:r>
      <w:r w:rsidRPr="005676A9">
        <w:rPr>
          <w:rFonts w:ascii="Cambria" w:hAnsi="Cambria"/>
          <w:noProof/>
          <w:sz w:val="22"/>
        </w:rPr>
        <w:t xml:space="preserve"> 27–31 (2003).</w:t>
      </w:r>
    </w:p>
    <w:p w14:paraId="4526CFD3"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140.</w:t>
      </w:r>
      <w:r w:rsidRPr="005676A9">
        <w:rPr>
          <w:rFonts w:ascii="Cambria" w:hAnsi="Cambria"/>
          <w:noProof/>
          <w:sz w:val="22"/>
        </w:rPr>
        <w:tab/>
        <w:t xml:space="preserve">Cochran, A. J. </w:t>
      </w:r>
      <w:r w:rsidRPr="005676A9">
        <w:rPr>
          <w:rFonts w:ascii="Cambria" w:hAnsi="Cambria"/>
          <w:i/>
          <w:iCs/>
          <w:noProof/>
          <w:sz w:val="22"/>
        </w:rPr>
        <w:t>et al.</w:t>
      </w:r>
      <w:r w:rsidRPr="005676A9">
        <w:rPr>
          <w:rFonts w:ascii="Cambria" w:hAnsi="Cambria"/>
          <w:noProof/>
          <w:sz w:val="22"/>
        </w:rPr>
        <w:t xml:space="preserve"> Prediction of metastatic melanoma in nonsentinel nodes and clinical outcome based on the primary melanoma and the sentinel node. </w:t>
      </w:r>
      <w:r w:rsidRPr="005676A9">
        <w:rPr>
          <w:rFonts w:ascii="Cambria" w:hAnsi="Cambria"/>
          <w:i/>
          <w:iCs/>
          <w:noProof/>
          <w:sz w:val="22"/>
        </w:rPr>
        <w:t>Mod. Pathol.</w:t>
      </w:r>
      <w:r w:rsidRPr="005676A9">
        <w:rPr>
          <w:rFonts w:ascii="Cambria" w:hAnsi="Cambria"/>
          <w:noProof/>
          <w:sz w:val="22"/>
        </w:rPr>
        <w:t xml:space="preserve"> </w:t>
      </w:r>
      <w:r w:rsidRPr="005676A9">
        <w:rPr>
          <w:rFonts w:ascii="Cambria" w:hAnsi="Cambria"/>
          <w:b/>
          <w:bCs/>
          <w:noProof/>
          <w:sz w:val="22"/>
        </w:rPr>
        <w:t>17,</w:t>
      </w:r>
      <w:r w:rsidRPr="005676A9">
        <w:rPr>
          <w:rFonts w:ascii="Cambria" w:hAnsi="Cambria"/>
          <w:noProof/>
          <w:sz w:val="22"/>
        </w:rPr>
        <w:t xml:space="preserve"> 747–55 (2004).</w:t>
      </w:r>
    </w:p>
    <w:p w14:paraId="7CFF9BFA"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141.</w:t>
      </w:r>
      <w:r w:rsidRPr="005676A9">
        <w:rPr>
          <w:rFonts w:ascii="Cambria" w:hAnsi="Cambria"/>
          <w:noProof/>
          <w:sz w:val="22"/>
        </w:rPr>
        <w:tab/>
        <w:t xml:space="preserve">Lee, J. H. Factors Predictive of Tumor-Positive Nonsentinel Lymph Nodes After Tumor-Positive Sentinel Lymph Node Dissection for Melanoma. </w:t>
      </w:r>
      <w:r w:rsidRPr="005676A9">
        <w:rPr>
          <w:rFonts w:ascii="Cambria" w:hAnsi="Cambria"/>
          <w:i/>
          <w:iCs/>
          <w:noProof/>
          <w:sz w:val="22"/>
        </w:rPr>
        <w:t>J. Clin. Oncol.</w:t>
      </w:r>
      <w:r w:rsidRPr="005676A9">
        <w:rPr>
          <w:rFonts w:ascii="Cambria" w:hAnsi="Cambria"/>
          <w:noProof/>
          <w:sz w:val="22"/>
        </w:rPr>
        <w:t xml:space="preserve"> </w:t>
      </w:r>
      <w:r w:rsidRPr="005676A9">
        <w:rPr>
          <w:rFonts w:ascii="Cambria" w:hAnsi="Cambria"/>
          <w:b/>
          <w:bCs/>
          <w:noProof/>
          <w:sz w:val="22"/>
        </w:rPr>
        <w:t>22,</w:t>
      </w:r>
      <w:r w:rsidRPr="005676A9">
        <w:rPr>
          <w:rFonts w:ascii="Cambria" w:hAnsi="Cambria"/>
          <w:noProof/>
          <w:sz w:val="22"/>
        </w:rPr>
        <w:t xml:space="preserve"> 3677–3684 (2004).</w:t>
      </w:r>
    </w:p>
    <w:p w14:paraId="750FCD36"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142.</w:t>
      </w:r>
      <w:r w:rsidRPr="005676A9">
        <w:rPr>
          <w:rFonts w:ascii="Cambria" w:hAnsi="Cambria"/>
          <w:noProof/>
          <w:sz w:val="22"/>
        </w:rPr>
        <w:tab/>
        <w:t xml:space="preserve">Scolyer, R. A. </w:t>
      </w:r>
      <w:r w:rsidRPr="005676A9">
        <w:rPr>
          <w:rFonts w:ascii="Cambria" w:hAnsi="Cambria"/>
          <w:i/>
          <w:iCs/>
          <w:noProof/>
          <w:sz w:val="22"/>
        </w:rPr>
        <w:t>et al.</w:t>
      </w:r>
      <w:r w:rsidRPr="005676A9">
        <w:rPr>
          <w:rFonts w:ascii="Cambria" w:hAnsi="Cambria"/>
          <w:noProof/>
          <w:sz w:val="22"/>
        </w:rPr>
        <w:t xml:space="preserve"> Micromorphometric Features of Positive Sentinel Lymph Nodes Predict Involvement of Nonsentinel Nodes in Patients With Melanoma. </w:t>
      </w:r>
      <w:r w:rsidRPr="005676A9">
        <w:rPr>
          <w:rFonts w:ascii="Cambria" w:hAnsi="Cambria"/>
          <w:i/>
          <w:iCs/>
          <w:noProof/>
          <w:sz w:val="22"/>
        </w:rPr>
        <w:t>Am. J. Clin. Pathol.</w:t>
      </w:r>
      <w:r w:rsidRPr="005676A9">
        <w:rPr>
          <w:rFonts w:ascii="Cambria" w:hAnsi="Cambria"/>
          <w:noProof/>
          <w:sz w:val="22"/>
        </w:rPr>
        <w:t xml:space="preserve"> </w:t>
      </w:r>
      <w:r w:rsidRPr="005676A9">
        <w:rPr>
          <w:rFonts w:ascii="Cambria" w:hAnsi="Cambria"/>
          <w:b/>
          <w:bCs/>
          <w:noProof/>
          <w:sz w:val="22"/>
        </w:rPr>
        <w:t>122,</w:t>
      </w:r>
      <w:r w:rsidRPr="005676A9">
        <w:rPr>
          <w:rFonts w:ascii="Cambria" w:hAnsi="Cambria"/>
          <w:noProof/>
          <w:sz w:val="22"/>
        </w:rPr>
        <w:t xml:space="preserve"> 532–539 (2004).</w:t>
      </w:r>
    </w:p>
    <w:p w14:paraId="7A409982"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143.</w:t>
      </w:r>
      <w:r w:rsidRPr="005676A9">
        <w:rPr>
          <w:rFonts w:ascii="Cambria" w:hAnsi="Cambria"/>
          <w:noProof/>
          <w:sz w:val="22"/>
        </w:rPr>
        <w:tab/>
        <w:t xml:space="preserve">Starz, H., Siedlecki, K. &amp; Balda, B.-R. Sentinel lymphonodectomy and s-classification: a successful strategy for better prediction and improvement of outcome of melanoma. </w:t>
      </w:r>
      <w:r w:rsidRPr="005676A9">
        <w:rPr>
          <w:rFonts w:ascii="Cambria" w:hAnsi="Cambria"/>
          <w:i/>
          <w:iCs/>
          <w:noProof/>
          <w:sz w:val="22"/>
        </w:rPr>
        <w:t>Ann. Surg. Oncol.</w:t>
      </w:r>
      <w:r w:rsidRPr="005676A9">
        <w:rPr>
          <w:rFonts w:ascii="Cambria" w:hAnsi="Cambria"/>
          <w:noProof/>
          <w:sz w:val="22"/>
        </w:rPr>
        <w:t xml:space="preserve"> </w:t>
      </w:r>
      <w:r w:rsidRPr="005676A9">
        <w:rPr>
          <w:rFonts w:ascii="Cambria" w:hAnsi="Cambria"/>
          <w:b/>
          <w:bCs/>
          <w:noProof/>
          <w:sz w:val="22"/>
        </w:rPr>
        <w:t>11,</w:t>
      </w:r>
      <w:r w:rsidRPr="005676A9">
        <w:rPr>
          <w:rFonts w:ascii="Cambria" w:hAnsi="Cambria"/>
          <w:noProof/>
          <w:sz w:val="22"/>
        </w:rPr>
        <w:t xml:space="preserve"> 162S–8S (2004).</w:t>
      </w:r>
    </w:p>
    <w:p w14:paraId="1B4E0B09"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144.</w:t>
      </w:r>
      <w:r w:rsidRPr="005676A9">
        <w:rPr>
          <w:rFonts w:ascii="Cambria" w:hAnsi="Cambria"/>
          <w:noProof/>
          <w:sz w:val="22"/>
        </w:rPr>
        <w:tab/>
        <w:t xml:space="preserve">Dewar, D. J. </w:t>
      </w:r>
      <w:r w:rsidRPr="005676A9">
        <w:rPr>
          <w:rFonts w:ascii="Cambria" w:hAnsi="Cambria"/>
          <w:i/>
          <w:iCs/>
          <w:noProof/>
          <w:sz w:val="22"/>
        </w:rPr>
        <w:t>et al.</w:t>
      </w:r>
      <w:r w:rsidRPr="005676A9">
        <w:rPr>
          <w:rFonts w:ascii="Cambria" w:hAnsi="Cambria"/>
          <w:noProof/>
          <w:sz w:val="22"/>
        </w:rPr>
        <w:t xml:space="preserve"> The microanatomic location of metastatic melanoma in sentinel lymph nodes predicts nonsentinel lymph node involvement. </w:t>
      </w:r>
      <w:r w:rsidRPr="005676A9">
        <w:rPr>
          <w:rFonts w:ascii="Cambria" w:hAnsi="Cambria"/>
          <w:i/>
          <w:iCs/>
          <w:noProof/>
          <w:sz w:val="22"/>
        </w:rPr>
        <w:t>J. Clin. Oncol.</w:t>
      </w:r>
      <w:r w:rsidRPr="005676A9">
        <w:rPr>
          <w:rFonts w:ascii="Cambria" w:hAnsi="Cambria"/>
          <w:noProof/>
          <w:sz w:val="22"/>
        </w:rPr>
        <w:t xml:space="preserve"> </w:t>
      </w:r>
      <w:r w:rsidRPr="005676A9">
        <w:rPr>
          <w:rFonts w:ascii="Cambria" w:hAnsi="Cambria"/>
          <w:b/>
          <w:bCs/>
          <w:noProof/>
          <w:sz w:val="22"/>
        </w:rPr>
        <w:t>22,</w:t>
      </w:r>
      <w:r w:rsidRPr="005676A9">
        <w:rPr>
          <w:rFonts w:ascii="Cambria" w:hAnsi="Cambria"/>
          <w:noProof/>
          <w:sz w:val="22"/>
        </w:rPr>
        <w:t xml:space="preserve"> 3345–9 (2004).</w:t>
      </w:r>
    </w:p>
    <w:p w14:paraId="1C0A2706"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145.</w:t>
      </w:r>
      <w:r w:rsidRPr="005676A9">
        <w:rPr>
          <w:rFonts w:ascii="Cambria" w:hAnsi="Cambria"/>
          <w:noProof/>
          <w:sz w:val="22"/>
        </w:rPr>
        <w:tab/>
        <w:t xml:space="preserve">Fink, A. M. </w:t>
      </w:r>
      <w:r w:rsidRPr="005676A9">
        <w:rPr>
          <w:rFonts w:ascii="Cambria" w:hAnsi="Cambria"/>
          <w:i/>
          <w:iCs/>
          <w:noProof/>
          <w:sz w:val="22"/>
        </w:rPr>
        <w:t>et al.</w:t>
      </w:r>
      <w:r w:rsidRPr="005676A9">
        <w:rPr>
          <w:rFonts w:ascii="Cambria" w:hAnsi="Cambria"/>
          <w:noProof/>
          <w:sz w:val="22"/>
        </w:rPr>
        <w:t xml:space="preserve"> S-classification of sentinel lymph node biopsy predicts the results of complete regional lymph node dissection. </w:t>
      </w:r>
      <w:r w:rsidRPr="005676A9">
        <w:rPr>
          <w:rFonts w:ascii="Cambria" w:hAnsi="Cambria"/>
          <w:i/>
          <w:iCs/>
          <w:noProof/>
          <w:sz w:val="22"/>
        </w:rPr>
        <w:t>Melanoma Res.</w:t>
      </w:r>
      <w:r w:rsidRPr="005676A9">
        <w:rPr>
          <w:rFonts w:ascii="Cambria" w:hAnsi="Cambria"/>
          <w:noProof/>
          <w:sz w:val="22"/>
        </w:rPr>
        <w:t xml:space="preserve"> </w:t>
      </w:r>
      <w:r w:rsidRPr="005676A9">
        <w:rPr>
          <w:rFonts w:ascii="Cambria" w:hAnsi="Cambria"/>
          <w:b/>
          <w:bCs/>
          <w:noProof/>
          <w:sz w:val="22"/>
        </w:rPr>
        <w:t>15,</w:t>
      </w:r>
      <w:r w:rsidRPr="005676A9">
        <w:rPr>
          <w:rFonts w:ascii="Cambria" w:hAnsi="Cambria"/>
          <w:noProof/>
          <w:sz w:val="22"/>
        </w:rPr>
        <w:t xml:space="preserve"> 267–71 (2005).</w:t>
      </w:r>
    </w:p>
    <w:p w14:paraId="4C87C0FC"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146.</w:t>
      </w:r>
      <w:r w:rsidRPr="005676A9">
        <w:rPr>
          <w:rFonts w:ascii="Cambria" w:hAnsi="Cambria"/>
          <w:noProof/>
          <w:sz w:val="22"/>
        </w:rPr>
        <w:tab/>
        <w:t xml:space="preserve">Sabel, M. S. </w:t>
      </w:r>
      <w:r w:rsidRPr="005676A9">
        <w:rPr>
          <w:rFonts w:ascii="Cambria" w:hAnsi="Cambria"/>
          <w:i/>
          <w:iCs/>
          <w:noProof/>
          <w:sz w:val="22"/>
        </w:rPr>
        <w:t>et al.</w:t>
      </w:r>
      <w:r w:rsidRPr="005676A9">
        <w:rPr>
          <w:rFonts w:ascii="Cambria" w:hAnsi="Cambria"/>
          <w:noProof/>
          <w:sz w:val="22"/>
        </w:rPr>
        <w:t xml:space="preserve"> Predictors of nonsentinel lymph node positivity in patients with a positive sentinel node for melanoma. </w:t>
      </w:r>
      <w:r w:rsidRPr="005676A9">
        <w:rPr>
          <w:rFonts w:ascii="Cambria" w:hAnsi="Cambria"/>
          <w:i/>
          <w:iCs/>
          <w:noProof/>
          <w:sz w:val="22"/>
        </w:rPr>
        <w:t>J. Am. Coll. Surg.</w:t>
      </w:r>
      <w:r w:rsidRPr="005676A9">
        <w:rPr>
          <w:rFonts w:ascii="Cambria" w:hAnsi="Cambria"/>
          <w:noProof/>
          <w:sz w:val="22"/>
        </w:rPr>
        <w:t xml:space="preserve"> </w:t>
      </w:r>
      <w:r w:rsidRPr="005676A9">
        <w:rPr>
          <w:rFonts w:ascii="Cambria" w:hAnsi="Cambria"/>
          <w:b/>
          <w:bCs/>
          <w:noProof/>
          <w:sz w:val="22"/>
        </w:rPr>
        <w:t>201,</w:t>
      </w:r>
      <w:r w:rsidRPr="005676A9">
        <w:rPr>
          <w:rFonts w:ascii="Cambria" w:hAnsi="Cambria"/>
          <w:noProof/>
          <w:sz w:val="22"/>
        </w:rPr>
        <w:t xml:space="preserve"> 37–47 (2005).</w:t>
      </w:r>
    </w:p>
    <w:p w14:paraId="0F03590B"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147.</w:t>
      </w:r>
      <w:r w:rsidRPr="005676A9">
        <w:rPr>
          <w:rFonts w:ascii="Cambria" w:hAnsi="Cambria"/>
          <w:noProof/>
          <w:sz w:val="22"/>
        </w:rPr>
        <w:tab/>
        <w:t xml:space="preserve">Vuylsteke, R. J. C. L. M. </w:t>
      </w:r>
      <w:r w:rsidRPr="005676A9">
        <w:rPr>
          <w:rFonts w:ascii="Cambria" w:hAnsi="Cambria"/>
          <w:i/>
          <w:iCs/>
          <w:noProof/>
          <w:sz w:val="22"/>
        </w:rPr>
        <w:t>et al.</w:t>
      </w:r>
      <w:r w:rsidRPr="005676A9">
        <w:rPr>
          <w:rFonts w:ascii="Cambria" w:hAnsi="Cambria"/>
          <w:noProof/>
          <w:sz w:val="22"/>
        </w:rPr>
        <w:t xml:space="preserve"> Sentinel lymph node tumor load: an independent predictor of additional lymph node involvement and survival in melanoma. </w:t>
      </w:r>
      <w:r w:rsidRPr="005676A9">
        <w:rPr>
          <w:rFonts w:ascii="Cambria" w:hAnsi="Cambria"/>
          <w:i/>
          <w:iCs/>
          <w:noProof/>
          <w:sz w:val="22"/>
        </w:rPr>
        <w:t>Ann. Surg. Oncol.</w:t>
      </w:r>
      <w:r w:rsidRPr="005676A9">
        <w:rPr>
          <w:rFonts w:ascii="Cambria" w:hAnsi="Cambria"/>
          <w:noProof/>
          <w:sz w:val="22"/>
        </w:rPr>
        <w:t xml:space="preserve"> </w:t>
      </w:r>
      <w:r w:rsidRPr="005676A9">
        <w:rPr>
          <w:rFonts w:ascii="Cambria" w:hAnsi="Cambria"/>
          <w:b/>
          <w:bCs/>
          <w:noProof/>
          <w:sz w:val="22"/>
        </w:rPr>
        <w:t>12,</w:t>
      </w:r>
      <w:r w:rsidRPr="005676A9">
        <w:rPr>
          <w:rFonts w:ascii="Cambria" w:hAnsi="Cambria"/>
          <w:noProof/>
          <w:sz w:val="22"/>
        </w:rPr>
        <w:t xml:space="preserve"> 440–8 (2005).</w:t>
      </w:r>
    </w:p>
    <w:p w14:paraId="0E7BB824"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148.</w:t>
      </w:r>
      <w:r w:rsidRPr="005676A9">
        <w:rPr>
          <w:rFonts w:ascii="Cambria" w:hAnsi="Cambria"/>
          <w:noProof/>
          <w:sz w:val="22"/>
        </w:rPr>
        <w:tab/>
        <w:t xml:space="preserve">Pearlman, N. W. </w:t>
      </w:r>
      <w:r w:rsidRPr="005676A9">
        <w:rPr>
          <w:rFonts w:ascii="Cambria" w:hAnsi="Cambria"/>
          <w:i/>
          <w:iCs/>
          <w:noProof/>
          <w:sz w:val="22"/>
        </w:rPr>
        <w:t>et al.</w:t>
      </w:r>
      <w:r w:rsidRPr="005676A9">
        <w:rPr>
          <w:rFonts w:ascii="Cambria" w:hAnsi="Cambria"/>
          <w:noProof/>
          <w:sz w:val="22"/>
        </w:rPr>
        <w:t xml:space="preserve"> Size of sentinel node metastases predicts other nodal disease and survival in malignant melanoma. </w:t>
      </w:r>
      <w:r w:rsidRPr="005676A9">
        <w:rPr>
          <w:rFonts w:ascii="Cambria" w:hAnsi="Cambria"/>
          <w:i/>
          <w:iCs/>
          <w:noProof/>
          <w:sz w:val="22"/>
        </w:rPr>
        <w:t>Am. J. Surg.</w:t>
      </w:r>
      <w:r w:rsidRPr="005676A9">
        <w:rPr>
          <w:rFonts w:ascii="Cambria" w:hAnsi="Cambria"/>
          <w:noProof/>
          <w:sz w:val="22"/>
        </w:rPr>
        <w:t xml:space="preserve"> </w:t>
      </w:r>
      <w:r w:rsidRPr="005676A9">
        <w:rPr>
          <w:rFonts w:ascii="Cambria" w:hAnsi="Cambria"/>
          <w:b/>
          <w:bCs/>
          <w:noProof/>
          <w:sz w:val="22"/>
        </w:rPr>
        <w:t>192,</w:t>
      </w:r>
      <w:r w:rsidRPr="005676A9">
        <w:rPr>
          <w:rFonts w:ascii="Cambria" w:hAnsi="Cambria"/>
          <w:noProof/>
          <w:sz w:val="22"/>
        </w:rPr>
        <w:t xml:space="preserve"> 878–81 (2006).</w:t>
      </w:r>
    </w:p>
    <w:p w14:paraId="3B53F8F2"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149.</w:t>
      </w:r>
      <w:r w:rsidRPr="005676A9">
        <w:rPr>
          <w:rFonts w:ascii="Cambria" w:hAnsi="Cambria"/>
          <w:noProof/>
          <w:sz w:val="22"/>
        </w:rPr>
        <w:tab/>
        <w:t xml:space="preserve">Cascinelli, N. </w:t>
      </w:r>
      <w:r w:rsidRPr="005676A9">
        <w:rPr>
          <w:rFonts w:ascii="Cambria" w:hAnsi="Cambria"/>
          <w:i/>
          <w:iCs/>
          <w:noProof/>
          <w:sz w:val="22"/>
        </w:rPr>
        <w:t>et al.</w:t>
      </w:r>
      <w:r w:rsidRPr="005676A9">
        <w:rPr>
          <w:rFonts w:ascii="Cambria" w:hAnsi="Cambria"/>
          <w:noProof/>
          <w:sz w:val="22"/>
        </w:rPr>
        <w:t xml:space="preserve"> Sentinel and nonsentinel node status in stage IB and II melanoma patients: two-step prognostic indicators of survival. </w:t>
      </w:r>
      <w:r w:rsidRPr="005676A9">
        <w:rPr>
          <w:rFonts w:ascii="Cambria" w:hAnsi="Cambria"/>
          <w:i/>
          <w:iCs/>
          <w:noProof/>
          <w:sz w:val="22"/>
        </w:rPr>
        <w:t>J. Clin. Oncol.</w:t>
      </w:r>
      <w:r w:rsidRPr="005676A9">
        <w:rPr>
          <w:rFonts w:ascii="Cambria" w:hAnsi="Cambria"/>
          <w:noProof/>
          <w:sz w:val="22"/>
        </w:rPr>
        <w:t xml:space="preserve"> </w:t>
      </w:r>
      <w:r w:rsidRPr="005676A9">
        <w:rPr>
          <w:rFonts w:ascii="Cambria" w:hAnsi="Cambria"/>
          <w:b/>
          <w:bCs/>
          <w:noProof/>
          <w:sz w:val="22"/>
        </w:rPr>
        <w:t>24,</w:t>
      </w:r>
      <w:r w:rsidRPr="005676A9">
        <w:rPr>
          <w:rFonts w:ascii="Cambria" w:hAnsi="Cambria"/>
          <w:noProof/>
          <w:sz w:val="22"/>
        </w:rPr>
        <w:t xml:space="preserve"> 4464–71 (2006).</w:t>
      </w:r>
    </w:p>
    <w:p w14:paraId="1F823AC7"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150.</w:t>
      </w:r>
      <w:r w:rsidRPr="005676A9">
        <w:rPr>
          <w:rFonts w:ascii="Cambria" w:hAnsi="Cambria"/>
          <w:noProof/>
          <w:sz w:val="22"/>
        </w:rPr>
        <w:tab/>
        <w:t xml:space="preserve">Debarbieux, S. </w:t>
      </w:r>
      <w:r w:rsidRPr="005676A9">
        <w:rPr>
          <w:rFonts w:ascii="Cambria" w:hAnsi="Cambria"/>
          <w:i/>
          <w:iCs/>
          <w:noProof/>
          <w:sz w:val="22"/>
        </w:rPr>
        <w:t>et al.</w:t>
      </w:r>
      <w:r w:rsidRPr="005676A9">
        <w:rPr>
          <w:rFonts w:ascii="Cambria" w:hAnsi="Cambria"/>
          <w:noProof/>
          <w:sz w:val="22"/>
        </w:rPr>
        <w:t xml:space="preserve"> Sentinel lymph node biopsy in melanoma: a micromorphometric study relating to prognosis and completion lymph node dissection. </w:t>
      </w:r>
      <w:r w:rsidRPr="005676A9">
        <w:rPr>
          <w:rFonts w:ascii="Cambria" w:hAnsi="Cambria"/>
          <w:i/>
          <w:iCs/>
          <w:noProof/>
          <w:sz w:val="22"/>
        </w:rPr>
        <w:t>Br. J. Dermatol.</w:t>
      </w:r>
      <w:r w:rsidRPr="005676A9">
        <w:rPr>
          <w:rFonts w:ascii="Cambria" w:hAnsi="Cambria"/>
          <w:noProof/>
          <w:sz w:val="22"/>
        </w:rPr>
        <w:t xml:space="preserve"> </w:t>
      </w:r>
      <w:r w:rsidRPr="005676A9">
        <w:rPr>
          <w:rFonts w:ascii="Cambria" w:hAnsi="Cambria"/>
          <w:b/>
          <w:bCs/>
          <w:noProof/>
          <w:sz w:val="22"/>
        </w:rPr>
        <w:t>157,</w:t>
      </w:r>
      <w:r w:rsidRPr="005676A9">
        <w:rPr>
          <w:rFonts w:ascii="Cambria" w:hAnsi="Cambria"/>
          <w:noProof/>
          <w:sz w:val="22"/>
        </w:rPr>
        <w:t xml:space="preserve"> 58–67 (2007).</w:t>
      </w:r>
    </w:p>
    <w:p w14:paraId="6215961E"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151.</w:t>
      </w:r>
      <w:r w:rsidRPr="005676A9">
        <w:rPr>
          <w:rFonts w:ascii="Cambria" w:hAnsi="Cambria"/>
          <w:noProof/>
          <w:sz w:val="22"/>
        </w:rPr>
        <w:tab/>
        <w:t xml:space="preserve">Page, A. J. </w:t>
      </w:r>
      <w:r w:rsidRPr="005676A9">
        <w:rPr>
          <w:rFonts w:ascii="Cambria" w:hAnsi="Cambria"/>
          <w:i/>
          <w:iCs/>
          <w:noProof/>
          <w:sz w:val="22"/>
        </w:rPr>
        <w:t>et al.</w:t>
      </w:r>
      <w:r w:rsidRPr="005676A9">
        <w:rPr>
          <w:rFonts w:ascii="Cambria" w:hAnsi="Cambria"/>
          <w:noProof/>
          <w:sz w:val="22"/>
        </w:rPr>
        <w:t xml:space="preserve"> Prediction of nonsentinel lymph node involvement in patients with a positive sentinel lymph node in malignant melanoma. </w:t>
      </w:r>
      <w:r w:rsidRPr="005676A9">
        <w:rPr>
          <w:rFonts w:ascii="Cambria" w:hAnsi="Cambria"/>
          <w:i/>
          <w:iCs/>
          <w:noProof/>
          <w:sz w:val="22"/>
        </w:rPr>
        <w:t>Am. Surg.</w:t>
      </w:r>
      <w:r w:rsidRPr="005676A9">
        <w:rPr>
          <w:rFonts w:ascii="Cambria" w:hAnsi="Cambria"/>
          <w:noProof/>
          <w:sz w:val="22"/>
        </w:rPr>
        <w:t xml:space="preserve"> </w:t>
      </w:r>
      <w:r w:rsidRPr="005676A9">
        <w:rPr>
          <w:rFonts w:ascii="Cambria" w:hAnsi="Cambria"/>
          <w:b/>
          <w:bCs/>
          <w:noProof/>
          <w:sz w:val="22"/>
        </w:rPr>
        <w:t>73,</w:t>
      </w:r>
      <w:r w:rsidRPr="005676A9">
        <w:rPr>
          <w:rFonts w:ascii="Cambria" w:hAnsi="Cambria"/>
          <w:noProof/>
          <w:sz w:val="22"/>
        </w:rPr>
        <w:t xml:space="preserve"> 674–8; discussion 678–9 (2007).</w:t>
      </w:r>
    </w:p>
    <w:p w14:paraId="712CF515"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152.</w:t>
      </w:r>
      <w:r w:rsidRPr="005676A9">
        <w:rPr>
          <w:rFonts w:ascii="Cambria" w:hAnsi="Cambria"/>
          <w:noProof/>
          <w:sz w:val="22"/>
        </w:rPr>
        <w:tab/>
        <w:t xml:space="preserve">Rossi, C. R. </w:t>
      </w:r>
      <w:r w:rsidRPr="005676A9">
        <w:rPr>
          <w:rFonts w:ascii="Cambria" w:hAnsi="Cambria"/>
          <w:i/>
          <w:iCs/>
          <w:noProof/>
          <w:sz w:val="22"/>
        </w:rPr>
        <w:t>et al.</w:t>
      </w:r>
      <w:r w:rsidRPr="005676A9">
        <w:rPr>
          <w:rFonts w:ascii="Cambria" w:hAnsi="Cambria"/>
          <w:noProof/>
          <w:sz w:val="22"/>
        </w:rPr>
        <w:t xml:space="preserve"> Factors predictive of nonsentinel lymph node involvement and clinical outcome in melanoma patients with metastatic sentinel lymph node. </w:t>
      </w:r>
      <w:r w:rsidRPr="005676A9">
        <w:rPr>
          <w:rFonts w:ascii="Cambria" w:hAnsi="Cambria"/>
          <w:i/>
          <w:iCs/>
          <w:noProof/>
          <w:sz w:val="22"/>
        </w:rPr>
        <w:t>Ann. Surg. Oncol.</w:t>
      </w:r>
      <w:r w:rsidRPr="005676A9">
        <w:rPr>
          <w:rFonts w:ascii="Cambria" w:hAnsi="Cambria"/>
          <w:noProof/>
          <w:sz w:val="22"/>
        </w:rPr>
        <w:t xml:space="preserve"> </w:t>
      </w:r>
      <w:r w:rsidRPr="005676A9">
        <w:rPr>
          <w:rFonts w:ascii="Cambria" w:hAnsi="Cambria"/>
          <w:b/>
          <w:bCs/>
          <w:noProof/>
          <w:sz w:val="22"/>
        </w:rPr>
        <w:t>15,</w:t>
      </w:r>
      <w:r w:rsidRPr="005676A9">
        <w:rPr>
          <w:rFonts w:ascii="Cambria" w:hAnsi="Cambria"/>
          <w:noProof/>
          <w:sz w:val="22"/>
        </w:rPr>
        <w:t xml:space="preserve"> 1202–10 (2008).</w:t>
      </w:r>
    </w:p>
    <w:p w14:paraId="64C30DF4"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153.</w:t>
      </w:r>
      <w:r w:rsidRPr="005676A9">
        <w:rPr>
          <w:rFonts w:ascii="Cambria" w:hAnsi="Cambria"/>
          <w:noProof/>
          <w:sz w:val="22"/>
        </w:rPr>
        <w:tab/>
        <w:t xml:space="preserve">Satzger, I., Völker, B., Meier, A., Kapp, A. &amp; Gutzmer, R. Criteria in sentinel lymph nodes of melanoma patients that predict involvement of nonsentinel lymph nodes. </w:t>
      </w:r>
      <w:r w:rsidRPr="005676A9">
        <w:rPr>
          <w:rFonts w:ascii="Cambria" w:hAnsi="Cambria"/>
          <w:i/>
          <w:iCs/>
          <w:noProof/>
          <w:sz w:val="22"/>
        </w:rPr>
        <w:t>Ann. Surg. Oncol.</w:t>
      </w:r>
      <w:r w:rsidRPr="005676A9">
        <w:rPr>
          <w:rFonts w:ascii="Cambria" w:hAnsi="Cambria"/>
          <w:noProof/>
          <w:sz w:val="22"/>
        </w:rPr>
        <w:t xml:space="preserve"> </w:t>
      </w:r>
      <w:r w:rsidRPr="005676A9">
        <w:rPr>
          <w:rFonts w:ascii="Cambria" w:hAnsi="Cambria"/>
          <w:b/>
          <w:bCs/>
          <w:noProof/>
          <w:sz w:val="22"/>
        </w:rPr>
        <w:t>15,</w:t>
      </w:r>
      <w:r w:rsidRPr="005676A9">
        <w:rPr>
          <w:rFonts w:ascii="Cambria" w:hAnsi="Cambria"/>
          <w:noProof/>
          <w:sz w:val="22"/>
        </w:rPr>
        <w:t xml:space="preserve"> 1723–32 (2008).</w:t>
      </w:r>
    </w:p>
    <w:p w14:paraId="29FB3610"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154.</w:t>
      </w:r>
      <w:r w:rsidRPr="005676A9">
        <w:rPr>
          <w:rFonts w:ascii="Cambria" w:hAnsi="Cambria"/>
          <w:noProof/>
          <w:sz w:val="22"/>
        </w:rPr>
        <w:tab/>
        <w:t xml:space="preserve">Van Akkooi, A. C. J. </w:t>
      </w:r>
      <w:r w:rsidRPr="005676A9">
        <w:rPr>
          <w:rFonts w:ascii="Cambria" w:hAnsi="Cambria"/>
          <w:i/>
          <w:iCs/>
          <w:noProof/>
          <w:sz w:val="22"/>
        </w:rPr>
        <w:t>et al.</w:t>
      </w:r>
      <w:r w:rsidRPr="005676A9">
        <w:rPr>
          <w:rFonts w:ascii="Cambria" w:hAnsi="Cambria"/>
          <w:noProof/>
          <w:sz w:val="22"/>
        </w:rPr>
        <w:t xml:space="preserve"> Clinical relevance of melanoma micrometastases (&lt;0.1 mm) in sentinel nodes: are these nodes to be considered negative? </w:t>
      </w:r>
      <w:r w:rsidRPr="005676A9">
        <w:rPr>
          <w:rFonts w:ascii="Cambria" w:hAnsi="Cambria"/>
          <w:i/>
          <w:iCs/>
          <w:noProof/>
          <w:sz w:val="22"/>
        </w:rPr>
        <w:t>Ann. Oncol.</w:t>
      </w:r>
      <w:r w:rsidRPr="005676A9">
        <w:rPr>
          <w:rFonts w:ascii="Cambria" w:hAnsi="Cambria"/>
          <w:noProof/>
          <w:sz w:val="22"/>
        </w:rPr>
        <w:t xml:space="preserve"> </w:t>
      </w:r>
      <w:r w:rsidRPr="005676A9">
        <w:rPr>
          <w:rFonts w:ascii="Cambria" w:hAnsi="Cambria"/>
          <w:b/>
          <w:bCs/>
          <w:noProof/>
          <w:sz w:val="22"/>
        </w:rPr>
        <w:t>17,</w:t>
      </w:r>
      <w:r w:rsidRPr="005676A9">
        <w:rPr>
          <w:rFonts w:ascii="Cambria" w:hAnsi="Cambria"/>
          <w:noProof/>
          <w:sz w:val="22"/>
        </w:rPr>
        <w:t xml:space="preserve"> 1578–85 (2006).</w:t>
      </w:r>
    </w:p>
    <w:p w14:paraId="2555D749"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155.</w:t>
      </w:r>
      <w:r w:rsidRPr="005676A9">
        <w:rPr>
          <w:rFonts w:ascii="Cambria" w:hAnsi="Cambria"/>
          <w:noProof/>
          <w:sz w:val="22"/>
        </w:rPr>
        <w:tab/>
        <w:t xml:space="preserve">Roka, F. </w:t>
      </w:r>
      <w:r w:rsidRPr="005676A9">
        <w:rPr>
          <w:rFonts w:ascii="Cambria" w:hAnsi="Cambria"/>
          <w:i/>
          <w:iCs/>
          <w:noProof/>
          <w:sz w:val="22"/>
        </w:rPr>
        <w:t>et al.</w:t>
      </w:r>
      <w:r w:rsidRPr="005676A9">
        <w:rPr>
          <w:rFonts w:ascii="Cambria" w:hAnsi="Cambria"/>
          <w:noProof/>
          <w:sz w:val="22"/>
        </w:rPr>
        <w:t xml:space="preserve"> Prediction of non-sentinel node status and outcome in sentinel node-positive melanoma patients. </w:t>
      </w:r>
      <w:r w:rsidRPr="005676A9">
        <w:rPr>
          <w:rFonts w:ascii="Cambria" w:hAnsi="Cambria"/>
          <w:i/>
          <w:iCs/>
          <w:noProof/>
          <w:sz w:val="22"/>
        </w:rPr>
        <w:t>Eur. J. Surg. Oncol.</w:t>
      </w:r>
      <w:r w:rsidRPr="005676A9">
        <w:rPr>
          <w:rFonts w:ascii="Cambria" w:hAnsi="Cambria"/>
          <w:noProof/>
          <w:sz w:val="22"/>
        </w:rPr>
        <w:t xml:space="preserve"> </w:t>
      </w:r>
      <w:r w:rsidRPr="005676A9">
        <w:rPr>
          <w:rFonts w:ascii="Cambria" w:hAnsi="Cambria"/>
          <w:b/>
          <w:bCs/>
          <w:noProof/>
          <w:sz w:val="22"/>
        </w:rPr>
        <w:t>34,</w:t>
      </w:r>
      <w:r w:rsidRPr="005676A9">
        <w:rPr>
          <w:rFonts w:ascii="Cambria" w:hAnsi="Cambria"/>
          <w:noProof/>
          <w:sz w:val="22"/>
        </w:rPr>
        <w:t xml:space="preserve"> 82–88 (2008).</w:t>
      </w:r>
    </w:p>
    <w:p w14:paraId="6930CC55"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156.</w:t>
      </w:r>
      <w:r w:rsidRPr="005676A9">
        <w:rPr>
          <w:rFonts w:ascii="Cambria" w:hAnsi="Cambria"/>
          <w:noProof/>
          <w:sz w:val="22"/>
        </w:rPr>
        <w:tab/>
        <w:t xml:space="preserve">Wrightson, W. R. </w:t>
      </w:r>
      <w:r w:rsidRPr="005676A9">
        <w:rPr>
          <w:rFonts w:ascii="Cambria" w:hAnsi="Cambria"/>
          <w:i/>
          <w:iCs/>
          <w:noProof/>
          <w:sz w:val="22"/>
        </w:rPr>
        <w:t>et al.</w:t>
      </w:r>
      <w:r w:rsidRPr="005676A9">
        <w:rPr>
          <w:rFonts w:ascii="Cambria" w:hAnsi="Cambria"/>
          <w:noProof/>
          <w:sz w:val="22"/>
        </w:rPr>
        <w:t xml:space="preserve"> Complications associated with sentinel lymph node biopsy for melanoma. </w:t>
      </w:r>
      <w:r w:rsidRPr="005676A9">
        <w:rPr>
          <w:rFonts w:ascii="Cambria" w:hAnsi="Cambria"/>
          <w:i/>
          <w:iCs/>
          <w:noProof/>
          <w:sz w:val="22"/>
        </w:rPr>
        <w:t>Ann. Surg. Oncol.</w:t>
      </w:r>
      <w:r w:rsidRPr="005676A9">
        <w:rPr>
          <w:rFonts w:ascii="Cambria" w:hAnsi="Cambria"/>
          <w:noProof/>
          <w:sz w:val="22"/>
        </w:rPr>
        <w:t xml:space="preserve"> </w:t>
      </w:r>
      <w:r w:rsidRPr="005676A9">
        <w:rPr>
          <w:rFonts w:ascii="Cambria" w:hAnsi="Cambria"/>
          <w:b/>
          <w:bCs/>
          <w:noProof/>
          <w:sz w:val="22"/>
        </w:rPr>
        <w:t>10,</w:t>
      </w:r>
      <w:r w:rsidRPr="005676A9">
        <w:rPr>
          <w:rFonts w:ascii="Cambria" w:hAnsi="Cambria"/>
          <w:noProof/>
          <w:sz w:val="22"/>
        </w:rPr>
        <w:t xml:space="preserve"> 676–80 (2003).</w:t>
      </w:r>
    </w:p>
    <w:p w14:paraId="101BB74B"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157.</w:t>
      </w:r>
      <w:r w:rsidRPr="005676A9">
        <w:rPr>
          <w:rFonts w:ascii="Cambria" w:hAnsi="Cambria"/>
          <w:noProof/>
          <w:sz w:val="22"/>
        </w:rPr>
        <w:tab/>
        <w:t xml:space="preserve">Morton, D. L. </w:t>
      </w:r>
      <w:r w:rsidRPr="005676A9">
        <w:rPr>
          <w:rFonts w:ascii="Cambria" w:hAnsi="Cambria"/>
          <w:i/>
          <w:iCs/>
          <w:noProof/>
          <w:sz w:val="22"/>
        </w:rPr>
        <w:t>et al.</w:t>
      </w:r>
      <w:r w:rsidRPr="005676A9">
        <w:rPr>
          <w:rFonts w:ascii="Cambria" w:hAnsi="Cambria"/>
          <w:noProof/>
          <w:sz w:val="22"/>
        </w:rPr>
        <w:t xml:space="preserve"> Sentinel node biopsy for early-stage melanoma: accuracy and morbidity in MSLT-I, an international multicenter trial. </w:t>
      </w:r>
      <w:r w:rsidRPr="005676A9">
        <w:rPr>
          <w:rFonts w:ascii="Cambria" w:hAnsi="Cambria"/>
          <w:i/>
          <w:iCs/>
          <w:noProof/>
          <w:sz w:val="22"/>
        </w:rPr>
        <w:t>Ann. Surg.</w:t>
      </w:r>
      <w:r w:rsidRPr="005676A9">
        <w:rPr>
          <w:rFonts w:ascii="Cambria" w:hAnsi="Cambria"/>
          <w:noProof/>
          <w:sz w:val="22"/>
        </w:rPr>
        <w:t xml:space="preserve"> </w:t>
      </w:r>
      <w:r w:rsidRPr="005676A9">
        <w:rPr>
          <w:rFonts w:ascii="Cambria" w:hAnsi="Cambria"/>
          <w:b/>
          <w:bCs/>
          <w:noProof/>
          <w:sz w:val="22"/>
        </w:rPr>
        <w:t>242,</w:t>
      </w:r>
      <w:r w:rsidRPr="005676A9">
        <w:rPr>
          <w:rFonts w:ascii="Cambria" w:hAnsi="Cambria"/>
          <w:noProof/>
          <w:sz w:val="22"/>
        </w:rPr>
        <w:t xml:space="preserve"> 302–11; discussion 311–3 (2005).</w:t>
      </w:r>
    </w:p>
    <w:p w14:paraId="125366A1"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158.</w:t>
      </w:r>
      <w:r w:rsidRPr="005676A9">
        <w:rPr>
          <w:rFonts w:ascii="Cambria" w:hAnsi="Cambria"/>
          <w:noProof/>
          <w:sz w:val="22"/>
        </w:rPr>
        <w:tab/>
        <w:t xml:space="preserve">De Vries, M., Vonkeman, W. G., van Ginkel, R. J. &amp; Hoekstra, H. J. Morbidity after inguinal sentinel lymph node biopsy and completion lymph node dissection in patients with cutaneous melanoma. </w:t>
      </w:r>
      <w:r w:rsidRPr="005676A9">
        <w:rPr>
          <w:rFonts w:ascii="Cambria" w:hAnsi="Cambria"/>
          <w:i/>
          <w:iCs/>
          <w:noProof/>
          <w:sz w:val="22"/>
        </w:rPr>
        <w:t>Eur. J. Surg. Oncol.</w:t>
      </w:r>
      <w:r w:rsidRPr="005676A9">
        <w:rPr>
          <w:rFonts w:ascii="Cambria" w:hAnsi="Cambria"/>
          <w:noProof/>
          <w:sz w:val="22"/>
        </w:rPr>
        <w:t xml:space="preserve"> </w:t>
      </w:r>
      <w:r w:rsidRPr="005676A9">
        <w:rPr>
          <w:rFonts w:ascii="Cambria" w:hAnsi="Cambria"/>
          <w:b/>
          <w:bCs/>
          <w:noProof/>
          <w:sz w:val="22"/>
        </w:rPr>
        <w:t>32,</w:t>
      </w:r>
      <w:r w:rsidRPr="005676A9">
        <w:rPr>
          <w:rFonts w:ascii="Cambria" w:hAnsi="Cambria"/>
          <w:noProof/>
          <w:sz w:val="22"/>
        </w:rPr>
        <w:t xml:space="preserve"> 785–9 (2006).</w:t>
      </w:r>
    </w:p>
    <w:p w14:paraId="2494F2AD"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159.</w:t>
      </w:r>
      <w:r w:rsidRPr="005676A9">
        <w:rPr>
          <w:rFonts w:ascii="Cambria" w:hAnsi="Cambria"/>
          <w:noProof/>
          <w:sz w:val="22"/>
        </w:rPr>
        <w:tab/>
        <w:t xml:space="preserve">Morton, D. L. Sentinel node mapping and an International Sentinel Node Society: current issues and future directions. </w:t>
      </w:r>
      <w:r w:rsidRPr="005676A9">
        <w:rPr>
          <w:rFonts w:ascii="Cambria" w:hAnsi="Cambria"/>
          <w:i/>
          <w:iCs/>
          <w:noProof/>
          <w:sz w:val="22"/>
        </w:rPr>
        <w:t>Ann. Surg. Oncol.</w:t>
      </w:r>
      <w:r w:rsidRPr="005676A9">
        <w:rPr>
          <w:rFonts w:ascii="Cambria" w:hAnsi="Cambria"/>
          <w:noProof/>
          <w:sz w:val="22"/>
        </w:rPr>
        <w:t xml:space="preserve"> </w:t>
      </w:r>
      <w:r w:rsidRPr="005676A9">
        <w:rPr>
          <w:rFonts w:ascii="Cambria" w:hAnsi="Cambria"/>
          <w:b/>
          <w:bCs/>
          <w:noProof/>
          <w:sz w:val="22"/>
        </w:rPr>
        <w:t>11,</w:t>
      </w:r>
      <w:r w:rsidRPr="005676A9">
        <w:rPr>
          <w:rFonts w:ascii="Cambria" w:hAnsi="Cambria"/>
          <w:noProof/>
          <w:sz w:val="22"/>
        </w:rPr>
        <w:t xml:space="preserve"> 137S–43S (2004).</w:t>
      </w:r>
    </w:p>
    <w:p w14:paraId="012E9591"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160.</w:t>
      </w:r>
      <w:r w:rsidRPr="005676A9">
        <w:rPr>
          <w:rFonts w:ascii="Cambria" w:hAnsi="Cambria"/>
          <w:noProof/>
          <w:sz w:val="22"/>
        </w:rPr>
        <w:tab/>
        <w:t xml:space="preserve">Morton, D. L. Overview and update of the phase III Multicenter Selective Lymphadenectomy Trials (MSLT-I and MSLT-II) in melanoma. </w:t>
      </w:r>
      <w:r w:rsidRPr="005676A9">
        <w:rPr>
          <w:rFonts w:ascii="Cambria" w:hAnsi="Cambria"/>
          <w:i/>
          <w:iCs/>
          <w:noProof/>
          <w:sz w:val="22"/>
        </w:rPr>
        <w:t>Clin. Exp. Metastasis</w:t>
      </w:r>
      <w:r w:rsidRPr="005676A9">
        <w:rPr>
          <w:rFonts w:ascii="Cambria" w:hAnsi="Cambria"/>
          <w:noProof/>
          <w:sz w:val="22"/>
        </w:rPr>
        <w:t xml:space="preserve"> </w:t>
      </w:r>
      <w:r w:rsidRPr="005676A9">
        <w:rPr>
          <w:rFonts w:ascii="Cambria" w:hAnsi="Cambria"/>
          <w:b/>
          <w:bCs/>
          <w:noProof/>
          <w:sz w:val="22"/>
        </w:rPr>
        <w:t>29,</w:t>
      </w:r>
      <w:r w:rsidRPr="005676A9">
        <w:rPr>
          <w:rFonts w:ascii="Cambria" w:hAnsi="Cambria"/>
          <w:noProof/>
          <w:sz w:val="22"/>
        </w:rPr>
        <w:t xml:space="preserve"> 699–706 (2012).</w:t>
      </w:r>
    </w:p>
    <w:p w14:paraId="732C906C"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161.</w:t>
      </w:r>
      <w:r w:rsidRPr="005676A9">
        <w:rPr>
          <w:rFonts w:ascii="Cambria" w:hAnsi="Cambria"/>
          <w:noProof/>
          <w:sz w:val="22"/>
        </w:rPr>
        <w:tab/>
        <w:t xml:space="preserve">Wiener, M. </w:t>
      </w:r>
      <w:r w:rsidRPr="005676A9">
        <w:rPr>
          <w:rFonts w:ascii="Cambria" w:hAnsi="Cambria"/>
          <w:i/>
          <w:iCs/>
          <w:noProof/>
          <w:sz w:val="22"/>
        </w:rPr>
        <w:t>et al.</w:t>
      </w:r>
      <w:r w:rsidRPr="005676A9">
        <w:rPr>
          <w:rFonts w:ascii="Cambria" w:hAnsi="Cambria"/>
          <w:noProof/>
          <w:sz w:val="22"/>
        </w:rPr>
        <w:t xml:space="preserve"> Sentinel node positive melanoma patients: prediction and prognostic significance of nonsentinel node metastases and development of a survival tree model. </w:t>
      </w:r>
      <w:r w:rsidRPr="005676A9">
        <w:rPr>
          <w:rFonts w:ascii="Cambria" w:hAnsi="Cambria"/>
          <w:i/>
          <w:iCs/>
          <w:noProof/>
          <w:sz w:val="22"/>
        </w:rPr>
        <w:t>Ann. Surg. Oncol.</w:t>
      </w:r>
      <w:r w:rsidRPr="005676A9">
        <w:rPr>
          <w:rFonts w:ascii="Cambria" w:hAnsi="Cambria"/>
          <w:noProof/>
          <w:sz w:val="22"/>
        </w:rPr>
        <w:t xml:space="preserve"> </w:t>
      </w:r>
      <w:r w:rsidRPr="005676A9">
        <w:rPr>
          <w:rFonts w:ascii="Cambria" w:hAnsi="Cambria"/>
          <w:b/>
          <w:bCs/>
          <w:noProof/>
          <w:sz w:val="22"/>
        </w:rPr>
        <w:t>17,</w:t>
      </w:r>
      <w:r w:rsidRPr="005676A9">
        <w:rPr>
          <w:rFonts w:ascii="Cambria" w:hAnsi="Cambria"/>
          <w:noProof/>
          <w:sz w:val="22"/>
        </w:rPr>
        <w:t xml:space="preserve"> 1995–2005 (2010).</w:t>
      </w:r>
    </w:p>
    <w:p w14:paraId="0FAD7AA5"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162.</w:t>
      </w:r>
      <w:r w:rsidRPr="005676A9">
        <w:rPr>
          <w:rFonts w:ascii="Cambria" w:hAnsi="Cambria"/>
          <w:noProof/>
          <w:sz w:val="22"/>
        </w:rPr>
        <w:tab/>
        <w:t xml:space="preserve">Govindarajan, A., Ghazarian, D. M., McCready, D. R. &amp; Leong, W. L. Histological features of melanoma sentinel lymph node metastases associated with status of the completion lymphadenectomy and rate of subsequent relapse. </w:t>
      </w:r>
      <w:r w:rsidRPr="005676A9">
        <w:rPr>
          <w:rFonts w:ascii="Cambria" w:hAnsi="Cambria"/>
          <w:i/>
          <w:iCs/>
          <w:noProof/>
          <w:sz w:val="22"/>
        </w:rPr>
        <w:t>Ann. Surg. Oncol.</w:t>
      </w:r>
      <w:r w:rsidRPr="005676A9">
        <w:rPr>
          <w:rFonts w:ascii="Cambria" w:hAnsi="Cambria"/>
          <w:noProof/>
          <w:sz w:val="22"/>
        </w:rPr>
        <w:t xml:space="preserve"> </w:t>
      </w:r>
      <w:r w:rsidRPr="005676A9">
        <w:rPr>
          <w:rFonts w:ascii="Cambria" w:hAnsi="Cambria"/>
          <w:b/>
          <w:bCs/>
          <w:noProof/>
          <w:sz w:val="22"/>
        </w:rPr>
        <w:t>14,</w:t>
      </w:r>
      <w:r w:rsidRPr="005676A9">
        <w:rPr>
          <w:rFonts w:ascii="Cambria" w:hAnsi="Cambria"/>
          <w:noProof/>
          <w:sz w:val="22"/>
        </w:rPr>
        <w:t xml:space="preserve"> 906–12 (2007).</w:t>
      </w:r>
    </w:p>
    <w:p w14:paraId="0D46D141"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163.</w:t>
      </w:r>
      <w:r w:rsidRPr="005676A9">
        <w:rPr>
          <w:rFonts w:ascii="Cambria" w:hAnsi="Cambria"/>
          <w:noProof/>
          <w:sz w:val="22"/>
        </w:rPr>
        <w:tab/>
        <w:t xml:space="preserve">Nagaraja, V. &amp; Eslick, G. D. Is complete lymph node dissection after a positive sentinel lymph node biopsy for cutaneous melanoma always necessary? A meta-analysis. </w:t>
      </w:r>
      <w:r w:rsidRPr="005676A9">
        <w:rPr>
          <w:rFonts w:ascii="Cambria" w:hAnsi="Cambria"/>
          <w:i/>
          <w:iCs/>
          <w:noProof/>
          <w:sz w:val="22"/>
        </w:rPr>
        <w:t>Eur. J. Surg. Oncol.</w:t>
      </w:r>
      <w:r w:rsidRPr="005676A9">
        <w:rPr>
          <w:rFonts w:ascii="Cambria" w:hAnsi="Cambria"/>
          <w:noProof/>
          <w:sz w:val="22"/>
        </w:rPr>
        <w:t xml:space="preserve"> </w:t>
      </w:r>
      <w:r w:rsidRPr="005676A9">
        <w:rPr>
          <w:rFonts w:ascii="Cambria" w:hAnsi="Cambria"/>
          <w:b/>
          <w:bCs/>
          <w:noProof/>
          <w:sz w:val="22"/>
        </w:rPr>
        <w:t>39,</w:t>
      </w:r>
      <w:r w:rsidRPr="005676A9">
        <w:rPr>
          <w:rFonts w:ascii="Cambria" w:hAnsi="Cambria"/>
          <w:noProof/>
          <w:sz w:val="22"/>
        </w:rPr>
        <w:t xml:space="preserve"> 669–80 (2013).</w:t>
      </w:r>
    </w:p>
    <w:p w14:paraId="70D65EC3"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164.</w:t>
      </w:r>
      <w:r w:rsidRPr="005676A9">
        <w:rPr>
          <w:rFonts w:ascii="Cambria" w:hAnsi="Cambria"/>
          <w:noProof/>
          <w:sz w:val="22"/>
        </w:rPr>
        <w:tab/>
        <w:t xml:space="preserve">Jakub, J. W. </w:t>
      </w:r>
      <w:r w:rsidRPr="005676A9">
        <w:rPr>
          <w:rFonts w:ascii="Cambria" w:hAnsi="Cambria"/>
          <w:i/>
          <w:iCs/>
          <w:noProof/>
          <w:sz w:val="22"/>
        </w:rPr>
        <w:t>et al.</w:t>
      </w:r>
      <w:r w:rsidRPr="005676A9">
        <w:rPr>
          <w:rFonts w:ascii="Cambria" w:hAnsi="Cambria"/>
          <w:noProof/>
          <w:sz w:val="22"/>
        </w:rPr>
        <w:t xml:space="preserve"> The number of lymph nodes involved with metastatic disease does not affect outcome in melanoma patients as long as all disease is confined to the sentinel lymph node. </w:t>
      </w:r>
      <w:r w:rsidRPr="005676A9">
        <w:rPr>
          <w:rFonts w:ascii="Cambria" w:hAnsi="Cambria"/>
          <w:i/>
          <w:iCs/>
          <w:noProof/>
          <w:sz w:val="22"/>
        </w:rPr>
        <w:t>Ann. Surg. Oncol.</w:t>
      </w:r>
      <w:r w:rsidRPr="005676A9">
        <w:rPr>
          <w:rFonts w:ascii="Cambria" w:hAnsi="Cambria"/>
          <w:noProof/>
          <w:sz w:val="22"/>
        </w:rPr>
        <w:t xml:space="preserve"> </w:t>
      </w:r>
      <w:r w:rsidRPr="005676A9">
        <w:rPr>
          <w:rFonts w:ascii="Cambria" w:hAnsi="Cambria"/>
          <w:b/>
          <w:bCs/>
          <w:noProof/>
          <w:sz w:val="22"/>
        </w:rPr>
        <w:t>16,</w:t>
      </w:r>
      <w:r w:rsidRPr="005676A9">
        <w:rPr>
          <w:rFonts w:ascii="Cambria" w:hAnsi="Cambria"/>
          <w:noProof/>
          <w:sz w:val="22"/>
        </w:rPr>
        <w:t xml:space="preserve"> 2245–51 (2009).</w:t>
      </w:r>
    </w:p>
    <w:p w14:paraId="6AFE48DC"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165.</w:t>
      </w:r>
      <w:r w:rsidRPr="005676A9">
        <w:rPr>
          <w:rFonts w:ascii="Cambria" w:hAnsi="Cambria"/>
          <w:noProof/>
          <w:sz w:val="22"/>
        </w:rPr>
        <w:tab/>
        <w:t xml:space="preserve">Ariyan, C., Brady, M., Busam, K. &amp; Coit, D. Positive non-sentinel lymph node predicts mortality in cutaneous melanoma patients. </w:t>
      </w:r>
      <w:r w:rsidRPr="005676A9">
        <w:rPr>
          <w:rFonts w:ascii="Cambria" w:hAnsi="Cambria"/>
          <w:i/>
          <w:iCs/>
          <w:noProof/>
          <w:sz w:val="22"/>
        </w:rPr>
        <w:t>Ann. Surg. Oncol.</w:t>
      </w:r>
      <w:r w:rsidRPr="005676A9">
        <w:rPr>
          <w:rFonts w:ascii="Cambria" w:hAnsi="Cambria"/>
          <w:noProof/>
          <w:sz w:val="22"/>
        </w:rPr>
        <w:t xml:space="preserve"> </w:t>
      </w:r>
      <w:r w:rsidRPr="005676A9">
        <w:rPr>
          <w:rFonts w:ascii="Cambria" w:hAnsi="Cambria"/>
          <w:b/>
          <w:bCs/>
          <w:noProof/>
          <w:sz w:val="22"/>
        </w:rPr>
        <w:t>15,</w:t>
      </w:r>
      <w:r w:rsidRPr="005676A9">
        <w:rPr>
          <w:rFonts w:ascii="Cambria" w:hAnsi="Cambria"/>
          <w:noProof/>
          <w:sz w:val="22"/>
        </w:rPr>
        <w:t xml:space="preserve"> 10–11 (2008).</w:t>
      </w:r>
    </w:p>
    <w:p w14:paraId="383E2106"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166.</w:t>
      </w:r>
      <w:r w:rsidRPr="005676A9">
        <w:rPr>
          <w:rFonts w:ascii="Cambria" w:hAnsi="Cambria"/>
          <w:noProof/>
          <w:sz w:val="22"/>
        </w:rPr>
        <w:tab/>
        <w:t xml:space="preserve">Moher, D., Liberati, A., Tetzlaff, J. &amp; Altman, D. G. Preferred reporting items for systematic reviews and meta-analyses: the PRISMA statement. </w:t>
      </w:r>
      <w:r w:rsidRPr="005676A9">
        <w:rPr>
          <w:rFonts w:ascii="Cambria" w:hAnsi="Cambria"/>
          <w:i/>
          <w:iCs/>
          <w:noProof/>
          <w:sz w:val="22"/>
        </w:rPr>
        <w:t>PLoS Med.</w:t>
      </w:r>
      <w:r w:rsidRPr="005676A9">
        <w:rPr>
          <w:rFonts w:ascii="Cambria" w:hAnsi="Cambria"/>
          <w:noProof/>
          <w:sz w:val="22"/>
        </w:rPr>
        <w:t xml:space="preserve"> </w:t>
      </w:r>
      <w:r w:rsidRPr="005676A9">
        <w:rPr>
          <w:rFonts w:ascii="Cambria" w:hAnsi="Cambria"/>
          <w:b/>
          <w:bCs/>
          <w:noProof/>
          <w:sz w:val="22"/>
        </w:rPr>
        <w:t>6,</w:t>
      </w:r>
      <w:r w:rsidRPr="005676A9">
        <w:rPr>
          <w:rFonts w:ascii="Cambria" w:hAnsi="Cambria"/>
          <w:noProof/>
          <w:sz w:val="22"/>
        </w:rPr>
        <w:t xml:space="preserve"> e1000097 (2009).</w:t>
      </w:r>
    </w:p>
    <w:p w14:paraId="4285BBD2"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167.</w:t>
      </w:r>
      <w:r w:rsidRPr="005676A9">
        <w:rPr>
          <w:rFonts w:ascii="Cambria" w:hAnsi="Cambria"/>
          <w:noProof/>
          <w:sz w:val="22"/>
        </w:rPr>
        <w:tab/>
        <w:t xml:space="preserve">Von Elm, E. </w:t>
      </w:r>
      <w:r w:rsidRPr="005676A9">
        <w:rPr>
          <w:rFonts w:ascii="Cambria" w:hAnsi="Cambria"/>
          <w:i/>
          <w:iCs/>
          <w:noProof/>
          <w:sz w:val="22"/>
        </w:rPr>
        <w:t>et al.</w:t>
      </w:r>
      <w:r w:rsidRPr="005676A9">
        <w:rPr>
          <w:rFonts w:ascii="Cambria" w:hAnsi="Cambria"/>
          <w:noProof/>
          <w:sz w:val="22"/>
        </w:rPr>
        <w:t xml:space="preserve"> The Strengthening the Reporting of Observational Studies in Epidemiology (STROBE)statement: guidelines for reporting observational studies. </w:t>
      </w:r>
      <w:r w:rsidRPr="005676A9">
        <w:rPr>
          <w:rFonts w:ascii="Cambria" w:hAnsi="Cambria"/>
          <w:i/>
          <w:iCs/>
          <w:noProof/>
          <w:sz w:val="22"/>
        </w:rPr>
        <w:t>J Clin Epidemiol</w:t>
      </w:r>
      <w:r w:rsidRPr="005676A9">
        <w:rPr>
          <w:rFonts w:ascii="Cambria" w:hAnsi="Cambria"/>
          <w:noProof/>
          <w:sz w:val="22"/>
        </w:rPr>
        <w:t xml:space="preserve"> </w:t>
      </w:r>
      <w:r w:rsidRPr="005676A9">
        <w:rPr>
          <w:rFonts w:ascii="Cambria" w:hAnsi="Cambria"/>
          <w:b/>
          <w:bCs/>
          <w:noProof/>
          <w:sz w:val="22"/>
        </w:rPr>
        <w:t>61,</w:t>
      </w:r>
      <w:r w:rsidRPr="005676A9">
        <w:rPr>
          <w:rFonts w:ascii="Cambria" w:hAnsi="Cambria"/>
          <w:noProof/>
          <w:sz w:val="22"/>
        </w:rPr>
        <w:t xml:space="preserve"> 344–349 (2008).</w:t>
      </w:r>
    </w:p>
    <w:p w14:paraId="1F833C8F"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168.</w:t>
      </w:r>
      <w:r w:rsidRPr="005676A9">
        <w:rPr>
          <w:rFonts w:ascii="Cambria" w:hAnsi="Cambria"/>
          <w:noProof/>
          <w:sz w:val="22"/>
        </w:rPr>
        <w:tab/>
        <w:t xml:space="preserve">Sondak, V. K. Nonsentinel node metastases in melanoma: do they reflect the biology of the tumor, the lymph node or the surgeon? : Editorial to Accompany Ghaferi et al., ASO-2009-03-0312.R1. </w:t>
      </w:r>
      <w:r w:rsidRPr="005676A9">
        <w:rPr>
          <w:rFonts w:ascii="Cambria" w:hAnsi="Cambria"/>
          <w:i/>
          <w:iCs/>
          <w:noProof/>
          <w:sz w:val="22"/>
        </w:rPr>
        <w:t>Ann. Surg. Oncol.</w:t>
      </w:r>
      <w:r w:rsidRPr="005676A9">
        <w:rPr>
          <w:rFonts w:ascii="Cambria" w:hAnsi="Cambria"/>
          <w:noProof/>
          <w:sz w:val="22"/>
        </w:rPr>
        <w:t xml:space="preserve"> </w:t>
      </w:r>
      <w:r w:rsidRPr="005676A9">
        <w:rPr>
          <w:rFonts w:ascii="Cambria" w:hAnsi="Cambria"/>
          <w:b/>
          <w:bCs/>
          <w:noProof/>
          <w:sz w:val="22"/>
        </w:rPr>
        <w:t>16,</w:t>
      </w:r>
      <w:r w:rsidRPr="005676A9">
        <w:rPr>
          <w:rFonts w:ascii="Cambria" w:hAnsi="Cambria"/>
          <w:noProof/>
          <w:sz w:val="22"/>
        </w:rPr>
        <w:t xml:space="preserve"> 2965–7 (2009).</w:t>
      </w:r>
    </w:p>
    <w:p w14:paraId="08B7088D"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169.</w:t>
      </w:r>
      <w:r w:rsidRPr="005676A9">
        <w:rPr>
          <w:rFonts w:ascii="Cambria" w:hAnsi="Cambria"/>
          <w:noProof/>
          <w:sz w:val="22"/>
        </w:rPr>
        <w:tab/>
        <w:t xml:space="preserve">Elsaesser, O. </w:t>
      </w:r>
      <w:r w:rsidRPr="005676A9">
        <w:rPr>
          <w:rFonts w:ascii="Cambria" w:hAnsi="Cambria"/>
          <w:i/>
          <w:iCs/>
          <w:noProof/>
          <w:sz w:val="22"/>
        </w:rPr>
        <w:t>et al.</w:t>
      </w:r>
      <w:r w:rsidRPr="005676A9">
        <w:rPr>
          <w:rFonts w:ascii="Cambria" w:hAnsi="Cambria"/>
          <w:noProof/>
          <w:sz w:val="22"/>
        </w:rPr>
        <w:t xml:space="preserve"> Prognosis of sentinel node staged patients with primary cutaneous melanoma. </w:t>
      </w:r>
      <w:r w:rsidRPr="005676A9">
        <w:rPr>
          <w:rFonts w:ascii="Cambria" w:hAnsi="Cambria"/>
          <w:i/>
          <w:iCs/>
          <w:noProof/>
          <w:sz w:val="22"/>
        </w:rPr>
        <w:t>PLoS One</w:t>
      </w:r>
      <w:r w:rsidRPr="005676A9">
        <w:rPr>
          <w:rFonts w:ascii="Cambria" w:hAnsi="Cambria"/>
          <w:noProof/>
          <w:sz w:val="22"/>
        </w:rPr>
        <w:t xml:space="preserve"> </w:t>
      </w:r>
      <w:r w:rsidRPr="005676A9">
        <w:rPr>
          <w:rFonts w:ascii="Cambria" w:hAnsi="Cambria"/>
          <w:b/>
          <w:bCs/>
          <w:noProof/>
          <w:sz w:val="22"/>
        </w:rPr>
        <w:t>7,</w:t>
      </w:r>
      <w:r w:rsidRPr="005676A9">
        <w:rPr>
          <w:rFonts w:ascii="Cambria" w:hAnsi="Cambria"/>
          <w:noProof/>
          <w:sz w:val="22"/>
        </w:rPr>
        <w:t xml:space="preserve"> e29791 (2012).</w:t>
      </w:r>
    </w:p>
    <w:p w14:paraId="70CFD173"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170.</w:t>
      </w:r>
      <w:r w:rsidRPr="005676A9">
        <w:rPr>
          <w:rFonts w:ascii="Cambria" w:hAnsi="Cambria"/>
          <w:noProof/>
          <w:sz w:val="22"/>
        </w:rPr>
        <w:tab/>
        <w:t xml:space="preserve">Kjerkegaard, U. &amp; Eldon, M. A single-center retrospective study on 659 re-excisions of melanoma and 769 sentinel node biopsies in 2008–2012. </w:t>
      </w:r>
      <w:r w:rsidRPr="005676A9">
        <w:rPr>
          <w:rFonts w:ascii="Cambria" w:hAnsi="Cambria"/>
          <w:i/>
          <w:iCs/>
          <w:noProof/>
          <w:sz w:val="22"/>
        </w:rPr>
        <w:t>Eur. J. Plast. …</w:t>
      </w:r>
      <w:r w:rsidRPr="005676A9">
        <w:rPr>
          <w:rFonts w:ascii="Cambria" w:hAnsi="Cambria"/>
          <w:noProof/>
          <w:sz w:val="22"/>
        </w:rPr>
        <w:t xml:space="preserve"> (2015). at &lt;http://link.springer.com/article/10.1007/s00238-015-1145-7&gt;</w:t>
      </w:r>
    </w:p>
    <w:p w14:paraId="6FA32CE0"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171.</w:t>
      </w:r>
      <w:r w:rsidRPr="005676A9">
        <w:rPr>
          <w:rFonts w:ascii="Cambria" w:hAnsi="Cambria"/>
          <w:noProof/>
          <w:sz w:val="22"/>
        </w:rPr>
        <w:tab/>
        <w:t xml:space="preserve">Wright, E. H., Stanley, P. R. W. &amp; Roy, A. Evaluation of sentinel lymph nodes positive for melanoma for features predictive of non-sentinel nodal disease and patient prognosis: a 49 patient series. </w:t>
      </w:r>
      <w:r w:rsidRPr="005676A9">
        <w:rPr>
          <w:rFonts w:ascii="Cambria" w:hAnsi="Cambria"/>
          <w:i/>
          <w:iCs/>
          <w:noProof/>
          <w:sz w:val="22"/>
        </w:rPr>
        <w:t>J. Plast. Reconstr. Aesthet. Surg.</w:t>
      </w:r>
      <w:r w:rsidRPr="005676A9">
        <w:rPr>
          <w:rFonts w:ascii="Cambria" w:hAnsi="Cambria"/>
          <w:noProof/>
          <w:sz w:val="22"/>
        </w:rPr>
        <w:t xml:space="preserve"> </w:t>
      </w:r>
      <w:r w:rsidRPr="005676A9">
        <w:rPr>
          <w:rFonts w:ascii="Cambria" w:hAnsi="Cambria"/>
          <w:b/>
          <w:bCs/>
          <w:noProof/>
          <w:sz w:val="22"/>
        </w:rPr>
        <w:t>63,</w:t>
      </w:r>
      <w:r w:rsidRPr="005676A9">
        <w:rPr>
          <w:rFonts w:ascii="Cambria" w:hAnsi="Cambria"/>
          <w:noProof/>
          <w:sz w:val="22"/>
        </w:rPr>
        <w:t xml:space="preserve"> e500–2 (2010).</w:t>
      </w:r>
    </w:p>
    <w:p w14:paraId="61FD7034"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172.</w:t>
      </w:r>
      <w:r w:rsidRPr="005676A9">
        <w:rPr>
          <w:rFonts w:ascii="Cambria" w:hAnsi="Cambria"/>
          <w:noProof/>
          <w:sz w:val="22"/>
        </w:rPr>
        <w:tab/>
        <w:t xml:space="preserve">Baehner, F. L. </w:t>
      </w:r>
      <w:r w:rsidRPr="005676A9">
        <w:rPr>
          <w:rFonts w:ascii="Cambria" w:hAnsi="Cambria"/>
          <w:i/>
          <w:iCs/>
          <w:noProof/>
          <w:sz w:val="22"/>
        </w:rPr>
        <w:t>et al.</w:t>
      </w:r>
      <w:r w:rsidRPr="005676A9">
        <w:rPr>
          <w:rFonts w:ascii="Cambria" w:hAnsi="Cambria"/>
          <w:noProof/>
          <w:sz w:val="22"/>
        </w:rPr>
        <w:t xml:space="preserve"> The impact of primary melanoma thickness and microscopic tumor burden in sentinel lymph nodes on melanoma patient survival. </w:t>
      </w:r>
      <w:r w:rsidRPr="005676A9">
        <w:rPr>
          <w:rFonts w:ascii="Cambria" w:hAnsi="Cambria"/>
          <w:i/>
          <w:iCs/>
          <w:noProof/>
          <w:sz w:val="22"/>
        </w:rPr>
        <w:t>Ann. Surg. Oncol.</w:t>
      </w:r>
      <w:r w:rsidRPr="005676A9">
        <w:rPr>
          <w:rFonts w:ascii="Cambria" w:hAnsi="Cambria"/>
          <w:noProof/>
          <w:sz w:val="22"/>
        </w:rPr>
        <w:t xml:space="preserve"> </w:t>
      </w:r>
      <w:r w:rsidRPr="005676A9">
        <w:rPr>
          <w:rFonts w:ascii="Cambria" w:hAnsi="Cambria"/>
          <w:b/>
          <w:bCs/>
          <w:noProof/>
          <w:sz w:val="22"/>
        </w:rPr>
        <w:t>19,</w:t>
      </w:r>
      <w:r w:rsidRPr="005676A9">
        <w:rPr>
          <w:rFonts w:ascii="Cambria" w:hAnsi="Cambria"/>
          <w:noProof/>
          <w:sz w:val="22"/>
        </w:rPr>
        <w:t xml:space="preserve"> 1034–42 (2012).</w:t>
      </w:r>
    </w:p>
    <w:p w14:paraId="52C66B35"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173.</w:t>
      </w:r>
      <w:r w:rsidRPr="005676A9">
        <w:rPr>
          <w:rFonts w:ascii="Cambria" w:hAnsi="Cambria"/>
          <w:noProof/>
          <w:sz w:val="22"/>
        </w:rPr>
        <w:tab/>
        <w:t xml:space="preserve">Patuzzo, R. </w:t>
      </w:r>
      <w:r w:rsidRPr="005676A9">
        <w:rPr>
          <w:rFonts w:ascii="Cambria" w:hAnsi="Cambria"/>
          <w:i/>
          <w:iCs/>
          <w:noProof/>
          <w:sz w:val="22"/>
        </w:rPr>
        <w:t>et al.</w:t>
      </w:r>
      <w:r w:rsidRPr="005676A9">
        <w:rPr>
          <w:rFonts w:ascii="Cambria" w:hAnsi="Cambria"/>
          <w:noProof/>
          <w:sz w:val="22"/>
        </w:rPr>
        <w:t xml:space="preserve"> The prognostic role of further positive non sentinel nodes in melanoma patients. </w:t>
      </w:r>
      <w:r w:rsidRPr="005676A9">
        <w:rPr>
          <w:rFonts w:ascii="Cambria" w:hAnsi="Cambria"/>
          <w:i/>
          <w:iCs/>
          <w:noProof/>
          <w:sz w:val="22"/>
        </w:rPr>
        <w:t>ASCO Meet. Abstr.</w:t>
      </w:r>
      <w:r w:rsidRPr="005676A9">
        <w:rPr>
          <w:rFonts w:ascii="Cambria" w:hAnsi="Cambria"/>
          <w:noProof/>
          <w:sz w:val="22"/>
        </w:rPr>
        <w:t xml:space="preserve"> </w:t>
      </w:r>
      <w:r w:rsidRPr="005676A9">
        <w:rPr>
          <w:rFonts w:ascii="Cambria" w:hAnsi="Cambria"/>
          <w:b/>
          <w:bCs/>
          <w:noProof/>
          <w:sz w:val="22"/>
        </w:rPr>
        <w:t>33,</w:t>
      </w:r>
      <w:r w:rsidRPr="005676A9">
        <w:rPr>
          <w:rFonts w:ascii="Cambria" w:hAnsi="Cambria"/>
          <w:noProof/>
          <w:sz w:val="22"/>
        </w:rPr>
        <w:t xml:space="preserve"> e20058 (2015).</w:t>
      </w:r>
    </w:p>
    <w:p w14:paraId="210BB4CF"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174.</w:t>
      </w:r>
      <w:r w:rsidRPr="005676A9">
        <w:rPr>
          <w:rFonts w:ascii="Cambria" w:hAnsi="Cambria"/>
          <w:noProof/>
          <w:sz w:val="22"/>
        </w:rPr>
        <w:tab/>
        <w:t xml:space="preserve">Ariyan, C., Brady, M. S., Gönen, M., Busam, K. &amp; Coit, D. Positive nonsentinel node status predicts mortality in patients with cutaneous melanoma. </w:t>
      </w:r>
      <w:r w:rsidRPr="005676A9">
        <w:rPr>
          <w:rFonts w:ascii="Cambria" w:hAnsi="Cambria"/>
          <w:i/>
          <w:iCs/>
          <w:noProof/>
          <w:sz w:val="22"/>
        </w:rPr>
        <w:t>Ann. Surg. Oncol.</w:t>
      </w:r>
      <w:r w:rsidRPr="005676A9">
        <w:rPr>
          <w:rFonts w:ascii="Cambria" w:hAnsi="Cambria"/>
          <w:noProof/>
          <w:sz w:val="22"/>
        </w:rPr>
        <w:t xml:space="preserve"> </w:t>
      </w:r>
      <w:r w:rsidRPr="005676A9">
        <w:rPr>
          <w:rFonts w:ascii="Cambria" w:hAnsi="Cambria"/>
          <w:b/>
          <w:bCs/>
          <w:noProof/>
          <w:sz w:val="22"/>
        </w:rPr>
        <w:t>16,</w:t>
      </w:r>
      <w:r w:rsidRPr="005676A9">
        <w:rPr>
          <w:rFonts w:ascii="Cambria" w:hAnsi="Cambria"/>
          <w:noProof/>
          <w:sz w:val="22"/>
        </w:rPr>
        <w:t xml:space="preserve"> 186–90 (2009).</w:t>
      </w:r>
    </w:p>
    <w:p w14:paraId="592439E5"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175.</w:t>
      </w:r>
      <w:r w:rsidRPr="005676A9">
        <w:rPr>
          <w:rFonts w:ascii="Cambria" w:hAnsi="Cambria"/>
          <w:noProof/>
          <w:sz w:val="22"/>
        </w:rPr>
        <w:tab/>
        <w:t xml:space="preserve">Ghaferi, A. A. </w:t>
      </w:r>
      <w:r w:rsidRPr="005676A9">
        <w:rPr>
          <w:rFonts w:ascii="Cambria" w:hAnsi="Cambria"/>
          <w:i/>
          <w:iCs/>
          <w:noProof/>
          <w:sz w:val="22"/>
        </w:rPr>
        <w:t>et al.</w:t>
      </w:r>
      <w:r w:rsidRPr="005676A9">
        <w:rPr>
          <w:rFonts w:ascii="Cambria" w:hAnsi="Cambria"/>
          <w:noProof/>
          <w:sz w:val="22"/>
        </w:rPr>
        <w:t xml:space="preserve"> Prognostic significance of a positive nonsentinel lymph node in cutaneous melanoma. </w:t>
      </w:r>
      <w:r w:rsidRPr="005676A9">
        <w:rPr>
          <w:rFonts w:ascii="Cambria" w:hAnsi="Cambria"/>
          <w:i/>
          <w:iCs/>
          <w:noProof/>
          <w:sz w:val="22"/>
        </w:rPr>
        <w:t>Ann. Surg. Oncol.</w:t>
      </w:r>
      <w:r w:rsidRPr="005676A9">
        <w:rPr>
          <w:rFonts w:ascii="Cambria" w:hAnsi="Cambria"/>
          <w:noProof/>
          <w:sz w:val="22"/>
        </w:rPr>
        <w:t xml:space="preserve"> </w:t>
      </w:r>
      <w:r w:rsidRPr="005676A9">
        <w:rPr>
          <w:rFonts w:ascii="Cambria" w:hAnsi="Cambria"/>
          <w:b/>
          <w:bCs/>
          <w:noProof/>
          <w:sz w:val="22"/>
        </w:rPr>
        <w:t>16,</w:t>
      </w:r>
      <w:r w:rsidRPr="005676A9">
        <w:rPr>
          <w:rFonts w:ascii="Cambria" w:hAnsi="Cambria"/>
          <w:noProof/>
          <w:sz w:val="22"/>
        </w:rPr>
        <w:t xml:space="preserve"> 2978–84 (2009).</w:t>
      </w:r>
    </w:p>
    <w:p w14:paraId="5DCDF815"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176.</w:t>
      </w:r>
      <w:r w:rsidRPr="005676A9">
        <w:rPr>
          <w:rFonts w:ascii="Cambria" w:hAnsi="Cambria"/>
          <w:noProof/>
          <w:sz w:val="22"/>
        </w:rPr>
        <w:tab/>
        <w:t xml:space="preserve">Brown, R. E. </w:t>
      </w:r>
      <w:r w:rsidRPr="005676A9">
        <w:rPr>
          <w:rFonts w:ascii="Cambria" w:hAnsi="Cambria"/>
          <w:i/>
          <w:iCs/>
          <w:noProof/>
          <w:sz w:val="22"/>
        </w:rPr>
        <w:t>et al.</w:t>
      </w:r>
      <w:r w:rsidRPr="005676A9">
        <w:rPr>
          <w:rFonts w:ascii="Cambria" w:hAnsi="Cambria"/>
          <w:noProof/>
          <w:sz w:val="22"/>
        </w:rPr>
        <w:t xml:space="preserve"> The prognostic significance of nonsentinel lymph node metastasis in melanoma. </w:t>
      </w:r>
      <w:r w:rsidRPr="005676A9">
        <w:rPr>
          <w:rFonts w:ascii="Cambria" w:hAnsi="Cambria"/>
          <w:i/>
          <w:iCs/>
          <w:noProof/>
          <w:sz w:val="22"/>
        </w:rPr>
        <w:t>Ann. Surg. Oncol.</w:t>
      </w:r>
      <w:r w:rsidRPr="005676A9">
        <w:rPr>
          <w:rFonts w:ascii="Cambria" w:hAnsi="Cambria"/>
          <w:noProof/>
          <w:sz w:val="22"/>
        </w:rPr>
        <w:t xml:space="preserve"> </w:t>
      </w:r>
      <w:r w:rsidRPr="005676A9">
        <w:rPr>
          <w:rFonts w:ascii="Cambria" w:hAnsi="Cambria"/>
          <w:b/>
          <w:bCs/>
          <w:noProof/>
          <w:sz w:val="22"/>
        </w:rPr>
        <w:t>17,</w:t>
      </w:r>
      <w:r w:rsidRPr="005676A9">
        <w:rPr>
          <w:rFonts w:ascii="Cambria" w:hAnsi="Cambria"/>
          <w:noProof/>
          <w:sz w:val="22"/>
        </w:rPr>
        <w:t xml:space="preserve"> 3330–5 (2010).</w:t>
      </w:r>
    </w:p>
    <w:p w14:paraId="41B31B11"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177.</w:t>
      </w:r>
      <w:r w:rsidRPr="005676A9">
        <w:rPr>
          <w:rFonts w:ascii="Cambria" w:hAnsi="Cambria"/>
          <w:noProof/>
          <w:sz w:val="22"/>
        </w:rPr>
        <w:tab/>
        <w:t xml:space="preserve">Egger, M. E. </w:t>
      </w:r>
      <w:r w:rsidRPr="005676A9">
        <w:rPr>
          <w:rFonts w:ascii="Cambria" w:hAnsi="Cambria"/>
          <w:i/>
          <w:iCs/>
          <w:noProof/>
          <w:sz w:val="22"/>
        </w:rPr>
        <w:t>et al.</w:t>
      </w:r>
      <w:r w:rsidRPr="005676A9">
        <w:rPr>
          <w:rFonts w:ascii="Cambria" w:hAnsi="Cambria"/>
          <w:noProof/>
          <w:sz w:val="22"/>
        </w:rPr>
        <w:t xml:space="preserve"> Outcomes and prognostic factors in superficial spreading melanoma. </w:t>
      </w:r>
      <w:r w:rsidRPr="005676A9">
        <w:rPr>
          <w:rFonts w:ascii="Cambria" w:hAnsi="Cambria"/>
          <w:i/>
          <w:iCs/>
          <w:noProof/>
          <w:sz w:val="22"/>
        </w:rPr>
        <w:t>Am. J. Surg.</w:t>
      </w:r>
      <w:r w:rsidRPr="005676A9">
        <w:rPr>
          <w:rFonts w:ascii="Cambria" w:hAnsi="Cambria"/>
          <w:noProof/>
          <w:sz w:val="22"/>
        </w:rPr>
        <w:t xml:space="preserve"> </w:t>
      </w:r>
      <w:r w:rsidRPr="005676A9">
        <w:rPr>
          <w:rFonts w:ascii="Cambria" w:hAnsi="Cambria"/>
          <w:b/>
          <w:bCs/>
          <w:noProof/>
          <w:sz w:val="22"/>
        </w:rPr>
        <w:t>206,</w:t>
      </w:r>
      <w:r w:rsidRPr="005676A9">
        <w:rPr>
          <w:rFonts w:ascii="Cambria" w:hAnsi="Cambria"/>
          <w:noProof/>
          <w:sz w:val="22"/>
        </w:rPr>
        <w:t xml:space="preserve"> 861–7; discussion 867–8 (2013).</w:t>
      </w:r>
    </w:p>
    <w:p w14:paraId="0F222210"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178.</w:t>
      </w:r>
      <w:r w:rsidRPr="005676A9">
        <w:rPr>
          <w:rFonts w:ascii="Cambria" w:hAnsi="Cambria"/>
          <w:noProof/>
          <w:sz w:val="22"/>
        </w:rPr>
        <w:tab/>
        <w:t xml:space="preserve">Egger, M. E. </w:t>
      </w:r>
      <w:r w:rsidRPr="005676A9">
        <w:rPr>
          <w:rFonts w:ascii="Cambria" w:hAnsi="Cambria"/>
          <w:i/>
          <w:iCs/>
          <w:noProof/>
          <w:sz w:val="22"/>
        </w:rPr>
        <w:t>et al.</w:t>
      </w:r>
      <w:r w:rsidRPr="005676A9">
        <w:rPr>
          <w:rFonts w:ascii="Cambria" w:hAnsi="Cambria"/>
          <w:noProof/>
          <w:sz w:val="22"/>
        </w:rPr>
        <w:t xml:space="preserve"> Diversity of stage III melanoma in the era of sentinel lymph node biopsy. </w:t>
      </w:r>
      <w:r w:rsidRPr="005676A9">
        <w:rPr>
          <w:rFonts w:ascii="Cambria" w:hAnsi="Cambria"/>
          <w:i/>
          <w:iCs/>
          <w:noProof/>
          <w:sz w:val="22"/>
        </w:rPr>
        <w:t>Ann. Surg. Oncol.</w:t>
      </w:r>
      <w:r w:rsidRPr="005676A9">
        <w:rPr>
          <w:rFonts w:ascii="Cambria" w:hAnsi="Cambria"/>
          <w:noProof/>
          <w:sz w:val="22"/>
        </w:rPr>
        <w:t xml:space="preserve"> </w:t>
      </w:r>
      <w:r w:rsidRPr="005676A9">
        <w:rPr>
          <w:rFonts w:ascii="Cambria" w:hAnsi="Cambria"/>
          <w:b/>
          <w:bCs/>
          <w:noProof/>
          <w:sz w:val="22"/>
        </w:rPr>
        <w:t>20,</w:t>
      </w:r>
      <w:r w:rsidRPr="005676A9">
        <w:rPr>
          <w:rFonts w:ascii="Cambria" w:hAnsi="Cambria"/>
          <w:noProof/>
          <w:sz w:val="22"/>
        </w:rPr>
        <w:t xml:space="preserve"> 956–63 (2013).</w:t>
      </w:r>
    </w:p>
    <w:p w14:paraId="2B816CD9"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179.</w:t>
      </w:r>
      <w:r w:rsidRPr="005676A9">
        <w:rPr>
          <w:rFonts w:ascii="Cambria" w:hAnsi="Cambria"/>
          <w:noProof/>
          <w:sz w:val="22"/>
        </w:rPr>
        <w:tab/>
        <w:t xml:space="preserve">Reintgen, M. </w:t>
      </w:r>
      <w:r w:rsidRPr="005676A9">
        <w:rPr>
          <w:rFonts w:ascii="Cambria" w:hAnsi="Cambria"/>
          <w:i/>
          <w:iCs/>
          <w:noProof/>
          <w:sz w:val="22"/>
        </w:rPr>
        <w:t>et al.</w:t>
      </w:r>
      <w:r w:rsidRPr="005676A9">
        <w:rPr>
          <w:rFonts w:ascii="Cambria" w:hAnsi="Cambria"/>
          <w:noProof/>
          <w:sz w:val="22"/>
        </w:rPr>
        <w:t xml:space="preserve"> Evidence for a better nodal staging system for melanoma: the clinical relevance of metastatic disease confined to the sentinel lymph nodes. </w:t>
      </w:r>
      <w:r w:rsidRPr="005676A9">
        <w:rPr>
          <w:rFonts w:ascii="Cambria" w:hAnsi="Cambria"/>
          <w:i/>
          <w:iCs/>
          <w:noProof/>
          <w:sz w:val="22"/>
        </w:rPr>
        <w:t>Ann. Surg. Oncol.</w:t>
      </w:r>
      <w:r w:rsidRPr="005676A9">
        <w:rPr>
          <w:rFonts w:ascii="Cambria" w:hAnsi="Cambria"/>
          <w:noProof/>
          <w:sz w:val="22"/>
        </w:rPr>
        <w:t xml:space="preserve"> </w:t>
      </w:r>
      <w:r w:rsidRPr="005676A9">
        <w:rPr>
          <w:rFonts w:ascii="Cambria" w:hAnsi="Cambria"/>
          <w:b/>
          <w:bCs/>
          <w:noProof/>
          <w:sz w:val="22"/>
        </w:rPr>
        <w:t>20,</w:t>
      </w:r>
      <w:r w:rsidRPr="005676A9">
        <w:rPr>
          <w:rFonts w:ascii="Cambria" w:hAnsi="Cambria"/>
          <w:noProof/>
          <w:sz w:val="22"/>
        </w:rPr>
        <w:t xml:space="preserve"> 668–74 (2013).</w:t>
      </w:r>
    </w:p>
    <w:p w14:paraId="1F397AAE"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180.</w:t>
      </w:r>
      <w:r w:rsidRPr="005676A9">
        <w:rPr>
          <w:rFonts w:ascii="Cambria" w:hAnsi="Cambria"/>
          <w:noProof/>
          <w:sz w:val="22"/>
        </w:rPr>
        <w:tab/>
        <w:t xml:space="preserve">Leung, A. M. </w:t>
      </w:r>
      <w:r w:rsidRPr="005676A9">
        <w:rPr>
          <w:rFonts w:ascii="Cambria" w:hAnsi="Cambria"/>
          <w:i/>
          <w:iCs/>
          <w:noProof/>
          <w:sz w:val="22"/>
        </w:rPr>
        <w:t>et al.</w:t>
      </w:r>
      <w:r w:rsidRPr="005676A9">
        <w:rPr>
          <w:rFonts w:ascii="Cambria" w:hAnsi="Cambria"/>
          <w:noProof/>
          <w:sz w:val="22"/>
        </w:rPr>
        <w:t xml:space="preserve"> Staging of regional lymph nodes in melanoma: a case for including nonsentinel lymph node positivity in the American Joint Committee on Cancer staging system. </w:t>
      </w:r>
      <w:r w:rsidRPr="005676A9">
        <w:rPr>
          <w:rFonts w:ascii="Cambria" w:hAnsi="Cambria"/>
          <w:i/>
          <w:iCs/>
          <w:noProof/>
          <w:sz w:val="22"/>
        </w:rPr>
        <w:t>JAMA Surg.</w:t>
      </w:r>
      <w:r w:rsidRPr="005676A9">
        <w:rPr>
          <w:rFonts w:ascii="Cambria" w:hAnsi="Cambria"/>
          <w:noProof/>
          <w:sz w:val="22"/>
        </w:rPr>
        <w:t xml:space="preserve"> </w:t>
      </w:r>
      <w:r w:rsidRPr="005676A9">
        <w:rPr>
          <w:rFonts w:ascii="Cambria" w:hAnsi="Cambria"/>
          <w:b/>
          <w:bCs/>
          <w:noProof/>
          <w:sz w:val="22"/>
        </w:rPr>
        <w:t>148,</w:t>
      </w:r>
      <w:r w:rsidRPr="005676A9">
        <w:rPr>
          <w:rFonts w:ascii="Cambria" w:hAnsi="Cambria"/>
          <w:noProof/>
          <w:sz w:val="22"/>
        </w:rPr>
        <w:t xml:space="preserve"> 879–84 (2013).</w:t>
      </w:r>
    </w:p>
    <w:p w14:paraId="7B242160"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181.</w:t>
      </w:r>
      <w:r w:rsidRPr="005676A9">
        <w:rPr>
          <w:rFonts w:ascii="Cambria" w:hAnsi="Cambria"/>
          <w:noProof/>
          <w:sz w:val="22"/>
        </w:rPr>
        <w:tab/>
        <w:t xml:space="preserve">Pasquali, S. </w:t>
      </w:r>
      <w:r w:rsidRPr="005676A9">
        <w:rPr>
          <w:rFonts w:ascii="Cambria" w:hAnsi="Cambria"/>
          <w:i/>
          <w:iCs/>
          <w:noProof/>
          <w:sz w:val="22"/>
        </w:rPr>
        <w:t>et al.</w:t>
      </w:r>
      <w:r w:rsidRPr="005676A9">
        <w:rPr>
          <w:rFonts w:ascii="Cambria" w:hAnsi="Cambria"/>
          <w:noProof/>
          <w:sz w:val="22"/>
        </w:rPr>
        <w:t xml:space="preserve"> Nonsentinel lymph node status in patients with cutaneous melanoma: results from a multi-institution prognostic study. </w:t>
      </w:r>
      <w:r w:rsidRPr="005676A9">
        <w:rPr>
          <w:rFonts w:ascii="Cambria" w:hAnsi="Cambria"/>
          <w:i/>
          <w:iCs/>
          <w:noProof/>
          <w:sz w:val="22"/>
        </w:rPr>
        <w:t>J. Clin. Oncol.</w:t>
      </w:r>
      <w:r w:rsidRPr="005676A9">
        <w:rPr>
          <w:rFonts w:ascii="Cambria" w:hAnsi="Cambria"/>
          <w:noProof/>
          <w:sz w:val="22"/>
        </w:rPr>
        <w:t xml:space="preserve"> </w:t>
      </w:r>
      <w:r w:rsidRPr="005676A9">
        <w:rPr>
          <w:rFonts w:ascii="Cambria" w:hAnsi="Cambria"/>
          <w:b/>
          <w:bCs/>
          <w:noProof/>
          <w:sz w:val="22"/>
        </w:rPr>
        <w:t>32,</w:t>
      </w:r>
      <w:r w:rsidRPr="005676A9">
        <w:rPr>
          <w:rFonts w:ascii="Cambria" w:hAnsi="Cambria"/>
          <w:noProof/>
          <w:sz w:val="22"/>
        </w:rPr>
        <w:t xml:space="preserve"> 935–41 (2014).</w:t>
      </w:r>
    </w:p>
    <w:p w14:paraId="34215A9C"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182.</w:t>
      </w:r>
      <w:r w:rsidRPr="005676A9">
        <w:rPr>
          <w:rFonts w:ascii="Cambria" w:hAnsi="Cambria"/>
          <w:noProof/>
          <w:sz w:val="22"/>
        </w:rPr>
        <w:tab/>
        <w:t xml:space="preserve">Thompson, J. F. &amp; Uren, R. F. Teaching points on lymphatic mapping for melanoma from the Sydney Melanoma Unit. </w:t>
      </w:r>
      <w:r w:rsidRPr="005676A9">
        <w:rPr>
          <w:rFonts w:ascii="Cambria" w:hAnsi="Cambria"/>
          <w:i/>
          <w:iCs/>
          <w:noProof/>
          <w:sz w:val="22"/>
        </w:rPr>
        <w:t>Semin. Oncol.</w:t>
      </w:r>
      <w:r w:rsidRPr="005676A9">
        <w:rPr>
          <w:rFonts w:ascii="Cambria" w:hAnsi="Cambria"/>
          <w:noProof/>
          <w:sz w:val="22"/>
        </w:rPr>
        <w:t xml:space="preserve"> </w:t>
      </w:r>
      <w:r w:rsidRPr="005676A9">
        <w:rPr>
          <w:rFonts w:ascii="Cambria" w:hAnsi="Cambria"/>
          <w:b/>
          <w:bCs/>
          <w:noProof/>
          <w:sz w:val="22"/>
        </w:rPr>
        <w:t>31,</w:t>
      </w:r>
      <w:r w:rsidRPr="005676A9">
        <w:rPr>
          <w:rFonts w:ascii="Cambria" w:hAnsi="Cambria"/>
          <w:noProof/>
          <w:sz w:val="22"/>
        </w:rPr>
        <w:t xml:space="preserve"> 349–56 (2004).</w:t>
      </w:r>
    </w:p>
    <w:p w14:paraId="7E9DDA86"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183.</w:t>
      </w:r>
      <w:r w:rsidRPr="005676A9">
        <w:rPr>
          <w:rFonts w:ascii="Cambria" w:hAnsi="Cambria"/>
          <w:noProof/>
          <w:sz w:val="22"/>
        </w:rPr>
        <w:tab/>
        <w:t xml:space="preserve">Uren, R. F. </w:t>
      </w:r>
      <w:r w:rsidRPr="005676A9">
        <w:rPr>
          <w:rFonts w:ascii="Cambria" w:hAnsi="Cambria"/>
          <w:i/>
          <w:iCs/>
          <w:noProof/>
          <w:sz w:val="22"/>
        </w:rPr>
        <w:t>et al.</w:t>
      </w:r>
      <w:r w:rsidRPr="005676A9">
        <w:rPr>
          <w:rFonts w:ascii="Cambria" w:hAnsi="Cambria"/>
          <w:noProof/>
          <w:sz w:val="22"/>
        </w:rPr>
        <w:t xml:space="preserve"> Lymphoscintigraphy to identify sentinel lymph nodes in patients with melanoma. </w:t>
      </w:r>
      <w:r w:rsidRPr="005676A9">
        <w:rPr>
          <w:rFonts w:ascii="Cambria" w:hAnsi="Cambria"/>
          <w:i/>
          <w:iCs/>
          <w:noProof/>
          <w:sz w:val="22"/>
        </w:rPr>
        <w:t>Melanoma Res.</w:t>
      </w:r>
      <w:r w:rsidRPr="005676A9">
        <w:rPr>
          <w:rFonts w:ascii="Cambria" w:hAnsi="Cambria"/>
          <w:noProof/>
          <w:sz w:val="22"/>
        </w:rPr>
        <w:t xml:space="preserve"> </w:t>
      </w:r>
      <w:r w:rsidRPr="005676A9">
        <w:rPr>
          <w:rFonts w:ascii="Cambria" w:hAnsi="Cambria"/>
          <w:b/>
          <w:bCs/>
          <w:noProof/>
          <w:sz w:val="22"/>
        </w:rPr>
        <w:t>4,</w:t>
      </w:r>
      <w:r w:rsidRPr="005676A9">
        <w:rPr>
          <w:rFonts w:ascii="Cambria" w:hAnsi="Cambria"/>
          <w:noProof/>
          <w:sz w:val="22"/>
        </w:rPr>
        <w:t xml:space="preserve"> 395–9 (1994).</w:t>
      </w:r>
    </w:p>
    <w:p w14:paraId="08D54E4E"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184.</w:t>
      </w:r>
      <w:r w:rsidRPr="005676A9">
        <w:rPr>
          <w:rFonts w:ascii="Cambria" w:hAnsi="Cambria"/>
          <w:noProof/>
          <w:sz w:val="22"/>
        </w:rPr>
        <w:tab/>
        <w:t xml:space="preserve">Topping, A. </w:t>
      </w:r>
      <w:r w:rsidRPr="005676A9">
        <w:rPr>
          <w:rFonts w:ascii="Cambria" w:hAnsi="Cambria"/>
          <w:i/>
          <w:iCs/>
          <w:noProof/>
          <w:sz w:val="22"/>
        </w:rPr>
        <w:t>et al.</w:t>
      </w:r>
      <w:r w:rsidRPr="005676A9">
        <w:rPr>
          <w:rFonts w:ascii="Cambria" w:hAnsi="Cambria"/>
          <w:noProof/>
          <w:sz w:val="22"/>
        </w:rPr>
        <w:t xml:space="preserve"> Five years of sentinel node biopsy for melanoma: the St George’s Melanoma Unit experience. </w:t>
      </w:r>
      <w:r w:rsidRPr="005676A9">
        <w:rPr>
          <w:rFonts w:ascii="Cambria" w:hAnsi="Cambria"/>
          <w:i/>
          <w:iCs/>
          <w:noProof/>
          <w:sz w:val="22"/>
        </w:rPr>
        <w:t>Br. J. Plast. Surg.</w:t>
      </w:r>
      <w:r w:rsidRPr="005676A9">
        <w:rPr>
          <w:rFonts w:ascii="Cambria" w:hAnsi="Cambria"/>
          <w:noProof/>
          <w:sz w:val="22"/>
        </w:rPr>
        <w:t xml:space="preserve"> </w:t>
      </w:r>
      <w:r w:rsidRPr="005676A9">
        <w:rPr>
          <w:rFonts w:ascii="Cambria" w:hAnsi="Cambria"/>
          <w:b/>
          <w:bCs/>
          <w:noProof/>
          <w:sz w:val="22"/>
        </w:rPr>
        <w:t>57,</w:t>
      </w:r>
      <w:r w:rsidRPr="005676A9">
        <w:rPr>
          <w:rFonts w:ascii="Cambria" w:hAnsi="Cambria"/>
          <w:noProof/>
          <w:sz w:val="22"/>
        </w:rPr>
        <w:t xml:space="preserve"> 97–104 (2004).</w:t>
      </w:r>
    </w:p>
    <w:p w14:paraId="7A29B11E"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185.</w:t>
      </w:r>
      <w:r w:rsidRPr="005676A9">
        <w:rPr>
          <w:rFonts w:ascii="Cambria" w:hAnsi="Cambria"/>
          <w:noProof/>
          <w:sz w:val="22"/>
        </w:rPr>
        <w:tab/>
        <w:t xml:space="preserve">Mansel, R. E. </w:t>
      </w:r>
      <w:r w:rsidRPr="005676A9">
        <w:rPr>
          <w:rFonts w:ascii="Cambria" w:hAnsi="Cambria"/>
          <w:i/>
          <w:iCs/>
          <w:noProof/>
          <w:sz w:val="22"/>
        </w:rPr>
        <w:t>et al.</w:t>
      </w:r>
      <w:r w:rsidRPr="005676A9">
        <w:rPr>
          <w:rFonts w:ascii="Cambria" w:hAnsi="Cambria"/>
          <w:noProof/>
          <w:sz w:val="22"/>
        </w:rPr>
        <w:t xml:space="preserve"> Results of a national training programme in sentinel lymph node biopsy for breast cancer. </w:t>
      </w:r>
      <w:r w:rsidRPr="005676A9">
        <w:rPr>
          <w:rFonts w:ascii="Cambria" w:hAnsi="Cambria"/>
          <w:i/>
          <w:iCs/>
          <w:noProof/>
          <w:sz w:val="22"/>
        </w:rPr>
        <w:t>Br. J. Surg.</w:t>
      </w:r>
      <w:r w:rsidRPr="005676A9">
        <w:rPr>
          <w:rFonts w:ascii="Cambria" w:hAnsi="Cambria"/>
          <w:noProof/>
          <w:sz w:val="22"/>
        </w:rPr>
        <w:t xml:space="preserve"> </w:t>
      </w:r>
      <w:r w:rsidRPr="005676A9">
        <w:rPr>
          <w:rFonts w:ascii="Cambria" w:hAnsi="Cambria"/>
          <w:b/>
          <w:bCs/>
          <w:noProof/>
          <w:sz w:val="22"/>
        </w:rPr>
        <w:t>100,</w:t>
      </w:r>
      <w:r w:rsidRPr="005676A9">
        <w:rPr>
          <w:rFonts w:ascii="Cambria" w:hAnsi="Cambria"/>
          <w:noProof/>
          <w:sz w:val="22"/>
        </w:rPr>
        <w:t xml:space="preserve"> 654–61 (2013).</w:t>
      </w:r>
    </w:p>
    <w:p w14:paraId="2C7CC13D"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186.</w:t>
      </w:r>
      <w:r w:rsidRPr="005676A9">
        <w:rPr>
          <w:rFonts w:ascii="Cambria" w:hAnsi="Cambria"/>
          <w:noProof/>
          <w:sz w:val="22"/>
        </w:rPr>
        <w:tab/>
        <w:t xml:space="preserve">Glass, E. C., Essner, R. &amp; Morton, D. L. Kinetics of three lymphoscintigraphic agents in patients with cutaneous melanoma. </w:t>
      </w:r>
      <w:r w:rsidRPr="005676A9">
        <w:rPr>
          <w:rFonts w:ascii="Cambria" w:hAnsi="Cambria"/>
          <w:i/>
          <w:iCs/>
          <w:noProof/>
          <w:sz w:val="22"/>
        </w:rPr>
        <w:t>J. Nucl. Med.</w:t>
      </w:r>
      <w:r w:rsidRPr="005676A9">
        <w:rPr>
          <w:rFonts w:ascii="Cambria" w:hAnsi="Cambria"/>
          <w:noProof/>
          <w:sz w:val="22"/>
        </w:rPr>
        <w:t xml:space="preserve"> </w:t>
      </w:r>
      <w:r w:rsidRPr="005676A9">
        <w:rPr>
          <w:rFonts w:ascii="Cambria" w:hAnsi="Cambria"/>
          <w:b/>
          <w:bCs/>
          <w:noProof/>
          <w:sz w:val="22"/>
        </w:rPr>
        <w:t>39,</w:t>
      </w:r>
      <w:r w:rsidRPr="005676A9">
        <w:rPr>
          <w:rFonts w:ascii="Cambria" w:hAnsi="Cambria"/>
          <w:noProof/>
          <w:sz w:val="22"/>
        </w:rPr>
        <w:t xml:space="preserve"> 1185–90 (1998).</w:t>
      </w:r>
    </w:p>
    <w:p w14:paraId="490E0605"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187.</w:t>
      </w:r>
      <w:r w:rsidRPr="005676A9">
        <w:rPr>
          <w:rFonts w:ascii="Cambria" w:hAnsi="Cambria"/>
          <w:noProof/>
          <w:sz w:val="22"/>
        </w:rPr>
        <w:tab/>
        <w:t xml:space="preserve">Wong, J. H., Terada, K., Ko, P. &amp; Coel, M. N. Lack of effect of particle size on the identification of the sentinel node in cutaneous malignancies. </w:t>
      </w:r>
      <w:r w:rsidRPr="005676A9">
        <w:rPr>
          <w:rFonts w:ascii="Cambria" w:hAnsi="Cambria"/>
          <w:i/>
          <w:iCs/>
          <w:noProof/>
          <w:sz w:val="22"/>
        </w:rPr>
        <w:t>Ann. Surg. Oncol.</w:t>
      </w:r>
      <w:r w:rsidRPr="005676A9">
        <w:rPr>
          <w:rFonts w:ascii="Cambria" w:hAnsi="Cambria"/>
          <w:noProof/>
          <w:sz w:val="22"/>
        </w:rPr>
        <w:t xml:space="preserve"> </w:t>
      </w:r>
      <w:r w:rsidRPr="005676A9">
        <w:rPr>
          <w:rFonts w:ascii="Cambria" w:hAnsi="Cambria"/>
          <w:b/>
          <w:bCs/>
          <w:noProof/>
          <w:sz w:val="22"/>
        </w:rPr>
        <w:t>5,</w:t>
      </w:r>
      <w:r w:rsidRPr="005676A9">
        <w:rPr>
          <w:rFonts w:ascii="Cambria" w:hAnsi="Cambria"/>
          <w:noProof/>
          <w:sz w:val="22"/>
        </w:rPr>
        <w:t xml:space="preserve"> 77–80 (1998).</w:t>
      </w:r>
    </w:p>
    <w:p w14:paraId="3A09C4E2"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188.</w:t>
      </w:r>
      <w:r w:rsidRPr="005676A9">
        <w:rPr>
          <w:rFonts w:ascii="Cambria" w:hAnsi="Cambria"/>
          <w:noProof/>
          <w:sz w:val="22"/>
        </w:rPr>
        <w:tab/>
        <w:t xml:space="preserve">Ikomi, F., Hanna, G. K. &amp; Schmid-Schönbein, G. W. Mechanism of colloidal particle uptake into the lymphatic system: basic study with percutaneous lymphography. </w:t>
      </w:r>
      <w:r w:rsidRPr="005676A9">
        <w:rPr>
          <w:rFonts w:ascii="Cambria" w:hAnsi="Cambria"/>
          <w:i/>
          <w:iCs/>
          <w:noProof/>
          <w:sz w:val="22"/>
        </w:rPr>
        <w:t>Radiology</w:t>
      </w:r>
      <w:r w:rsidRPr="005676A9">
        <w:rPr>
          <w:rFonts w:ascii="Cambria" w:hAnsi="Cambria"/>
          <w:noProof/>
          <w:sz w:val="22"/>
        </w:rPr>
        <w:t xml:space="preserve"> </w:t>
      </w:r>
      <w:r w:rsidRPr="005676A9">
        <w:rPr>
          <w:rFonts w:ascii="Cambria" w:hAnsi="Cambria"/>
          <w:b/>
          <w:bCs/>
          <w:noProof/>
          <w:sz w:val="22"/>
        </w:rPr>
        <w:t>196,</w:t>
      </w:r>
      <w:r w:rsidRPr="005676A9">
        <w:rPr>
          <w:rFonts w:ascii="Cambria" w:hAnsi="Cambria"/>
          <w:noProof/>
          <w:sz w:val="22"/>
        </w:rPr>
        <w:t xml:space="preserve"> 107–13 (1995).</w:t>
      </w:r>
    </w:p>
    <w:p w14:paraId="23D2EE7D"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189.</w:t>
      </w:r>
      <w:r w:rsidRPr="005676A9">
        <w:rPr>
          <w:rFonts w:ascii="Cambria" w:hAnsi="Cambria"/>
          <w:noProof/>
          <w:sz w:val="22"/>
        </w:rPr>
        <w:tab/>
        <w:t xml:space="preserve">Sondak, V. K. </w:t>
      </w:r>
      <w:r w:rsidRPr="005676A9">
        <w:rPr>
          <w:rFonts w:ascii="Cambria" w:hAnsi="Cambria"/>
          <w:i/>
          <w:iCs/>
          <w:noProof/>
          <w:sz w:val="22"/>
        </w:rPr>
        <w:t>et al.</w:t>
      </w:r>
      <w:r w:rsidRPr="005676A9">
        <w:rPr>
          <w:rFonts w:ascii="Cambria" w:hAnsi="Cambria"/>
          <w:noProof/>
          <w:sz w:val="22"/>
        </w:rPr>
        <w:t xml:space="preserve"> Combined analysis of phase III trials evaluating [</w:t>
      </w:r>
      <w:r w:rsidRPr="005676A9">
        <w:rPr>
          <w:rFonts w:ascii="Cambria" w:hAnsi="Cambria"/>
          <w:noProof/>
          <w:sz w:val="22"/>
          <w:vertAlign w:val="superscript"/>
        </w:rPr>
        <w:t>99</w:t>
      </w:r>
      <w:r w:rsidRPr="005676A9">
        <w:rPr>
          <w:rFonts w:ascii="Cambria" w:hAnsi="Cambria"/>
          <w:noProof/>
          <w:sz w:val="22"/>
        </w:rPr>
        <w:t xml:space="preserve">mTc]tilmanocept and vital blue dye for identification of sentinel lymph nodes in clinically node-negative cutaneous melanoma. </w:t>
      </w:r>
      <w:r w:rsidRPr="005676A9">
        <w:rPr>
          <w:rFonts w:ascii="Cambria" w:hAnsi="Cambria"/>
          <w:i/>
          <w:iCs/>
          <w:noProof/>
          <w:sz w:val="22"/>
        </w:rPr>
        <w:t>Ann. Surg. Oncol.</w:t>
      </w:r>
      <w:r w:rsidRPr="005676A9">
        <w:rPr>
          <w:rFonts w:ascii="Cambria" w:hAnsi="Cambria"/>
          <w:noProof/>
          <w:sz w:val="22"/>
        </w:rPr>
        <w:t xml:space="preserve"> </w:t>
      </w:r>
      <w:r w:rsidRPr="005676A9">
        <w:rPr>
          <w:rFonts w:ascii="Cambria" w:hAnsi="Cambria"/>
          <w:b/>
          <w:bCs/>
          <w:noProof/>
          <w:sz w:val="22"/>
        </w:rPr>
        <w:t>20,</w:t>
      </w:r>
      <w:r w:rsidRPr="005676A9">
        <w:rPr>
          <w:rFonts w:ascii="Cambria" w:hAnsi="Cambria"/>
          <w:noProof/>
          <w:sz w:val="22"/>
        </w:rPr>
        <w:t xml:space="preserve"> 680–8 (2013).</w:t>
      </w:r>
    </w:p>
    <w:p w14:paraId="6E1409D3"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190.</w:t>
      </w:r>
      <w:r w:rsidRPr="005676A9">
        <w:rPr>
          <w:rFonts w:ascii="Cambria" w:hAnsi="Cambria"/>
          <w:noProof/>
          <w:sz w:val="22"/>
        </w:rPr>
        <w:tab/>
        <w:t xml:space="preserve">Balkissoon, J., Rasgon, B. M. &amp; Schweitzer, L. Lymphatic mapping for staging of head and neck cancer. </w:t>
      </w:r>
      <w:r w:rsidRPr="005676A9">
        <w:rPr>
          <w:rFonts w:ascii="Cambria" w:hAnsi="Cambria"/>
          <w:i/>
          <w:iCs/>
          <w:noProof/>
          <w:sz w:val="22"/>
        </w:rPr>
        <w:t>Semin. Oncol.</w:t>
      </w:r>
      <w:r w:rsidRPr="005676A9">
        <w:rPr>
          <w:rFonts w:ascii="Cambria" w:hAnsi="Cambria"/>
          <w:noProof/>
          <w:sz w:val="22"/>
        </w:rPr>
        <w:t xml:space="preserve"> </w:t>
      </w:r>
      <w:r w:rsidRPr="005676A9">
        <w:rPr>
          <w:rFonts w:ascii="Cambria" w:hAnsi="Cambria"/>
          <w:b/>
          <w:bCs/>
          <w:noProof/>
          <w:sz w:val="22"/>
        </w:rPr>
        <w:t>31,</w:t>
      </w:r>
      <w:r w:rsidRPr="005676A9">
        <w:rPr>
          <w:rFonts w:ascii="Cambria" w:hAnsi="Cambria"/>
          <w:noProof/>
          <w:sz w:val="22"/>
        </w:rPr>
        <w:t xml:space="preserve"> 382–93 (2004).</w:t>
      </w:r>
    </w:p>
    <w:p w14:paraId="11C9CA62"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191.</w:t>
      </w:r>
      <w:r w:rsidRPr="005676A9">
        <w:rPr>
          <w:rFonts w:ascii="Cambria" w:hAnsi="Cambria"/>
          <w:noProof/>
          <w:sz w:val="22"/>
        </w:rPr>
        <w:tab/>
        <w:t xml:space="preserve">Uren, R. F., Howman-Giles, R., Chung, D. &amp; Thompson, J. F. Nuclear medicine aspects of melanoma and breast lymphatic mapping. </w:t>
      </w:r>
      <w:r w:rsidRPr="005676A9">
        <w:rPr>
          <w:rFonts w:ascii="Cambria" w:hAnsi="Cambria"/>
          <w:i/>
          <w:iCs/>
          <w:noProof/>
          <w:sz w:val="22"/>
        </w:rPr>
        <w:t>Semin. Oncol.</w:t>
      </w:r>
      <w:r w:rsidRPr="005676A9">
        <w:rPr>
          <w:rFonts w:ascii="Cambria" w:hAnsi="Cambria"/>
          <w:noProof/>
          <w:sz w:val="22"/>
        </w:rPr>
        <w:t xml:space="preserve"> </w:t>
      </w:r>
      <w:r w:rsidRPr="005676A9">
        <w:rPr>
          <w:rFonts w:ascii="Cambria" w:hAnsi="Cambria"/>
          <w:b/>
          <w:bCs/>
          <w:noProof/>
          <w:sz w:val="22"/>
        </w:rPr>
        <w:t>31,</w:t>
      </w:r>
      <w:r w:rsidRPr="005676A9">
        <w:rPr>
          <w:rFonts w:ascii="Cambria" w:hAnsi="Cambria"/>
          <w:noProof/>
          <w:sz w:val="22"/>
        </w:rPr>
        <w:t xml:space="preserve"> 338–48 (2004).</w:t>
      </w:r>
    </w:p>
    <w:p w14:paraId="0565C648"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192.</w:t>
      </w:r>
      <w:r w:rsidRPr="005676A9">
        <w:rPr>
          <w:rFonts w:ascii="Cambria" w:hAnsi="Cambria"/>
          <w:noProof/>
          <w:sz w:val="22"/>
        </w:rPr>
        <w:tab/>
        <w:t xml:space="preserve">Sanki, A. </w:t>
      </w:r>
      <w:r w:rsidRPr="005676A9">
        <w:rPr>
          <w:rFonts w:ascii="Cambria" w:hAnsi="Cambria"/>
          <w:i/>
          <w:iCs/>
          <w:noProof/>
          <w:sz w:val="22"/>
        </w:rPr>
        <w:t>et al.</w:t>
      </w:r>
      <w:r w:rsidRPr="005676A9">
        <w:rPr>
          <w:rFonts w:ascii="Cambria" w:hAnsi="Cambria"/>
          <w:noProof/>
          <w:sz w:val="22"/>
        </w:rPr>
        <w:t xml:space="preserve"> Targeted High-Resolution Ultrasound Is Not an Effective Substitute for Sentinel Lymph Node Biopsy in Patients With Primary Cutaneous Melanoma. </w:t>
      </w:r>
      <w:r w:rsidRPr="005676A9">
        <w:rPr>
          <w:rFonts w:ascii="Cambria" w:hAnsi="Cambria"/>
          <w:i/>
          <w:iCs/>
          <w:noProof/>
          <w:sz w:val="22"/>
        </w:rPr>
        <w:t>J. Clin. Oncol.</w:t>
      </w:r>
      <w:r w:rsidRPr="005676A9">
        <w:rPr>
          <w:rFonts w:ascii="Cambria" w:hAnsi="Cambria"/>
          <w:noProof/>
          <w:sz w:val="22"/>
        </w:rPr>
        <w:t xml:space="preserve"> </w:t>
      </w:r>
      <w:r w:rsidRPr="005676A9">
        <w:rPr>
          <w:rFonts w:ascii="Cambria" w:hAnsi="Cambria"/>
          <w:b/>
          <w:bCs/>
          <w:noProof/>
          <w:sz w:val="22"/>
        </w:rPr>
        <w:t>27,</w:t>
      </w:r>
      <w:r w:rsidRPr="005676A9">
        <w:rPr>
          <w:rFonts w:ascii="Cambria" w:hAnsi="Cambria"/>
          <w:noProof/>
          <w:sz w:val="22"/>
        </w:rPr>
        <w:t xml:space="preserve"> 5614–5619 (2009).</w:t>
      </w:r>
    </w:p>
    <w:p w14:paraId="2C745FDF"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193.</w:t>
      </w:r>
      <w:r w:rsidRPr="005676A9">
        <w:rPr>
          <w:rFonts w:ascii="Cambria" w:hAnsi="Cambria"/>
          <w:noProof/>
          <w:sz w:val="22"/>
        </w:rPr>
        <w:tab/>
        <w:t xml:space="preserve">Even-Sapir, E. </w:t>
      </w:r>
      <w:r w:rsidRPr="005676A9">
        <w:rPr>
          <w:rFonts w:ascii="Cambria" w:hAnsi="Cambria"/>
          <w:i/>
          <w:iCs/>
          <w:noProof/>
          <w:sz w:val="22"/>
        </w:rPr>
        <w:t>et al.</w:t>
      </w:r>
      <w:r w:rsidRPr="005676A9">
        <w:rPr>
          <w:rFonts w:ascii="Cambria" w:hAnsi="Cambria"/>
          <w:noProof/>
          <w:sz w:val="22"/>
        </w:rPr>
        <w:t xml:space="preserve"> Lymphoscintigraphy for sentinel node mapping using a hybrid SPECT/CT system. </w:t>
      </w:r>
      <w:r w:rsidRPr="005676A9">
        <w:rPr>
          <w:rFonts w:ascii="Cambria" w:hAnsi="Cambria"/>
          <w:i/>
          <w:iCs/>
          <w:noProof/>
          <w:sz w:val="22"/>
        </w:rPr>
        <w:t>J. Nucl. Med.</w:t>
      </w:r>
      <w:r w:rsidRPr="005676A9">
        <w:rPr>
          <w:rFonts w:ascii="Cambria" w:hAnsi="Cambria"/>
          <w:noProof/>
          <w:sz w:val="22"/>
        </w:rPr>
        <w:t xml:space="preserve"> </w:t>
      </w:r>
      <w:r w:rsidRPr="005676A9">
        <w:rPr>
          <w:rFonts w:ascii="Cambria" w:hAnsi="Cambria"/>
          <w:b/>
          <w:bCs/>
          <w:noProof/>
          <w:sz w:val="22"/>
        </w:rPr>
        <w:t>44,</w:t>
      </w:r>
      <w:r w:rsidRPr="005676A9">
        <w:rPr>
          <w:rFonts w:ascii="Cambria" w:hAnsi="Cambria"/>
          <w:noProof/>
          <w:sz w:val="22"/>
        </w:rPr>
        <w:t xml:space="preserve"> 1413–20 (2003).</w:t>
      </w:r>
    </w:p>
    <w:p w14:paraId="078EABD5"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194.</w:t>
      </w:r>
      <w:r w:rsidRPr="005676A9">
        <w:rPr>
          <w:rFonts w:ascii="Cambria" w:hAnsi="Cambria"/>
          <w:noProof/>
          <w:sz w:val="22"/>
        </w:rPr>
        <w:tab/>
        <w:t xml:space="preserve">Rettenbacher, L. </w:t>
      </w:r>
      <w:r w:rsidRPr="005676A9">
        <w:rPr>
          <w:rFonts w:ascii="Cambria" w:hAnsi="Cambria"/>
          <w:i/>
          <w:iCs/>
          <w:noProof/>
          <w:sz w:val="22"/>
        </w:rPr>
        <w:t>et al.</w:t>
      </w:r>
      <w:r w:rsidRPr="005676A9">
        <w:rPr>
          <w:rFonts w:ascii="Cambria" w:hAnsi="Cambria"/>
          <w:noProof/>
          <w:sz w:val="22"/>
        </w:rPr>
        <w:t xml:space="preserve"> Reproducibility of lymphoscintigraphy in cutaneous melanoma: can we accurately detect the sentinel lymph node by expanding the tracer injection distance from the tumor site? </w:t>
      </w:r>
      <w:r w:rsidRPr="005676A9">
        <w:rPr>
          <w:rFonts w:ascii="Cambria" w:hAnsi="Cambria"/>
          <w:i/>
          <w:iCs/>
          <w:noProof/>
          <w:sz w:val="22"/>
        </w:rPr>
        <w:t>J. Nucl. Med.</w:t>
      </w:r>
      <w:r w:rsidRPr="005676A9">
        <w:rPr>
          <w:rFonts w:ascii="Cambria" w:hAnsi="Cambria"/>
          <w:noProof/>
          <w:sz w:val="22"/>
        </w:rPr>
        <w:t xml:space="preserve"> </w:t>
      </w:r>
      <w:r w:rsidRPr="005676A9">
        <w:rPr>
          <w:rFonts w:ascii="Cambria" w:hAnsi="Cambria"/>
          <w:b/>
          <w:bCs/>
          <w:noProof/>
          <w:sz w:val="22"/>
        </w:rPr>
        <w:t>42,</w:t>
      </w:r>
      <w:r w:rsidRPr="005676A9">
        <w:rPr>
          <w:rFonts w:ascii="Cambria" w:hAnsi="Cambria"/>
          <w:noProof/>
          <w:sz w:val="22"/>
        </w:rPr>
        <w:t xml:space="preserve"> 424–9 (2001).</w:t>
      </w:r>
    </w:p>
    <w:p w14:paraId="0762B83D"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195.</w:t>
      </w:r>
      <w:r w:rsidRPr="005676A9">
        <w:rPr>
          <w:rFonts w:ascii="Cambria" w:hAnsi="Cambria"/>
          <w:noProof/>
          <w:sz w:val="22"/>
        </w:rPr>
        <w:tab/>
        <w:t xml:space="preserve">Kelemen, P. R., Essner, R., Foshag, L. J. &amp; Morton, D. L. Lymphatic mapping and sentinel lymphadenectomy after wide local excision of primary melanoma. </w:t>
      </w:r>
      <w:r w:rsidRPr="005676A9">
        <w:rPr>
          <w:rFonts w:ascii="Cambria" w:hAnsi="Cambria"/>
          <w:i/>
          <w:iCs/>
          <w:noProof/>
          <w:sz w:val="22"/>
        </w:rPr>
        <w:t>J. Am. Coll. Surg.</w:t>
      </w:r>
      <w:r w:rsidRPr="005676A9">
        <w:rPr>
          <w:rFonts w:ascii="Cambria" w:hAnsi="Cambria"/>
          <w:noProof/>
          <w:sz w:val="22"/>
        </w:rPr>
        <w:t xml:space="preserve"> </w:t>
      </w:r>
      <w:r w:rsidRPr="005676A9">
        <w:rPr>
          <w:rFonts w:ascii="Cambria" w:hAnsi="Cambria"/>
          <w:b/>
          <w:bCs/>
          <w:noProof/>
          <w:sz w:val="22"/>
        </w:rPr>
        <w:t>189,</w:t>
      </w:r>
      <w:r w:rsidRPr="005676A9">
        <w:rPr>
          <w:rFonts w:ascii="Cambria" w:hAnsi="Cambria"/>
          <w:noProof/>
          <w:sz w:val="22"/>
        </w:rPr>
        <w:t xml:space="preserve"> 247–52 (1999).</w:t>
      </w:r>
    </w:p>
    <w:p w14:paraId="7142B5ED"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196.</w:t>
      </w:r>
      <w:r w:rsidRPr="005676A9">
        <w:rPr>
          <w:rFonts w:ascii="Cambria" w:hAnsi="Cambria"/>
          <w:noProof/>
          <w:sz w:val="22"/>
        </w:rPr>
        <w:tab/>
        <w:t xml:space="preserve">Karakousis, C. P. &amp; Grigoropoulos, P. Sentinel node biopsy before and after wide excision of the primary melanoma. </w:t>
      </w:r>
      <w:r w:rsidRPr="005676A9">
        <w:rPr>
          <w:rFonts w:ascii="Cambria" w:hAnsi="Cambria"/>
          <w:i/>
          <w:iCs/>
          <w:noProof/>
          <w:sz w:val="22"/>
        </w:rPr>
        <w:t>Ann. Surg. Oncol.</w:t>
      </w:r>
      <w:r w:rsidRPr="005676A9">
        <w:rPr>
          <w:rFonts w:ascii="Cambria" w:hAnsi="Cambria"/>
          <w:noProof/>
          <w:sz w:val="22"/>
        </w:rPr>
        <w:t xml:space="preserve"> </w:t>
      </w:r>
      <w:r w:rsidRPr="005676A9">
        <w:rPr>
          <w:rFonts w:ascii="Cambria" w:hAnsi="Cambria"/>
          <w:b/>
          <w:bCs/>
          <w:noProof/>
          <w:sz w:val="22"/>
        </w:rPr>
        <w:t>6,</w:t>
      </w:r>
      <w:r w:rsidRPr="005676A9">
        <w:rPr>
          <w:rFonts w:ascii="Cambria" w:hAnsi="Cambria"/>
          <w:noProof/>
          <w:sz w:val="22"/>
        </w:rPr>
        <w:t xml:space="preserve"> 785–9 (1999).</w:t>
      </w:r>
    </w:p>
    <w:p w14:paraId="274A4706"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197.</w:t>
      </w:r>
      <w:r w:rsidRPr="005676A9">
        <w:rPr>
          <w:rFonts w:ascii="Cambria" w:hAnsi="Cambria"/>
          <w:noProof/>
          <w:sz w:val="22"/>
        </w:rPr>
        <w:tab/>
        <w:t xml:space="preserve">Evans, H. L. </w:t>
      </w:r>
      <w:r w:rsidRPr="005676A9">
        <w:rPr>
          <w:rFonts w:ascii="Cambria" w:hAnsi="Cambria"/>
          <w:i/>
          <w:iCs/>
          <w:noProof/>
          <w:sz w:val="22"/>
        </w:rPr>
        <w:t>et al.</w:t>
      </w:r>
      <w:r w:rsidRPr="005676A9">
        <w:rPr>
          <w:rFonts w:ascii="Cambria" w:hAnsi="Cambria"/>
          <w:noProof/>
          <w:sz w:val="22"/>
        </w:rPr>
        <w:t xml:space="preserve"> Lymphoscintigraphy and sentinel node biopsy accurately stage melanoma in patients presenting after wide local excision. </w:t>
      </w:r>
      <w:r w:rsidRPr="005676A9">
        <w:rPr>
          <w:rFonts w:ascii="Cambria" w:hAnsi="Cambria"/>
          <w:i/>
          <w:iCs/>
          <w:noProof/>
          <w:sz w:val="22"/>
        </w:rPr>
        <w:t>Ann. Surg. Oncol.</w:t>
      </w:r>
      <w:r w:rsidRPr="005676A9">
        <w:rPr>
          <w:rFonts w:ascii="Cambria" w:hAnsi="Cambria"/>
          <w:noProof/>
          <w:sz w:val="22"/>
        </w:rPr>
        <w:t xml:space="preserve"> </w:t>
      </w:r>
      <w:r w:rsidRPr="005676A9">
        <w:rPr>
          <w:rFonts w:ascii="Cambria" w:hAnsi="Cambria"/>
          <w:b/>
          <w:bCs/>
          <w:noProof/>
          <w:sz w:val="22"/>
        </w:rPr>
        <w:t>10,</w:t>
      </w:r>
      <w:r w:rsidRPr="005676A9">
        <w:rPr>
          <w:rFonts w:ascii="Cambria" w:hAnsi="Cambria"/>
          <w:noProof/>
          <w:sz w:val="22"/>
        </w:rPr>
        <w:t xml:space="preserve"> 416–25 (2003).</w:t>
      </w:r>
    </w:p>
    <w:p w14:paraId="679389D1"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198.</w:t>
      </w:r>
      <w:r w:rsidRPr="005676A9">
        <w:rPr>
          <w:rFonts w:ascii="Cambria" w:hAnsi="Cambria"/>
          <w:noProof/>
          <w:sz w:val="22"/>
        </w:rPr>
        <w:tab/>
        <w:t xml:space="preserve">Gannon, C. J. </w:t>
      </w:r>
      <w:r w:rsidRPr="005676A9">
        <w:rPr>
          <w:rFonts w:ascii="Cambria" w:hAnsi="Cambria"/>
          <w:i/>
          <w:iCs/>
          <w:noProof/>
          <w:sz w:val="22"/>
        </w:rPr>
        <w:t>et al.</w:t>
      </w:r>
      <w:r w:rsidRPr="005676A9">
        <w:rPr>
          <w:rFonts w:ascii="Cambria" w:hAnsi="Cambria"/>
          <w:noProof/>
          <w:sz w:val="22"/>
        </w:rPr>
        <w:t xml:space="preserve"> Accuracy of lymphatic mapping and sentinel lymph node biopsy after previous wide local excision in patients with primary melanoma. </w:t>
      </w:r>
      <w:r w:rsidRPr="005676A9">
        <w:rPr>
          <w:rFonts w:ascii="Cambria" w:hAnsi="Cambria"/>
          <w:i/>
          <w:iCs/>
          <w:noProof/>
          <w:sz w:val="22"/>
        </w:rPr>
        <w:t>Cancer</w:t>
      </w:r>
      <w:r w:rsidRPr="005676A9">
        <w:rPr>
          <w:rFonts w:ascii="Cambria" w:hAnsi="Cambria"/>
          <w:noProof/>
          <w:sz w:val="22"/>
        </w:rPr>
        <w:t xml:space="preserve"> </w:t>
      </w:r>
      <w:r w:rsidRPr="005676A9">
        <w:rPr>
          <w:rFonts w:ascii="Cambria" w:hAnsi="Cambria"/>
          <w:b/>
          <w:bCs/>
          <w:noProof/>
          <w:sz w:val="22"/>
        </w:rPr>
        <w:t>107,</w:t>
      </w:r>
      <w:r w:rsidRPr="005676A9">
        <w:rPr>
          <w:rFonts w:ascii="Cambria" w:hAnsi="Cambria"/>
          <w:noProof/>
          <w:sz w:val="22"/>
        </w:rPr>
        <w:t xml:space="preserve"> 2647–2652 (2006).</w:t>
      </w:r>
    </w:p>
    <w:p w14:paraId="221B128F"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199.</w:t>
      </w:r>
      <w:r w:rsidRPr="005676A9">
        <w:rPr>
          <w:rFonts w:ascii="Cambria" w:hAnsi="Cambria"/>
          <w:noProof/>
          <w:sz w:val="22"/>
        </w:rPr>
        <w:tab/>
        <w:t xml:space="preserve">McCready, D. R. </w:t>
      </w:r>
      <w:r w:rsidRPr="005676A9">
        <w:rPr>
          <w:rFonts w:ascii="Cambria" w:hAnsi="Cambria"/>
          <w:i/>
          <w:iCs/>
          <w:noProof/>
          <w:sz w:val="22"/>
        </w:rPr>
        <w:t>et al.</w:t>
      </w:r>
      <w:r w:rsidRPr="005676A9">
        <w:rPr>
          <w:rFonts w:ascii="Cambria" w:hAnsi="Cambria"/>
          <w:noProof/>
          <w:sz w:val="22"/>
        </w:rPr>
        <w:t xml:space="preserve"> Sentinel lymph-node biopsy after previous wide local excision for melanoma. </w:t>
      </w:r>
      <w:r w:rsidRPr="005676A9">
        <w:rPr>
          <w:rFonts w:ascii="Cambria" w:hAnsi="Cambria"/>
          <w:i/>
          <w:iCs/>
          <w:noProof/>
          <w:sz w:val="22"/>
        </w:rPr>
        <w:t>Can. J. Surg.</w:t>
      </w:r>
      <w:r w:rsidRPr="005676A9">
        <w:rPr>
          <w:rFonts w:ascii="Cambria" w:hAnsi="Cambria"/>
          <w:noProof/>
          <w:sz w:val="22"/>
        </w:rPr>
        <w:t xml:space="preserve"> </w:t>
      </w:r>
      <w:r w:rsidRPr="005676A9">
        <w:rPr>
          <w:rFonts w:ascii="Cambria" w:hAnsi="Cambria"/>
          <w:b/>
          <w:bCs/>
          <w:noProof/>
          <w:sz w:val="22"/>
        </w:rPr>
        <w:t>44,</w:t>
      </w:r>
      <w:r w:rsidRPr="005676A9">
        <w:rPr>
          <w:rFonts w:ascii="Cambria" w:hAnsi="Cambria"/>
          <w:noProof/>
          <w:sz w:val="22"/>
        </w:rPr>
        <w:t xml:space="preserve"> 432–4 (2001).</w:t>
      </w:r>
    </w:p>
    <w:p w14:paraId="03A3C68E"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200.</w:t>
      </w:r>
      <w:r w:rsidRPr="005676A9">
        <w:rPr>
          <w:rFonts w:ascii="Cambria" w:hAnsi="Cambria"/>
          <w:noProof/>
          <w:sz w:val="22"/>
        </w:rPr>
        <w:tab/>
        <w:t xml:space="preserve">Leong, W. L., Ghazarian, D. M. &amp; McCready, D. R. Previous wide local excision of primary melanoma is not a contraindication for sentinel lymph node biopsy of the trunk and extremity. </w:t>
      </w:r>
      <w:r w:rsidRPr="005676A9">
        <w:rPr>
          <w:rFonts w:ascii="Cambria" w:hAnsi="Cambria"/>
          <w:i/>
          <w:iCs/>
          <w:noProof/>
          <w:sz w:val="22"/>
        </w:rPr>
        <w:t>J. Surg. Oncol.</w:t>
      </w:r>
      <w:r w:rsidRPr="005676A9">
        <w:rPr>
          <w:rFonts w:ascii="Cambria" w:hAnsi="Cambria"/>
          <w:noProof/>
          <w:sz w:val="22"/>
        </w:rPr>
        <w:t xml:space="preserve"> </w:t>
      </w:r>
      <w:r w:rsidRPr="005676A9">
        <w:rPr>
          <w:rFonts w:ascii="Cambria" w:hAnsi="Cambria"/>
          <w:b/>
          <w:bCs/>
          <w:noProof/>
          <w:sz w:val="22"/>
        </w:rPr>
        <w:t>82,</w:t>
      </w:r>
      <w:r w:rsidRPr="005676A9">
        <w:rPr>
          <w:rFonts w:ascii="Cambria" w:hAnsi="Cambria"/>
          <w:noProof/>
          <w:sz w:val="22"/>
        </w:rPr>
        <w:t xml:space="preserve"> 143–6 (2003).</w:t>
      </w:r>
    </w:p>
    <w:p w14:paraId="3D04D774"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201.</w:t>
      </w:r>
      <w:r w:rsidRPr="005676A9">
        <w:rPr>
          <w:rFonts w:ascii="Cambria" w:hAnsi="Cambria"/>
          <w:noProof/>
          <w:sz w:val="22"/>
        </w:rPr>
        <w:tab/>
        <w:t xml:space="preserve">Leong, S. P. L. </w:t>
      </w:r>
      <w:r w:rsidRPr="005676A9">
        <w:rPr>
          <w:rFonts w:ascii="Cambria" w:hAnsi="Cambria"/>
          <w:i/>
          <w:iCs/>
          <w:noProof/>
          <w:sz w:val="22"/>
        </w:rPr>
        <w:t>et al.</w:t>
      </w:r>
      <w:r w:rsidRPr="005676A9">
        <w:rPr>
          <w:rFonts w:ascii="Cambria" w:hAnsi="Cambria"/>
          <w:noProof/>
          <w:sz w:val="22"/>
        </w:rPr>
        <w:t xml:space="preserve"> Delayed harvesting of sentinel lymph nodes after previous wide local excision of extremity melanoma. </w:t>
      </w:r>
      <w:r w:rsidRPr="005676A9">
        <w:rPr>
          <w:rFonts w:ascii="Cambria" w:hAnsi="Cambria"/>
          <w:i/>
          <w:iCs/>
          <w:noProof/>
          <w:sz w:val="22"/>
        </w:rPr>
        <w:t>Ann. Surg. Oncol.</w:t>
      </w:r>
      <w:r w:rsidRPr="005676A9">
        <w:rPr>
          <w:rFonts w:ascii="Cambria" w:hAnsi="Cambria"/>
          <w:noProof/>
          <w:sz w:val="22"/>
        </w:rPr>
        <w:t xml:space="preserve"> </w:t>
      </w:r>
      <w:r w:rsidRPr="005676A9">
        <w:rPr>
          <w:rFonts w:ascii="Cambria" w:hAnsi="Cambria"/>
          <w:b/>
          <w:bCs/>
          <w:noProof/>
          <w:sz w:val="22"/>
        </w:rPr>
        <w:t>10,</w:t>
      </w:r>
      <w:r w:rsidRPr="005676A9">
        <w:rPr>
          <w:rFonts w:ascii="Cambria" w:hAnsi="Cambria"/>
          <w:noProof/>
          <w:sz w:val="22"/>
        </w:rPr>
        <w:t xml:space="preserve"> 196–200 (2003).</w:t>
      </w:r>
    </w:p>
    <w:p w14:paraId="7DCA5ADF"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202.</w:t>
      </w:r>
      <w:r w:rsidRPr="005676A9">
        <w:rPr>
          <w:rFonts w:ascii="Cambria" w:hAnsi="Cambria"/>
          <w:noProof/>
          <w:sz w:val="22"/>
        </w:rPr>
        <w:tab/>
        <w:t xml:space="preserve">Rees, W. V, Robinson, D. S., Holmes, E. C. &amp; Morton, D. L. Altered lymphatic drainage following lymphadenectomy. </w:t>
      </w:r>
      <w:r w:rsidRPr="005676A9">
        <w:rPr>
          <w:rFonts w:ascii="Cambria" w:hAnsi="Cambria"/>
          <w:i/>
          <w:iCs/>
          <w:noProof/>
          <w:sz w:val="22"/>
        </w:rPr>
        <w:t>Cancer</w:t>
      </w:r>
      <w:r w:rsidRPr="005676A9">
        <w:rPr>
          <w:rFonts w:ascii="Cambria" w:hAnsi="Cambria"/>
          <w:noProof/>
          <w:sz w:val="22"/>
        </w:rPr>
        <w:t xml:space="preserve"> </w:t>
      </w:r>
      <w:r w:rsidRPr="005676A9">
        <w:rPr>
          <w:rFonts w:ascii="Cambria" w:hAnsi="Cambria"/>
          <w:b/>
          <w:bCs/>
          <w:noProof/>
          <w:sz w:val="22"/>
        </w:rPr>
        <w:t>45,</w:t>
      </w:r>
      <w:r w:rsidRPr="005676A9">
        <w:rPr>
          <w:rFonts w:ascii="Cambria" w:hAnsi="Cambria"/>
          <w:noProof/>
          <w:sz w:val="22"/>
        </w:rPr>
        <w:t xml:space="preserve"> 3045–9 (1980).</w:t>
      </w:r>
    </w:p>
    <w:p w14:paraId="570D2621"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203.</w:t>
      </w:r>
      <w:r w:rsidRPr="005676A9">
        <w:rPr>
          <w:rFonts w:ascii="Cambria" w:hAnsi="Cambria"/>
          <w:noProof/>
          <w:sz w:val="22"/>
        </w:rPr>
        <w:tab/>
        <w:t xml:space="preserve">Levavi, H., Sabah, G., Hardoff, R., Koren, C. &amp; Gutman, H. Failure of sentinel node identification following neo-adjuvant chemo-radiotherapy for locally advanced squamous cell carcinoma of the vulva. </w:t>
      </w:r>
      <w:r w:rsidRPr="005676A9">
        <w:rPr>
          <w:rFonts w:ascii="Cambria" w:hAnsi="Cambria"/>
          <w:i/>
          <w:iCs/>
          <w:noProof/>
          <w:sz w:val="22"/>
        </w:rPr>
        <w:t>Eur. J. Gynaecol. Oncol.</w:t>
      </w:r>
      <w:r w:rsidRPr="005676A9">
        <w:rPr>
          <w:rFonts w:ascii="Cambria" w:hAnsi="Cambria"/>
          <w:noProof/>
          <w:sz w:val="22"/>
        </w:rPr>
        <w:t xml:space="preserve"> </w:t>
      </w:r>
      <w:r w:rsidRPr="005676A9">
        <w:rPr>
          <w:rFonts w:ascii="Cambria" w:hAnsi="Cambria"/>
          <w:b/>
          <w:bCs/>
          <w:noProof/>
          <w:sz w:val="22"/>
        </w:rPr>
        <w:t>24,</w:t>
      </w:r>
      <w:r w:rsidRPr="005676A9">
        <w:rPr>
          <w:rFonts w:ascii="Cambria" w:hAnsi="Cambria"/>
          <w:noProof/>
          <w:sz w:val="22"/>
        </w:rPr>
        <w:t xml:space="preserve"> 433–4 (2003).</w:t>
      </w:r>
    </w:p>
    <w:p w14:paraId="2E7CA96A"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204.</w:t>
      </w:r>
      <w:r w:rsidRPr="005676A9">
        <w:rPr>
          <w:rFonts w:ascii="Cambria" w:hAnsi="Cambria"/>
          <w:noProof/>
          <w:sz w:val="22"/>
        </w:rPr>
        <w:tab/>
        <w:t xml:space="preserve">Bennie, G., Vorster, M., Buscombe, J. &amp; Sathekge, M. The Added Value of a Single-photon Emission Computed Tomography-Computed Tomography in Sentinel Lymph Node Mapping in Patients with Breast Cancer and Malignant Melanoma. </w:t>
      </w:r>
      <w:r w:rsidRPr="005676A9">
        <w:rPr>
          <w:rFonts w:ascii="Cambria" w:hAnsi="Cambria"/>
          <w:i/>
          <w:iCs/>
          <w:noProof/>
          <w:sz w:val="22"/>
        </w:rPr>
        <w:t>World J. Nucl. Med.</w:t>
      </w:r>
      <w:r w:rsidRPr="005676A9">
        <w:rPr>
          <w:rFonts w:ascii="Cambria" w:hAnsi="Cambria"/>
          <w:noProof/>
          <w:sz w:val="22"/>
        </w:rPr>
        <w:t xml:space="preserve"> </w:t>
      </w:r>
      <w:r w:rsidRPr="005676A9">
        <w:rPr>
          <w:rFonts w:ascii="Cambria" w:hAnsi="Cambria"/>
          <w:b/>
          <w:bCs/>
          <w:noProof/>
          <w:sz w:val="22"/>
        </w:rPr>
        <w:t>14,</w:t>
      </w:r>
      <w:r w:rsidRPr="005676A9">
        <w:rPr>
          <w:rFonts w:ascii="Cambria" w:hAnsi="Cambria"/>
          <w:noProof/>
          <w:sz w:val="22"/>
        </w:rPr>
        <w:t xml:space="preserve"> 41–6 (2015).</w:t>
      </w:r>
    </w:p>
    <w:p w14:paraId="7F7C10C9"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205.</w:t>
      </w:r>
      <w:r w:rsidRPr="005676A9">
        <w:rPr>
          <w:rFonts w:ascii="Cambria" w:hAnsi="Cambria"/>
          <w:noProof/>
          <w:sz w:val="22"/>
        </w:rPr>
        <w:tab/>
        <w:t xml:space="preserve">Lam, T. K. </w:t>
      </w:r>
      <w:r w:rsidRPr="005676A9">
        <w:rPr>
          <w:rFonts w:ascii="Cambria" w:hAnsi="Cambria"/>
          <w:i/>
          <w:iCs/>
          <w:noProof/>
          <w:sz w:val="22"/>
        </w:rPr>
        <w:t>et al.</w:t>
      </w:r>
      <w:r w:rsidRPr="005676A9">
        <w:rPr>
          <w:rFonts w:ascii="Cambria" w:hAnsi="Cambria"/>
          <w:noProof/>
          <w:sz w:val="22"/>
        </w:rPr>
        <w:t xml:space="preserve"> False-negative sentinel node biopsy because of obstruction of lymphatics by metastatic melanoma: the value of ultrasound in conjunction with preoperative lymphoscintigraphy. </w:t>
      </w:r>
      <w:r w:rsidRPr="005676A9">
        <w:rPr>
          <w:rFonts w:ascii="Cambria" w:hAnsi="Cambria"/>
          <w:i/>
          <w:iCs/>
          <w:noProof/>
          <w:sz w:val="22"/>
        </w:rPr>
        <w:t>Melanoma Res.</w:t>
      </w:r>
      <w:r w:rsidRPr="005676A9">
        <w:rPr>
          <w:rFonts w:ascii="Cambria" w:hAnsi="Cambria"/>
          <w:noProof/>
          <w:sz w:val="22"/>
        </w:rPr>
        <w:t xml:space="preserve"> </w:t>
      </w:r>
      <w:r w:rsidRPr="005676A9">
        <w:rPr>
          <w:rFonts w:ascii="Cambria" w:hAnsi="Cambria"/>
          <w:b/>
          <w:bCs/>
          <w:noProof/>
          <w:sz w:val="22"/>
        </w:rPr>
        <w:t>19,</w:t>
      </w:r>
      <w:r w:rsidRPr="005676A9">
        <w:rPr>
          <w:rFonts w:ascii="Cambria" w:hAnsi="Cambria"/>
          <w:noProof/>
          <w:sz w:val="22"/>
        </w:rPr>
        <w:t xml:space="preserve"> 94–9 (2009).</w:t>
      </w:r>
    </w:p>
    <w:p w14:paraId="559CE195"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206.</w:t>
      </w:r>
      <w:r w:rsidRPr="005676A9">
        <w:rPr>
          <w:rFonts w:ascii="Cambria" w:hAnsi="Cambria"/>
          <w:noProof/>
          <w:sz w:val="22"/>
        </w:rPr>
        <w:tab/>
        <w:t xml:space="preserve">Sood, A. </w:t>
      </w:r>
      <w:r w:rsidRPr="005676A9">
        <w:rPr>
          <w:rFonts w:ascii="Cambria" w:hAnsi="Cambria"/>
          <w:i/>
          <w:iCs/>
          <w:noProof/>
          <w:sz w:val="22"/>
        </w:rPr>
        <w:t>et al.</w:t>
      </w:r>
      <w:r w:rsidRPr="005676A9">
        <w:rPr>
          <w:rFonts w:ascii="Cambria" w:hAnsi="Cambria"/>
          <w:noProof/>
          <w:sz w:val="22"/>
        </w:rPr>
        <w:t xml:space="preserve"> Alternative lymphatic pathway after previous axillary node dissection in recurrent/primary breast cancer. </w:t>
      </w:r>
      <w:r w:rsidRPr="005676A9">
        <w:rPr>
          <w:rFonts w:ascii="Cambria" w:hAnsi="Cambria"/>
          <w:i/>
          <w:iCs/>
          <w:noProof/>
          <w:sz w:val="22"/>
        </w:rPr>
        <w:t>Clin. Nucl. Med.</w:t>
      </w:r>
      <w:r w:rsidRPr="005676A9">
        <w:rPr>
          <w:rFonts w:ascii="Cambria" w:hAnsi="Cambria"/>
          <w:noProof/>
          <w:sz w:val="22"/>
        </w:rPr>
        <w:t xml:space="preserve"> </w:t>
      </w:r>
      <w:r w:rsidRPr="005676A9">
        <w:rPr>
          <w:rFonts w:ascii="Cambria" w:hAnsi="Cambria"/>
          <w:b/>
          <w:bCs/>
          <w:noProof/>
          <w:sz w:val="22"/>
        </w:rPr>
        <w:t>29,</w:t>
      </w:r>
      <w:r w:rsidRPr="005676A9">
        <w:rPr>
          <w:rFonts w:ascii="Cambria" w:hAnsi="Cambria"/>
          <w:noProof/>
          <w:sz w:val="22"/>
        </w:rPr>
        <w:t xml:space="preserve"> 698–702 (2004).</w:t>
      </w:r>
    </w:p>
    <w:p w14:paraId="7E8706FD"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207.</w:t>
      </w:r>
      <w:r w:rsidRPr="005676A9">
        <w:rPr>
          <w:rFonts w:ascii="Cambria" w:hAnsi="Cambria"/>
          <w:noProof/>
          <w:sz w:val="22"/>
        </w:rPr>
        <w:tab/>
        <w:t xml:space="preserve">Silverio, A., McRae, M., Ariyan, S. &amp; Narayan, D. Management of the difficult sentinel lymph node in patients with primary cutaneous melanoma. </w:t>
      </w:r>
      <w:r w:rsidRPr="005676A9">
        <w:rPr>
          <w:rFonts w:ascii="Cambria" w:hAnsi="Cambria"/>
          <w:i/>
          <w:iCs/>
          <w:noProof/>
          <w:sz w:val="22"/>
        </w:rPr>
        <w:t>Ann. Plast. Surg.</w:t>
      </w:r>
      <w:r w:rsidRPr="005676A9">
        <w:rPr>
          <w:rFonts w:ascii="Cambria" w:hAnsi="Cambria"/>
          <w:noProof/>
          <w:sz w:val="22"/>
        </w:rPr>
        <w:t xml:space="preserve"> </w:t>
      </w:r>
      <w:r w:rsidRPr="005676A9">
        <w:rPr>
          <w:rFonts w:ascii="Cambria" w:hAnsi="Cambria"/>
          <w:b/>
          <w:bCs/>
          <w:noProof/>
          <w:sz w:val="22"/>
        </w:rPr>
        <w:t>65,</w:t>
      </w:r>
      <w:r w:rsidRPr="005676A9">
        <w:rPr>
          <w:rFonts w:ascii="Cambria" w:hAnsi="Cambria"/>
          <w:noProof/>
          <w:sz w:val="22"/>
        </w:rPr>
        <w:t xml:space="preserve"> 418–24 (2010).</w:t>
      </w:r>
    </w:p>
    <w:p w14:paraId="1D240D66"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208.</w:t>
      </w:r>
      <w:r w:rsidRPr="005676A9">
        <w:rPr>
          <w:rFonts w:ascii="Cambria" w:hAnsi="Cambria"/>
          <w:noProof/>
          <w:sz w:val="22"/>
        </w:rPr>
        <w:tab/>
        <w:t xml:space="preserve">Stadelmann, W. K., Cobbins, L. &amp; Lentsch, E. J. Incidence of nonlocalization of sentinel lymph nodes using preoperative lymphoscintigraphy in 74 consecutive head and neck melanoma and Merkel cell carcinoma patients. </w:t>
      </w:r>
      <w:r w:rsidRPr="005676A9">
        <w:rPr>
          <w:rFonts w:ascii="Cambria" w:hAnsi="Cambria"/>
          <w:i/>
          <w:iCs/>
          <w:noProof/>
          <w:sz w:val="22"/>
        </w:rPr>
        <w:t>Ann. Plast. Surg.</w:t>
      </w:r>
      <w:r w:rsidRPr="005676A9">
        <w:rPr>
          <w:rFonts w:ascii="Cambria" w:hAnsi="Cambria"/>
          <w:noProof/>
          <w:sz w:val="22"/>
        </w:rPr>
        <w:t xml:space="preserve"> </w:t>
      </w:r>
      <w:r w:rsidRPr="005676A9">
        <w:rPr>
          <w:rFonts w:ascii="Cambria" w:hAnsi="Cambria"/>
          <w:b/>
          <w:bCs/>
          <w:noProof/>
          <w:sz w:val="22"/>
        </w:rPr>
        <w:t>52,</w:t>
      </w:r>
      <w:r w:rsidRPr="005676A9">
        <w:rPr>
          <w:rFonts w:ascii="Cambria" w:hAnsi="Cambria"/>
          <w:noProof/>
          <w:sz w:val="22"/>
        </w:rPr>
        <w:t xml:space="preserve"> 546–9; discussion 550 (2004).</w:t>
      </w:r>
    </w:p>
    <w:p w14:paraId="0B22D4B4"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209.</w:t>
      </w:r>
      <w:r w:rsidRPr="005676A9">
        <w:rPr>
          <w:rFonts w:ascii="Cambria" w:hAnsi="Cambria"/>
          <w:noProof/>
          <w:sz w:val="22"/>
        </w:rPr>
        <w:tab/>
        <w:t xml:space="preserve">Kamath, D. </w:t>
      </w:r>
      <w:r w:rsidRPr="005676A9">
        <w:rPr>
          <w:rFonts w:ascii="Cambria" w:hAnsi="Cambria"/>
          <w:i/>
          <w:iCs/>
          <w:noProof/>
          <w:sz w:val="22"/>
        </w:rPr>
        <w:t>et al.</w:t>
      </w:r>
      <w:r w:rsidRPr="005676A9">
        <w:rPr>
          <w:rFonts w:ascii="Cambria" w:hAnsi="Cambria"/>
          <w:noProof/>
          <w:sz w:val="22"/>
        </w:rPr>
        <w:t xml:space="preserve"> Cutaneous lymphatic drainage in patients with grossly involved nodal basins. </w:t>
      </w:r>
      <w:r w:rsidRPr="005676A9">
        <w:rPr>
          <w:rFonts w:ascii="Cambria" w:hAnsi="Cambria"/>
          <w:i/>
          <w:iCs/>
          <w:noProof/>
          <w:sz w:val="22"/>
        </w:rPr>
        <w:t>Ann. Surg. Oncol.</w:t>
      </w:r>
      <w:r w:rsidRPr="005676A9">
        <w:rPr>
          <w:rFonts w:ascii="Cambria" w:hAnsi="Cambria"/>
          <w:noProof/>
          <w:sz w:val="22"/>
        </w:rPr>
        <w:t xml:space="preserve"> </w:t>
      </w:r>
      <w:r w:rsidRPr="005676A9">
        <w:rPr>
          <w:rFonts w:ascii="Cambria" w:hAnsi="Cambria"/>
          <w:b/>
          <w:bCs/>
          <w:noProof/>
          <w:sz w:val="22"/>
        </w:rPr>
        <w:t>6,</w:t>
      </w:r>
      <w:r w:rsidRPr="005676A9">
        <w:rPr>
          <w:rFonts w:ascii="Cambria" w:hAnsi="Cambria"/>
          <w:noProof/>
          <w:sz w:val="22"/>
        </w:rPr>
        <w:t xml:space="preserve"> 345–9 (1999).</w:t>
      </w:r>
    </w:p>
    <w:p w14:paraId="5246BE47"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210.</w:t>
      </w:r>
      <w:r w:rsidRPr="005676A9">
        <w:rPr>
          <w:rFonts w:ascii="Cambria" w:hAnsi="Cambria"/>
          <w:noProof/>
          <w:sz w:val="22"/>
        </w:rPr>
        <w:tab/>
        <w:t xml:space="preserve">Bluemel, C. </w:t>
      </w:r>
      <w:r w:rsidRPr="005676A9">
        <w:rPr>
          <w:rFonts w:ascii="Cambria" w:hAnsi="Cambria"/>
          <w:i/>
          <w:iCs/>
          <w:noProof/>
          <w:sz w:val="22"/>
        </w:rPr>
        <w:t>et al.</w:t>
      </w:r>
      <w:r w:rsidRPr="005676A9">
        <w:rPr>
          <w:rFonts w:ascii="Cambria" w:hAnsi="Cambria"/>
          <w:noProof/>
          <w:sz w:val="22"/>
        </w:rPr>
        <w:t xml:space="preserve"> EANM practice guidelines for lymphoscintigraphy and sentinel lymph node biopsy in melanoma. </w:t>
      </w:r>
      <w:r w:rsidRPr="005676A9">
        <w:rPr>
          <w:rFonts w:ascii="Cambria" w:hAnsi="Cambria"/>
          <w:i/>
          <w:iCs/>
          <w:noProof/>
          <w:sz w:val="22"/>
        </w:rPr>
        <w:t>Eur. J. Nucl. Med. Mol. Imaging</w:t>
      </w:r>
      <w:r w:rsidRPr="005676A9">
        <w:rPr>
          <w:rFonts w:ascii="Cambria" w:hAnsi="Cambria"/>
          <w:noProof/>
          <w:sz w:val="22"/>
        </w:rPr>
        <w:t xml:space="preserve"> </w:t>
      </w:r>
      <w:r w:rsidRPr="005676A9">
        <w:rPr>
          <w:rFonts w:ascii="Cambria" w:hAnsi="Cambria"/>
          <w:b/>
          <w:bCs/>
          <w:noProof/>
          <w:sz w:val="22"/>
        </w:rPr>
        <w:t>42,</w:t>
      </w:r>
      <w:r w:rsidRPr="005676A9">
        <w:rPr>
          <w:rFonts w:ascii="Cambria" w:hAnsi="Cambria"/>
          <w:noProof/>
          <w:sz w:val="22"/>
        </w:rPr>
        <w:t xml:space="preserve"> 1750–66 (2015).</w:t>
      </w:r>
    </w:p>
    <w:p w14:paraId="7EFE8F2B"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211.</w:t>
      </w:r>
      <w:r w:rsidRPr="005676A9">
        <w:rPr>
          <w:rFonts w:ascii="Cambria" w:hAnsi="Cambria"/>
          <w:noProof/>
          <w:sz w:val="22"/>
        </w:rPr>
        <w:tab/>
        <w:t xml:space="preserve">Medina-Franco, H., Beenken, S. W., Heslin, M. J. &amp; Urist, M. M. Sentinel Node Biopsy for Cutaneous Melanoma in the Head and Neck. </w:t>
      </w:r>
      <w:r w:rsidRPr="005676A9">
        <w:rPr>
          <w:rFonts w:ascii="Cambria" w:hAnsi="Cambria"/>
          <w:i/>
          <w:iCs/>
          <w:noProof/>
          <w:sz w:val="22"/>
        </w:rPr>
        <w:t>Ann. Surg. Oncol.</w:t>
      </w:r>
      <w:r w:rsidRPr="005676A9">
        <w:rPr>
          <w:rFonts w:ascii="Cambria" w:hAnsi="Cambria"/>
          <w:noProof/>
          <w:sz w:val="22"/>
        </w:rPr>
        <w:t xml:space="preserve"> </w:t>
      </w:r>
      <w:r w:rsidRPr="005676A9">
        <w:rPr>
          <w:rFonts w:ascii="Cambria" w:hAnsi="Cambria"/>
          <w:b/>
          <w:bCs/>
          <w:noProof/>
          <w:sz w:val="22"/>
        </w:rPr>
        <w:t>8,</w:t>
      </w:r>
      <w:r w:rsidRPr="005676A9">
        <w:rPr>
          <w:rFonts w:ascii="Cambria" w:hAnsi="Cambria"/>
          <w:noProof/>
          <w:sz w:val="22"/>
        </w:rPr>
        <w:t xml:space="preserve"> 716–719 (2001).</w:t>
      </w:r>
    </w:p>
    <w:p w14:paraId="06C75B9C"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212.</w:t>
      </w:r>
      <w:r w:rsidRPr="005676A9">
        <w:rPr>
          <w:rFonts w:ascii="Cambria" w:hAnsi="Cambria"/>
          <w:noProof/>
          <w:sz w:val="22"/>
        </w:rPr>
        <w:tab/>
        <w:t xml:space="preserve">Thompson, J. F. &amp; Uren, R. F. What is a ‘sentinel’ lymph node? </w:t>
      </w:r>
      <w:r w:rsidRPr="005676A9">
        <w:rPr>
          <w:rFonts w:ascii="Cambria" w:hAnsi="Cambria"/>
          <w:i/>
          <w:iCs/>
          <w:noProof/>
          <w:sz w:val="22"/>
        </w:rPr>
        <w:t>Eur. J. Surg. Oncol.</w:t>
      </w:r>
      <w:r w:rsidRPr="005676A9">
        <w:rPr>
          <w:rFonts w:ascii="Cambria" w:hAnsi="Cambria"/>
          <w:noProof/>
          <w:sz w:val="22"/>
        </w:rPr>
        <w:t xml:space="preserve"> </w:t>
      </w:r>
      <w:r w:rsidRPr="005676A9">
        <w:rPr>
          <w:rFonts w:ascii="Cambria" w:hAnsi="Cambria"/>
          <w:b/>
          <w:bCs/>
          <w:noProof/>
          <w:sz w:val="22"/>
        </w:rPr>
        <w:t>26,</w:t>
      </w:r>
      <w:r w:rsidRPr="005676A9">
        <w:rPr>
          <w:rFonts w:ascii="Cambria" w:hAnsi="Cambria"/>
          <w:noProof/>
          <w:sz w:val="22"/>
        </w:rPr>
        <w:t xml:space="preserve"> 103–4 (2000).</w:t>
      </w:r>
    </w:p>
    <w:p w14:paraId="2912343C"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213.</w:t>
      </w:r>
      <w:r w:rsidRPr="005676A9">
        <w:rPr>
          <w:rFonts w:ascii="Cambria" w:hAnsi="Cambria"/>
          <w:noProof/>
          <w:sz w:val="22"/>
        </w:rPr>
        <w:tab/>
        <w:t xml:space="preserve">Pan, W.-R., Suami, H. &amp; Taylor, G. I. Lymphatic drainage of the superficial tissues of the head and neck: anatomical study and clinical implications. </w:t>
      </w:r>
      <w:r w:rsidRPr="005676A9">
        <w:rPr>
          <w:rFonts w:ascii="Cambria" w:hAnsi="Cambria"/>
          <w:i/>
          <w:iCs/>
          <w:noProof/>
          <w:sz w:val="22"/>
        </w:rPr>
        <w:t>Plast. Reconstr. Surg.</w:t>
      </w:r>
      <w:r w:rsidRPr="005676A9">
        <w:rPr>
          <w:rFonts w:ascii="Cambria" w:hAnsi="Cambria"/>
          <w:noProof/>
          <w:sz w:val="22"/>
        </w:rPr>
        <w:t xml:space="preserve"> </w:t>
      </w:r>
      <w:r w:rsidRPr="005676A9">
        <w:rPr>
          <w:rFonts w:ascii="Cambria" w:hAnsi="Cambria"/>
          <w:b/>
          <w:bCs/>
          <w:noProof/>
          <w:sz w:val="22"/>
        </w:rPr>
        <w:t>121,</w:t>
      </w:r>
      <w:r w:rsidRPr="005676A9">
        <w:rPr>
          <w:rFonts w:ascii="Cambria" w:hAnsi="Cambria"/>
          <w:noProof/>
          <w:sz w:val="22"/>
        </w:rPr>
        <w:t xml:space="preserve"> 1614–24; discussion 1625–6 (2008).</w:t>
      </w:r>
    </w:p>
    <w:p w14:paraId="3A6A9CFE"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214.</w:t>
      </w:r>
      <w:r w:rsidRPr="005676A9">
        <w:rPr>
          <w:rFonts w:ascii="Cambria" w:hAnsi="Cambria"/>
          <w:noProof/>
          <w:sz w:val="22"/>
        </w:rPr>
        <w:tab/>
        <w:t xml:space="preserve">Edwards, J. M. &amp; Kinmonth, J. B. Lymphovenous shunts in man. </w:t>
      </w:r>
      <w:r w:rsidRPr="005676A9">
        <w:rPr>
          <w:rFonts w:ascii="Cambria" w:hAnsi="Cambria"/>
          <w:i/>
          <w:iCs/>
          <w:noProof/>
          <w:sz w:val="22"/>
        </w:rPr>
        <w:t>Br. Med. J.</w:t>
      </w:r>
      <w:r w:rsidRPr="005676A9">
        <w:rPr>
          <w:rFonts w:ascii="Cambria" w:hAnsi="Cambria"/>
          <w:noProof/>
          <w:sz w:val="22"/>
        </w:rPr>
        <w:t xml:space="preserve"> </w:t>
      </w:r>
      <w:r w:rsidRPr="005676A9">
        <w:rPr>
          <w:rFonts w:ascii="Cambria" w:hAnsi="Cambria"/>
          <w:b/>
          <w:bCs/>
          <w:noProof/>
          <w:sz w:val="22"/>
        </w:rPr>
        <w:t>4,</w:t>
      </w:r>
      <w:r w:rsidRPr="005676A9">
        <w:rPr>
          <w:rFonts w:ascii="Cambria" w:hAnsi="Cambria"/>
          <w:noProof/>
          <w:sz w:val="22"/>
        </w:rPr>
        <w:t xml:space="preserve"> 579–81 (1969).</w:t>
      </w:r>
    </w:p>
    <w:p w14:paraId="271582C8"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215.</w:t>
      </w:r>
      <w:r w:rsidRPr="005676A9">
        <w:rPr>
          <w:rFonts w:ascii="Cambria" w:hAnsi="Cambria"/>
          <w:noProof/>
          <w:sz w:val="22"/>
        </w:rPr>
        <w:tab/>
        <w:t xml:space="preserve">Aboul-Enein, A., Eshmawy, I., Arafa, S. &amp; Abboud, A. The role of lymphovenous communication in the development of postmastectomy lymphedema. </w:t>
      </w:r>
      <w:r w:rsidRPr="005676A9">
        <w:rPr>
          <w:rFonts w:ascii="Cambria" w:hAnsi="Cambria"/>
          <w:i/>
          <w:iCs/>
          <w:noProof/>
          <w:sz w:val="22"/>
        </w:rPr>
        <w:t>Surgery</w:t>
      </w:r>
      <w:r w:rsidRPr="005676A9">
        <w:rPr>
          <w:rFonts w:ascii="Cambria" w:hAnsi="Cambria"/>
          <w:noProof/>
          <w:sz w:val="22"/>
        </w:rPr>
        <w:t xml:space="preserve"> </w:t>
      </w:r>
      <w:r w:rsidRPr="005676A9">
        <w:rPr>
          <w:rFonts w:ascii="Cambria" w:hAnsi="Cambria"/>
          <w:b/>
          <w:bCs/>
          <w:noProof/>
          <w:sz w:val="22"/>
        </w:rPr>
        <w:t>95,</w:t>
      </w:r>
      <w:r w:rsidRPr="005676A9">
        <w:rPr>
          <w:rFonts w:ascii="Cambria" w:hAnsi="Cambria"/>
          <w:noProof/>
          <w:sz w:val="22"/>
        </w:rPr>
        <w:t xml:space="preserve"> 562–6 (1984).</w:t>
      </w:r>
    </w:p>
    <w:p w14:paraId="7F470992"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216.</w:t>
      </w:r>
      <w:r w:rsidRPr="005676A9">
        <w:rPr>
          <w:rFonts w:ascii="Cambria" w:hAnsi="Cambria"/>
          <w:noProof/>
          <w:sz w:val="22"/>
        </w:rPr>
        <w:tab/>
        <w:t xml:space="preserve">Chao, C. </w:t>
      </w:r>
      <w:r w:rsidRPr="005676A9">
        <w:rPr>
          <w:rFonts w:ascii="Cambria" w:hAnsi="Cambria"/>
          <w:i/>
          <w:iCs/>
          <w:noProof/>
          <w:sz w:val="22"/>
        </w:rPr>
        <w:t>et al.</w:t>
      </w:r>
      <w:r w:rsidRPr="005676A9">
        <w:rPr>
          <w:rFonts w:ascii="Cambria" w:hAnsi="Cambria"/>
          <w:noProof/>
          <w:sz w:val="22"/>
        </w:rPr>
        <w:t xml:space="preserve"> Sentinel lymph node biopsy for head and neck melanomas. </w:t>
      </w:r>
      <w:r w:rsidRPr="005676A9">
        <w:rPr>
          <w:rFonts w:ascii="Cambria" w:hAnsi="Cambria"/>
          <w:i/>
          <w:iCs/>
          <w:noProof/>
          <w:sz w:val="22"/>
        </w:rPr>
        <w:t>Ann. Surg. Oncol.</w:t>
      </w:r>
      <w:r w:rsidRPr="005676A9">
        <w:rPr>
          <w:rFonts w:ascii="Cambria" w:hAnsi="Cambria"/>
          <w:noProof/>
          <w:sz w:val="22"/>
        </w:rPr>
        <w:t xml:space="preserve"> </w:t>
      </w:r>
      <w:r w:rsidRPr="005676A9">
        <w:rPr>
          <w:rFonts w:ascii="Cambria" w:hAnsi="Cambria"/>
          <w:b/>
          <w:bCs/>
          <w:noProof/>
          <w:sz w:val="22"/>
        </w:rPr>
        <w:t>10,</w:t>
      </w:r>
      <w:r w:rsidRPr="005676A9">
        <w:rPr>
          <w:rFonts w:ascii="Cambria" w:hAnsi="Cambria"/>
          <w:noProof/>
          <w:sz w:val="22"/>
        </w:rPr>
        <w:t xml:space="preserve"> 21–6 (2003).</w:t>
      </w:r>
    </w:p>
    <w:p w14:paraId="63471ADA"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217.</w:t>
      </w:r>
      <w:r w:rsidRPr="005676A9">
        <w:rPr>
          <w:rFonts w:ascii="Cambria" w:hAnsi="Cambria"/>
          <w:noProof/>
          <w:sz w:val="22"/>
        </w:rPr>
        <w:tab/>
        <w:t xml:space="preserve">Shah, J. P., Kraus, D. H., Dubner, S. &amp; Sarkar, S. Patterns of regional lymph node metastases from cutaneous melanomas of the head and neck. </w:t>
      </w:r>
      <w:r w:rsidRPr="005676A9">
        <w:rPr>
          <w:rFonts w:ascii="Cambria" w:hAnsi="Cambria"/>
          <w:i/>
          <w:iCs/>
          <w:noProof/>
          <w:sz w:val="22"/>
        </w:rPr>
        <w:t>Am. J. Surg.</w:t>
      </w:r>
      <w:r w:rsidRPr="005676A9">
        <w:rPr>
          <w:rFonts w:ascii="Cambria" w:hAnsi="Cambria"/>
          <w:noProof/>
          <w:sz w:val="22"/>
        </w:rPr>
        <w:t xml:space="preserve"> </w:t>
      </w:r>
      <w:r w:rsidRPr="005676A9">
        <w:rPr>
          <w:rFonts w:ascii="Cambria" w:hAnsi="Cambria"/>
          <w:b/>
          <w:bCs/>
          <w:noProof/>
          <w:sz w:val="22"/>
        </w:rPr>
        <w:t>162,</w:t>
      </w:r>
      <w:r w:rsidRPr="005676A9">
        <w:rPr>
          <w:rFonts w:ascii="Cambria" w:hAnsi="Cambria"/>
          <w:noProof/>
          <w:sz w:val="22"/>
        </w:rPr>
        <w:t xml:space="preserve"> 320–3 (1991).</w:t>
      </w:r>
    </w:p>
    <w:p w14:paraId="39DDFDEE"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218.</w:t>
      </w:r>
      <w:r w:rsidRPr="005676A9">
        <w:rPr>
          <w:rFonts w:ascii="Cambria" w:hAnsi="Cambria"/>
          <w:noProof/>
          <w:sz w:val="22"/>
        </w:rPr>
        <w:tab/>
        <w:t xml:space="preserve">Thompson, J. F. </w:t>
      </w:r>
      <w:r w:rsidRPr="005676A9">
        <w:rPr>
          <w:rFonts w:ascii="Cambria" w:hAnsi="Cambria"/>
          <w:i/>
          <w:iCs/>
          <w:noProof/>
          <w:sz w:val="22"/>
        </w:rPr>
        <w:t>et al.</w:t>
      </w:r>
      <w:r w:rsidRPr="005676A9">
        <w:rPr>
          <w:rFonts w:ascii="Cambria" w:hAnsi="Cambria"/>
          <w:noProof/>
          <w:sz w:val="22"/>
        </w:rPr>
        <w:t xml:space="preserve"> Location of sentinel lymph nodes in patients with cutaneous melanoma: new insights into lymphatic anatomy. </w:t>
      </w:r>
      <w:r w:rsidRPr="005676A9">
        <w:rPr>
          <w:rFonts w:ascii="Cambria" w:hAnsi="Cambria"/>
          <w:i/>
          <w:iCs/>
          <w:noProof/>
          <w:sz w:val="22"/>
        </w:rPr>
        <w:t>J. Am. Coll. Surg.</w:t>
      </w:r>
      <w:r w:rsidRPr="005676A9">
        <w:rPr>
          <w:rFonts w:ascii="Cambria" w:hAnsi="Cambria"/>
          <w:noProof/>
          <w:sz w:val="22"/>
        </w:rPr>
        <w:t xml:space="preserve"> </w:t>
      </w:r>
      <w:r w:rsidRPr="005676A9">
        <w:rPr>
          <w:rFonts w:ascii="Cambria" w:hAnsi="Cambria"/>
          <w:b/>
          <w:bCs/>
          <w:noProof/>
          <w:sz w:val="22"/>
        </w:rPr>
        <w:t>189,</w:t>
      </w:r>
      <w:r w:rsidRPr="005676A9">
        <w:rPr>
          <w:rFonts w:ascii="Cambria" w:hAnsi="Cambria"/>
          <w:noProof/>
          <w:sz w:val="22"/>
        </w:rPr>
        <w:t xml:space="preserve"> 195–204 (1999).</w:t>
      </w:r>
    </w:p>
    <w:p w14:paraId="14635A0C"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219.</w:t>
      </w:r>
      <w:r w:rsidRPr="005676A9">
        <w:rPr>
          <w:rFonts w:ascii="Cambria" w:hAnsi="Cambria"/>
          <w:noProof/>
          <w:sz w:val="22"/>
        </w:rPr>
        <w:tab/>
        <w:t xml:space="preserve">Wells, K. E. </w:t>
      </w:r>
      <w:r w:rsidRPr="005676A9">
        <w:rPr>
          <w:rFonts w:ascii="Cambria" w:hAnsi="Cambria"/>
          <w:i/>
          <w:iCs/>
          <w:noProof/>
          <w:sz w:val="22"/>
        </w:rPr>
        <w:t>et al.</w:t>
      </w:r>
      <w:r w:rsidRPr="005676A9">
        <w:rPr>
          <w:rFonts w:ascii="Cambria" w:hAnsi="Cambria"/>
          <w:noProof/>
          <w:sz w:val="22"/>
        </w:rPr>
        <w:t xml:space="preserve"> Sentinel lymph node biopsy in melanoma of the head and neck. </w:t>
      </w:r>
      <w:r w:rsidRPr="005676A9">
        <w:rPr>
          <w:rFonts w:ascii="Cambria" w:hAnsi="Cambria"/>
          <w:i/>
          <w:iCs/>
          <w:noProof/>
          <w:sz w:val="22"/>
        </w:rPr>
        <w:t>Plast. Reconstr. Surg.</w:t>
      </w:r>
      <w:r w:rsidRPr="005676A9">
        <w:rPr>
          <w:rFonts w:ascii="Cambria" w:hAnsi="Cambria"/>
          <w:noProof/>
          <w:sz w:val="22"/>
        </w:rPr>
        <w:t xml:space="preserve"> </w:t>
      </w:r>
      <w:r w:rsidRPr="005676A9">
        <w:rPr>
          <w:rFonts w:ascii="Cambria" w:hAnsi="Cambria"/>
          <w:b/>
          <w:bCs/>
          <w:noProof/>
          <w:sz w:val="22"/>
        </w:rPr>
        <w:t>100,</w:t>
      </w:r>
      <w:r w:rsidRPr="005676A9">
        <w:rPr>
          <w:rFonts w:ascii="Cambria" w:hAnsi="Cambria"/>
          <w:noProof/>
          <w:sz w:val="22"/>
        </w:rPr>
        <w:t xml:space="preserve"> 591–4 (1997).</w:t>
      </w:r>
    </w:p>
    <w:p w14:paraId="428235E2"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220.</w:t>
      </w:r>
      <w:r w:rsidRPr="005676A9">
        <w:rPr>
          <w:rFonts w:ascii="Cambria" w:hAnsi="Cambria"/>
          <w:noProof/>
          <w:sz w:val="22"/>
        </w:rPr>
        <w:tab/>
        <w:t xml:space="preserve">O’Brien, C. J. </w:t>
      </w:r>
      <w:r w:rsidRPr="005676A9">
        <w:rPr>
          <w:rFonts w:ascii="Cambria" w:hAnsi="Cambria"/>
          <w:i/>
          <w:iCs/>
          <w:noProof/>
          <w:sz w:val="22"/>
        </w:rPr>
        <w:t>et al.</w:t>
      </w:r>
      <w:r w:rsidRPr="005676A9">
        <w:rPr>
          <w:rFonts w:ascii="Cambria" w:hAnsi="Cambria"/>
          <w:noProof/>
          <w:sz w:val="22"/>
        </w:rPr>
        <w:t xml:space="preserve"> Radical, modified, and selective neck dissection for cutaneous malignant melanoma. </w:t>
      </w:r>
      <w:r w:rsidRPr="005676A9">
        <w:rPr>
          <w:rFonts w:ascii="Cambria" w:hAnsi="Cambria"/>
          <w:i/>
          <w:iCs/>
          <w:noProof/>
          <w:sz w:val="22"/>
        </w:rPr>
        <w:t>Head Neck</w:t>
      </w:r>
      <w:r w:rsidRPr="005676A9">
        <w:rPr>
          <w:rFonts w:ascii="Cambria" w:hAnsi="Cambria"/>
          <w:noProof/>
          <w:sz w:val="22"/>
        </w:rPr>
        <w:t xml:space="preserve"> </w:t>
      </w:r>
      <w:r w:rsidRPr="005676A9">
        <w:rPr>
          <w:rFonts w:ascii="Cambria" w:hAnsi="Cambria"/>
          <w:b/>
          <w:bCs/>
          <w:noProof/>
          <w:sz w:val="22"/>
        </w:rPr>
        <w:t>17,</w:t>
      </w:r>
      <w:r w:rsidRPr="005676A9">
        <w:rPr>
          <w:rFonts w:ascii="Cambria" w:hAnsi="Cambria"/>
          <w:noProof/>
          <w:sz w:val="22"/>
        </w:rPr>
        <w:t xml:space="preserve"> 232–41 (1995).</w:t>
      </w:r>
    </w:p>
    <w:p w14:paraId="1859E96F"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221.</w:t>
      </w:r>
      <w:r w:rsidRPr="005676A9">
        <w:rPr>
          <w:rFonts w:ascii="Cambria" w:hAnsi="Cambria"/>
          <w:noProof/>
          <w:sz w:val="22"/>
        </w:rPr>
        <w:tab/>
        <w:t xml:space="preserve">Uren, R. F., Thompson, J. F. &amp; Howman-Giles, R. B. </w:t>
      </w:r>
      <w:r w:rsidRPr="005676A9">
        <w:rPr>
          <w:rFonts w:ascii="Cambria" w:hAnsi="Cambria"/>
          <w:i/>
          <w:iCs/>
          <w:noProof/>
          <w:sz w:val="22"/>
        </w:rPr>
        <w:t>Lymphatic drainage of the skin and breast: locating the sentinel nodes.</w:t>
      </w:r>
      <w:r w:rsidRPr="005676A9">
        <w:rPr>
          <w:rFonts w:ascii="Cambria" w:hAnsi="Cambria"/>
          <w:noProof/>
          <w:sz w:val="22"/>
        </w:rPr>
        <w:t xml:space="preserve"> (Harwood Academic Publishers, 1999).</w:t>
      </w:r>
    </w:p>
    <w:p w14:paraId="4C5D01FE"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222.</w:t>
      </w:r>
      <w:r w:rsidRPr="005676A9">
        <w:rPr>
          <w:rFonts w:ascii="Cambria" w:hAnsi="Cambria"/>
          <w:noProof/>
          <w:sz w:val="22"/>
        </w:rPr>
        <w:tab/>
        <w:t xml:space="preserve">Uren, R. F., Thompson, J. F., Coventry, B. J. &amp; Chatterton, B. E. in </w:t>
      </w:r>
      <w:r w:rsidRPr="005676A9">
        <w:rPr>
          <w:rFonts w:ascii="Cambria" w:hAnsi="Cambria"/>
          <w:i/>
          <w:iCs/>
          <w:noProof/>
          <w:sz w:val="22"/>
        </w:rPr>
        <w:t>Cutaneous Melanoma</w:t>
      </w:r>
      <w:r w:rsidRPr="005676A9">
        <w:rPr>
          <w:rFonts w:ascii="Cambria" w:hAnsi="Cambria"/>
          <w:noProof/>
          <w:sz w:val="22"/>
        </w:rPr>
        <w:t xml:space="preserve"> (eds. Balch, C. M. et al.) (CRC Press, 2009).</w:t>
      </w:r>
    </w:p>
    <w:p w14:paraId="27224FBB"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223.</w:t>
      </w:r>
      <w:r w:rsidRPr="005676A9">
        <w:rPr>
          <w:rFonts w:ascii="Cambria" w:hAnsi="Cambria"/>
          <w:noProof/>
          <w:sz w:val="22"/>
        </w:rPr>
        <w:tab/>
        <w:t xml:space="preserve">Reynolds, H. M., Smith, N. P., Uren, R. F., Thompson, J. F. &amp; Dunbar, P. R. Three-dimensional visualization of skin lymphatic drainage patterns of the head and neck. </w:t>
      </w:r>
      <w:r w:rsidRPr="005676A9">
        <w:rPr>
          <w:rFonts w:ascii="Cambria" w:hAnsi="Cambria"/>
          <w:i/>
          <w:iCs/>
          <w:noProof/>
          <w:sz w:val="22"/>
        </w:rPr>
        <w:t>Head Neck</w:t>
      </w:r>
      <w:r w:rsidRPr="005676A9">
        <w:rPr>
          <w:rFonts w:ascii="Cambria" w:hAnsi="Cambria"/>
          <w:noProof/>
          <w:sz w:val="22"/>
        </w:rPr>
        <w:t xml:space="preserve"> </w:t>
      </w:r>
      <w:r w:rsidRPr="005676A9">
        <w:rPr>
          <w:rFonts w:ascii="Cambria" w:hAnsi="Cambria"/>
          <w:b/>
          <w:bCs/>
          <w:noProof/>
          <w:sz w:val="22"/>
        </w:rPr>
        <w:t>31,</w:t>
      </w:r>
      <w:r w:rsidRPr="005676A9">
        <w:rPr>
          <w:rFonts w:ascii="Cambria" w:hAnsi="Cambria"/>
          <w:noProof/>
          <w:sz w:val="22"/>
        </w:rPr>
        <w:t xml:space="preserve"> 1316–1325 (2009).</w:t>
      </w:r>
    </w:p>
    <w:p w14:paraId="6A598655"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224.</w:t>
      </w:r>
      <w:r w:rsidRPr="005676A9">
        <w:rPr>
          <w:rFonts w:ascii="Cambria" w:hAnsi="Cambria"/>
          <w:noProof/>
          <w:sz w:val="22"/>
        </w:rPr>
        <w:tab/>
        <w:t xml:space="preserve">Li, L.-X. L. </w:t>
      </w:r>
      <w:r w:rsidRPr="005676A9">
        <w:rPr>
          <w:rFonts w:ascii="Cambria" w:hAnsi="Cambria"/>
          <w:i/>
          <w:iCs/>
          <w:noProof/>
          <w:sz w:val="22"/>
        </w:rPr>
        <w:t>et al.</w:t>
      </w:r>
      <w:r w:rsidRPr="005676A9">
        <w:rPr>
          <w:rFonts w:ascii="Cambria" w:hAnsi="Cambria"/>
          <w:noProof/>
          <w:sz w:val="22"/>
        </w:rPr>
        <w:t xml:space="preserve"> Pathologic review of negative sentinel lymph nodes in melanoma patients with regional recurrence: a clinicopathologic study of 1152 patients undergoing sentinel lymph node biopsy. </w:t>
      </w:r>
      <w:r w:rsidRPr="005676A9">
        <w:rPr>
          <w:rFonts w:ascii="Cambria" w:hAnsi="Cambria"/>
          <w:i/>
          <w:iCs/>
          <w:noProof/>
          <w:sz w:val="22"/>
        </w:rPr>
        <w:t>Am. J. Surg. Pathol.</w:t>
      </w:r>
      <w:r w:rsidRPr="005676A9">
        <w:rPr>
          <w:rFonts w:ascii="Cambria" w:hAnsi="Cambria"/>
          <w:noProof/>
          <w:sz w:val="22"/>
        </w:rPr>
        <w:t xml:space="preserve"> </w:t>
      </w:r>
      <w:r w:rsidRPr="005676A9">
        <w:rPr>
          <w:rFonts w:ascii="Cambria" w:hAnsi="Cambria"/>
          <w:b/>
          <w:bCs/>
          <w:noProof/>
          <w:sz w:val="22"/>
        </w:rPr>
        <w:t>27,</w:t>
      </w:r>
      <w:r w:rsidRPr="005676A9">
        <w:rPr>
          <w:rFonts w:ascii="Cambria" w:hAnsi="Cambria"/>
          <w:noProof/>
          <w:sz w:val="22"/>
        </w:rPr>
        <w:t xml:space="preserve"> 1197–202 (2003).</w:t>
      </w:r>
    </w:p>
    <w:p w14:paraId="07835D13"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225.</w:t>
      </w:r>
      <w:r w:rsidRPr="005676A9">
        <w:rPr>
          <w:rFonts w:ascii="Cambria" w:hAnsi="Cambria"/>
          <w:noProof/>
          <w:sz w:val="22"/>
        </w:rPr>
        <w:tab/>
        <w:t xml:space="preserve">Scolyer, R. A. </w:t>
      </w:r>
      <w:r w:rsidRPr="005676A9">
        <w:rPr>
          <w:rFonts w:ascii="Cambria" w:hAnsi="Cambria"/>
          <w:i/>
          <w:iCs/>
          <w:noProof/>
          <w:sz w:val="22"/>
        </w:rPr>
        <w:t>et al.</w:t>
      </w:r>
      <w:r w:rsidRPr="005676A9">
        <w:rPr>
          <w:rFonts w:ascii="Cambria" w:hAnsi="Cambria"/>
          <w:noProof/>
          <w:sz w:val="22"/>
        </w:rPr>
        <w:t xml:space="preserve"> Immunohistochemical stains fail to increase the detection rate of micrometastatic melanoma in completion regional lymph node dissection specimens. </w:t>
      </w:r>
      <w:r w:rsidRPr="005676A9">
        <w:rPr>
          <w:rFonts w:ascii="Cambria" w:hAnsi="Cambria"/>
          <w:i/>
          <w:iCs/>
          <w:noProof/>
          <w:sz w:val="22"/>
        </w:rPr>
        <w:t>Melanoma Res.</w:t>
      </w:r>
      <w:r w:rsidRPr="005676A9">
        <w:rPr>
          <w:rFonts w:ascii="Cambria" w:hAnsi="Cambria"/>
          <w:noProof/>
          <w:sz w:val="22"/>
        </w:rPr>
        <w:t xml:space="preserve"> </w:t>
      </w:r>
      <w:r w:rsidRPr="005676A9">
        <w:rPr>
          <w:rFonts w:ascii="Cambria" w:hAnsi="Cambria"/>
          <w:b/>
          <w:bCs/>
          <w:noProof/>
          <w:sz w:val="22"/>
        </w:rPr>
        <w:t>14,</w:t>
      </w:r>
      <w:r w:rsidRPr="005676A9">
        <w:rPr>
          <w:rFonts w:ascii="Cambria" w:hAnsi="Cambria"/>
          <w:noProof/>
          <w:sz w:val="22"/>
        </w:rPr>
        <w:t xml:space="preserve"> 263–8 (2004).</w:t>
      </w:r>
    </w:p>
    <w:p w14:paraId="55964E7C"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226.</w:t>
      </w:r>
      <w:r w:rsidRPr="005676A9">
        <w:rPr>
          <w:rFonts w:ascii="Cambria" w:hAnsi="Cambria"/>
          <w:noProof/>
          <w:sz w:val="22"/>
        </w:rPr>
        <w:tab/>
        <w:t xml:space="preserve">Kaplan, E. L. &amp; Meier, P. Nonparametric Estimation from Incomplete Observations. </w:t>
      </w:r>
      <w:r w:rsidRPr="005676A9">
        <w:rPr>
          <w:rFonts w:ascii="Cambria" w:hAnsi="Cambria"/>
          <w:i/>
          <w:iCs/>
          <w:noProof/>
          <w:sz w:val="22"/>
        </w:rPr>
        <w:t>J. Am. Stat. Assoc.</w:t>
      </w:r>
      <w:r w:rsidRPr="005676A9">
        <w:rPr>
          <w:rFonts w:ascii="Cambria" w:hAnsi="Cambria"/>
          <w:noProof/>
          <w:sz w:val="22"/>
        </w:rPr>
        <w:t xml:space="preserve"> </w:t>
      </w:r>
      <w:r w:rsidRPr="005676A9">
        <w:rPr>
          <w:rFonts w:ascii="Cambria" w:hAnsi="Cambria"/>
          <w:b/>
          <w:bCs/>
          <w:noProof/>
          <w:sz w:val="22"/>
        </w:rPr>
        <w:t>53,</w:t>
      </w:r>
      <w:r w:rsidRPr="005676A9">
        <w:rPr>
          <w:rFonts w:ascii="Cambria" w:hAnsi="Cambria"/>
          <w:noProof/>
          <w:sz w:val="22"/>
        </w:rPr>
        <w:t xml:space="preserve"> 457–481 (1958).</w:t>
      </w:r>
    </w:p>
    <w:p w14:paraId="024DC7D0"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227.</w:t>
      </w:r>
      <w:r w:rsidRPr="005676A9">
        <w:rPr>
          <w:rFonts w:ascii="Cambria" w:hAnsi="Cambria"/>
          <w:noProof/>
          <w:sz w:val="22"/>
        </w:rPr>
        <w:tab/>
        <w:t xml:space="preserve">Cox, D. Regression models and life-tables. </w:t>
      </w:r>
      <w:r w:rsidRPr="005676A9">
        <w:rPr>
          <w:rFonts w:ascii="Cambria" w:hAnsi="Cambria"/>
          <w:i/>
          <w:iCs/>
          <w:noProof/>
          <w:sz w:val="22"/>
        </w:rPr>
        <w:t>J. R. Stat. Soc. Ser. B</w:t>
      </w:r>
      <w:r w:rsidRPr="005676A9">
        <w:rPr>
          <w:rFonts w:ascii="Cambria" w:hAnsi="Cambria"/>
          <w:noProof/>
          <w:sz w:val="22"/>
        </w:rPr>
        <w:t xml:space="preserve"> </w:t>
      </w:r>
      <w:r w:rsidRPr="005676A9">
        <w:rPr>
          <w:rFonts w:ascii="Cambria" w:hAnsi="Cambria"/>
          <w:b/>
          <w:bCs/>
          <w:noProof/>
          <w:sz w:val="22"/>
        </w:rPr>
        <w:t>34,</w:t>
      </w:r>
      <w:r w:rsidRPr="005676A9">
        <w:rPr>
          <w:rFonts w:ascii="Cambria" w:hAnsi="Cambria"/>
          <w:noProof/>
          <w:sz w:val="22"/>
        </w:rPr>
        <w:t xml:space="preserve"> 187–220 (1972).</w:t>
      </w:r>
    </w:p>
    <w:p w14:paraId="7CF72517"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228.</w:t>
      </w:r>
      <w:r w:rsidRPr="005676A9">
        <w:rPr>
          <w:rFonts w:ascii="Cambria" w:hAnsi="Cambria"/>
          <w:noProof/>
          <w:sz w:val="22"/>
        </w:rPr>
        <w:tab/>
        <w:t xml:space="preserve">LeBlanc, M. &amp; Crowley, J. Relative risk trees for censored survival data. </w:t>
      </w:r>
      <w:r w:rsidRPr="005676A9">
        <w:rPr>
          <w:rFonts w:ascii="Cambria" w:hAnsi="Cambria"/>
          <w:i/>
          <w:iCs/>
          <w:noProof/>
          <w:sz w:val="22"/>
        </w:rPr>
        <w:t>Biometrics</w:t>
      </w:r>
      <w:r w:rsidRPr="005676A9">
        <w:rPr>
          <w:rFonts w:ascii="Cambria" w:hAnsi="Cambria"/>
          <w:noProof/>
          <w:sz w:val="22"/>
        </w:rPr>
        <w:t xml:space="preserve"> </w:t>
      </w:r>
      <w:r w:rsidRPr="005676A9">
        <w:rPr>
          <w:rFonts w:ascii="Cambria" w:hAnsi="Cambria"/>
          <w:b/>
          <w:bCs/>
          <w:noProof/>
          <w:sz w:val="22"/>
        </w:rPr>
        <w:t>48,</w:t>
      </w:r>
      <w:r w:rsidRPr="005676A9">
        <w:rPr>
          <w:rFonts w:ascii="Cambria" w:hAnsi="Cambria"/>
          <w:noProof/>
          <w:sz w:val="22"/>
        </w:rPr>
        <w:t xml:space="preserve"> 411–25 (1992).</w:t>
      </w:r>
    </w:p>
    <w:p w14:paraId="3056DBD8"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229.</w:t>
      </w:r>
      <w:r w:rsidRPr="005676A9">
        <w:rPr>
          <w:rFonts w:ascii="Cambria" w:hAnsi="Cambria"/>
          <w:noProof/>
          <w:sz w:val="22"/>
        </w:rPr>
        <w:tab/>
        <w:t xml:space="preserve">Tsai, C.-A. </w:t>
      </w:r>
      <w:r w:rsidRPr="005676A9">
        <w:rPr>
          <w:rFonts w:ascii="Cambria" w:hAnsi="Cambria"/>
          <w:i/>
          <w:iCs/>
          <w:noProof/>
          <w:sz w:val="22"/>
        </w:rPr>
        <w:t>et al.</w:t>
      </w:r>
      <w:r w:rsidRPr="005676A9">
        <w:rPr>
          <w:rFonts w:ascii="Cambria" w:hAnsi="Cambria"/>
          <w:noProof/>
          <w:sz w:val="22"/>
        </w:rPr>
        <w:t xml:space="preserve"> An integrated tree-based classification approach to prognostic grouping with application to localized melanoma patients. </w:t>
      </w:r>
      <w:r w:rsidRPr="005676A9">
        <w:rPr>
          <w:rFonts w:ascii="Cambria" w:hAnsi="Cambria"/>
          <w:i/>
          <w:iCs/>
          <w:noProof/>
          <w:sz w:val="22"/>
        </w:rPr>
        <w:t>J. Biopharm. Stat.</w:t>
      </w:r>
      <w:r w:rsidRPr="005676A9">
        <w:rPr>
          <w:rFonts w:ascii="Cambria" w:hAnsi="Cambria"/>
          <w:noProof/>
          <w:sz w:val="22"/>
        </w:rPr>
        <w:t xml:space="preserve"> </w:t>
      </w:r>
      <w:r w:rsidRPr="005676A9">
        <w:rPr>
          <w:rFonts w:ascii="Cambria" w:hAnsi="Cambria"/>
          <w:b/>
          <w:bCs/>
          <w:noProof/>
          <w:sz w:val="22"/>
        </w:rPr>
        <w:t>17,</w:t>
      </w:r>
      <w:r w:rsidRPr="005676A9">
        <w:rPr>
          <w:rFonts w:ascii="Cambria" w:hAnsi="Cambria"/>
          <w:noProof/>
          <w:sz w:val="22"/>
        </w:rPr>
        <w:t xml:space="preserve"> 445–60 (2007).</w:t>
      </w:r>
    </w:p>
    <w:p w14:paraId="0F3CBB06"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230.</w:t>
      </w:r>
      <w:r w:rsidRPr="005676A9">
        <w:rPr>
          <w:rFonts w:ascii="Cambria" w:hAnsi="Cambria"/>
          <w:noProof/>
          <w:sz w:val="22"/>
        </w:rPr>
        <w:tab/>
        <w:t xml:space="preserve">Wong, S. L. </w:t>
      </w:r>
      <w:r w:rsidRPr="005676A9">
        <w:rPr>
          <w:rFonts w:ascii="Cambria" w:hAnsi="Cambria"/>
          <w:i/>
          <w:iCs/>
          <w:noProof/>
          <w:sz w:val="22"/>
        </w:rPr>
        <w:t>et al.</w:t>
      </w:r>
      <w:r w:rsidRPr="005676A9">
        <w:rPr>
          <w:rFonts w:ascii="Cambria" w:hAnsi="Cambria"/>
          <w:noProof/>
          <w:sz w:val="22"/>
        </w:rPr>
        <w:t xml:space="preserve"> Melanoma patients with positive sentinel nodes who did not undergo completion lymphadenectomy: a multi-institutional study. </w:t>
      </w:r>
      <w:r w:rsidRPr="005676A9">
        <w:rPr>
          <w:rFonts w:ascii="Cambria" w:hAnsi="Cambria"/>
          <w:i/>
          <w:iCs/>
          <w:noProof/>
          <w:sz w:val="22"/>
        </w:rPr>
        <w:t>Ann. Surg. Oncol.</w:t>
      </w:r>
      <w:r w:rsidRPr="005676A9">
        <w:rPr>
          <w:rFonts w:ascii="Cambria" w:hAnsi="Cambria"/>
          <w:noProof/>
          <w:sz w:val="22"/>
        </w:rPr>
        <w:t xml:space="preserve"> </w:t>
      </w:r>
      <w:r w:rsidRPr="005676A9">
        <w:rPr>
          <w:rFonts w:ascii="Cambria" w:hAnsi="Cambria"/>
          <w:b/>
          <w:bCs/>
          <w:noProof/>
          <w:sz w:val="22"/>
        </w:rPr>
        <w:t>13,</w:t>
      </w:r>
      <w:r w:rsidRPr="005676A9">
        <w:rPr>
          <w:rFonts w:ascii="Cambria" w:hAnsi="Cambria"/>
          <w:noProof/>
          <w:sz w:val="22"/>
        </w:rPr>
        <w:t xml:space="preserve"> 809–16 (2006).</w:t>
      </w:r>
    </w:p>
    <w:p w14:paraId="27DF8895"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231.</w:t>
      </w:r>
      <w:r w:rsidRPr="005676A9">
        <w:rPr>
          <w:rFonts w:ascii="Cambria" w:hAnsi="Cambria"/>
          <w:noProof/>
          <w:sz w:val="22"/>
        </w:rPr>
        <w:tab/>
        <w:t xml:space="preserve">Huang, X., Soong, S., McCarthy, W. H., Urist, M. M. &amp; Balch, C. M. Classification of localized melanoma by the exponential survival trees method. </w:t>
      </w:r>
      <w:r w:rsidRPr="005676A9">
        <w:rPr>
          <w:rFonts w:ascii="Cambria" w:hAnsi="Cambria"/>
          <w:i/>
          <w:iCs/>
          <w:noProof/>
          <w:sz w:val="22"/>
        </w:rPr>
        <w:t>Cancer</w:t>
      </w:r>
      <w:r w:rsidRPr="005676A9">
        <w:rPr>
          <w:rFonts w:ascii="Cambria" w:hAnsi="Cambria"/>
          <w:noProof/>
          <w:sz w:val="22"/>
        </w:rPr>
        <w:t xml:space="preserve"> </w:t>
      </w:r>
      <w:r w:rsidRPr="005676A9">
        <w:rPr>
          <w:rFonts w:ascii="Cambria" w:hAnsi="Cambria"/>
          <w:b/>
          <w:bCs/>
          <w:noProof/>
          <w:sz w:val="22"/>
        </w:rPr>
        <w:t>79,</w:t>
      </w:r>
      <w:r w:rsidRPr="005676A9">
        <w:rPr>
          <w:rFonts w:ascii="Cambria" w:hAnsi="Cambria"/>
          <w:noProof/>
          <w:sz w:val="22"/>
        </w:rPr>
        <w:t xml:space="preserve"> 1122–8 (1997).</w:t>
      </w:r>
    </w:p>
    <w:p w14:paraId="458786D5"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232.</w:t>
      </w:r>
      <w:r w:rsidRPr="005676A9">
        <w:rPr>
          <w:rFonts w:ascii="Cambria" w:hAnsi="Cambria"/>
          <w:noProof/>
          <w:sz w:val="22"/>
        </w:rPr>
        <w:tab/>
        <w:t xml:space="preserve">Read, R. L. </w:t>
      </w:r>
      <w:r w:rsidRPr="005676A9">
        <w:rPr>
          <w:rFonts w:ascii="Cambria" w:hAnsi="Cambria"/>
          <w:i/>
          <w:iCs/>
          <w:noProof/>
          <w:sz w:val="22"/>
        </w:rPr>
        <w:t>et al.</w:t>
      </w:r>
      <w:r w:rsidRPr="005676A9">
        <w:rPr>
          <w:rFonts w:ascii="Cambria" w:hAnsi="Cambria"/>
          <w:noProof/>
          <w:sz w:val="22"/>
        </w:rPr>
        <w:t xml:space="preserve"> In-transit melanoma metastases: incidence, prognosis, and the role of lymphadenectomy. </w:t>
      </w:r>
      <w:r w:rsidRPr="005676A9">
        <w:rPr>
          <w:rFonts w:ascii="Cambria" w:hAnsi="Cambria"/>
          <w:i/>
          <w:iCs/>
          <w:noProof/>
          <w:sz w:val="22"/>
        </w:rPr>
        <w:t>Ann. Surg. Oncol.</w:t>
      </w:r>
      <w:r w:rsidRPr="005676A9">
        <w:rPr>
          <w:rFonts w:ascii="Cambria" w:hAnsi="Cambria"/>
          <w:noProof/>
          <w:sz w:val="22"/>
        </w:rPr>
        <w:t xml:space="preserve"> </w:t>
      </w:r>
      <w:r w:rsidRPr="005676A9">
        <w:rPr>
          <w:rFonts w:ascii="Cambria" w:hAnsi="Cambria"/>
          <w:b/>
          <w:bCs/>
          <w:noProof/>
          <w:sz w:val="22"/>
        </w:rPr>
        <w:t>22,</w:t>
      </w:r>
      <w:r w:rsidRPr="005676A9">
        <w:rPr>
          <w:rFonts w:ascii="Cambria" w:hAnsi="Cambria"/>
          <w:noProof/>
          <w:sz w:val="22"/>
        </w:rPr>
        <w:t xml:space="preserve"> 475–81 (2015).</w:t>
      </w:r>
    </w:p>
    <w:p w14:paraId="7B4C76E3"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233.</w:t>
      </w:r>
      <w:r w:rsidRPr="005676A9">
        <w:rPr>
          <w:rFonts w:ascii="Cambria" w:hAnsi="Cambria"/>
          <w:noProof/>
          <w:sz w:val="22"/>
        </w:rPr>
        <w:tab/>
        <w:t xml:space="preserve">Halsted, W. S. I. The Results of Operations for the Cure of Cancer of the Breast Performed at the Johns Hopkins Hospital from June, 1889, to January, 1894. </w:t>
      </w:r>
      <w:r w:rsidRPr="005676A9">
        <w:rPr>
          <w:rFonts w:ascii="Cambria" w:hAnsi="Cambria"/>
          <w:i/>
          <w:iCs/>
          <w:noProof/>
          <w:sz w:val="22"/>
        </w:rPr>
        <w:t>Ann. Surg.</w:t>
      </w:r>
      <w:r w:rsidRPr="005676A9">
        <w:rPr>
          <w:rFonts w:ascii="Cambria" w:hAnsi="Cambria"/>
          <w:noProof/>
          <w:sz w:val="22"/>
        </w:rPr>
        <w:t xml:space="preserve"> </w:t>
      </w:r>
      <w:r w:rsidRPr="005676A9">
        <w:rPr>
          <w:rFonts w:ascii="Cambria" w:hAnsi="Cambria"/>
          <w:b/>
          <w:bCs/>
          <w:noProof/>
          <w:sz w:val="22"/>
        </w:rPr>
        <w:t>20,</w:t>
      </w:r>
      <w:r w:rsidRPr="005676A9">
        <w:rPr>
          <w:rFonts w:ascii="Cambria" w:hAnsi="Cambria"/>
          <w:noProof/>
          <w:sz w:val="22"/>
        </w:rPr>
        <w:t xml:space="preserve"> 497–555 (1894).</w:t>
      </w:r>
    </w:p>
    <w:p w14:paraId="3F79D6AE"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234.</w:t>
      </w:r>
      <w:r w:rsidRPr="005676A9">
        <w:rPr>
          <w:rFonts w:ascii="Cambria" w:hAnsi="Cambria"/>
          <w:noProof/>
          <w:sz w:val="22"/>
        </w:rPr>
        <w:tab/>
        <w:t xml:space="preserve">Fisher, B. Biological research in the evolution of cancer surgery: a personal perspective. </w:t>
      </w:r>
      <w:r w:rsidRPr="005676A9">
        <w:rPr>
          <w:rFonts w:ascii="Cambria" w:hAnsi="Cambria"/>
          <w:i/>
          <w:iCs/>
          <w:noProof/>
          <w:sz w:val="22"/>
        </w:rPr>
        <w:t>Cancer Res.</w:t>
      </w:r>
      <w:r w:rsidRPr="005676A9">
        <w:rPr>
          <w:rFonts w:ascii="Cambria" w:hAnsi="Cambria"/>
          <w:noProof/>
          <w:sz w:val="22"/>
        </w:rPr>
        <w:t xml:space="preserve"> </w:t>
      </w:r>
      <w:r w:rsidRPr="005676A9">
        <w:rPr>
          <w:rFonts w:ascii="Cambria" w:hAnsi="Cambria"/>
          <w:b/>
          <w:bCs/>
          <w:noProof/>
          <w:sz w:val="22"/>
        </w:rPr>
        <w:t>68,</w:t>
      </w:r>
      <w:r w:rsidRPr="005676A9">
        <w:rPr>
          <w:rFonts w:ascii="Cambria" w:hAnsi="Cambria"/>
          <w:noProof/>
          <w:sz w:val="22"/>
        </w:rPr>
        <w:t xml:space="preserve"> 10007–20 (2008).</w:t>
      </w:r>
    </w:p>
    <w:p w14:paraId="402DA08F"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235.</w:t>
      </w:r>
      <w:r w:rsidRPr="005676A9">
        <w:rPr>
          <w:rFonts w:ascii="Cambria" w:hAnsi="Cambria"/>
          <w:noProof/>
          <w:sz w:val="22"/>
        </w:rPr>
        <w:tab/>
        <w:t xml:space="preserve">Hellman, S. Karnofsky Memorial Lecture. Natural history of small breast cancers. </w:t>
      </w:r>
      <w:r w:rsidRPr="005676A9">
        <w:rPr>
          <w:rFonts w:ascii="Cambria" w:hAnsi="Cambria"/>
          <w:i/>
          <w:iCs/>
          <w:noProof/>
          <w:sz w:val="22"/>
        </w:rPr>
        <w:t>J. Clin. Oncol.</w:t>
      </w:r>
      <w:r w:rsidRPr="005676A9">
        <w:rPr>
          <w:rFonts w:ascii="Cambria" w:hAnsi="Cambria"/>
          <w:noProof/>
          <w:sz w:val="22"/>
        </w:rPr>
        <w:t xml:space="preserve"> </w:t>
      </w:r>
      <w:r w:rsidRPr="005676A9">
        <w:rPr>
          <w:rFonts w:ascii="Cambria" w:hAnsi="Cambria"/>
          <w:b/>
          <w:bCs/>
          <w:noProof/>
          <w:sz w:val="22"/>
        </w:rPr>
        <w:t>12,</w:t>
      </w:r>
      <w:r w:rsidRPr="005676A9">
        <w:rPr>
          <w:rFonts w:ascii="Cambria" w:hAnsi="Cambria"/>
          <w:noProof/>
          <w:sz w:val="22"/>
        </w:rPr>
        <w:t xml:space="preserve"> 2229–34 (1994).</w:t>
      </w:r>
    </w:p>
    <w:p w14:paraId="31757580"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236.</w:t>
      </w:r>
      <w:r w:rsidRPr="005676A9">
        <w:rPr>
          <w:rFonts w:ascii="Cambria" w:hAnsi="Cambria"/>
          <w:noProof/>
          <w:sz w:val="22"/>
        </w:rPr>
        <w:tab/>
        <w:t xml:space="preserve">Paget, S. The distribution of secondary growths in cancer of the breast. 1889. </w:t>
      </w:r>
      <w:r w:rsidRPr="005676A9">
        <w:rPr>
          <w:rFonts w:ascii="Cambria" w:hAnsi="Cambria"/>
          <w:i/>
          <w:iCs/>
          <w:noProof/>
          <w:sz w:val="22"/>
        </w:rPr>
        <w:t>Lancet</w:t>
      </w:r>
      <w:r w:rsidRPr="005676A9">
        <w:rPr>
          <w:rFonts w:ascii="Cambria" w:hAnsi="Cambria"/>
          <w:noProof/>
          <w:sz w:val="22"/>
        </w:rPr>
        <w:t xml:space="preserve"> </w:t>
      </w:r>
      <w:r w:rsidRPr="005676A9">
        <w:rPr>
          <w:rFonts w:ascii="Cambria" w:hAnsi="Cambria"/>
          <w:b/>
          <w:bCs/>
          <w:noProof/>
          <w:sz w:val="22"/>
        </w:rPr>
        <w:t>133,</w:t>
      </w:r>
      <w:r w:rsidRPr="005676A9">
        <w:rPr>
          <w:rFonts w:ascii="Cambria" w:hAnsi="Cambria"/>
          <w:noProof/>
          <w:sz w:val="22"/>
        </w:rPr>
        <w:t xml:space="preserve"> 571–573 (1889).</w:t>
      </w:r>
    </w:p>
    <w:p w14:paraId="02298A64" w14:textId="77777777" w:rsidR="005676A9" w:rsidRPr="005676A9" w:rsidRDefault="005676A9">
      <w:pPr>
        <w:pStyle w:val="NormalWeb"/>
        <w:ind w:left="640" w:hanging="640"/>
        <w:divId w:val="1281687768"/>
        <w:rPr>
          <w:rFonts w:ascii="Cambria" w:hAnsi="Cambria"/>
          <w:noProof/>
          <w:sz w:val="22"/>
        </w:rPr>
      </w:pPr>
      <w:r w:rsidRPr="005676A9">
        <w:rPr>
          <w:rFonts w:ascii="Cambria" w:hAnsi="Cambria"/>
          <w:noProof/>
          <w:sz w:val="22"/>
        </w:rPr>
        <w:t>237.</w:t>
      </w:r>
      <w:r w:rsidRPr="005676A9">
        <w:rPr>
          <w:rFonts w:ascii="Cambria" w:hAnsi="Cambria"/>
          <w:noProof/>
          <w:sz w:val="22"/>
        </w:rPr>
        <w:tab/>
        <w:t xml:space="preserve">Fidler, I. J. The pathogenesis of cancer metastasis: the ‘seed and soil’ hypothesis revisited. </w:t>
      </w:r>
      <w:r w:rsidRPr="005676A9">
        <w:rPr>
          <w:rFonts w:ascii="Cambria" w:hAnsi="Cambria"/>
          <w:i/>
          <w:iCs/>
          <w:noProof/>
          <w:sz w:val="22"/>
        </w:rPr>
        <w:t>Nat. Rev. Cancer</w:t>
      </w:r>
      <w:r w:rsidRPr="005676A9">
        <w:rPr>
          <w:rFonts w:ascii="Cambria" w:hAnsi="Cambria"/>
          <w:noProof/>
          <w:sz w:val="22"/>
        </w:rPr>
        <w:t xml:space="preserve"> </w:t>
      </w:r>
      <w:r w:rsidRPr="005676A9">
        <w:rPr>
          <w:rFonts w:ascii="Cambria" w:hAnsi="Cambria"/>
          <w:b/>
          <w:bCs/>
          <w:noProof/>
          <w:sz w:val="22"/>
        </w:rPr>
        <w:t>3,</w:t>
      </w:r>
      <w:r w:rsidRPr="005676A9">
        <w:rPr>
          <w:rFonts w:ascii="Cambria" w:hAnsi="Cambria"/>
          <w:noProof/>
          <w:sz w:val="22"/>
        </w:rPr>
        <w:t xml:space="preserve"> 453–8 (2003). </w:t>
      </w:r>
    </w:p>
    <w:p w14:paraId="50795A1D" w14:textId="3910286C" w:rsidR="0061482C" w:rsidRPr="001F0F72" w:rsidRDefault="0061482C" w:rsidP="005676A9">
      <w:pPr>
        <w:pStyle w:val="NormalWeb"/>
        <w:ind w:left="640" w:hanging="640"/>
        <w:divId w:val="773791676"/>
        <w:rPr>
          <w:sz w:val="22"/>
          <w:szCs w:val="22"/>
        </w:rPr>
      </w:pPr>
      <w:r w:rsidRPr="003E73CD">
        <w:rPr>
          <w:sz w:val="22"/>
          <w:szCs w:val="22"/>
        </w:rPr>
        <w:fldChar w:fldCharType="end"/>
      </w:r>
    </w:p>
    <w:p w14:paraId="5A82F143" w14:textId="77777777" w:rsidR="0061482C" w:rsidRDefault="0061482C" w:rsidP="00984B5F">
      <w:pPr>
        <w:spacing w:line="480" w:lineRule="auto"/>
      </w:pPr>
    </w:p>
    <w:p w14:paraId="6C6E724D" w14:textId="77777777" w:rsidR="0061482C" w:rsidRDefault="0061482C" w:rsidP="00984B5F">
      <w:pPr>
        <w:spacing w:line="480" w:lineRule="auto"/>
      </w:pPr>
    </w:p>
    <w:p w14:paraId="6423E171" w14:textId="77777777" w:rsidR="009E7818" w:rsidRDefault="009E7818"/>
    <w:p w14:paraId="7F2B9B6B" w14:textId="77777777" w:rsidR="005676A9" w:rsidRDefault="005676A9"/>
    <w:p w14:paraId="46F654DA" w14:textId="77777777" w:rsidR="005676A9" w:rsidRDefault="005676A9"/>
    <w:p w14:paraId="73220822" w14:textId="77777777" w:rsidR="005676A9" w:rsidRDefault="005676A9"/>
    <w:p w14:paraId="7B9EF17D" w14:textId="77777777" w:rsidR="005676A9" w:rsidRDefault="005676A9"/>
    <w:p w14:paraId="1BA35368" w14:textId="77777777" w:rsidR="005676A9" w:rsidRDefault="005676A9"/>
    <w:p w14:paraId="63C36E28" w14:textId="77777777" w:rsidR="005676A9" w:rsidRDefault="005676A9"/>
    <w:p w14:paraId="5B65E945" w14:textId="77777777" w:rsidR="005676A9" w:rsidRDefault="005676A9"/>
    <w:p w14:paraId="6FB2D5C1" w14:textId="77777777" w:rsidR="005676A9" w:rsidRDefault="005676A9"/>
    <w:p w14:paraId="3ABF3736" w14:textId="77777777" w:rsidR="005676A9" w:rsidRDefault="005676A9"/>
    <w:p w14:paraId="54B5F43F" w14:textId="77777777" w:rsidR="005676A9" w:rsidRDefault="005676A9"/>
    <w:p w14:paraId="636808B9" w14:textId="77777777" w:rsidR="005676A9" w:rsidRDefault="005676A9"/>
    <w:p w14:paraId="29239A5E" w14:textId="77777777" w:rsidR="005676A9" w:rsidRDefault="005676A9"/>
    <w:p w14:paraId="55E5D6F9" w14:textId="77777777" w:rsidR="005676A9" w:rsidRDefault="005676A9"/>
    <w:p w14:paraId="6D74EB97" w14:textId="77777777" w:rsidR="005676A9" w:rsidRDefault="005676A9"/>
    <w:p w14:paraId="397EF797" w14:textId="77777777" w:rsidR="005676A9" w:rsidRDefault="005676A9"/>
    <w:p w14:paraId="56ED3FE2" w14:textId="77777777" w:rsidR="005676A9" w:rsidRDefault="005676A9"/>
    <w:p w14:paraId="66B8ADBF" w14:textId="77777777" w:rsidR="005676A9" w:rsidRDefault="005676A9"/>
    <w:p w14:paraId="55EE60C3" w14:textId="77777777" w:rsidR="005676A9" w:rsidRDefault="005676A9"/>
    <w:p w14:paraId="3502F3A7" w14:textId="77777777" w:rsidR="005676A9" w:rsidRDefault="005676A9"/>
    <w:p w14:paraId="4D4A2D33" w14:textId="77777777" w:rsidR="005676A9" w:rsidRDefault="005676A9"/>
    <w:p w14:paraId="31B4EE12" w14:textId="77777777" w:rsidR="005676A9" w:rsidRDefault="005676A9"/>
    <w:p w14:paraId="051DFBA3" w14:textId="77777777" w:rsidR="005676A9" w:rsidRDefault="005676A9"/>
    <w:p w14:paraId="6A4B608C" w14:textId="77777777" w:rsidR="005676A9" w:rsidRDefault="005676A9"/>
    <w:p w14:paraId="68C3CDDF" w14:textId="77777777" w:rsidR="005676A9" w:rsidRDefault="005676A9"/>
    <w:p w14:paraId="3ABDDD3F" w14:textId="77777777" w:rsidR="005676A9" w:rsidRDefault="005676A9"/>
    <w:p w14:paraId="20DD8FAF" w14:textId="77777777" w:rsidR="005676A9" w:rsidRDefault="005676A9"/>
    <w:p w14:paraId="6EDDDF39" w14:textId="77777777" w:rsidR="005676A9" w:rsidRDefault="005676A9"/>
    <w:p w14:paraId="50C985D1" w14:textId="77777777" w:rsidR="005676A9" w:rsidRDefault="005676A9"/>
    <w:p w14:paraId="5E1F835B" w14:textId="77777777" w:rsidR="005676A9" w:rsidRDefault="005676A9"/>
    <w:p w14:paraId="79FF317E" w14:textId="77777777" w:rsidR="005676A9" w:rsidRDefault="005676A9"/>
    <w:p w14:paraId="4E1A9D24" w14:textId="77777777" w:rsidR="005676A9" w:rsidRDefault="005676A9"/>
    <w:p w14:paraId="6E0B5D58" w14:textId="77777777" w:rsidR="005676A9" w:rsidRDefault="005676A9"/>
    <w:p w14:paraId="4508EF0E" w14:textId="77777777" w:rsidR="005676A9" w:rsidRDefault="005676A9"/>
    <w:p w14:paraId="02C7D01F" w14:textId="77777777" w:rsidR="005676A9" w:rsidRDefault="005676A9"/>
    <w:p w14:paraId="4687D52E" w14:textId="3B1422AB" w:rsidR="005676A9" w:rsidRPr="005676A9" w:rsidRDefault="005676A9">
      <w:pPr>
        <w:rPr>
          <w:b/>
          <w:sz w:val="28"/>
          <w:szCs w:val="28"/>
        </w:rPr>
      </w:pPr>
      <w:r>
        <w:rPr>
          <w:b/>
          <w:sz w:val="28"/>
          <w:szCs w:val="28"/>
        </w:rPr>
        <w:t>Appendix</w:t>
      </w:r>
    </w:p>
    <w:p w14:paraId="640A2E16" w14:textId="77777777" w:rsidR="005676A9" w:rsidRDefault="005676A9"/>
    <w:p w14:paraId="0E82C547" w14:textId="77777777" w:rsidR="005676A9" w:rsidRDefault="005676A9" w:rsidP="005676A9">
      <w:pPr>
        <w:pStyle w:val="TableTitle"/>
        <w:rPr>
          <w:szCs w:val="24"/>
        </w:rPr>
      </w:pPr>
    </w:p>
    <w:p w14:paraId="49D6EF63" w14:textId="09BD6420" w:rsidR="005676A9" w:rsidRPr="005676A9" w:rsidRDefault="005676A9" w:rsidP="005676A9">
      <w:pPr>
        <w:pStyle w:val="TableTitle"/>
        <w:rPr>
          <w:b/>
          <w:szCs w:val="24"/>
        </w:rPr>
      </w:pPr>
      <w:r w:rsidRPr="005676A9">
        <w:rPr>
          <w:b/>
          <w:szCs w:val="24"/>
        </w:rPr>
        <w:t>Quantitative Quality Assessment Scoring System (developed from the STROBE Statement Checklist</w:t>
      </w:r>
      <w:r w:rsidRPr="005676A9">
        <w:rPr>
          <w:b/>
          <w:szCs w:val="24"/>
        </w:rPr>
        <w:fldChar w:fldCharType="begin" w:fldLock="1"/>
      </w:r>
      <w:r w:rsidRPr="005676A9">
        <w:rPr>
          <w:b/>
          <w:szCs w:val="24"/>
        </w:rPr>
        <w:instrText>ADDIN CSL_CITATION { "citationItems" : [ { "id" : "ITEM-1", "itemData" : { "DOI" : "10.1016/S0140-6736(07)61602-X", "ISBN" : "1549-1676 (Electronic)\\n1549-1277 (Linking)", "ISSN" : "1474-547X", "PMID" : "18064739", "abstract" : "Much biomedical research is observational. The reporting of such research is often inadequate, which hampers the assessment of its strengths and weaknesses and of a study's generalizability. The Strengthening the Reporting of Observational Studies in Epidemiology (STROBE) Initiative developed recommendations on what should be included in an accurate and complete report of an observational study. We defined the scope of the recommendations to cover 3 main study designs: cohort, case\u2013control, and cross-sectional studies. We convened a 2-day workshop in September 2004, with methodologists, researchers, and journal editors, to draft a checklist of items. This list was subsequently revised during several meetings of the coordinating group and in e-mail discussions with the larger group of STROBE contributors, taking into account empirical evidence and methodological considerations. The workshop and the subsequent iterative process of consultation and revision resulted in a checklist of 22 items (the STROBE Statement) that relate to the title, abstract, introduction, methods, results, and discussion sections of articles. Eighteen items are common to all 3 study designs and 4 are specific for cohort, case\u2013control, or cross-sectional studies. A detailed Explanation and Elaboration document is published separately and is freely available at http://www.annals.org and on the Web sites of PLoS Medicine and Epidemiology. We hope that the STROBE Statement will contribute to improving the quality of reporting of observational studies. Many questions in medical research are investigated in observational studies (1). Much of the research into the cause of diseases relies on cohort, case\u2013control, or cross-sectional studies. Observational studies also have a role in research into the benefits and harms of medical interventions (2). Randomized trials cannot answer all important questions about a given intervention. For example, observational studies are more suitable to detect rare or late adverse effects of treatments and are more likely to provide an indication of what is achieved in daily medical practice (3). Research should be reported transparently so that readers can follow what was planned, what was done, what was found, and what conclusions were drawn. The credibility of research depends on a critical assessment by others of the strengths and weaknesses in study design, conduct, and analysis. Transparent reporting is also needed to judge whether and how results ca\u2026", "author" : [ { "dropping-particle" : "", "family" : "Elm", "given" : "E", "non-dropping-particle" : "von", "parse-names" : false, "suffix" : "" }, { "dropping-particle" : "", "family" : "Altman", "given" : "D G", "non-dropping-particle" : "", "parse-names" : false, "suffix" : "" }, { "dropping-particle" : "", "family" : "Egger M S.J.", "given" : "Pocock", "non-dropping-particle" : "", "parse-names" : false, "suffix" : "" }, { "dropping-particle" : "", "family" : "G\u00f8tzsche", "given" : "P C", "non-dropping-particle" : "", "parse-names" : false, "suffix" : "" }, { "dropping-particle" : "", "family" : "Vandenbroucke", "given" : "J P", "non-dropping-particle" : "", "parse-names" : false, "suffix" : "" }, { "dropping-particle" : "", "family" : "Initiative", "given" : "STROBE", "non-dropping-particle" : "", "parse-names" : false, "suffix" : "" } ], "container-title" : "J Clin Epidemiol", "id" : "ITEM-1", "issue" : "4", "issued" : { "date-parts" : [ [ "2008" ] ] }, "page" : "344-349", "title" : "The Strengthening the Reporting of Observational Studies in Epidemiology (STROBE)statement: guidelines for reporting observational studies.", "type" : "article-journal", "volume" : "61" }, "uris" : [ "http://www.mendeley.com/documents/?uuid=00b519f7-8c42-41aa-9cf6-13d9dd5114da" ] } ], "mendeley" : { "formattedCitation" : "&lt;sup&gt;167&lt;/sup&gt;", "plainTextFormattedCitation" : "167" }, "properties" : { "noteIndex" : 0 }, "schema" : "https://github.com/citation-style-language/schema/raw/master/csl-citation.json" }</w:instrText>
      </w:r>
      <w:r w:rsidRPr="005676A9">
        <w:rPr>
          <w:b/>
          <w:szCs w:val="24"/>
        </w:rPr>
        <w:fldChar w:fldCharType="separate"/>
      </w:r>
      <w:r w:rsidRPr="005676A9">
        <w:rPr>
          <w:b/>
          <w:noProof/>
          <w:szCs w:val="24"/>
          <w:vertAlign w:val="superscript"/>
        </w:rPr>
        <w:t>167</w:t>
      </w:r>
      <w:r w:rsidRPr="005676A9">
        <w:rPr>
          <w:b/>
          <w:szCs w:val="24"/>
        </w:rPr>
        <w:fldChar w:fldCharType="end"/>
      </w:r>
      <w:r w:rsidRPr="005676A9">
        <w:rPr>
          <w:b/>
          <w:szCs w:val="24"/>
        </w:rPr>
        <w:t>)</w:t>
      </w:r>
    </w:p>
    <w:p w14:paraId="55AA8474" w14:textId="77777777" w:rsidR="005676A9" w:rsidRDefault="005676A9" w:rsidP="005676A9">
      <w:pPr>
        <w:pStyle w:val="TableTitle"/>
        <w:rPr>
          <w:szCs w:val="24"/>
        </w:rPr>
      </w:pPr>
    </w:p>
    <w:p w14:paraId="09A827AB" w14:textId="77777777" w:rsidR="005676A9" w:rsidRPr="00247ED5" w:rsidRDefault="005676A9" w:rsidP="005676A9">
      <w:pPr>
        <w:pStyle w:val="TableTitle"/>
        <w:rPr>
          <w:szCs w:val="24"/>
        </w:rPr>
      </w:pPr>
      <w:r w:rsidRPr="00247ED5">
        <w:rPr>
          <w:szCs w:val="24"/>
        </w:rPr>
        <w:t xml:space="preserve">STROBE Statement—Checklist of items that should be included in reports of </w:t>
      </w:r>
      <w:r w:rsidRPr="00247ED5">
        <w:rPr>
          <w:b/>
          <w:i/>
          <w:szCs w:val="24"/>
        </w:rPr>
        <w:t>cohort studies</w:t>
      </w:r>
      <w:r w:rsidRPr="00247ED5">
        <w:rPr>
          <w:szCs w:val="24"/>
        </w:rPr>
        <w:t xml:space="preserve"> </w:t>
      </w:r>
    </w:p>
    <w:tbl>
      <w:tblPr>
        <w:tblW w:w="5000" w:type="pct"/>
        <w:tblBorders>
          <w:insideH w:val="single" w:sz="4" w:space="0" w:color="auto"/>
        </w:tblBorders>
        <w:tblLook w:val="0000" w:firstRow="0" w:lastRow="0" w:firstColumn="0" w:lastColumn="0" w:noHBand="0" w:noVBand="0"/>
      </w:tblPr>
      <w:tblGrid>
        <w:gridCol w:w="2119"/>
        <w:gridCol w:w="616"/>
        <w:gridCol w:w="4991"/>
        <w:gridCol w:w="988"/>
      </w:tblGrid>
      <w:tr w:rsidR="005676A9" w:rsidRPr="000142B2" w14:paraId="449291A2" w14:textId="77777777" w:rsidTr="005676A9">
        <w:tc>
          <w:tcPr>
            <w:tcW w:w="1101" w:type="pct"/>
          </w:tcPr>
          <w:p w14:paraId="13067037" w14:textId="77777777" w:rsidR="005676A9" w:rsidRPr="000142B2" w:rsidRDefault="005676A9" w:rsidP="005676A9">
            <w:pPr>
              <w:tabs>
                <w:tab w:val="left" w:pos="5400"/>
              </w:tabs>
              <w:rPr>
                <w:sz w:val="20"/>
              </w:rPr>
            </w:pPr>
            <w:bookmarkStart w:id="1" w:name="bold1" w:colFirst="1" w:colLast="1"/>
            <w:bookmarkStart w:id="2" w:name="italic1" w:colFirst="0" w:colLast="0"/>
            <w:bookmarkStart w:id="3" w:name="bold2" w:colFirst="2" w:colLast="2"/>
            <w:bookmarkStart w:id="4" w:name="italic2" w:colFirst="1" w:colLast="1"/>
            <w:bookmarkStart w:id="5" w:name="bold3" w:colFirst="3" w:colLast="3"/>
            <w:bookmarkStart w:id="6" w:name="italic3" w:colFirst="2" w:colLast="2"/>
            <w:bookmarkStart w:id="7" w:name="bold4" w:colFirst="4" w:colLast="4"/>
            <w:bookmarkStart w:id="8" w:name="italic4" w:colFirst="3" w:colLast="3"/>
            <w:bookmarkStart w:id="9" w:name="italic5" w:colFirst="4" w:colLast="4"/>
          </w:p>
        </w:tc>
        <w:tc>
          <w:tcPr>
            <w:tcW w:w="328" w:type="pct"/>
          </w:tcPr>
          <w:p w14:paraId="790B9E15" w14:textId="77777777" w:rsidR="005676A9" w:rsidRPr="000142B2" w:rsidRDefault="005676A9" w:rsidP="005676A9">
            <w:pPr>
              <w:pStyle w:val="TableHeader"/>
              <w:tabs>
                <w:tab w:val="left" w:pos="5400"/>
              </w:tabs>
              <w:jc w:val="center"/>
              <w:rPr>
                <w:bCs/>
                <w:sz w:val="20"/>
              </w:rPr>
            </w:pPr>
            <w:r w:rsidRPr="000142B2">
              <w:rPr>
                <w:bCs/>
                <w:sz w:val="20"/>
              </w:rPr>
              <w:t>Item No</w:t>
            </w:r>
          </w:p>
        </w:tc>
        <w:tc>
          <w:tcPr>
            <w:tcW w:w="2933" w:type="pct"/>
            <w:vAlign w:val="bottom"/>
          </w:tcPr>
          <w:p w14:paraId="4DBC7CFF" w14:textId="77777777" w:rsidR="005676A9" w:rsidRPr="000142B2" w:rsidRDefault="005676A9" w:rsidP="005676A9">
            <w:pPr>
              <w:pStyle w:val="TableHeader"/>
              <w:tabs>
                <w:tab w:val="left" w:pos="5400"/>
              </w:tabs>
              <w:jc w:val="center"/>
              <w:rPr>
                <w:bCs/>
                <w:sz w:val="20"/>
              </w:rPr>
            </w:pPr>
            <w:r w:rsidRPr="000142B2">
              <w:rPr>
                <w:bCs/>
                <w:sz w:val="20"/>
              </w:rPr>
              <w:t>Recommendation</w:t>
            </w:r>
          </w:p>
        </w:tc>
        <w:tc>
          <w:tcPr>
            <w:tcW w:w="637" w:type="pct"/>
          </w:tcPr>
          <w:p w14:paraId="531415BB" w14:textId="77777777" w:rsidR="005676A9" w:rsidRPr="000142B2" w:rsidRDefault="005676A9" w:rsidP="005676A9">
            <w:pPr>
              <w:pStyle w:val="TableHeader"/>
              <w:tabs>
                <w:tab w:val="left" w:pos="5400"/>
              </w:tabs>
              <w:jc w:val="center"/>
              <w:rPr>
                <w:bCs/>
                <w:sz w:val="20"/>
              </w:rPr>
            </w:pPr>
            <w:r>
              <w:rPr>
                <w:bCs/>
                <w:sz w:val="20"/>
              </w:rPr>
              <w:t>Score</w:t>
            </w:r>
          </w:p>
        </w:tc>
      </w:tr>
      <w:bookmarkEnd w:id="1"/>
      <w:bookmarkEnd w:id="2"/>
      <w:bookmarkEnd w:id="3"/>
      <w:bookmarkEnd w:id="4"/>
      <w:bookmarkEnd w:id="5"/>
      <w:bookmarkEnd w:id="6"/>
      <w:bookmarkEnd w:id="7"/>
      <w:bookmarkEnd w:id="8"/>
      <w:bookmarkEnd w:id="9"/>
      <w:tr w:rsidR="005676A9" w:rsidRPr="000142B2" w14:paraId="5E036242" w14:textId="77777777" w:rsidTr="005676A9">
        <w:tc>
          <w:tcPr>
            <w:tcW w:w="1101" w:type="pct"/>
            <w:vMerge w:val="restart"/>
          </w:tcPr>
          <w:p w14:paraId="45E9C081" w14:textId="77777777" w:rsidR="005676A9" w:rsidRPr="000142B2" w:rsidRDefault="005676A9" w:rsidP="005676A9">
            <w:pPr>
              <w:tabs>
                <w:tab w:val="left" w:pos="5400"/>
              </w:tabs>
              <w:rPr>
                <w:b/>
                <w:bCs/>
                <w:sz w:val="20"/>
              </w:rPr>
            </w:pPr>
            <w:r w:rsidRPr="000142B2">
              <w:rPr>
                <w:bCs/>
                <w:sz w:val="20"/>
              </w:rPr>
              <w:t xml:space="preserve"> </w:t>
            </w:r>
            <w:r w:rsidRPr="000142B2">
              <w:rPr>
                <w:b/>
                <w:sz w:val="20"/>
              </w:rPr>
              <w:t>Title and abstract</w:t>
            </w:r>
          </w:p>
        </w:tc>
        <w:tc>
          <w:tcPr>
            <w:tcW w:w="328" w:type="pct"/>
            <w:vMerge w:val="restart"/>
          </w:tcPr>
          <w:p w14:paraId="338AE7BC" w14:textId="77777777" w:rsidR="005676A9" w:rsidRPr="000142B2" w:rsidRDefault="005676A9" w:rsidP="005676A9">
            <w:pPr>
              <w:tabs>
                <w:tab w:val="left" w:pos="5400"/>
              </w:tabs>
              <w:jc w:val="center"/>
              <w:rPr>
                <w:sz w:val="20"/>
              </w:rPr>
            </w:pPr>
            <w:r w:rsidRPr="000142B2">
              <w:rPr>
                <w:sz w:val="20"/>
              </w:rPr>
              <w:t>1</w:t>
            </w:r>
          </w:p>
        </w:tc>
        <w:tc>
          <w:tcPr>
            <w:tcW w:w="2933" w:type="pct"/>
          </w:tcPr>
          <w:p w14:paraId="72E8ED16" w14:textId="77777777" w:rsidR="005676A9" w:rsidRPr="000142B2" w:rsidRDefault="005676A9" w:rsidP="005676A9">
            <w:pPr>
              <w:tabs>
                <w:tab w:val="left" w:pos="5400"/>
              </w:tabs>
              <w:rPr>
                <w:sz w:val="20"/>
              </w:rPr>
            </w:pPr>
            <w:r w:rsidRPr="000142B2">
              <w:rPr>
                <w:sz w:val="20"/>
              </w:rPr>
              <w:t>(</w:t>
            </w:r>
            <w:r w:rsidRPr="000142B2">
              <w:rPr>
                <w:i/>
                <w:sz w:val="20"/>
              </w:rPr>
              <w:t>a</w:t>
            </w:r>
            <w:r w:rsidRPr="000142B2">
              <w:rPr>
                <w:sz w:val="20"/>
              </w:rPr>
              <w:t>) Indicate the study’s design with a commonly used term in the title or the abstract</w:t>
            </w:r>
          </w:p>
        </w:tc>
        <w:tc>
          <w:tcPr>
            <w:tcW w:w="637" w:type="pct"/>
          </w:tcPr>
          <w:p w14:paraId="6CDC645E" w14:textId="77777777" w:rsidR="005676A9" w:rsidRPr="000142B2" w:rsidRDefault="005676A9" w:rsidP="005676A9">
            <w:pPr>
              <w:tabs>
                <w:tab w:val="left" w:pos="5400"/>
              </w:tabs>
              <w:jc w:val="center"/>
              <w:rPr>
                <w:sz w:val="20"/>
              </w:rPr>
            </w:pPr>
            <w:r>
              <w:rPr>
                <w:sz w:val="20"/>
              </w:rPr>
              <w:t>/1</w:t>
            </w:r>
          </w:p>
        </w:tc>
      </w:tr>
      <w:tr w:rsidR="005676A9" w:rsidRPr="000142B2" w14:paraId="07481FCD" w14:textId="77777777" w:rsidTr="005676A9">
        <w:tc>
          <w:tcPr>
            <w:tcW w:w="1101" w:type="pct"/>
            <w:vMerge/>
          </w:tcPr>
          <w:p w14:paraId="42DD5E69" w14:textId="77777777" w:rsidR="005676A9" w:rsidRPr="000142B2" w:rsidRDefault="005676A9" w:rsidP="005676A9">
            <w:pPr>
              <w:tabs>
                <w:tab w:val="left" w:pos="5400"/>
              </w:tabs>
              <w:rPr>
                <w:bCs/>
                <w:sz w:val="20"/>
              </w:rPr>
            </w:pPr>
            <w:bookmarkStart w:id="10" w:name="bold6" w:colFirst="0" w:colLast="0"/>
            <w:bookmarkStart w:id="11" w:name="italic7" w:colFirst="0" w:colLast="0"/>
          </w:p>
        </w:tc>
        <w:tc>
          <w:tcPr>
            <w:tcW w:w="328" w:type="pct"/>
            <w:vMerge/>
          </w:tcPr>
          <w:p w14:paraId="417BB338" w14:textId="77777777" w:rsidR="005676A9" w:rsidRPr="000142B2" w:rsidRDefault="005676A9" w:rsidP="005676A9">
            <w:pPr>
              <w:tabs>
                <w:tab w:val="left" w:pos="5400"/>
              </w:tabs>
              <w:jc w:val="center"/>
              <w:rPr>
                <w:sz w:val="20"/>
              </w:rPr>
            </w:pPr>
          </w:p>
        </w:tc>
        <w:tc>
          <w:tcPr>
            <w:tcW w:w="2933" w:type="pct"/>
          </w:tcPr>
          <w:p w14:paraId="4197335A" w14:textId="77777777" w:rsidR="005676A9" w:rsidRPr="000142B2" w:rsidRDefault="005676A9" w:rsidP="005676A9">
            <w:pPr>
              <w:tabs>
                <w:tab w:val="left" w:pos="5400"/>
              </w:tabs>
              <w:rPr>
                <w:sz w:val="20"/>
              </w:rPr>
            </w:pPr>
            <w:r w:rsidRPr="000142B2">
              <w:rPr>
                <w:sz w:val="20"/>
              </w:rPr>
              <w:t>(</w:t>
            </w:r>
            <w:r w:rsidRPr="000142B2">
              <w:rPr>
                <w:i/>
                <w:sz w:val="20"/>
              </w:rPr>
              <w:t>b</w:t>
            </w:r>
            <w:r w:rsidRPr="000142B2">
              <w:rPr>
                <w:sz w:val="20"/>
              </w:rPr>
              <w:t>) Provide in the abstract an informative and balanced summary of what was done and what was found</w:t>
            </w:r>
          </w:p>
        </w:tc>
        <w:tc>
          <w:tcPr>
            <w:tcW w:w="637" w:type="pct"/>
          </w:tcPr>
          <w:p w14:paraId="6099CC86" w14:textId="77777777" w:rsidR="005676A9" w:rsidRPr="000142B2" w:rsidRDefault="005676A9" w:rsidP="005676A9">
            <w:pPr>
              <w:tabs>
                <w:tab w:val="left" w:pos="5400"/>
              </w:tabs>
              <w:jc w:val="center"/>
              <w:rPr>
                <w:sz w:val="20"/>
              </w:rPr>
            </w:pPr>
            <w:r>
              <w:rPr>
                <w:sz w:val="20"/>
              </w:rPr>
              <w:t>/4</w:t>
            </w:r>
          </w:p>
        </w:tc>
      </w:tr>
      <w:tr w:rsidR="005676A9" w:rsidRPr="000142B2" w14:paraId="531551DC" w14:textId="77777777" w:rsidTr="005676A9">
        <w:tc>
          <w:tcPr>
            <w:tcW w:w="4363" w:type="pct"/>
            <w:gridSpan w:val="3"/>
          </w:tcPr>
          <w:p w14:paraId="74F8BD42" w14:textId="77777777" w:rsidR="005676A9" w:rsidRPr="000142B2" w:rsidRDefault="005676A9" w:rsidP="005676A9">
            <w:pPr>
              <w:pStyle w:val="TableSubHead"/>
              <w:tabs>
                <w:tab w:val="left" w:pos="5400"/>
              </w:tabs>
              <w:rPr>
                <w:sz w:val="20"/>
              </w:rPr>
            </w:pPr>
            <w:bookmarkStart w:id="12" w:name="bold7"/>
            <w:bookmarkStart w:id="13" w:name="italic8"/>
            <w:bookmarkEnd w:id="10"/>
            <w:bookmarkEnd w:id="11"/>
            <w:r w:rsidRPr="000142B2">
              <w:rPr>
                <w:sz w:val="20"/>
              </w:rPr>
              <w:t>Introduction</w:t>
            </w:r>
            <w:bookmarkEnd w:id="12"/>
            <w:bookmarkEnd w:id="13"/>
          </w:p>
        </w:tc>
        <w:tc>
          <w:tcPr>
            <w:tcW w:w="637" w:type="pct"/>
          </w:tcPr>
          <w:p w14:paraId="05817940" w14:textId="77777777" w:rsidR="005676A9" w:rsidRPr="000142B2" w:rsidRDefault="005676A9" w:rsidP="005676A9">
            <w:pPr>
              <w:pStyle w:val="TableSubHead"/>
              <w:tabs>
                <w:tab w:val="left" w:pos="5400"/>
              </w:tabs>
              <w:jc w:val="center"/>
              <w:rPr>
                <w:sz w:val="20"/>
              </w:rPr>
            </w:pPr>
          </w:p>
        </w:tc>
      </w:tr>
      <w:tr w:rsidR="005676A9" w:rsidRPr="000142B2" w14:paraId="4C323599" w14:textId="77777777" w:rsidTr="005676A9">
        <w:tc>
          <w:tcPr>
            <w:tcW w:w="1101" w:type="pct"/>
          </w:tcPr>
          <w:p w14:paraId="73F234F1" w14:textId="77777777" w:rsidR="005676A9" w:rsidRPr="000142B2" w:rsidRDefault="005676A9" w:rsidP="005676A9">
            <w:pPr>
              <w:tabs>
                <w:tab w:val="left" w:pos="5400"/>
              </w:tabs>
              <w:rPr>
                <w:bCs/>
                <w:sz w:val="20"/>
              </w:rPr>
            </w:pPr>
            <w:bookmarkStart w:id="14" w:name="bold8"/>
            <w:bookmarkStart w:id="15" w:name="italic9"/>
            <w:r w:rsidRPr="000142B2">
              <w:rPr>
                <w:bCs/>
                <w:sz w:val="20"/>
              </w:rPr>
              <w:t>Background/</w:t>
            </w:r>
            <w:bookmarkStart w:id="16" w:name="bold9"/>
            <w:bookmarkStart w:id="17" w:name="italic10"/>
            <w:bookmarkEnd w:id="14"/>
            <w:bookmarkEnd w:id="15"/>
            <w:r w:rsidRPr="000142B2">
              <w:rPr>
                <w:bCs/>
                <w:sz w:val="20"/>
              </w:rPr>
              <w:t>rationale</w:t>
            </w:r>
            <w:bookmarkEnd w:id="16"/>
            <w:bookmarkEnd w:id="17"/>
          </w:p>
        </w:tc>
        <w:tc>
          <w:tcPr>
            <w:tcW w:w="328" w:type="pct"/>
          </w:tcPr>
          <w:p w14:paraId="2DE60174" w14:textId="77777777" w:rsidR="005676A9" w:rsidRPr="000142B2" w:rsidRDefault="005676A9" w:rsidP="005676A9">
            <w:pPr>
              <w:tabs>
                <w:tab w:val="left" w:pos="5400"/>
              </w:tabs>
              <w:jc w:val="center"/>
              <w:rPr>
                <w:sz w:val="20"/>
              </w:rPr>
            </w:pPr>
            <w:r w:rsidRPr="000142B2">
              <w:rPr>
                <w:sz w:val="20"/>
              </w:rPr>
              <w:t>2</w:t>
            </w:r>
          </w:p>
        </w:tc>
        <w:tc>
          <w:tcPr>
            <w:tcW w:w="2933" w:type="pct"/>
          </w:tcPr>
          <w:p w14:paraId="6BD29B60" w14:textId="77777777" w:rsidR="005676A9" w:rsidRPr="000142B2" w:rsidRDefault="005676A9" w:rsidP="005676A9">
            <w:pPr>
              <w:tabs>
                <w:tab w:val="left" w:pos="5400"/>
              </w:tabs>
              <w:rPr>
                <w:sz w:val="20"/>
              </w:rPr>
            </w:pPr>
            <w:r w:rsidRPr="000142B2">
              <w:rPr>
                <w:sz w:val="20"/>
              </w:rPr>
              <w:t>Explain the scientific background and rationale for the investigation being reported</w:t>
            </w:r>
          </w:p>
        </w:tc>
        <w:tc>
          <w:tcPr>
            <w:tcW w:w="637" w:type="pct"/>
          </w:tcPr>
          <w:p w14:paraId="099FA2B8" w14:textId="77777777" w:rsidR="005676A9" w:rsidRPr="000142B2" w:rsidRDefault="005676A9" w:rsidP="005676A9">
            <w:pPr>
              <w:tabs>
                <w:tab w:val="left" w:pos="5400"/>
              </w:tabs>
              <w:jc w:val="center"/>
              <w:rPr>
                <w:sz w:val="20"/>
              </w:rPr>
            </w:pPr>
            <w:r>
              <w:rPr>
                <w:sz w:val="20"/>
              </w:rPr>
              <w:t>/2</w:t>
            </w:r>
          </w:p>
        </w:tc>
      </w:tr>
      <w:tr w:rsidR="005676A9" w:rsidRPr="000142B2" w14:paraId="52AE5259" w14:textId="77777777" w:rsidTr="005676A9">
        <w:tc>
          <w:tcPr>
            <w:tcW w:w="1101" w:type="pct"/>
          </w:tcPr>
          <w:p w14:paraId="3D3F16BC" w14:textId="77777777" w:rsidR="005676A9" w:rsidRPr="000142B2" w:rsidRDefault="005676A9" w:rsidP="005676A9">
            <w:pPr>
              <w:tabs>
                <w:tab w:val="left" w:pos="5400"/>
              </w:tabs>
              <w:rPr>
                <w:bCs/>
                <w:sz w:val="20"/>
              </w:rPr>
            </w:pPr>
            <w:bookmarkStart w:id="18" w:name="bold10" w:colFirst="0" w:colLast="0"/>
            <w:bookmarkStart w:id="19" w:name="italic11" w:colFirst="0" w:colLast="0"/>
            <w:r w:rsidRPr="000142B2">
              <w:rPr>
                <w:bCs/>
                <w:sz w:val="20"/>
              </w:rPr>
              <w:t>Objectives</w:t>
            </w:r>
          </w:p>
        </w:tc>
        <w:tc>
          <w:tcPr>
            <w:tcW w:w="328" w:type="pct"/>
          </w:tcPr>
          <w:p w14:paraId="3857F035" w14:textId="77777777" w:rsidR="005676A9" w:rsidRPr="000142B2" w:rsidRDefault="005676A9" w:rsidP="005676A9">
            <w:pPr>
              <w:tabs>
                <w:tab w:val="left" w:pos="5400"/>
              </w:tabs>
              <w:jc w:val="center"/>
              <w:rPr>
                <w:sz w:val="20"/>
              </w:rPr>
            </w:pPr>
            <w:r w:rsidRPr="000142B2">
              <w:rPr>
                <w:sz w:val="20"/>
              </w:rPr>
              <w:t>3</w:t>
            </w:r>
          </w:p>
        </w:tc>
        <w:tc>
          <w:tcPr>
            <w:tcW w:w="2933" w:type="pct"/>
          </w:tcPr>
          <w:p w14:paraId="20A6E6CA" w14:textId="77777777" w:rsidR="005676A9" w:rsidRPr="000142B2" w:rsidRDefault="005676A9" w:rsidP="005676A9">
            <w:pPr>
              <w:tabs>
                <w:tab w:val="left" w:pos="5400"/>
              </w:tabs>
              <w:rPr>
                <w:sz w:val="20"/>
              </w:rPr>
            </w:pPr>
            <w:r w:rsidRPr="000142B2">
              <w:rPr>
                <w:sz w:val="20"/>
              </w:rPr>
              <w:t>State specific objectives, including any prespecified hypotheses</w:t>
            </w:r>
          </w:p>
        </w:tc>
        <w:tc>
          <w:tcPr>
            <w:tcW w:w="637" w:type="pct"/>
          </w:tcPr>
          <w:p w14:paraId="3DF09C70" w14:textId="77777777" w:rsidR="005676A9" w:rsidRPr="000142B2" w:rsidRDefault="005676A9" w:rsidP="005676A9">
            <w:pPr>
              <w:tabs>
                <w:tab w:val="left" w:pos="5400"/>
              </w:tabs>
              <w:jc w:val="center"/>
              <w:rPr>
                <w:sz w:val="20"/>
              </w:rPr>
            </w:pPr>
            <w:r>
              <w:rPr>
                <w:sz w:val="20"/>
              </w:rPr>
              <w:t>/1</w:t>
            </w:r>
          </w:p>
        </w:tc>
      </w:tr>
      <w:tr w:rsidR="005676A9" w:rsidRPr="000142B2" w14:paraId="56673694" w14:textId="77777777" w:rsidTr="005676A9">
        <w:tc>
          <w:tcPr>
            <w:tcW w:w="4363" w:type="pct"/>
            <w:gridSpan w:val="3"/>
          </w:tcPr>
          <w:p w14:paraId="0499FC20" w14:textId="77777777" w:rsidR="005676A9" w:rsidRPr="000142B2" w:rsidRDefault="005676A9" w:rsidP="005676A9">
            <w:pPr>
              <w:pStyle w:val="TableSubHead"/>
              <w:tabs>
                <w:tab w:val="left" w:pos="5400"/>
              </w:tabs>
              <w:rPr>
                <w:sz w:val="20"/>
              </w:rPr>
            </w:pPr>
            <w:bookmarkStart w:id="20" w:name="bold11"/>
            <w:bookmarkStart w:id="21" w:name="italic12"/>
            <w:bookmarkEnd w:id="18"/>
            <w:bookmarkEnd w:id="19"/>
            <w:r w:rsidRPr="000142B2">
              <w:rPr>
                <w:sz w:val="20"/>
              </w:rPr>
              <w:t>Methods</w:t>
            </w:r>
            <w:bookmarkEnd w:id="20"/>
            <w:bookmarkEnd w:id="21"/>
          </w:p>
        </w:tc>
        <w:tc>
          <w:tcPr>
            <w:tcW w:w="637" w:type="pct"/>
          </w:tcPr>
          <w:p w14:paraId="2269F84C" w14:textId="77777777" w:rsidR="005676A9" w:rsidRPr="000142B2" w:rsidRDefault="005676A9" w:rsidP="005676A9">
            <w:pPr>
              <w:pStyle w:val="TableSubHead"/>
              <w:tabs>
                <w:tab w:val="left" w:pos="5400"/>
              </w:tabs>
              <w:jc w:val="center"/>
              <w:rPr>
                <w:sz w:val="20"/>
              </w:rPr>
            </w:pPr>
          </w:p>
        </w:tc>
      </w:tr>
      <w:tr w:rsidR="005676A9" w:rsidRPr="000142B2" w14:paraId="005CD705" w14:textId="77777777" w:rsidTr="005676A9">
        <w:tc>
          <w:tcPr>
            <w:tcW w:w="1101" w:type="pct"/>
          </w:tcPr>
          <w:p w14:paraId="50A5A3BB" w14:textId="77777777" w:rsidR="005676A9" w:rsidRPr="000142B2" w:rsidRDefault="005676A9" w:rsidP="005676A9">
            <w:pPr>
              <w:tabs>
                <w:tab w:val="left" w:pos="5400"/>
              </w:tabs>
              <w:rPr>
                <w:bCs/>
                <w:sz w:val="20"/>
              </w:rPr>
            </w:pPr>
            <w:bookmarkStart w:id="22" w:name="bold12" w:colFirst="0" w:colLast="0"/>
            <w:bookmarkStart w:id="23" w:name="italic13" w:colFirst="0" w:colLast="0"/>
            <w:r w:rsidRPr="000142B2">
              <w:rPr>
                <w:bCs/>
                <w:sz w:val="20"/>
              </w:rPr>
              <w:t>Study design</w:t>
            </w:r>
          </w:p>
        </w:tc>
        <w:tc>
          <w:tcPr>
            <w:tcW w:w="328" w:type="pct"/>
          </w:tcPr>
          <w:p w14:paraId="7D872036" w14:textId="77777777" w:rsidR="005676A9" w:rsidRPr="000142B2" w:rsidRDefault="005676A9" w:rsidP="005676A9">
            <w:pPr>
              <w:tabs>
                <w:tab w:val="left" w:pos="5400"/>
              </w:tabs>
              <w:jc w:val="center"/>
              <w:rPr>
                <w:sz w:val="20"/>
              </w:rPr>
            </w:pPr>
            <w:r w:rsidRPr="000142B2">
              <w:rPr>
                <w:sz w:val="20"/>
              </w:rPr>
              <w:t>4</w:t>
            </w:r>
          </w:p>
        </w:tc>
        <w:tc>
          <w:tcPr>
            <w:tcW w:w="2933" w:type="pct"/>
          </w:tcPr>
          <w:p w14:paraId="43EBAB4E" w14:textId="77777777" w:rsidR="005676A9" w:rsidRPr="000142B2" w:rsidRDefault="005676A9" w:rsidP="005676A9">
            <w:pPr>
              <w:tabs>
                <w:tab w:val="left" w:pos="5400"/>
              </w:tabs>
              <w:rPr>
                <w:sz w:val="20"/>
              </w:rPr>
            </w:pPr>
            <w:r w:rsidRPr="000142B2">
              <w:rPr>
                <w:sz w:val="20"/>
              </w:rPr>
              <w:t>Present key elements of study design early in the paper</w:t>
            </w:r>
          </w:p>
        </w:tc>
        <w:tc>
          <w:tcPr>
            <w:tcW w:w="637" w:type="pct"/>
          </w:tcPr>
          <w:p w14:paraId="4317BA8F" w14:textId="77777777" w:rsidR="005676A9" w:rsidRPr="000142B2" w:rsidRDefault="005676A9" w:rsidP="005676A9">
            <w:pPr>
              <w:tabs>
                <w:tab w:val="left" w:pos="5400"/>
              </w:tabs>
              <w:jc w:val="center"/>
              <w:rPr>
                <w:sz w:val="20"/>
              </w:rPr>
            </w:pPr>
            <w:r>
              <w:rPr>
                <w:sz w:val="20"/>
              </w:rPr>
              <w:t>/3</w:t>
            </w:r>
          </w:p>
        </w:tc>
      </w:tr>
      <w:tr w:rsidR="005676A9" w:rsidRPr="000142B2" w14:paraId="5DE84AAC" w14:textId="77777777" w:rsidTr="005676A9">
        <w:tc>
          <w:tcPr>
            <w:tcW w:w="1101" w:type="pct"/>
          </w:tcPr>
          <w:p w14:paraId="04B190D8" w14:textId="77777777" w:rsidR="005676A9" w:rsidRPr="000142B2" w:rsidRDefault="005676A9" w:rsidP="005676A9">
            <w:pPr>
              <w:tabs>
                <w:tab w:val="left" w:pos="5400"/>
              </w:tabs>
              <w:rPr>
                <w:bCs/>
                <w:sz w:val="20"/>
              </w:rPr>
            </w:pPr>
            <w:bookmarkStart w:id="24" w:name="bold13" w:colFirst="0" w:colLast="0"/>
            <w:bookmarkStart w:id="25" w:name="italic14" w:colFirst="0" w:colLast="0"/>
            <w:bookmarkEnd w:id="22"/>
            <w:bookmarkEnd w:id="23"/>
            <w:r w:rsidRPr="000142B2">
              <w:rPr>
                <w:bCs/>
                <w:sz w:val="20"/>
              </w:rPr>
              <w:t>Setting</w:t>
            </w:r>
          </w:p>
        </w:tc>
        <w:tc>
          <w:tcPr>
            <w:tcW w:w="328" w:type="pct"/>
          </w:tcPr>
          <w:p w14:paraId="2B0E6086" w14:textId="77777777" w:rsidR="005676A9" w:rsidRPr="000142B2" w:rsidRDefault="005676A9" w:rsidP="005676A9">
            <w:pPr>
              <w:tabs>
                <w:tab w:val="left" w:pos="5400"/>
              </w:tabs>
              <w:jc w:val="center"/>
              <w:rPr>
                <w:sz w:val="20"/>
              </w:rPr>
            </w:pPr>
            <w:r w:rsidRPr="000142B2">
              <w:rPr>
                <w:sz w:val="20"/>
              </w:rPr>
              <w:t>5</w:t>
            </w:r>
          </w:p>
        </w:tc>
        <w:tc>
          <w:tcPr>
            <w:tcW w:w="2933" w:type="pct"/>
          </w:tcPr>
          <w:p w14:paraId="6199C36A" w14:textId="77777777" w:rsidR="005676A9" w:rsidRPr="000142B2" w:rsidRDefault="005676A9" w:rsidP="005676A9">
            <w:pPr>
              <w:tabs>
                <w:tab w:val="left" w:pos="5400"/>
              </w:tabs>
              <w:rPr>
                <w:sz w:val="20"/>
              </w:rPr>
            </w:pPr>
            <w:r w:rsidRPr="000142B2">
              <w:rPr>
                <w:sz w:val="20"/>
              </w:rPr>
              <w:t>Describe the setting, locations, and relevant dates, including periods of recruitment, exposure, follow-up, and data collection</w:t>
            </w:r>
          </w:p>
        </w:tc>
        <w:tc>
          <w:tcPr>
            <w:tcW w:w="637" w:type="pct"/>
          </w:tcPr>
          <w:p w14:paraId="62EA9F25" w14:textId="77777777" w:rsidR="005676A9" w:rsidRPr="000142B2" w:rsidRDefault="005676A9" w:rsidP="005676A9">
            <w:pPr>
              <w:tabs>
                <w:tab w:val="left" w:pos="5400"/>
              </w:tabs>
              <w:jc w:val="center"/>
              <w:rPr>
                <w:sz w:val="20"/>
              </w:rPr>
            </w:pPr>
            <w:r>
              <w:rPr>
                <w:sz w:val="20"/>
              </w:rPr>
              <w:t>/6</w:t>
            </w:r>
          </w:p>
        </w:tc>
      </w:tr>
      <w:bookmarkEnd w:id="24"/>
      <w:bookmarkEnd w:id="25"/>
      <w:tr w:rsidR="005676A9" w:rsidRPr="000142B2" w14:paraId="432815B8" w14:textId="77777777" w:rsidTr="005676A9">
        <w:tc>
          <w:tcPr>
            <w:tcW w:w="1101" w:type="pct"/>
            <w:vMerge w:val="restart"/>
          </w:tcPr>
          <w:p w14:paraId="33858878" w14:textId="77777777" w:rsidR="005676A9" w:rsidRPr="000142B2" w:rsidRDefault="005676A9" w:rsidP="005676A9">
            <w:pPr>
              <w:tabs>
                <w:tab w:val="left" w:pos="5400"/>
              </w:tabs>
              <w:rPr>
                <w:bCs/>
                <w:sz w:val="20"/>
              </w:rPr>
            </w:pPr>
            <w:r w:rsidRPr="000142B2">
              <w:rPr>
                <w:bCs/>
                <w:sz w:val="20"/>
              </w:rPr>
              <w:t>Participants</w:t>
            </w:r>
          </w:p>
        </w:tc>
        <w:tc>
          <w:tcPr>
            <w:tcW w:w="328" w:type="pct"/>
            <w:vMerge w:val="restart"/>
          </w:tcPr>
          <w:p w14:paraId="24D13139" w14:textId="77777777" w:rsidR="005676A9" w:rsidRPr="000142B2" w:rsidRDefault="005676A9" w:rsidP="005676A9">
            <w:pPr>
              <w:tabs>
                <w:tab w:val="left" w:pos="5400"/>
              </w:tabs>
              <w:jc w:val="center"/>
              <w:rPr>
                <w:sz w:val="20"/>
              </w:rPr>
            </w:pPr>
            <w:r w:rsidRPr="000142B2">
              <w:rPr>
                <w:sz w:val="20"/>
              </w:rPr>
              <w:t>6</w:t>
            </w:r>
          </w:p>
        </w:tc>
        <w:tc>
          <w:tcPr>
            <w:tcW w:w="2933" w:type="pct"/>
          </w:tcPr>
          <w:p w14:paraId="085A1214" w14:textId="77777777" w:rsidR="005676A9" w:rsidRPr="000142B2" w:rsidRDefault="005676A9" w:rsidP="005676A9">
            <w:pPr>
              <w:tabs>
                <w:tab w:val="left" w:pos="5400"/>
              </w:tabs>
              <w:rPr>
                <w:sz w:val="20"/>
              </w:rPr>
            </w:pPr>
            <w:r w:rsidRPr="000142B2">
              <w:rPr>
                <w:sz w:val="20"/>
              </w:rPr>
              <w:t>(</w:t>
            </w:r>
            <w:r w:rsidRPr="000142B2">
              <w:rPr>
                <w:i/>
                <w:sz w:val="20"/>
              </w:rPr>
              <w:t>a</w:t>
            </w:r>
            <w:r w:rsidRPr="000142B2">
              <w:rPr>
                <w:sz w:val="20"/>
              </w:rPr>
              <w:t>) Give the eligibility criteria, and the sources and methods of selection of participants. Describe methods of follow-up</w:t>
            </w:r>
          </w:p>
        </w:tc>
        <w:tc>
          <w:tcPr>
            <w:tcW w:w="637" w:type="pct"/>
          </w:tcPr>
          <w:p w14:paraId="02744FDA" w14:textId="77777777" w:rsidR="005676A9" w:rsidRPr="000142B2" w:rsidRDefault="005676A9" w:rsidP="005676A9">
            <w:pPr>
              <w:tabs>
                <w:tab w:val="left" w:pos="5400"/>
              </w:tabs>
              <w:jc w:val="center"/>
              <w:rPr>
                <w:sz w:val="20"/>
              </w:rPr>
            </w:pPr>
            <w:r>
              <w:rPr>
                <w:sz w:val="20"/>
              </w:rPr>
              <w:t>/3</w:t>
            </w:r>
          </w:p>
        </w:tc>
      </w:tr>
      <w:tr w:rsidR="005676A9" w:rsidRPr="000142B2" w14:paraId="3BFCA017" w14:textId="77777777" w:rsidTr="005676A9">
        <w:tc>
          <w:tcPr>
            <w:tcW w:w="1101" w:type="pct"/>
            <w:vMerge/>
          </w:tcPr>
          <w:p w14:paraId="73D5FE2C" w14:textId="77777777" w:rsidR="005676A9" w:rsidRPr="000142B2" w:rsidRDefault="005676A9" w:rsidP="005676A9">
            <w:pPr>
              <w:tabs>
                <w:tab w:val="left" w:pos="5400"/>
              </w:tabs>
              <w:rPr>
                <w:bCs/>
                <w:sz w:val="20"/>
              </w:rPr>
            </w:pPr>
            <w:bookmarkStart w:id="26" w:name="bold14" w:colFirst="0" w:colLast="0"/>
            <w:bookmarkStart w:id="27" w:name="italic15" w:colFirst="0" w:colLast="0"/>
          </w:p>
        </w:tc>
        <w:tc>
          <w:tcPr>
            <w:tcW w:w="328" w:type="pct"/>
            <w:vMerge/>
          </w:tcPr>
          <w:p w14:paraId="7384D604" w14:textId="77777777" w:rsidR="005676A9" w:rsidRPr="000142B2" w:rsidRDefault="005676A9" w:rsidP="005676A9">
            <w:pPr>
              <w:tabs>
                <w:tab w:val="left" w:pos="5400"/>
              </w:tabs>
              <w:jc w:val="center"/>
              <w:rPr>
                <w:sz w:val="20"/>
              </w:rPr>
            </w:pPr>
          </w:p>
        </w:tc>
        <w:tc>
          <w:tcPr>
            <w:tcW w:w="2933" w:type="pct"/>
          </w:tcPr>
          <w:p w14:paraId="4A13575B" w14:textId="77777777" w:rsidR="005676A9" w:rsidRPr="000142B2" w:rsidRDefault="005676A9" w:rsidP="005676A9">
            <w:pPr>
              <w:tabs>
                <w:tab w:val="left" w:pos="5400"/>
              </w:tabs>
              <w:rPr>
                <w:i/>
                <w:sz w:val="20"/>
              </w:rPr>
            </w:pPr>
            <w:r w:rsidRPr="000142B2">
              <w:rPr>
                <w:sz w:val="20"/>
              </w:rPr>
              <w:t>(</w:t>
            </w:r>
            <w:r w:rsidRPr="000142B2">
              <w:rPr>
                <w:i/>
                <w:sz w:val="20"/>
              </w:rPr>
              <w:t>b</w:t>
            </w:r>
            <w:r w:rsidRPr="000142B2">
              <w:rPr>
                <w:sz w:val="20"/>
              </w:rPr>
              <w:t>)</w:t>
            </w:r>
            <w:r w:rsidRPr="000142B2">
              <w:rPr>
                <w:b/>
                <w:bCs/>
                <w:sz w:val="20"/>
              </w:rPr>
              <w:t xml:space="preserve"> </w:t>
            </w:r>
            <w:r w:rsidRPr="000142B2">
              <w:rPr>
                <w:sz w:val="20"/>
              </w:rPr>
              <w:t>For matched studies, give matching criteria and number of exposed and unexposed</w:t>
            </w:r>
          </w:p>
        </w:tc>
        <w:tc>
          <w:tcPr>
            <w:tcW w:w="637" w:type="pct"/>
          </w:tcPr>
          <w:p w14:paraId="630B1A4B" w14:textId="77777777" w:rsidR="005676A9" w:rsidRPr="000142B2" w:rsidRDefault="005676A9" w:rsidP="005676A9">
            <w:pPr>
              <w:tabs>
                <w:tab w:val="left" w:pos="5400"/>
              </w:tabs>
              <w:jc w:val="center"/>
              <w:rPr>
                <w:sz w:val="20"/>
              </w:rPr>
            </w:pPr>
            <w:r>
              <w:rPr>
                <w:sz w:val="20"/>
              </w:rPr>
              <w:t>/1</w:t>
            </w:r>
          </w:p>
        </w:tc>
      </w:tr>
      <w:tr w:rsidR="005676A9" w:rsidRPr="000142B2" w14:paraId="706942A6" w14:textId="77777777" w:rsidTr="005676A9">
        <w:tc>
          <w:tcPr>
            <w:tcW w:w="1101" w:type="pct"/>
          </w:tcPr>
          <w:p w14:paraId="65965AF6" w14:textId="77777777" w:rsidR="005676A9" w:rsidRPr="000142B2" w:rsidRDefault="005676A9" w:rsidP="005676A9">
            <w:pPr>
              <w:tabs>
                <w:tab w:val="left" w:pos="5400"/>
              </w:tabs>
              <w:rPr>
                <w:bCs/>
                <w:sz w:val="20"/>
              </w:rPr>
            </w:pPr>
            <w:bookmarkStart w:id="28" w:name="bold16" w:colFirst="0" w:colLast="0"/>
            <w:bookmarkStart w:id="29" w:name="italic17" w:colFirst="0" w:colLast="0"/>
            <w:bookmarkEnd w:id="26"/>
            <w:bookmarkEnd w:id="27"/>
            <w:r w:rsidRPr="000142B2">
              <w:rPr>
                <w:bCs/>
                <w:sz w:val="20"/>
              </w:rPr>
              <w:t>Variables</w:t>
            </w:r>
          </w:p>
        </w:tc>
        <w:tc>
          <w:tcPr>
            <w:tcW w:w="328" w:type="pct"/>
          </w:tcPr>
          <w:p w14:paraId="542C6994" w14:textId="77777777" w:rsidR="005676A9" w:rsidRPr="000142B2" w:rsidRDefault="005676A9" w:rsidP="005676A9">
            <w:pPr>
              <w:tabs>
                <w:tab w:val="left" w:pos="5400"/>
              </w:tabs>
              <w:jc w:val="center"/>
              <w:rPr>
                <w:sz w:val="20"/>
              </w:rPr>
            </w:pPr>
            <w:r w:rsidRPr="000142B2">
              <w:rPr>
                <w:sz w:val="20"/>
              </w:rPr>
              <w:t>7</w:t>
            </w:r>
          </w:p>
        </w:tc>
        <w:tc>
          <w:tcPr>
            <w:tcW w:w="2933" w:type="pct"/>
          </w:tcPr>
          <w:p w14:paraId="46DB4747" w14:textId="77777777" w:rsidR="005676A9" w:rsidRPr="000142B2" w:rsidRDefault="005676A9" w:rsidP="005676A9">
            <w:pPr>
              <w:tabs>
                <w:tab w:val="left" w:pos="5400"/>
              </w:tabs>
              <w:rPr>
                <w:sz w:val="20"/>
              </w:rPr>
            </w:pPr>
            <w:r w:rsidRPr="000142B2">
              <w:rPr>
                <w:sz w:val="20"/>
              </w:rPr>
              <w:t>Clearly define all outcomes, exposures, predictors, potential confounders, and effect modifiers. Give diagnostic criteria, if applicable</w:t>
            </w:r>
          </w:p>
        </w:tc>
        <w:tc>
          <w:tcPr>
            <w:tcW w:w="637" w:type="pct"/>
          </w:tcPr>
          <w:p w14:paraId="654A59F0" w14:textId="77777777" w:rsidR="005676A9" w:rsidRPr="000142B2" w:rsidRDefault="005676A9" w:rsidP="005676A9">
            <w:pPr>
              <w:tabs>
                <w:tab w:val="left" w:pos="5400"/>
              </w:tabs>
              <w:jc w:val="center"/>
              <w:rPr>
                <w:sz w:val="20"/>
              </w:rPr>
            </w:pPr>
            <w:r>
              <w:rPr>
                <w:sz w:val="20"/>
              </w:rPr>
              <w:t>/5</w:t>
            </w:r>
          </w:p>
        </w:tc>
      </w:tr>
      <w:tr w:rsidR="005676A9" w:rsidRPr="000142B2" w14:paraId="4EFB23BF" w14:textId="77777777" w:rsidTr="005676A9">
        <w:trPr>
          <w:trHeight w:val="294"/>
        </w:trPr>
        <w:tc>
          <w:tcPr>
            <w:tcW w:w="1101" w:type="pct"/>
          </w:tcPr>
          <w:p w14:paraId="112EBAD1" w14:textId="77777777" w:rsidR="005676A9" w:rsidRPr="000142B2" w:rsidRDefault="005676A9" w:rsidP="005676A9">
            <w:pPr>
              <w:tabs>
                <w:tab w:val="left" w:pos="5400"/>
              </w:tabs>
              <w:rPr>
                <w:bCs/>
                <w:sz w:val="20"/>
              </w:rPr>
            </w:pPr>
            <w:bookmarkStart w:id="30" w:name="bold17"/>
            <w:bookmarkStart w:id="31" w:name="italic18"/>
            <w:bookmarkEnd w:id="28"/>
            <w:bookmarkEnd w:id="29"/>
            <w:r w:rsidRPr="000142B2">
              <w:rPr>
                <w:bCs/>
                <w:sz w:val="20"/>
              </w:rPr>
              <w:t>Data sources/</w:t>
            </w:r>
            <w:bookmarkStart w:id="32" w:name="bold18"/>
            <w:bookmarkStart w:id="33" w:name="italic19"/>
            <w:bookmarkEnd w:id="30"/>
            <w:bookmarkEnd w:id="31"/>
            <w:r w:rsidRPr="000142B2">
              <w:rPr>
                <w:bCs/>
                <w:sz w:val="20"/>
              </w:rPr>
              <w:t xml:space="preserve"> measurement</w:t>
            </w:r>
            <w:bookmarkEnd w:id="32"/>
            <w:bookmarkEnd w:id="33"/>
          </w:p>
        </w:tc>
        <w:tc>
          <w:tcPr>
            <w:tcW w:w="328" w:type="pct"/>
          </w:tcPr>
          <w:p w14:paraId="48C1959A" w14:textId="77777777" w:rsidR="005676A9" w:rsidRPr="000142B2" w:rsidRDefault="005676A9" w:rsidP="005676A9">
            <w:pPr>
              <w:tabs>
                <w:tab w:val="left" w:pos="5400"/>
              </w:tabs>
              <w:jc w:val="center"/>
              <w:rPr>
                <w:sz w:val="20"/>
              </w:rPr>
            </w:pPr>
            <w:r w:rsidRPr="000142B2">
              <w:rPr>
                <w:sz w:val="20"/>
              </w:rPr>
              <w:t>8</w:t>
            </w:r>
            <w:bookmarkStart w:id="34" w:name="bold19"/>
            <w:r w:rsidRPr="000142B2">
              <w:rPr>
                <w:bCs/>
                <w:sz w:val="20"/>
              </w:rPr>
              <w:t>*</w:t>
            </w:r>
            <w:bookmarkEnd w:id="34"/>
          </w:p>
        </w:tc>
        <w:tc>
          <w:tcPr>
            <w:tcW w:w="2933" w:type="pct"/>
          </w:tcPr>
          <w:p w14:paraId="45951F32" w14:textId="77777777" w:rsidR="005676A9" w:rsidRPr="000142B2" w:rsidRDefault="005676A9" w:rsidP="005676A9">
            <w:pPr>
              <w:tabs>
                <w:tab w:val="left" w:pos="5400"/>
              </w:tabs>
              <w:rPr>
                <w:sz w:val="20"/>
              </w:rPr>
            </w:pPr>
            <w:r w:rsidRPr="000142B2">
              <w:rPr>
                <w:i/>
                <w:sz w:val="20"/>
              </w:rPr>
              <w:t xml:space="preserve"> </w:t>
            </w:r>
            <w:r w:rsidRPr="000142B2">
              <w:rPr>
                <w:sz w:val="20"/>
              </w:rPr>
              <w:t>For each variable of interest, give sources of data and details of methods of assessment (measurement). Describe comparability of assessment methods if there is more than one group</w:t>
            </w:r>
          </w:p>
        </w:tc>
        <w:tc>
          <w:tcPr>
            <w:tcW w:w="637" w:type="pct"/>
          </w:tcPr>
          <w:p w14:paraId="04DA8A5F" w14:textId="77777777" w:rsidR="005676A9" w:rsidRPr="000142B2" w:rsidRDefault="005676A9" w:rsidP="005676A9">
            <w:pPr>
              <w:tabs>
                <w:tab w:val="left" w:pos="5400"/>
              </w:tabs>
              <w:jc w:val="center"/>
              <w:rPr>
                <w:i/>
                <w:sz w:val="20"/>
              </w:rPr>
            </w:pPr>
            <w:r>
              <w:rPr>
                <w:i/>
                <w:sz w:val="20"/>
              </w:rPr>
              <w:t>/4</w:t>
            </w:r>
          </w:p>
        </w:tc>
      </w:tr>
      <w:tr w:rsidR="005676A9" w:rsidRPr="000142B2" w14:paraId="5AA3590D" w14:textId="77777777" w:rsidTr="005676A9">
        <w:tc>
          <w:tcPr>
            <w:tcW w:w="1101" w:type="pct"/>
          </w:tcPr>
          <w:p w14:paraId="139729EF" w14:textId="77777777" w:rsidR="005676A9" w:rsidRPr="000142B2" w:rsidRDefault="005676A9" w:rsidP="005676A9">
            <w:pPr>
              <w:tabs>
                <w:tab w:val="left" w:pos="5400"/>
              </w:tabs>
              <w:rPr>
                <w:bCs/>
                <w:color w:val="000000"/>
                <w:sz w:val="20"/>
              </w:rPr>
            </w:pPr>
            <w:bookmarkStart w:id="35" w:name="bold20" w:colFirst="0" w:colLast="0"/>
            <w:bookmarkStart w:id="36" w:name="italic20" w:colFirst="0" w:colLast="0"/>
            <w:r w:rsidRPr="000142B2">
              <w:rPr>
                <w:bCs/>
                <w:color w:val="000000"/>
                <w:sz w:val="20"/>
              </w:rPr>
              <w:t>Bias</w:t>
            </w:r>
          </w:p>
        </w:tc>
        <w:tc>
          <w:tcPr>
            <w:tcW w:w="328" w:type="pct"/>
          </w:tcPr>
          <w:p w14:paraId="29307D9B" w14:textId="77777777" w:rsidR="005676A9" w:rsidRPr="000142B2" w:rsidRDefault="005676A9" w:rsidP="005676A9">
            <w:pPr>
              <w:tabs>
                <w:tab w:val="left" w:pos="5400"/>
              </w:tabs>
              <w:jc w:val="center"/>
              <w:rPr>
                <w:sz w:val="20"/>
              </w:rPr>
            </w:pPr>
            <w:r w:rsidRPr="000142B2">
              <w:rPr>
                <w:sz w:val="20"/>
              </w:rPr>
              <w:t>9</w:t>
            </w:r>
          </w:p>
        </w:tc>
        <w:tc>
          <w:tcPr>
            <w:tcW w:w="2933" w:type="pct"/>
          </w:tcPr>
          <w:p w14:paraId="444F7D99" w14:textId="77777777" w:rsidR="005676A9" w:rsidRPr="000142B2" w:rsidRDefault="005676A9" w:rsidP="005676A9">
            <w:pPr>
              <w:tabs>
                <w:tab w:val="left" w:pos="5400"/>
              </w:tabs>
              <w:rPr>
                <w:color w:val="000000"/>
                <w:sz w:val="20"/>
              </w:rPr>
            </w:pPr>
            <w:r w:rsidRPr="000142B2">
              <w:rPr>
                <w:color w:val="000000"/>
                <w:sz w:val="20"/>
              </w:rPr>
              <w:t>Describe any efforts to address potential sources of bias</w:t>
            </w:r>
          </w:p>
        </w:tc>
        <w:tc>
          <w:tcPr>
            <w:tcW w:w="637" w:type="pct"/>
          </w:tcPr>
          <w:p w14:paraId="38922BB4" w14:textId="77777777" w:rsidR="005676A9" w:rsidRPr="000142B2" w:rsidRDefault="005676A9" w:rsidP="005676A9">
            <w:pPr>
              <w:tabs>
                <w:tab w:val="left" w:pos="5400"/>
              </w:tabs>
              <w:jc w:val="center"/>
              <w:rPr>
                <w:color w:val="000000"/>
                <w:sz w:val="20"/>
              </w:rPr>
            </w:pPr>
            <w:r>
              <w:rPr>
                <w:color w:val="000000"/>
                <w:sz w:val="20"/>
              </w:rPr>
              <w:t>/3</w:t>
            </w:r>
          </w:p>
        </w:tc>
      </w:tr>
      <w:tr w:rsidR="005676A9" w:rsidRPr="000142B2" w14:paraId="6772390F" w14:textId="77777777" w:rsidTr="005676A9">
        <w:tc>
          <w:tcPr>
            <w:tcW w:w="1101" w:type="pct"/>
          </w:tcPr>
          <w:p w14:paraId="479C3E8F" w14:textId="77777777" w:rsidR="005676A9" w:rsidRPr="000142B2" w:rsidRDefault="005676A9" w:rsidP="005676A9">
            <w:pPr>
              <w:tabs>
                <w:tab w:val="left" w:pos="5400"/>
              </w:tabs>
              <w:rPr>
                <w:bCs/>
                <w:sz w:val="20"/>
              </w:rPr>
            </w:pPr>
            <w:bookmarkStart w:id="37" w:name="bold21" w:colFirst="0" w:colLast="0"/>
            <w:bookmarkStart w:id="38" w:name="italic21" w:colFirst="0" w:colLast="0"/>
            <w:bookmarkEnd w:id="35"/>
            <w:bookmarkEnd w:id="36"/>
            <w:r w:rsidRPr="000142B2">
              <w:rPr>
                <w:bCs/>
                <w:sz w:val="20"/>
              </w:rPr>
              <w:t>Study size</w:t>
            </w:r>
          </w:p>
        </w:tc>
        <w:tc>
          <w:tcPr>
            <w:tcW w:w="328" w:type="pct"/>
          </w:tcPr>
          <w:p w14:paraId="5018D0EF" w14:textId="77777777" w:rsidR="005676A9" w:rsidRPr="000142B2" w:rsidRDefault="005676A9" w:rsidP="005676A9">
            <w:pPr>
              <w:tabs>
                <w:tab w:val="left" w:pos="5400"/>
              </w:tabs>
              <w:jc w:val="center"/>
              <w:rPr>
                <w:sz w:val="20"/>
              </w:rPr>
            </w:pPr>
            <w:r w:rsidRPr="000142B2">
              <w:rPr>
                <w:sz w:val="20"/>
              </w:rPr>
              <w:t>10</w:t>
            </w:r>
          </w:p>
        </w:tc>
        <w:tc>
          <w:tcPr>
            <w:tcW w:w="2933" w:type="pct"/>
          </w:tcPr>
          <w:p w14:paraId="63144A9F" w14:textId="77777777" w:rsidR="005676A9" w:rsidRPr="000142B2" w:rsidRDefault="005676A9" w:rsidP="005676A9">
            <w:pPr>
              <w:tabs>
                <w:tab w:val="left" w:pos="5400"/>
              </w:tabs>
              <w:rPr>
                <w:sz w:val="20"/>
              </w:rPr>
            </w:pPr>
            <w:r w:rsidRPr="000142B2">
              <w:rPr>
                <w:sz w:val="20"/>
              </w:rPr>
              <w:t>Explain how the study size was arrived at</w:t>
            </w:r>
          </w:p>
        </w:tc>
        <w:tc>
          <w:tcPr>
            <w:tcW w:w="637" w:type="pct"/>
          </w:tcPr>
          <w:p w14:paraId="1C7FA1E3" w14:textId="77777777" w:rsidR="005676A9" w:rsidRPr="000142B2" w:rsidRDefault="005676A9" w:rsidP="005676A9">
            <w:pPr>
              <w:tabs>
                <w:tab w:val="left" w:pos="5400"/>
              </w:tabs>
              <w:jc w:val="center"/>
              <w:rPr>
                <w:sz w:val="20"/>
              </w:rPr>
            </w:pPr>
            <w:r>
              <w:rPr>
                <w:sz w:val="20"/>
              </w:rPr>
              <w:t>/1</w:t>
            </w:r>
          </w:p>
        </w:tc>
      </w:tr>
      <w:tr w:rsidR="005676A9" w:rsidRPr="000142B2" w14:paraId="3BBE53F9" w14:textId="77777777" w:rsidTr="005676A9">
        <w:tc>
          <w:tcPr>
            <w:tcW w:w="1101" w:type="pct"/>
          </w:tcPr>
          <w:p w14:paraId="2403EC1D" w14:textId="77777777" w:rsidR="005676A9" w:rsidRPr="000142B2" w:rsidRDefault="005676A9" w:rsidP="005676A9">
            <w:pPr>
              <w:tabs>
                <w:tab w:val="left" w:pos="5400"/>
              </w:tabs>
              <w:rPr>
                <w:bCs/>
                <w:sz w:val="20"/>
              </w:rPr>
            </w:pPr>
            <w:bookmarkStart w:id="39" w:name="bold22"/>
            <w:bookmarkStart w:id="40" w:name="italic22"/>
            <w:bookmarkEnd w:id="37"/>
            <w:bookmarkEnd w:id="38"/>
            <w:r w:rsidRPr="000142B2">
              <w:rPr>
                <w:bCs/>
                <w:sz w:val="20"/>
              </w:rPr>
              <w:t>Quantitative</w:t>
            </w:r>
            <w:bookmarkStart w:id="41" w:name="bold23"/>
            <w:bookmarkStart w:id="42" w:name="italic23"/>
            <w:bookmarkEnd w:id="39"/>
            <w:bookmarkEnd w:id="40"/>
            <w:r w:rsidRPr="000142B2">
              <w:rPr>
                <w:bCs/>
                <w:sz w:val="20"/>
              </w:rPr>
              <w:t xml:space="preserve"> variables</w:t>
            </w:r>
            <w:bookmarkEnd w:id="41"/>
            <w:bookmarkEnd w:id="42"/>
          </w:p>
        </w:tc>
        <w:tc>
          <w:tcPr>
            <w:tcW w:w="328" w:type="pct"/>
          </w:tcPr>
          <w:p w14:paraId="4585CB15" w14:textId="77777777" w:rsidR="005676A9" w:rsidRPr="000142B2" w:rsidRDefault="005676A9" w:rsidP="005676A9">
            <w:pPr>
              <w:tabs>
                <w:tab w:val="left" w:pos="5400"/>
              </w:tabs>
              <w:jc w:val="center"/>
              <w:rPr>
                <w:sz w:val="20"/>
              </w:rPr>
            </w:pPr>
            <w:r w:rsidRPr="000142B2">
              <w:rPr>
                <w:sz w:val="20"/>
              </w:rPr>
              <w:t>11</w:t>
            </w:r>
          </w:p>
        </w:tc>
        <w:tc>
          <w:tcPr>
            <w:tcW w:w="2933" w:type="pct"/>
          </w:tcPr>
          <w:p w14:paraId="38CCC776" w14:textId="77777777" w:rsidR="005676A9" w:rsidRPr="000142B2" w:rsidRDefault="005676A9" w:rsidP="005676A9">
            <w:pPr>
              <w:tabs>
                <w:tab w:val="left" w:pos="5400"/>
              </w:tabs>
              <w:rPr>
                <w:sz w:val="20"/>
              </w:rPr>
            </w:pPr>
            <w:r w:rsidRPr="000142B2">
              <w:rPr>
                <w:sz w:val="20"/>
              </w:rPr>
              <w:t>Explain how quantitative variables were handled in the analyses. If applicable, describe which groupings were chosen and why</w:t>
            </w:r>
          </w:p>
        </w:tc>
        <w:tc>
          <w:tcPr>
            <w:tcW w:w="637" w:type="pct"/>
          </w:tcPr>
          <w:p w14:paraId="230CC3C0" w14:textId="77777777" w:rsidR="005676A9" w:rsidRPr="000142B2" w:rsidRDefault="005676A9" w:rsidP="005676A9">
            <w:pPr>
              <w:tabs>
                <w:tab w:val="left" w:pos="5400"/>
              </w:tabs>
              <w:jc w:val="center"/>
              <w:rPr>
                <w:sz w:val="20"/>
              </w:rPr>
            </w:pPr>
            <w:r>
              <w:rPr>
                <w:sz w:val="20"/>
              </w:rPr>
              <w:t>/3</w:t>
            </w:r>
          </w:p>
        </w:tc>
      </w:tr>
      <w:tr w:rsidR="005676A9" w:rsidRPr="000142B2" w14:paraId="54DBE405" w14:textId="77777777" w:rsidTr="005676A9">
        <w:tc>
          <w:tcPr>
            <w:tcW w:w="1101" w:type="pct"/>
            <w:vMerge w:val="restart"/>
          </w:tcPr>
          <w:p w14:paraId="0FA84C47" w14:textId="77777777" w:rsidR="005676A9" w:rsidRPr="000142B2" w:rsidRDefault="005676A9" w:rsidP="005676A9">
            <w:pPr>
              <w:tabs>
                <w:tab w:val="left" w:pos="5400"/>
              </w:tabs>
              <w:rPr>
                <w:sz w:val="20"/>
              </w:rPr>
            </w:pPr>
            <w:bookmarkStart w:id="43" w:name="italic24"/>
            <w:r w:rsidRPr="000142B2">
              <w:rPr>
                <w:sz w:val="20"/>
              </w:rPr>
              <w:t>Statistical</w:t>
            </w:r>
            <w:bookmarkStart w:id="44" w:name="italic25"/>
            <w:bookmarkEnd w:id="43"/>
            <w:r w:rsidRPr="000142B2">
              <w:rPr>
                <w:sz w:val="20"/>
              </w:rPr>
              <w:t xml:space="preserve"> methods</w:t>
            </w:r>
            <w:bookmarkEnd w:id="44"/>
          </w:p>
        </w:tc>
        <w:tc>
          <w:tcPr>
            <w:tcW w:w="328" w:type="pct"/>
            <w:vMerge w:val="restart"/>
          </w:tcPr>
          <w:p w14:paraId="46830AF2" w14:textId="77777777" w:rsidR="005676A9" w:rsidRPr="000142B2" w:rsidRDefault="005676A9" w:rsidP="005676A9">
            <w:pPr>
              <w:tabs>
                <w:tab w:val="left" w:pos="5400"/>
              </w:tabs>
              <w:jc w:val="center"/>
              <w:rPr>
                <w:sz w:val="20"/>
              </w:rPr>
            </w:pPr>
            <w:r w:rsidRPr="000142B2">
              <w:rPr>
                <w:sz w:val="20"/>
              </w:rPr>
              <w:t>12</w:t>
            </w:r>
          </w:p>
        </w:tc>
        <w:tc>
          <w:tcPr>
            <w:tcW w:w="2933" w:type="pct"/>
          </w:tcPr>
          <w:p w14:paraId="2C47C6DF" w14:textId="77777777" w:rsidR="005676A9" w:rsidRPr="000142B2" w:rsidRDefault="005676A9" w:rsidP="005676A9">
            <w:pPr>
              <w:tabs>
                <w:tab w:val="left" w:pos="5400"/>
              </w:tabs>
              <w:rPr>
                <w:sz w:val="20"/>
              </w:rPr>
            </w:pPr>
            <w:r w:rsidRPr="000142B2">
              <w:rPr>
                <w:sz w:val="20"/>
              </w:rPr>
              <w:t>(</w:t>
            </w:r>
            <w:r w:rsidRPr="000142B2">
              <w:rPr>
                <w:i/>
                <w:sz w:val="20"/>
              </w:rPr>
              <w:t>a</w:t>
            </w:r>
            <w:r w:rsidRPr="000142B2">
              <w:rPr>
                <w:sz w:val="20"/>
              </w:rPr>
              <w:t>) Describe all statistical methods, including those used to control for confounding</w:t>
            </w:r>
          </w:p>
        </w:tc>
        <w:tc>
          <w:tcPr>
            <w:tcW w:w="637" w:type="pct"/>
          </w:tcPr>
          <w:p w14:paraId="58A5347F" w14:textId="77777777" w:rsidR="005676A9" w:rsidRPr="000142B2" w:rsidRDefault="005676A9" w:rsidP="005676A9">
            <w:pPr>
              <w:tabs>
                <w:tab w:val="left" w:pos="5400"/>
              </w:tabs>
              <w:jc w:val="center"/>
              <w:rPr>
                <w:sz w:val="20"/>
              </w:rPr>
            </w:pPr>
            <w:r>
              <w:rPr>
                <w:sz w:val="20"/>
              </w:rPr>
              <w:t>/1</w:t>
            </w:r>
          </w:p>
        </w:tc>
      </w:tr>
      <w:tr w:rsidR="005676A9" w:rsidRPr="000142B2" w14:paraId="4450A2EF" w14:textId="77777777" w:rsidTr="005676A9">
        <w:tc>
          <w:tcPr>
            <w:tcW w:w="1101" w:type="pct"/>
            <w:vMerge/>
          </w:tcPr>
          <w:p w14:paraId="12C785A3" w14:textId="77777777" w:rsidR="005676A9" w:rsidRPr="000142B2" w:rsidRDefault="005676A9" w:rsidP="005676A9">
            <w:pPr>
              <w:tabs>
                <w:tab w:val="left" w:pos="5400"/>
              </w:tabs>
              <w:rPr>
                <w:bCs/>
                <w:sz w:val="20"/>
              </w:rPr>
            </w:pPr>
            <w:bookmarkStart w:id="45" w:name="bold24" w:colFirst="0" w:colLast="0"/>
            <w:bookmarkStart w:id="46" w:name="italic26" w:colFirst="0" w:colLast="0"/>
          </w:p>
        </w:tc>
        <w:tc>
          <w:tcPr>
            <w:tcW w:w="328" w:type="pct"/>
            <w:vMerge/>
          </w:tcPr>
          <w:p w14:paraId="0B5E6E53" w14:textId="77777777" w:rsidR="005676A9" w:rsidRPr="000142B2" w:rsidRDefault="005676A9" w:rsidP="005676A9">
            <w:pPr>
              <w:tabs>
                <w:tab w:val="left" w:pos="5400"/>
              </w:tabs>
              <w:jc w:val="center"/>
              <w:rPr>
                <w:sz w:val="20"/>
              </w:rPr>
            </w:pPr>
          </w:p>
        </w:tc>
        <w:tc>
          <w:tcPr>
            <w:tcW w:w="2933" w:type="pct"/>
          </w:tcPr>
          <w:p w14:paraId="40BB0ACB" w14:textId="77777777" w:rsidR="005676A9" w:rsidRPr="000142B2" w:rsidRDefault="005676A9" w:rsidP="005676A9">
            <w:pPr>
              <w:tabs>
                <w:tab w:val="left" w:pos="5400"/>
              </w:tabs>
              <w:rPr>
                <w:sz w:val="20"/>
              </w:rPr>
            </w:pPr>
            <w:r w:rsidRPr="000142B2">
              <w:rPr>
                <w:sz w:val="20"/>
              </w:rPr>
              <w:t>(</w:t>
            </w:r>
            <w:r w:rsidRPr="000142B2">
              <w:rPr>
                <w:i/>
                <w:sz w:val="20"/>
              </w:rPr>
              <w:t>b</w:t>
            </w:r>
            <w:r w:rsidRPr="000142B2">
              <w:rPr>
                <w:sz w:val="20"/>
              </w:rPr>
              <w:t>) Describe any methods used to examine subgroups and interactions</w:t>
            </w:r>
          </w:p>
        </w:tc>
        <w:tc>
          <w:tcPr>
            <w:tcW w:w="637" w:type="pct"/>
          </w:tcPr>
          <w:p w14:paraId="6299E0C4" w14:textId="77777777" w:rsidR="005676A9" w:rsidRPr="000142B2" w:rsidRDefault="005676A9" w:rsidP="005676A9">
            <w:pPr>
              <w:tabs>
                <w:tab w:val="left" w:pos="5400"/>
              </w:tabs>
              <w:jc w:val="center"/>
              <w:rPr>
                <w:sz w:val="20"/>
              </w:rPr>
            </w:pPr>
            <w:r>
              <w:rPr>
                <w:sz w:val="20"/>
              </w:rPr>
              <w:t>/1</w:t>
            </w:r>
          </w:p>
        </w:tc>
      </w:tr>
      <w:tr w:rsidR="005676A9" w:rsidRPr="000142B2" w14:paraId="719237E9" w14:textId="77777777" w:rsidTr="005676A9">
        <w:tc>
          <w:tcPr>
            <w:tcW w:w="1101" w:type="pct"/>
            <w:vMerge/>
          </w:tcPr>
          <w:p w14:paraId="64877B98" w14:textId="77777777" w:rsidR="005676A9" w:rsidRPr="000142B2" w:rsidRDefault="005676A9" w:rsidP="005676A9">
            <w:pPr>
              <w:tabs>
                <w:tab w:val="left" w:pos="5400"/>
              </w:tabs>
              <w:rPr>
                <w:bCs/>
                <w:sz w:val="20"/>
              </w:rPr>
            </w:pPr>
            <w:bookmarkStart w:id="47" w:name="bold25" w:colFirst="0" w:colLast="0"/>
            <w:bookmarkStart w:id="48" w:name="italic27" w:colFirst="0" w:colLast="0"/>
            <w:bookmarkEnd w:id="45"/>
            <w:bookmarkEnd w:id="46"/>
          </w:p>
        </w:tc>
        <w:tc>
          <w:tcPr>
            <w:tcW w:w="328" w:type="pct"/>
            <w:vMerge/>
          </w:tcPr>
          <w:p w14:paraId="3C9D6F14" w14:textId="77777777" w:rsidR="005676A9" w:rsidRPr="000142B2" w:rsidRDefault="005676A9" w:rsidP="005676A9">
            <w:pPr>
              <w:tabs>
                <w:tab w:val="left" w:pos="5400"/>
              </w:tabs>
              <w:jc w:val="center"/>
              <w:rPr>
                <w:sz w:val="20"/>
              </w:rPr>
            </w:pPr>
          </w:p>
        </w:tc>
        <w:tc>
          <w:tcPr>
            <w:tcW w:w="2933" w:type="pct"/>
          </w:tcPr>
          <w:p w14:paraId="7EBB2B94" w14:textId="77777777" w:rsidR="005676A9" w:rsidRPr="000142B2" w:rsidRDefault="005676A9" w:rsidP="005676A9">
            <w:pPr>
              <w:tabs>
                <w:tab w:val="left" w:pos="5400"/>
              </w:tabs>
              <w:rPr>
                <w:sz w:val="20"/>
              </w:rPr>
            </w:pPr>
            <w:r w:rsidRPr="000142B2">
              <w:rPr>
                <w:sz w:val="20"/>
              </w:rPr>
              <w:t>(</w:t>
            </w:r>
            <w:r w:rsidRPr="000142B2">
              <w:rPr>
                <w:i/>
                <w:sz w:val="20"/>
              </w:rPr>
              <w:t>c</w:t>
            </w:r>
            <w:r w:rsidRPr="000142B2">
              <w:rPr>
                <w:sz w:val="20"/>
              </w:rPr>
              <w:t>) Explain how missing data were addressed</w:t>
            </w:r>
          </w:p>
        </w:tc>
        <w:tc>
          <w:tcPr>
            <w:tcW w:w="637" w:type="pct"/>
          </w:tcPr>
          <w:p w14:paraId="6D83BA62" w14:textId="77777777" w:rsidR="005676A9" w:rsidRPr="000142B2" w:rsidRDefault="005676A9" w:rsidP="005676A9">
            <w:pPr>
              <w:tabs>
                <w:tab w:val="left" w:pos="5400"/>
              </w:tabs>
              <w:jc w:val="center"/>
              <w:rPr>
                <w:sz w:val="20"/>
              </w:rPr>
            </w:pPr>
            <w:r>
              <w:rPr>
                <w:sz w:val="20"/>
              </w:rPr>
              <w:t>/1</w:t>
            </w:r>
          </w:p>
        </w:tc>
      </w:tr>
      <w:tr w:rsidR="005676A9" w:rsidRPr="000142B2" w14:paraId="274CD0B7" w14:textId="77777777" w:rsidTr="005676A9">
        <w:tc>
          <w:tcPr>
            <w:tcW w:w="1101" w:type="pct"/>
            <w:vMerge/>
          </w:tcPr>
          <w:p w14:paraId="1177DEA8" w14:textId="77777777" w:rsidR="005676A9" w:rsidRPr="000142B2" w:rsidRDefault="005676A9" w:rsidP="005676A9">
            <w:pPr>
              <w:tabs>
                <w:tab w:val="left" w:pos="5400"/>
              </w:tabs>
              <w:rPr>
                <w:bCs/>
                <w:sz w:val="20"/>
              </w:rPr>
            </w:pPr>
            <w:bookmarkStart w:id="49" w:name="bold26" w:colFirst="0" w:colLast="0"/>
            <w:bookmarkStart w:id="50" w:name="italic28" w:colFirst="0" w:colLast="0"/>
            <w:bookmarkEnd w:id="47"/>
            <w:bookmarkEnd w:id="48"/>
          </w:p>
        </w:tc>
        <w:tc>
          <w:tcPr>
            <w:tcW w:w="328" w:type="pct"/>
            <w:vMerge/>
          </w:tcPr>
          <w:p w14:paraId="3EA593FF" w14:textId="77777777" w:rsidR="005676A9" w:rsidRPr="000142B2" w:rsidRDefault="005676A9" w:rsidP="005676A9">
            <w:pPr>
              <w:tabs>
                <w:tab w:val="left" w:pos="5400"/>
              </w:tabs>
              <w:jc w:val="center"/>
              <w:rPr>
                <w:sz w:val="20"/>
              </w:rPr>
            </w:pPr>
          </w:p>
        </w:tc>
        <w:tc>
          <w:tcPr>
            <w:tcW w:w="2933" w:type="pct"/>
          </w:tcPr>
          <w:p w14:paraId="712B639E" w14:textId="77777777" w:rsidR="005676A9" w:rsidRPr="000142B2" w:rsidRDefault="005676A9" w:rsidP="005676A9">
            <w:pPr>
              <w:tabs>
                <w:tab w:val="left" w:pos="5400"/>
              </w:tabs>
              <w:rPr>
                <w:sz w:val="20"/>
              </w:rPr>
            </w:pPr>
            <w:r w:rsidRPr="000142B2">
              <w:rPr>
                <w:sz w:val="20"/>
              </w:rPr>
              <w:t>(</w:t>
            </w:r>
            <w:r w:rsidRPr="000142B2">
              <w:rPr>
                <w:i/>
                <w:sz w:val="20"/>
              </w:rPr>
              <w:t>d</w:t>
            </w:r>
            <w:r w:rsidRPr="000142B2">
              <w:rPr>
                <w:sz w:val="20"/>
              </w:rPr>
              <w:t>) If applicable, explain how loss to follow-up was addressed</w:t>
            </w:r>
          </w:p>
        </w:tc>
        <w:tc>
          <w:tcPr>
            <w:tcW w:w="637" w:type="pct"/>
          </w:tcPr>
          <w:p w14:paraId="28999744" w14:textId="77777777" w:rsidR="005676A9" w:rsidRPr="000142B2" w:rsidRDefault="005676A9" w:rsidP="005676A9">
            <w:pPr>
              <w:tabs>
                <w:tab w:val="left" w:pos="5400"/>
              </w:tabs>
              <w:jc w:val="center"/>
              <w:rPr>
                <w:sz w:val="20"/>
              </w:rPr>
            </w:pPr>
            <w:r>
              <w:rPr>
                <w:sz w:val="20"/>
              </w:rPr>
              <w:t>/1</w:t>
            </w:r>
          </w:p>
        </w:tc>
      </w:tr>
      <w:tr w:rsidR="005676A9" w:rsidRPr="000142B2" w14:paraId="688BE2B2" w14:textId="77777777" w:rsidTr="005676A9">
        <w:tc>
          <w:tcPr>
            <w:tcW w:w="1101" w:type="pct"/>
            <w:vMerge/>
          </w:tcPr>
          <w:p w14:paraId="48EFBB1F" w14:textId="77777777" w:rsidR="005676A9" w:rsidRPr="000142B2" w:rsidRDefault="005676A9" w:rsidP="005676A9">
            <w:pPr>
              <w:tabs>
                <w:tab w:val="left" w:pos="5400"/>
              </w:tabs>
              <w:rPr>
                <w:bCs/>
                <w:sz w:val="20"/>
              </w:rPr>
            </w:pPr>
            <w:bookmarkStart w:id="51" w:name="bold27" w:colFirst="0" w:colLast="0"/>
            <w:bookmarkStart w:id="52" w:name="italic29" w:colFirst="0" w:colLast="0"/>
            <w:bookmarkEnd w:id="49"/>
            <w:bookmarkEnd w:id="50"/>
          </w:p>
        </w:tc>
        <w:tc>
          <w:tcPr>
            <w:tcW w:w="328" w:type="pct"/>
            <w:vMerge/>
          </w:tcPr>
          <w:p w14:paraId="2FEA6868" w14:textId="77777777" w:rsidR="005676A9" w:rsidRPr="000142B2" w:rsidRDefault="005676A9" w:rsidP="005676A9">
            <w:pPr>
              <w:tabs>
                <w:tab w:val="left" w:pos="5400"/>
              </w:tabs>
              <w:jc w:val="center"/>
              <w:rPr>
                <w:sz w:val="20"/>
              </w:rPr>
            </w:pPr>
          </w:p>
        </w:tc>
        <w:tc>
          <w:tcPr>
            <w:tcW w:w="2933" w:type="pct"/>
          </w:tcPr>
          <w:p w14:paraId="4EB436F2" w14:textId="77777777" w:rsidR="005676A9" w:rsidRPr="000142B2" w:rsidRDefault="005676A9" w:rsidP="005676A9">
            <w:pPr>
              <w:tabs>
                <w:tab w:val="left" w:pos="5400"/>
              </w:tabs>
              <w:rPr>
                <w:sz w:val="20"/>
              </w:rPr>
            </w:pPr>
            <w:r w:rsidRPr="000142B2">
              <w:rPr>
                <w:sz w:val="20"/>
              </w:rPr>
              <w:t>(</w:t>
            </w:r>
            <w:r w:rsidRPr="000142B2">
              <w:rPr>
                <w:i/>
                <w:sz w:val="20"/>
                <w:u w:val="single"/>
              </w:rPr>
              <w:t>e</w:t>
            </w:r>
            <w:r w:rsidRPr="000142B2">
              <w:rPr>
                <w:sz w:val="20"/>
              </w:rPr>
              <w:t>) Describe any sensitivity analyses</w:t>
            </w:r>
          </w:p>
        </w:tc>
        <w:tc>
          <w:tcPr>
            <w:tcW w:w="637" w:type="pct"/>
          </w:tcPr>
          <w:p w14:paraId="72ACC198" w14:textId="77777777" w:rsidR="005676A9" w:rsidRPr="000142B2" w:rsidRDefault="005676A9" w:rsidP="005676A9">
            <w:pPr>
              <w:tabs>
                <w:tab w:val="left" w:pos="5400"/>
              </w:tabs>
              <w:jc w:val="center"/>
              <w:rPr>
                <w:sz w:val="20"/>
              </w:rPr>
            </w:pPr>
            <w:r>
              <w:rPr>
                <w:sz w:val="20"/>
              </w:rPr>
              <w:t>/1</w:t>
            </w:r>
          </w:p>
        </w:tc>
      </w:tr>
      <w:tr w:rsidR="005676A9" w:rsidRPr="000142B2" w14:paraId="3485DD0C" w14:textId="77777777" w:rsidTr="005676A9">
        <w:tc>
          <w:tcPr>
            <w:tcW w:w="4363" w:type="pct"/>
            <w:gridSpan w:val="3"/>
          </w:tcPr>
          <w:p w14:paraId="5984B7E1" w14:textId="77777777" w:rsidR="005676A9" w:rsidRPr="000142B2" w:rsidRDefault="005676A9" w:rsidP="005676A9">
            <w:pPr>
              <w:pStyle w:val="TableSubHead"/>
              <w:tabs>
                <w:tab w:val="left" w:pos="5400"/>
              </w:tabs>
              <w:rPr>
                <w:sz w:val="20"/>
              </w:rPr>
            </w:pPr>
            <w:bookmarkStart w:id="53" w:name="bold28"/>
            <w:bookmarkStart w:id="54" w:name="italic30"/>
            <w:bookmarkEnd w:id="51"/>
            <w:bookmarkEnd w:id="52"/>
            <w:r w:rsidRPr="000142B2">
              <w:rPr>
                <w:sz w:val="20"/>
              </w:rPr>
              <w:t>Results</w:t>
            </w:r>
            <w:bookmarkEnd w:id="53"/>
            <w:bookmarkEnd w:id="54"/>
          </w:p>
        </w:tc>
        <w:tc>
          <w:tcPr>
            <w:tcW w:w="637" w:type="pct"/>
          </w:tcPr>
          <w:p w14:paraId="538F1E2F" w14:textId="77777777" w:rsidR="005676A9" w:rsidRPr="000142B2" w:rsidRDefault="005676A9" w:rsidP="005676A9">
            <w:pPr>
              <w:pStyle w:val="TableSubHead"/>
              <w:tabs>
                <w:tab w:val="left" w:pos="5400"/>
              </w:tabs>
              <w:jc w:val="center"/>
              <w:rPr>
                <w:sz w:val="20"/>
              </w:rPr>
            </w:pPr>
          </w:p>
        </w:tc>
      </w:tr>
      <w:tr w:rsidR="005676A9" w:rsidRPr="000142B2" w14:paraId="03F3E700" w14:textId="77777777" w:rsidTr="005676A9">
        <w:tc>
          <w:tcPr>
            <w:tcW w:w="1101" w:type="pct"/>
            <w:vMerge w:val="restart"/>
          </w:tcPr>
          <w:p w14:paraId="0E7DE563" w14:textId="77777777" w:rsidR="005676A9" w:rsidRPr="000142B2" w:rsidRDefault="005676A9" w:rsidP="005676A9">
            <w:pPr>
              <w:tabs>
                <w:tab w:val="left" w:pos="5400"/>
              </w:tabs>
              <w:rPr>
                <w:bCs/>
                <w:sz w:val="20"/>
              </w:rPr>
            </w:pPr>
            <w:bookmarkStart w:id="55" w:name="bold29"/>
            <w:bookmarkStart w:id="56" w:name="italic31"/>
            <w:r w:rsidRPr="000142B2">
              <w:rPr>
                <w:bCs/>
                <w:sz w:val="20"/>
              </w:rPr>
              <w:t>Participants</w:t>
            </w:r>
            <w:bookmarkEnd w:id="55"/>
            <w:bookmarkEnd w:id="56"/>
          </w:p>
        </w:tc>
        <w:tc>
          <w:tcPr>
            <w:tcW w:w="328" w:type="pct"/>
            <w:vMerge w:val="restart"/>
          </w:tcPr>
          <w:p w14:paraId="0ED5BA25" w14:textId="77777777" w:rsidR="005676A9" w:rsidRPr="000142B2" w:rsidRDefault="005676A9" w:rsidP="005676A9">
            <w:pPr>
              <w:tabs>
                <w:tab w:val="left" w:pos="5400"/>
              </w:tabs>
              <w:jc w:val="center"/>
              <w:rPr>
                <w:sz w:val="20"/>
              </w:rPr>
            </w:pPr>
            <w:r w:rsidRPr="000142B2">
              <w:rPr>
                <w:sz w:val="20"/>
              </w:rPr>
              <w:t>13</w:t>
            </w:r>
            <w:bookmarkStart w:id="57" w:name="bold30"/>
            <w:r w:rsidRPr="000142B2">
              <w:rPr>
                <w:bCs/>
                <w:sz w:val="20"/>
              </w:rPr>
              <w:t>*</w:t>
            </w:r>
            <w:bookmarkEnd w:id="57"/>
          </w:p>
        </w:tc>
        <w:tc>
          <w:tcPr>
            <w:tcW w:w="2933" w:type="pct"/>
          </w:tcPr>
          <w:p w14:paraId="3852D33E" w14:textId="77777777" w:rsidR="005676A9" w:rsidRPr="000142B2" w:rsidRDefault="005676A9" w:rsidP="005676A9">
            <w:pPr>
              <w:tabs>
                <w:tab w:val="left" w:pos="5400"/>
              </w:tabs>
              <w:rPr>
                <w:sz w:val="20"/>
              </w:rPr>
            </w:pPr>
            <w:r w:rsidRPr="000142B2">
              <w:rPr>
                <w:sz w:val="20"/>
              </w:rPr>
              <w:t>(a) Report numbers of individuals at each stage of study—eg numbers potentially eligible, examined for eligibility, confirmed eligible, included in the study, completing follow-up, and analysed</w:t>
            </w:r>
          </w:p>
        </w:tc>
        <w:tc>
          <w:tcPr>
            <w:tcW w:w="637" w:type="pct"/>
          </w:tcPr>
          <w:p w14:paraId="5C7EB508" w14:textId="77777777" w:rsidR="005676A9" w:rsidRPr="000142B2" w:rsidRDefault="005676A9" w:rsidP="005676A9">
            <w:pPr>
              <w:tabs>
                <w:tab w:val="left" w:pos="5400"/>
              </w:tabs>
              <w:jc w:val="center"/>
              <w:rPr>
                <w:sz w:val="20"/>
              </w:rPr>
            </w:pPr>
            <w:r>
              <w:rPr>
                <w:sz w:val="20"/>
              </w:rPr>
              <w:t>/1</w:t>
            </w:r>
          </w:p>
        </w:tc>
      </w:tr>
      <w:tr w:rsidR="005676A9" w:rsidRPr="000142B2" w14:paraId="3699C64D" w14:textId="77777777" w:rsidTr="005676A9">
        <w:tc>
          <w:tcPr>
            <w:tcW w:w="1101" w:type="pct"/>
            <w:vMerge/>
          </w:tcPr>
          <w:p w14:paraId="3EF19E7A" w14:textId="77777777" w:rsidR="005676A9" w:rsidRPr="000142B2" w:rsidRDefault="005676A9" w:rsidP="005676A9">
            <w:pPr>
              <w:tabs>
                <w:tab w:val="left" w:pos="5400"/>
              </w:tabs>
              <w:rPr>
                <w:bCs/>
                <w:sz w:val="20"/>
              </w:rPr>
            </w:pPr>
            <w:bookmarkStart w:id="58" w:name="bold31" w:colFirst="0" w:colLast="0"/>
            <w:bookmarkStart w:id="59" w:name="italic32" w:colFirst="0" w:colLast="0"/>
          </w:p>
        </w:tc>
        <w:tc>
          <w:tcPr>
            <w:tcW w:w="328" w:type="pct"/>
            <w:vMerge/>
          </w:tcPr>
          <w:p w14:paraId="56597FFE" w14:textId="77777777" w:rsidR="005676A9" w:rsidRPr="000142B2" w:rsidRDefault="005676A9" w:rsidP="005676A9">
            <w:pPr>
              <w:tabs>
                <w:tab w:val="left" w:pos="5400"/>
              </w:tabs>
              <w:jc w:val="center"/>
              <w:rPr>
                <w:sz w:val="20"/>
              </w:rPr>
            </w:pPr>
          </w:p>
        </w:tc>
        <w:tc>
          <w:tcPr>
            <w:tcW w:w="2933" w:type="pct"/>
          </w:tcPr>
          <w:p w14:paraId="42900CAA" w14:textId="77777777" w:rsidR="005676A9" w:rsidRPr="000142B2" w:rsidRDefault="005676A9" w:rsidP="005676A9">
            <w:pPr>
              <w:tabs>
                <w:tab w:val="left" w:pos="5400"/>
              </w:tabs>
              <w:rPr>
                <w:sz w:val="20"/>
              </w:rPr>
            </w:pPr>
            <w:r w:rsidRPr="000142B2">
              <w:rPr>
                <w:sz w:val="20"/>
              </w:rPr>
              <w:t>(b) Give reasons for non-participation at each stage</w:t>
            </w:r>
          </w:p>
        </w:tc>
        <w:tc>
          <w:tcPr>
            <w:tcW w:w="637" w:type="pct"/>
          </w:tcPr>
          <w:p w14:paraId="2B42A3FC" w14:textId="77777777" w:rsidR="005676A9" w:rsidRPr="000142B2" w:rsidRDefault="005676A9" w:rsidP="005676A9">
            <w:pPr>
              <w:tabs>
                <w:tab w:val="left" w:pos="5400"/>
              </w:tabs>
              <w:jc w:val="center"/>
              <w:rPr>
                <w:sz w:val="20"/>
              </w:rPr>
            </w:pPr>
            <w:r>
              <w:rPr>
                <w:sz w:val="20"/>
              </w:rPr>
              <w:t>/1</w:t>
            </w:r>
          </w:p>
        </w:tc>
      </w:tr>
      <w:tr w:rsidR="005676A9" w:rsidRPr="000142B2" w14:paraId="34EF263F" w14:textId="77777777" w:rsidTr="005676A9">
        <w:tc>
          <w:tcPr>
            <w:tcW w:w="1101" w:type="pct"/>
            <w:vMerge/>
          </w:tcPr>
          <w:p w14:paraId="445943F3" w14:textId="77777777" w:rsidR="005676A9" w:rsidRPr="000142B2" w:rsidRDefault="005676A9" w:rsidP="005676A9">
            <w:pPr>
              <w:tabs>
                <w:tab w:val="left" w:pos="5400"/>
              </w:tabs>
              <w:rPr>
                <w:bCs/>
                <w:sz w:val="20"/>
              </w:rPr>
            </w:pPr>
            <w:bookmarkStart w:id="60" w:name="bold32" w:colFirst="0" w:colLast="0"/>
            <w:bookmarkStart w:id="61" w:name="italic33" w:colFirst="0" w:colLast="0"/>
            <w:bookmarkEnd w:id="58"/>
            <w:bookmarkEnd w:id="59"/>
          </w:p>
        </w:tc>
        <w:tc>
          <w:tcPr>
            <w:tcW w:w="328" w:type="pct"/>
            <w:vMerge/>
          </w:tcPr>
          <w:p w14:paraId="2F90A229" w14:textId="77777777" w:rsidR="005676A9" w:rsidRPr="000142B2" w:rsidRDefault="005676A9" w:rsidP="005676A9">
            <w:pPr>
              <w:tabs>
                <w:tab w:val="left" w:pos="5400"/>
              </w:tabs>
              <w:jc w:val="center"/>
              <w:rPr>
                <w:sz w:val="20"/>
              </w:rPr>
            </w:pPr>
          </w:p>
        </w:tc>
        <w:tc>
          <w:tcPr>
            <w:tcW w:w="2933" w:type="pct"/>
          </w:tcPr>
          <w:p w14:paraId="5AA9D36A" w14:textId="77777777" w:rsidR="005676A9" w:rsidRPr="000142B2" w:rsidRDefault="005676A9" w:rsidP="005676A9">
            <w:pPr>
              <w:tabs>
                <w:tab w:val="left" w:pos="5400"/>
              </w:tabs>
              <w:rPr>
                <w:sz w:val="20"/>
              </w:rPr>
            </w:pPr>
            <w:bookmarkStart w:id="62" w:name="OLE_LINK4"/>
            <w:r w:rsidRPr="000142B2">
              <w:rPr>
                <w:sz w:val="20"/>
              </w:rPr>
              <w:t>(c) Consider use of a flow diagram</w:t>
            </w:r>
            <w:bookmarkEnd w:id="62"/>
          </w:p>
        </w:tc>
        <w:tc>
          <w:tcPr>
            <w:tcW w:w="637" w:type="pct"/>
          </w:tcPr>
          <w:p w14:paraId="40205F27" w14:textId="77777777" w:rsidR="005676A9" w:rsidRPr="000142B2" w:rsidRDefault="005676A9" w:rsidP="005676A9">
            <w:pPr>
              <w:tabs>
                <w:tab w:val="left" w:pos="5400"/>
              </w:tabs>
              <w:jc w:val="center"/>
              <w:rPr>
                <w:sz w:val="20"/>
              </w:rPr>
            </w:pPr>
            <w:r>
              <w:rPr>
                <w:sz w:val="20"/>
              </w:rPr>
              <w:t>/1</w:t>
            </w:r>
          </w:p>
        </w:tc>
      </w:tr>
      <w:tr w:rsidR="005676A9" w:rsidRPr="000142B2" w14:paraId="5C680370" w14:textId="77777777" w:rsidTr="005676A9">
        <w:tc>
          <w:tcPr>
            <w:tcW w:w="1101" w:type="pct"/>
            <w:vMerge w:val="restart"/>
          </w:tcPr>
          <w:p w14:paraId="559B18E0" w14:textId="77777777" w:rsidR="005676A9" w:rsidRPr="000142B2" w:rsidRDefault="005676A9" w:rsidP="005676A9">
            <w:pPr>
              <w:tabs>
                <w:tab w:val="left" w:pos="5400"/>
              </w:tabs>
              <w:rPr>
                <w:bCs/>
                <w:sz w:val="20"/>
              </w:rPr>
            </w:pPr>
            <w:bookmarkStart w:id="63" w:name="bold33"/>
            <w:bookmarkStart w:id="64" w:name="italic34"/>
            <w:bookmarkEnd w:id="60"/>
            <w:bookmarkEnd w:id="61"/>
            <w:r w:rsidRPr="000142B2">
              <w:rPr>
                <w:bCs/>
                <w:sz w:val="20"/>
              </w:rPr>
              <w:t xml:space="preserve">Descriptive </w:t>
            </w:r>
            <w:bookmarkStart w:id="65" w:name="bold34"/>
            <w:bookmarkStart w:id="66" w:name="italic35"/>
            <w:bookmarkEnd w:id="63"/>
            <w:bookmarkEnd w:id="64"/>
            <w:r w:rsidRPr="000142B2">
              <w:rPr>
                <w:bCs/>
                <w:sz w:val="20"/>
              </w:rPr>
              <w:t>data</w:t>
            </w:r>
            <w:bookmarkEnd w:id="65"/>
            <w:bookmarkEnd w:id="66"/>
          </w:p>
        </w:tc>
        <w:tc>
          <w:tcPr>
            <w:tcW w:w="328" w:type="pct"/>
            <w:vMerge w:val="restart"/>
          </w:tcPr>
          <w:p w14:paraId="3A1628FC" w14:textId="77777777" w:rsidR="005676A9" w:rsidRPr="000142B2" w:rsidRDefault="005676A9" w:rsidP="005676A9">
            <w:pPr>
              <w:tabs>
                <w:tab w:val="left" w:pos="5400"/>
              </w:tabs>
              <w:jc w:val="center"/>
              <w:rPr>
                <w:sz w:val="20"/>
              </w:rPr>
            </w:pPr>
            <w:r w:rsidRPr="000142B2">
              <w:rPr>
                <w:sz w:val="20"/>
              </w:rPr>
              <w:t>14</w:t>
            </w:r>
            <w:bookmarkStart w:id="67" w:name="bold35"/>
            <w:r w:rsidRPr="000142B2">
              <w:rPr>
                <w:bCs/>
                <w:sz w:val="20"/>
              </w:rPr>
              <w:t>*</w:t>
            </w:r>
            <w:bookmarkEnd w:id="67"/>
          </w:p>
        </w:tc>
        <w:tc>
          <w:tcPr>
            <w:tcW w:w="2933" w:type="pct"/>
          </w:tcPr>
          <w:p w14:paraId="7F2F1CB1" w14:textId="77777777" w:rsidR="005676A9" w:rsidRPr="000142B2" w:rsidRDefault="005676A9" w:rsidP="005676A9">
            <w:pPr>
              <w:tabs>
                <w:tab w:val="left" w:pos="5400"/>
              </w:tabs>
              <w:rPr>
                <w:sz w:val="20"/>
              </w:rPr>
            </w:pPr>
            <w:r w:rsidRPr="000142B2">
              <w:rPr>
                <w:sz w:val="20"/>
              </w:rPr>
              <w:t>(a) Give characteristics of study participants (eg demographic, clinical, social) and information on exposures and potential confounders</w:t>
            </w:r>
          </w:p>
        </w:tc>
        <w:tc>
          <w:tcPr>
            <w:tcW w:w="637" w:type="pct"/>
          </w:tcPr>
          <w:p w14:paraId="4D6CA7A3" w14:textId="77777777" w:rsidR="005676A9" w:rsidRPr="000142B2" w:rsidRDefault="005676A9" w:rsidP="005676A9">
            <w:pPr>
              <w:tabs>
                <w:tab w:val="left" w:pos="5400"/>
              </w:tabs>
              <w:jc w:val="center"/>
              <w:rPr>
                <w:sz w:val="20"/>
              </w:rPr>
            </w:pPr>
            <w:r>
              <w:rPr>
                <w:sz w:val="20"/>
              </w:rPr>
              <w:t>/2</w:t>
            </w:r>
          </w:p>
        </w:tc>
      </w:tr>
      <w:tr w:rsidR="005676A9" w:rsidRPr="000142B2" w14:paraId="6F89F642" w14:textId="77777777" w:rsidTr="005676A9">
        <w:tc>
          <w:tcPr>
            <w:tcW w:w="1101" w:type="pct"/>
            <w:vMerge/>
          </w:tcPr>
          <w:p w14:paraId="1D58B6C2" w14:textId="77777777" w:rsidR="005676A9" w:rsidRPr="000142B2" w:rsidRDefault="005676A9" w:rsidP="005676A9">
            <w:pPr>
              <w:tabs>
                <w:tab w:val="left" w:pos="5400"/>
              </w:tabs>
              <w:rPr>
                <w:bCs/>
                <w:sz w:val="20"/>
              </w:rPr>
            </w:pPr>
            <w:bookmarkStart w:id="68" w:name="bold36" w:colFirst="0" w:colLast="0"/>
            <w:bookmarkStart w:id="69" w:name="italic36" w:colFirst="0" w:colLast="0"/>
          </w:p>
        </w:tc>
        <w:tc>
          <w:tcPr>
            <w:tcW w:w="328" w:type="pct"/>
            <w:vMerge/>
          </w:tcPr>
          <w:p w14:paraId="6F67E67F" w14:textId="77777777" w:rsidR="005676A9" w:rsidRPr="000142B2" w:rsidRDefault="005676A9" w:rsidP="005676A9">
            <w:pPr>
              <w:tabs>
                <w:tab w:val="left" w:pos="5400"/>
              </w:tabs>
              <w:jc w:val="center"/>
              <w:rPr>
                <w:sz w:val="20"/>
              </w:rPr>
            </w:pPr>
          </w:p>
        </w:tc>
        <w:tc>
          <w:tcPr>
            <w:tcW w:w="2933" w:type="pct"/>
          </w:tcPr>
          <w:p w14:paraId="000294EB" w14:textId="77777777" w:rsidR="005676A9" w:rsidRPr="000142B2" w:rsidRDefault="005676A9" w:rsidP="005676A9">
            <w:pPr>
              <w:tabs>
                <w:tab w:val="left" w:pos="5400"/>
              </w:tabs>
              <w:rPr>
                <w:sz w:val="20"/>
              </w:rPr>
            </w:pPr>
            <w:r w:rsidRPr="000142B2">
              <w:rPr>
                <w:sz w:val="20"/>
              </w:rPr>
              <w:t>(b) Indicate number of participants with missing data for each variable of interest</w:t>
            </w:r>
          </w:p>
        </w:tc>
        <w:tc>
          <w:tcPr>
            <w:tcW w:w="637" w:type="pct"/>
          </w:tcPr>
          <w:p w14:paraId="7E17BBBB" w14:textId="77777777" w:rsidR="005676A9" w:rsidRPr="000142B2" w:rsidRDefault="005676A9" w:rsidP="005676A9">
            <w:pPr>
              <w:tabs>
                <w:tab w:val="left" w:pos="5400"/>
              </w:tabs>
              <w:jc w:val="center"/>
              <w:rPr>
                <w:sz w:val="20"/>
              </w:rPr>
            </w:pPr>
            <w:r>
              <w:rPr>
                <w:sz w:val="20"/>
              </w:rPr>
              <w:t>/1</w:t>
            </w:r>
          </w:p>
        </w:tc>
      </w:tr>
      <w:tr w:rsidR="005676A9" w:rsidRPr="000142B2" w14:paraId="030A50D8" w14:textId="77777777" w:rsidTr="005676A9">
        <w:tc>
          <w:tcPr>
            <w:tcW w:w="1101" w:type="pct"/>
            <w:vMerge/>
          </w:tcPr>
          <w:p w14:paraId="1AB93D63" w14:textId="77777777" w:rsidR="005676A9" w:rsidRPr="000142B2" w:rsidRDefault="005676A9" w:rsidP="005676A9">
            <w:pPr>
              <w:tabs>
                <w:tab w:val="left" w:pos="5400"/>
              </w:tabs>
              <w:rPr>
                <w:bCs/>
                <w:sz w:val="20"/>
              </w:rPr>
            </w:pPr>
            <w:bookmarkStart w:id="70" w:name="bold37" w:colFirst="0" w:colLast="0"/>
            <w:bookmarkStart w:id="71" w:name="italic37" w:colFirst="0" w:colLast="0"/>
            <w:bookmarkEnd w:id="68"/>
            <w:bookmarkEnd w:id="69"/>
          </w:p>
        </w:tc>
        <w:tc>
          <w:tcPr>
            <w:tcW w:w="328" w:type="pct"/>
            <w:vMerge/>
          </w:tcPr>
          <w:p w14:paraId="4F74B8BC" w14:textId="77777777" w:rsidR="005676A9" w:rsidRPr="000142B2" w:rsidRDefault="005676A9" w:rsidP="005676A9">
            <w:pPr>
              <w:tabs>
                <w:tab w:val="left" w:pos="5400"/>
              </w:tabs>
              <w:jc w:val="center"/>
              <w:rPr>
                <w:sz w:val="20"/>
              </w:rPr>
            </w:pPr>
          </w:p>
        </w:tc>
        <w:tc>
          <w:tcPr>
            <w:tcW w:w="2933" w:type="pct"/>
          </w:tcPr>
          <w:p w14:paraId="4BDFDFDC" w14:textId="77777777" w:rsidR="005676A9" w:rsidRPr="000142B2" w:rsidRDefault="005676A9" w:rsidP="005676A9">
            <w:pPr>
              <w:tabs>
                <w:tab w:val="left" w:pos="5400"/>
              </w:tabs>
              <w:rPr>
                <w:sz w:val="20"/>
              </w:rPr>
            </w:pPr>
            <w:r w:rsidRPr="000142B2">
              <w:rPr>
                <w:sz w:val="20"/>
              </w:rPr>
              <w:t>(c) Summarise follow-up time (eg, average and total amount)</w:t>
            </w:r>
          </w:p>
        </w:tc>
        <w:tc>
          <w:tcPr>
            <w:tcW w:w="637" w:type="pct"/>
          </w:tcPr>
          <w:p w14:paraId="669BD369" w14:textId="77777777" w:rsidR="005676A9" w:rsidRPr="000142B2" w:rsidRDefault="005676A9" w:rsidP="005676A9">
            <w:pPr>
              <w:tabs>
                <w:tab w:val="left" w:pos="5400"/>
              </w:tabs>
              <w:jc w:val="center"/>
              <w:rPr>
                <w:sz w:val="20"/>
              </w:rPr>
            </w:pPr>
            <w:r>
              <w:rPr>
                <w:sz w:val="20"/>
              </w:rPr>
              <w:t>/1</w:t>
            </w:r>
          </w:p>
        </w:tc>
      </w:tr>
      <w:tr w:rsidR="005676A9" w:rsidRPr="000142B2" w14:paraId="5233B8F1" w14:textId="77777777" w:rsidTr="005676A9">
        <w:trPr>
          <w:trHeight w:val="295"/>
        </w:trPr>
        <w:tc>
          <w:tcPr>
            <w:tcW w:w="1101" w:type="pct"/>
            <w:tcBorders>
              <w:bottom w:val="single" w:sz="4" w:space="0" w:color="auto"/>
            </w:tcBorders>
          </w:tcPr>
          <w:p w14:paraId="3DCC1EF3" w14:textId="77777777" w:rsidR="005676A9" w:rsidRPr="000142B2" w:rsidRDefault="005676A9" w:rsidP="005676A9">
            <w:pPr>
              <w:tabs>
                <w:tab w:val="left" w:pos="5400"/>
              </w:tabs>
              <w:rPr>
                <w:bCs/>
                <w:sz w:val="20"/>
              </w:rPr>
            </w:pPr>
            <w:bookmarkStart w:id="72" w:name="bold38" w:colFirst="0" w:colLast="0"/>
            <w:bookmarkStart w:id="73" w:name="italic38" w:colFirst="0" w:colLast="0"/>
            <w:bookmarkEnd w:id="70"/>
            <w:bookmarkEnd w:id="71"/>
            <w:r w:rsidRPr="000142B2">
              <w:rPr>
                <w:bCs/>
                <w:sz w:val="20"/>
              </w:rPr>
              <w:t>Outcome data</w:t>
            </w:r>
          </w:p>
        </w:tc>
        <w:tc>
          <w:tcPr>
            <w:tcW w:w="328" w:type="pct"/>
            <w:tcBorders>
              <w:bottom w:val="single" w:sz="4" w:space="0" w:color="auto"/>
            </w:tcBorders>
          </w:tcPr>
          <w:p w14:paraId="5ACC17C3" w14:textId="77777777" w:rsidR="005676A9" w:rsidRPr="000142B2" w:rsidRDefault="005676A9" w:rsidP="005676A9">
            <w:pPr>
              <w:tabs>
                <w:tab w:val="left" w:pos="5400"/>
              </w:tabs>
              <w:jc w:val="center"/>
              <w:rPr>
                <w:sz w:val="20"/>
              </w:rPr>
            </w:pPr>
            <w:r w:rsidRPr="000142B2">
              <w:rPr>
                <w:sz w:val="20"/>
              </w:rPr>
              <w:t>15</w:t>
            </w:r>
            <w:bookmarkStart w:id="74" w:name="bold39"/>
            <w:r w:rsidRPr="000142B2">
              <w:rPr>
                <w:bCs/>
                <w:sz w:val="20"/>
              </w:rPr>
              <w:t>*</w:t>
            </w:r>
            <w:bookmarkEnd w:id="74"/>
          </w:p>
        </w:tc>
        <w:tc>
          <w:tcPr>
            <w:tcW w:w="2933" w:type="pct"/>
            <w:tcBorders>
              <w:bottom w:val="single" w:sz="4" w:space="0" w:color="auto"/>
            </w:tcBorders>
          </w:tcPr>
          <w:p w14:paraId="62B86942" w14:textId="77777777" w:rsidR="005676A9" w:rsidRPr="000142B2" w:rsidRDefault="005676A9" w:rsidP="005676A9">
            <w:pPr>
              <w:tabs>
                <w:tab w:val="left" w:pos="5400"/>
              </w:tabs>
              <w:rPr>
                <w:sz w:val="20"/>
              </w:rPr>
            </w:pPr>
            <w:r w:rsidRPr="000142B2">
              <w:rPr>
                <w:sz w:val="20"/>
              </w:rPr>
              <w:t>Report numbers of outcome events or summary measures over time</w:t>
            </w:r>
          </w:p>
        </w:tc>
        <w:tc>
          <w:tcPr>
            <w:tcW w:w="637" w:type="pct"/>
            <w:tcBorders>
              <w:bottom w:val="single" w:sz="4" w:space="0" w:color="auto"/>
            </w:tcBorders>
          </w:tcPr>
          <w:p w14:paraId="57AAE583" w14:textId="77777777" w:rsidR="005676A9" w:rsidRPr="000142B2" w:rsidRDefault="005676A9" w:rsidP="005676A9">
            <w:pPr>
              <w:tabs>
                <w:tab w:val="left" w:pos="5400"/>
              </w:tabs>
              <w:jc w:val="center"/>
              <w:rPr>
                <w:sz w:val="20"/>
              </w:rPr>
            </w:pPr>
            <w:r>
              <w:rPr>
                <w:sz w:val="20"/>
              </w:rPr>
              <w:t>/1</w:t>
            </w:r>
          </w:p>
        </w:tc>
      </w:tr>
      <w:tr w:rsidR="005676A9" w:rsidRPr="000142B2" w14:paraId="454D0437" w14:textId="77777777" w:rsidTr="005676A9">
        <w:tc>
          <w:tcPr>
            <w:tcW w:w="1101" w:type="pct"/>
            <w:vMerge w:val="restart"/>
            <w:tcBorders>
              <w:top w:val="single" w:sz="4" w:space="0" w:color="auto"/>
              <w:bottom w:val="single" w:sz="4" w:space="0" w:color="auto"/>
            </w:tcBorders>
          </w:tcPr>
          <w:p w14:paraId="254AD40A" w14:textId="77777777" w:rsidR="005676A9" w:rsidRPr="000142B2" w:rsidRDefault="005676A9" w:rsidP="005676A9">
            <w:pPr>
              <w:tabs>
                <w:tab w:val="left" w:pos="5400"/>
              </w:tabs>
              <w:rPr>
                <w:bCs/>
                <w:sz w:val="20"/>
              </w:rPr>
            </w:pPr>
            <w:bookmarkStart w:id="75" w:name="italic40" w:colFirst="0" w:colLast="0"/>
            <w:bookmarkStart w:id="76" w:name="bold41" w:colFirst="0" w:colLast="0"/>
            <w:bookmarkEnd w:id="72"/>
            <w:bookmarkEnd w:id="73"/>
            <w:r w:rsidRPr="000142B2">
              <w:rPr>
                <w:bCs/>
                <w:sz w:val="20"/>
              </w:rPr>
              <w:t>Main results</w:t>
            </w:r>
          </w:p>
        </w:tc>
        <w:tc>
          <w:tcPr>
            <w:tcW w:w="328" w:type="pct"/>
            <w:vMerge w:val="restart"/>
            <w:tcBorders>
              <w:top w:val="single" w:sz="4" w:space="0" w:color="auto"/>
              <w:bottom w:val="single" w:sz="4" w:space="0" w:color="auto"/>
            </w:tcBorders>
          </w:tcPr>
          <w:p w14:paraId="42B538FB" w14:textId="77777777" w:rsidR="005676A9" w:rsidRPr="000142B2" w:rsidRDefault="005676A9" w:rsidP="005676A9">
            <w:pPr>
              <w:tabs>
                <w:tab w:val="left" w:pos="5400"/>
              </w:tabs>
              <w:jc w:val="center"/>
              <w:rPr>
                <w:sz w:val="20"/>
              </w:rPr>
            </w:pPr>
            <w:r w:rsidRPr="000142B2">
              <w:rPr>
                <w:sz w:val="20"/>
              </w:rPr>
              <w:t>16</w:t>
            </w:r>
          </w:p>
        </w:tc>
        <w:tc>
          <w:tcPr>
            <w:tcW w:w="2933" w:type="pct"/>
            <w:tcBorders>
              <w:top w:val="single" w:sz="4" w:space="0" w:color="auto"/>
              <w:bottom w:val="single" w:sz="4" w:space="0" w:color="auto"/>
            </w:tcBorders>
          </w:tcPr>
          <w:p w14:paraId="3D57DB9C" w14:textId="77777777" w:rsidR="005676A9" w:rsidRPr="006149D3" w:rsidRDefault="005676A9" w:rsidP="005676A9">
            <w:pPr>
              <w:tabs>
                <w:tab w:val="left" w:pos="5400"/>
              </w:tabs>
              <w:rPr>
                <w:sz w:val="20"/>
              </w:rPr>
            </w:pPr>
            <w:r w:rsidRPr="0022554A">
              <w:rPr>
                <w:sz w:val="20"/>
              </w:rPr>
              <w:t>(</w:t>
            </w:r>
            <w:r w:rsidRPr="0022554A">
              <w:rPr>
                <w:i/>
                <w:sz w:val="20"/>
              </w:rPr>
              <w:t>a</w:t>
            </w:r>
            <w:r w:rsidRPr="0022554A">
              <w:rPr>
                <w:sz w:val="20"/>
              </w:rPr>
              <w:t xml:space="preserve">) </w:t>
            </w:r>
            <w:r w:rsidRPr="006149D3">
              <w:rPr>
                <w:sz w:val="20"/>
              </w:rPr>
              <w:t>Give unadjusted estimates and, if applicable, confounder-adjusted estimates and their precision (eg, 95% confidence interval). Make clear which confounders were adjusted for and why they were included</w:t>
            </w:r>
          </w:p>
        </w:tc>
        <w:tc>
          <w:tcPr>
            <w:tcW w:w="637" w:type="pct"/>
            <w:tcBorders>
              <w:top w:val="single" w:sz="4" w:space="0" w:color="auto"/>
              <w:bottom w:val="single" w:sz="4" w:space="0" w:color="auto"/>
            </w:tcBorders>
          </w:tcPr>
          <w:p w14:paraId="6E90D51F" w14:textId="77777777" w:rsidR="005676A9" w:rsidRPr="0022554A" w:rsidRDefault="005676A9" w:rsidP="005676A9">
            <w:pPr>
              <w:tabs>
                <w:tab w:val="left" w:pos="5400"/>
              </w:tabs>
              <w:jc w:val="center"/>
              <w:rPr>
                <w:sz w:val="20"/>
              </w:rPr>
            </w:pPr>
            <w:r>
              <w:rPr>
                <w:sz w:val="20"/>
              </w:rPr>
              <w:t>/3</w:t>
            </w:r>
          </w:p>
        </w:tc>
      </w:tr>
      <w:tr w:rsidR="005676A9" w:rsidRPr="000142B2" w14:paraId="3CF15559" w14:textId="77777777" w:rsidTr="005676A9">
        <w:tc>
          <w:tcPr>
            <w:tcW w:w="1101" w:type="pct"/>
            <w:vMerge/>
            <w:tcBorders>
              <w:top w:val="single" w:sz="4" w:space="0" w:color="auto"/>
              <w:bottom w:val="single" w:sz="4" w:space="0" w:color="auto"/>
            </w:tcBorders>
          </w:tcPr>
          <w:p w14:paraId="36A798DC" w14:textId="77777777" w:rsidR="005676A9" w:rsidRPr="000142B2" w:rsidRDefault="005676A9" w:rsidP="005676A9">
            <w:pPr>
              <w:tabs>
                <w:tab w:val="left" w:pos="5400"/>
              </w:tabs>
              <w:rPr>
                <w:bCs/>
                <w:sz w:val="20"/>
              </w:rPr>
            </w:pPr>
            <w:bookmarkStart w:id="77" w:name="italic41" w:colFirst="0" w:colLast="0"/>
            <w:bookmarkStart w:id="78" w:name="bold42" w:colFirst="0" w:colLast="0"/>
            <w:bookmarkEnd w:id="75"/>
            <w:bookmarkEnd w:id="76"/>
          </w:p>
        </w:tc>
        <w:tc>
          <w:tcPr>
            <w:tcW w:w="328" w:type="pct"/>
            <w:vMerge/>
            <w:tcBorders>
              <w:top w:val="single" w:sz="4" w:space="0" w:color="auto"/>
              <w:bottom w:val="single" w:sz="4" w:space="0" w:color="auto"/>
            </w:tcBorders>
          </w:tcPr>
          <w:p w14:paraId="569FF275" w14:textId="77777777" w:rsidR="005676A9" w:rsidRPr="000142B2" w:rsidRDefault="005676A9" w:rsidP="005676A9">
            <w:pPr>
              <w:tabs>
                <w:tab w:val="left" w:pos="5400"/>
              </w:tabs>
              <w:jc w:val="center"/>
              <w:rPr>
                <w:sz w:val="20"/>
              </w:rPr>
            </w:pPr>
          </w:p>
        </w:tc>
        <w:tc>
          <w:tcPr>
            <w:tcW w:w="2933" w:type="pct"/>
            <w:tcBorders>
              <w:top w:val="single" w:sz="4" w:space="0" w:color="auto"/>
              <w:bottom w:val="single" w:sz="4" w:space="0" w:color="auto"/>
            </w:tcBorders>
          </w:tcPr>
          <w:p w14:paraId="512557BB" w14:textId="77777777" w:rsidR="005676A9" w:rsidRPr="006149D3" w:rsidRDefault="005676A9" w:rsidP="005676A9">
            <w:pPr>
              <w:tabs>
                <w:tab w:val="left" w:pos="5400"/>
              </w:tabs>
              <w:rPr>
                <w:sz w:val="20"/>
              </w:rPr>
            </w:pPr>
            <w:r w:rsidRPr="0022554A">
              <w:rPr>
                <w:sz w:val="20"/>
              </w:rPr>
              <w:t>(</w:t>
            </w:r>
            <w:r w:rsidRPr="0022554A">
              <w:rPr>
                <w:i/>
                <w:sz w:val="20"/>
              </w:rPr>
              <w:t>b</w:t>
            </w:r>
            <w:r w:rsidRPr="0022554A">
              <w:rPr>
                <w:sz w:val="20"/>
              </w:rPr>
              <w:t xml:space="preserve">) </w:t>
            </w:r>
            <w:r w:rsidRPr="006149D3">
              <w:rPr>
                <w:sz w:val="20"/>
              </w:rPr>
              <w:t>Report category boundaries when continuous variables were categorized</w:t>
            </w:r>
          </w:p>
        </w:tc>
        <w:tc>
          <w:tcPr>
            <w:tcW w:w="637" w:type="pct"/>
            <w:tcBorders>
              <w:top w:val="single" w:sz="4" w:space="0" w:color="auto"/>
              <w:bottom w:val="single" w:sz="4" w:space="0" w:color="auto"/>
            </w:tcBorders>
          </w:tcPr>
          <w:p w14:paraId="20A389FC" w14:textId="77777777" w:rsidR="005676A9" w:rsidRPr="0022554A" w:rsidRDefault="005676A9" w:rsidP="005676A9">
            <w:pPr>
              <w:tabs>
                <w:tab w:val="left" w:pos="5400"/>
              </w:tabs>
              <w:jc w:val="center"/>
              <w:rPr>
                <w:sz w:val="20"/>
              </w:rPr>
            </w:pPr>
            <w:r>
              <w:rPr>
                <w:sz w:val="20"/>
              </w:rPr>
              <w:t>/1</w:t>
            </w:r>
          </w:p>
        </w:tc>
      </w:tr>
      <w:tr w:rsidR="005676A9" w:rsidRPr="000142B2" w14:paraId="59DD44EF" w14:textId="77777777" w:rsidTr="005676A9">
        <w:tc>
          <w:tcPr>
            <w:tcW w:w="1101" w:type="pct"/>
            <w:vMerge/>
            <w:tcBorders>
              <w:top w:val="single" w:sz="4" w:space="0" w:color="auto"/>
              <w:bottom w:val="single" w:sz="4" w:space="0" w:color="auto"/>
            </w:tcBorders>
          </w:tcPr>
          <w:p w14:paraId="11641824" w14:textId="77777777" w:rsidR="005676A9" w:rsidRPr="000142B2" w:rsidRDefault="005676A9" w:rsidP="005676A9">
            <w:pPr>
              <w:tabs>
                <w:tab w:val="left" w:pos="5400"/>
              </w:tabs>
              <w:rPr>
                <w:bCs/>
                <w:sz w:val="20"/>
              </w:rPr>
            </w:pPr>
            <w:bookmarkStart w:id="79" w:name="italic42" w:colFirst="0" w:colLast="0"/>
            <w:bookmarkStart w:id="80" w:name="bold43" w:colFirst="0" w:colLast="0"/>
            <w:bookmarkEnd w:id="77"/>
            <w:bookmarkEnd w:id="78"/>
          </w:p>
        </w:tc>
        <w:tc>
          <w:tcPr>
            <w:tcW w:w="328" w:type="pct"/>
            <w:vMerge/>
            <w:tcBorders>
              <w:top w:val="single" w:sz="4" w:space="0" w:color="auto"/>
              <w:bottom w:val="single" w:sz="4" w:space="0" w:color="auto"/>
            </w:tcBorders>
          </w:tcPr>
          <w:p w14:paraId="47FEEAA1" w14:textId="77777777" w:rsidR="005676A9" w:rsidRPr="000142B2" w:rsidRDefault="005676A9" w:rsidP="005676A9">
            <w:pPr>
              <w:tabs>
                <w:tab w:val="left" w:pos="5400"/>
              </w:tabs>
              <w:jc w:val="center"/>
              <w:rPr>
                <w:sz w:val="20"/>
              </w:rPr>
            </w:pPr>
          </w:p>
        </w:tc>
        <w:tc>
          <w:tcPr>
            <w:tcW w:w="2933" w:type="pct"/>
            <w:tcBorders>
              <w:top w:val="single" w:sz="4" w:space="0" w:color="auto"/>
              <w:bottom w:val="single" w:sz="4" w:space="0" w:color="auto"/>
            </w:tcBorders>
          </w:tcPr>
          <w:p w14:paraId="197BFC41" w14:textId="77777777" w:rsidR="005676A9" w:rsidRPr="006149D3" w:rsidRDefault="005676A9" w:rsidP="005676A9">
            <w:pPr>
              <w:tabs>
                <w:tab w:val="left" w:pos="5400"/>
              </w:tabs>
              <w:rPr>
                <w:sz w:val="20"/>
              </w:rPr>
            </w:pPr>
            <w:r w:rsidRPr="0022554A">
              <w:rPr>
                <w:sz w:val="20"/>
              </w:rPr>
              <w:t>(</w:t>
            </w:r>
            <w:r w:rsidRPr="0022554A">
              <w:rPr>
                <w:i/>
                <w:sz w:val="20"/>
              </w:rPr>
              <w:t>c</w:t>
            </w:r>
            <w:r w:rsidRPr="0022554A">
              <w:rPr>
                <w:sz w:val="20"/>
              </w:rPr>
              <w:t xml:space="preserve">) </w:t>
            </w:r>
            <w:r w:rsidRPr="006149D3">
              <w:rPr>
                <w:sz w:val="20"/>
              </w:rPr>
              <w:t>If relevant, consider translating estimates of relative risk into absolute risk for a meaningful time period</w:t>
            </w:r>
          </w:p>
        </w:tc>
        <w:tc>
          <w:tcPr>
            <w:tcW w:w="637" w:type="pct"/>
            <w:tcBorders>
              <w:top w:val="single" w:sz="4" w:space="0" w:color="auto"/>
              <w:bottom w:val="single" w:sz="4" w:space="0" w:color="auto"/>
            </w:tcBorders>
          </w:tcPr>
          <w:p w14:paraId="44891451" w14:textId="77777777" w:rsidR="005676A9" w:rsidRPr="0022554A" w:rsidRDefault="005676A9" w:rsidP="005676A9">
            <w:pPr>
              <w:tabs>
                <w:tab w:val="left" w:pos="5400"/>
              </w:tabs>
              <w:jc w:val="center"/>
              <w:rPr>
                <w:sz w:val="20"/>
              </w:rPr>
            </w:pPr>
            <w:r>
              <w:rPr>
                <w:sz w:val="20"/>
              </w:rPr>
              <w:t>/1</w:t>
            </w:r>
          </w:p>
        </w:tc>
      </w:tr>
      <w:tr w:rsidR="005676A9" w:rsidRPr="000142B2" w14:paraId="06EA1F61" w14:textId="77777777" w:rsidTr="005676A9">
        <w:tc>
          <w:tcPr>
            <w:tcW w:w="1101" w:type="pct"/>
            <w:tcBorders>
              <w:top w:val="single" w:sz="4" w:space="0" w:color="auto"/>
              <w:bottom w:val="single" w:sz="4" w:space="0" w:color="auto"/>
            </w:tcBorders>
          </w:tcPr>
          <w:p w14:paraId="18AA790A" w14:textId="77777777" w:rsidR="005676A9" w:rsidRPr="000142B2" w:rsidRDefault="005676A9" w:rsidP="005676A9">
            <w:pPr>
              <w:tabs>
                <w:tab w:val="left" w:pos="5400"/>
              </w:tabs>
              <w:rPr>
                <w:bCs/>
                <w:sz w:val="20"/>
              </w:rPr>
            </w:pPr>
            <w:bookmarkStart w:id="81" w:name="italic43"/>
            <w:bookmarkStart w:id="82" w:name="bold44"/>
            <w:bookmarkEnd w:id="79"/>
            <w:bookmarkEnd w:id="80"/>
            <w:r w:rsidRPr="000142B2">
              <w:rPr>
                <w:bCs/>
                <w:sz w:val="20"/>
              </w:rPr>
              <w:t>Other analyses</w:t>
            </w:r>
            <w:bookmarkEnd w:id="81"/>
            <w:bookmarkEnd w:id="82"/>
          </w:p>
        </w:tc>
        <w:tc>
          <w:tcPr>
            <w:tcW w:w="328" w:type="pct"/>
            <w:tcBorders>
              <w:top w:val="single" w:sz="4" w:space="0" w:color="auto"/>
              <w:bottom w:val="single" w:sz="4" w:space="0" w:color="auto"/>
            </w:tcBorders>
          </w:tcPr>
          <w:p w14:paraId="5EF243E8" w14:textId="77777777" w:rsidR="005676A9" w:rsidRPr="000142B2" w:rsidRDefault="005676A9" w:rsidP="005676A9">
            <w:pPr>
              <w:tabs>
                <w:tab w:val="left" w:pos="5400"/>
              </w:tabs>
              <w:jc w:val="center"/>
              <w:rPr>
                <w:sz w:val="20"/>
              </w:rPr>
            </w:pPr>
            <w:r w:rsidRPr="000142B2">
              <w:rPr>
                <w:sz w:val="20"/>
              </w:rPr>
              <w:t>17</w:t>
            </w:r>
          </w:p>
        </w:tc>
        <w:tc>
          <w:tcPr>
            <w:tcW w:w="2933" w:type="pct"/>
            <w:tcBorders>
              <w:top w:val="single" w:sz="4" w:space="0" w:color="auto"/>
              <w:bottom w:val="single" w:sz="4" w:space="0" w:color="auto"/>
            </w:tcBorders>
          </w:tcPr>
          <w:p w14:paraId="0F23FBDE" w14:textId="77777777" w:rsidR="005676A9" w:rsidRPr="000142B2" w:rsidRDefault="005676A9" w:rsidP="005676A9">
            <w:pPr>
              <w:tabs>
                <w:tab w:val="left" w:pos="5400"/>
              </w:tabs>
              <w:rPr>
                <w:sz w:val="20"/>
              </w:rPr>
            </w:pPr>
            <w:r w:rsidRPr="000142B2">
              <w:rPr>
                <w:sz w:val="20"/>
              </w:rPr>
              <w:t>Report other analyses done—eg analyses of subgroups and interactions, and sensitivity analyses</w:t>
            </w:r>
          </w:p>
        </w:tc>
        <w:tc>
          <w:tcPr>
            <w:tcW w:w="637" w:type="pct"/>
            <w:tcBorders>
              <w:top w:val="single" w:sz="4" w:space="0" w:color="auto"/>
              <w:bottom w:val="single" w:sz="4" w:space="0" w:color="auto"/>
            </w:tcBorders>
          </w:tcPr>
          <w:p w14:paraId="72822C4B" w14:textId="77777777" w:rsidR="005676A9" w:rsidRPr="000142B2" w:rsidRDefault="005676A9" w:rsidP="005676A9">
            <w:pPr>
              <w:tabs>
                <w:tab w:val="left" w:pos="5400"/>
              </w:tabs>
              <w:jc w:val="center"/>
              <w:rPr>
                <w:sz w:val="20"/>
              </w:rPr>
            </w:pPr>
            <w:r>
              <w:rPr>
                <w:sz w:val="20"/>
              </w:rPr>
              <w:t>/2</w:t>
            </w:r>
          </w:p>
        </w:tc>
      </w:tr>
      <w:tr w:rsidR="005676A9" w:rsidRPr="000142B2" w14:paraId="25F4962D" w14:textId="77777777" w:rsidTr="005676A9">
        <w:tc>
          <w:tcPr>
            <w:tcW w:w="4363" w:type="pct"/>
            <w:gridSpan w:val="3"/>
            <w:tcBorders>
              <w:top w:val="single" w:sz="4" w:space="0" w:color="auto"/>
            </w:tcBorders>
          </w:tcPr>
          <w:p w14:paraId="5EC26F87" w14:textId="77777777" w:rsidR="005676A9" w:rsidRPr="000142B2" w:rsidRDefault="005676A9" w:rsidP="005676A9">
            <w:pPr>
              <w:pStyle w:val="TableSubHead"/>
              <w:tabs>
                <w:tab w:val="left" w:pos="5400"/>
              </w:tabs>
              <w:rPr>
                <w:sz w:val="20"/>
              </w:rPr>
            </w:pPr>
            <w:bookmarkStart w:id="83" w:name="italic44"/>
            <w:bookmarkStart w:id="84" w:name="bold45"/>
            <w:r w:rsidRPr="000142B2">
              <w:rPr>
                <w:sz w:val="20"/>
              </w:rPr>
              <w:t>Discussion</w:t>
            </w:r>
            <w:bookmarkEnd w:id="83"/>
            <w:bookmarkEnd w:id="84"/>
          </w:p>
        </w:tc>
        <w:tc>
          <w:tcPr>
            <w:tcW w:w="637" w:type="pct"/>
            <w:tcBorders>
              <w:top w:val="single" w:sz="4" w:space="0" w:color="auto"/>
            </w:tcBorders>
          </w:tcPr>
          <w:p w14:paraId="643D7D16" w14:textId="77777777" w:rsidR="005676A9" w:rsidRPr="000142B2" w:rsidRDefault="005676A9" w:rsidP="005676A9">
            <w:pPr>
              <w:pStyle w:val="TableSubHead"/>
              <w:tabs>
                <w:tab w:val="left" w:pos="5400"/>
              </w:tabs>
              <w:jc w:val="center"/>
              <w:rPr>
                <w:sz w:val="20"/>
              </w:rPr>
            </w:pPr>
          </w:p>
        </w:tc>
      </w:tr>
      <w:tr w:rsidR="005676A9" w:rsidRPr="000142B2" w14:paraId="7A943906" w14:textId="77777777" w:rsidTr="005676A9">
        <w:tc>
          <w:tcPr>
            <w:tcW w:w="1101" w:type="pct"/>
          </w:tcPr>
          <w:p w14:paraId="33320661" w14:textId="77777777" w:rsidR="005676A9" w:rsidRPr="000142B2" w:rsidRDefault="005676A9" w:rsidP="005676A9">
            <w:pPr>
              <w:tabs>
                <w:tab w:val="left" w:pos="5400"/>
              </w:tabs>
              <w:rPr>
                <w:bCs/>
                <w:sz w:val="20"/>
              </w:rPr>
            </w:pPr>
            <w:bookmarkStart w:id="85" w:name="italic45" w:colFirst="0" w:colLast="0"/>
            <w:bookmarkStart w:id="86" w:name="bold46" w:colFirst="0" w:colLast="0"/>
            <w:r w:rsidRPr="000142B2">
              <w:rPr>
                <w:bCs/>
                <w:sz w:val="20"/>
              </w:rPr>
              <w:t>Key results</w:t>
            </w:r>
          </w:p>
        </w:tc>
        <w:tc>
          <w:tcPr>
            <w:tcW w:w="328" w:type="pct"/>
          </w:tcPr>
          <w:p w14:paraId="212B7C66" w14:textId="77777777" w:rsidR="005676A9" w:rsidRPr="000142B2" w:rsidRDefault="005676A9" w:rsidP="005676A9">
            <w:pPr>
              <w:tabs>
                <w:tab w:val="left" w:pos="5400"/>
              </w:tabs>
              <w:jc w:val="center"/>
              <w:rPr>
                <w:sz w:val="20"/>
              </w:rPr>
            </w:pPr>
            <w:r w:rsidRPr="000142B2">
              <w:rPr>
                <w:sz w:val="20"/>
              </w:rPr>
              <w:t>18</w:t>
            </w:r>
          </w:p>
        </w:tc>
        <w:tc>
          <w:tcPr>
            <w:tcW w:w="2933" w:type="pct"/>
          </w:tcPr>
          <w:p w14:paraId="1C5021A2" w14:textId="77777777" w:rsidR="005676A9" w:rsidRPr="000142B2" w:rsidRDefault="005676A9" w:rsidP="005676A9">
            <w:pPr>
              <w:tabs>
                <w:tab w:val="left" w:pos="5400"/>
              </w:tabs>
              <w:rPr>
                <w:sz w:val="20"/>
              </w:rPr>
            </w:pPr>
            <w:r w:rsidRPr="000142B2">
              <w:rPr>
                <w:sz w:val="20"/>
              </w:rPr>
              <w:t>Summarise key results with reference to study objectives</w:t>
            </w:r>
          </w:p>
        </w:tc>
        <w:tc>
          <w:tcPr>
            <w:tcW w:w="637" w:type="pct"/>
          </w:tcPr>
          <w:p w14:paraId="49270FC1" w14:textId="77777777" w:rsidR="005676A9" w:rsidRPr="000142B2" w:rsidRDefault="005676A9" w:rsidP="005676A9">
            <w:pPr>
              <w:tabs>
                <w:tab w:val="left" w:pos="5400"/>
              </w:tabs>
              <w:jc w:val="center"/>
              <w:rPr>
                <w:sz w:val="20"/>
              </w:rPr>
            </w:pPr>
            <w:r>
              <w:rPr>
                <w:sz w:val="20"/>
              </w:rPr>
              <w:t>/1</w:t>
            </w:r>
          </w:p>
        </w:tc>
      </w:tr>
      <w:tr w:rsidR="005676A9" w:rsidRPr="000142B2" w14:paraId="27F27215" w14:textId="77777777" w:rsidTr="005676A9">
        <w:tc>
          <w:tcPr>
            <w:tcW w:w="1101" w:type="pct"/>
          </w:tcPr>
          <w:p w14:paraId="235C9A2F" w14:textId="77777777" w:rsidR="005676A9" w:rsidRPr="000142B2" w:rsidRDefault="005676A9" w:rsidP="005676A9">
            <w:pPr>
              <w:tabs>
                <w:tab w:val="left" w:pos="5400"/>
              </w:tabs>
              <w:rPr>
                <w:bCs/>
                <w:sz w:val="20"/>
              </w:rPr>
            </w:pPr>
            <w:bookmarkStart w:id="87" w:name="italic46" w:colFirst="0" w:colLast="0"/>
            <w:bookmarkStart w:id="88" w:name="bold47" w:colFirst="0" w:colLast="0"/>
            <w:bookmarkEnd w:id="85"/>
            <w:bookmarkEnd w:id="86"/>
            <w:r w:rsidRPr="000142B2">
              <w:rPr>
                <w:bCs/>
                <w:sz w:val="20"/>
              </w:rPr>
              <w:t>Limitations</w:t>
            </w:r>
          </w:p>
        </w:tc>
        <w:tc>
          <w:tcPr>
            <w:tcW w:w="328" w:type="pct"/>
          </w:tcPr>
          <w:p w14:paraId="3293D26B" w14:textId="77777777" w:rsidR="005676A9" w:rsidRPr="000142B2" w:rsidRDefault="005676A9" w:rsidP="005676A9">
            <w:pPr>
              <w:tabs>
                <w:tab w:val="left" w:pos="5400"/>
              </w:tabs>
              <w:jc w:val="center"/>
              <w:rPr>
                <w:sz w:val="20"/>
              </w:rPr>
            </w:pPr>
            <w:r w:rsidRPr="000142B2">
              <w:rPr>
                <w:sz w:val="20"/>
              </w:rPr>
              <w:t>19</w:t>
            </w:r>
          </w:p>
        </w:tc>
        <w:tc>
          <w:tcPr>
            <w:tcW w:w="2933" w:type="pct"/>
          </w:tcPr>
          <w:p w14:paraId="6BFC2870" w14:textId="77777777" w:rsidR="005676A9" w:rsidRPr="000142B2" w:rsidRDefault="005676A9" w:rsidP="005676A9">
            <w:pPr>
              <w:tabs>
                <w:tab w:val="left" w:pos="5400"/>
              </w:tabs>
              <w:rPr>
                <w:sz w:val="20"/>
              </w:rPr>
            </w:pPr>
            <w:r w:rsidRPr="000142B2">
              <w:rPr>
                <w:sz w:val="20"/>
              </w:rPr>
              <w:t>Discuss limitations of the study, taking into account sources of potential bias or imprecision. Discuss both direction and magnitude of any potential bias</w:t>
            </w:r>
          </w:p>
        </w:tc>
        <w:tc>
          <w:tcPr>
            <w:tcW w:w="637" w:type="pct"/>
          </w:tcPr>
          <w:p w14:paraId="43A83B29" w14:textId="77777777" w:rsidR="005676A9" w:rsidRPr="000142B2" w:rsidRDefault="005676A9" w:rsidP="005676A9">
            <w:pPr>
              <w:tabs>
                <w:tab w:val="left" w:pos="5400"/>
              </w:tabs>
              <w:jc w:val="center"/>
              <w:rPr>
                <w:sz w:val="20"/>
              </w:rPr>
            </w:pPr>
            <w:r>
              <w:rPr>
                <w:sz w:val="20"/>
              </w:rPr>
              <w:t>/3</w:t>
            </w:r>
          </w:p>
        </w:tc>
      </w:tr>
      <w:tr w:rsidR="005676A9" w:rsidRPr="000142B2" w14:paraId="1A54C4A1" w14:textId="77777777" w:rsidTr="005676A9">
        <w:tc>
          <w:tcPr>
            <w:tcW w:w="1101" w:type="pct"/>
          </w:tcPr>
          <w:p w14:paraId="1B0F4F78" w14:textId="77777777" w:rsidR="005676A9" w:rsidRPr="000142B2" w:rsidRDefault="005676A9" w:rsidP="005676A9">
            <w:pPr>
              <w:tabs>
                <w:tab w:val="left" w:pos="5400"/>
              </w:tabs>
              <w:rPr>
                <w:bCs/>
                <w:sz w:val="20"/>
              </w:rPr>
            </w:pPr>
            <w:bookmarkStart w:id="89" w:name="italic47" w:colFirst="0" w:colLast="0"/>
            <w:bookmarkStart w:id="90" w:name="bold48" w:colFirst="0" w:colLast="0"/>
            <w:bookmarkEnd w:id="87"/>
            <w:bookmarkEnd w:id="88"/>
            <w:r w:rsidRPr="000142B2">
              <w:rPr>
                <w:bCs/>
                <w:sz w:val="20"/>
              </w:rPr>
              <w:t>Interpretation</w:t>
            </w:r>
          </w:p>
        </w:tc>
        <w:tc>
          <w:tcPr>
            <w:tcW w:w="328" w:type="pct"/>
          </w:tcPr>
          <w:p w14:paraId="35687F25" w14:textId="77777777" w:rsidR="005676A9" w:rsidRPr="000142B2" w:rsidRDefault="005676A9" w:rsidP="005676A9">
            <w:pPr>
              <w:tabs>
                <w:tab w:val="left" w:pos="5400"/>
              </w:tabs>
              <w:jc w:val="center"/>
              <w:rPr>
                <w:sz w:val="20"/>
              </w:rPr>
            </w:pPr>
            <w:r w:rsidRPr="000142B2">
              <w:rPr>
                <w:sz w:val="20"/>
              </w:rPr>
              <w:t>20</w:t>
            </w:r>
          </w:p>
        </w:tc>
        <w:tc>
          <w:tcPr>
            <w:tcW w:w="2933" w:type="pct"/>
          </w:tcPr>
          <w:p w14:paraId="04E26C09" w14:textId="77777777" w:rsidR="005676A9" w:rsidRPr="000142B2" w:rsidRDefault="005676A9" w:rsidP="005676A9">
            <w:pPr>
              <w:tabs>
                <w:tab w:val="left" w:pos="5400"/>
              </w:tabs>
              <w:rPr>
                <w:sz w:val="20"/>
              </w:rPr>
            </w:pPr>
            <w:r w:rsidRPr="000142B2">
              <w:rPr>
                <w:sz w:val="20"/>
              </w:rPr>
              <w:t>Give a cautious overall interpretation of results considering objectives, limitations, multiplicity of analyses, results from similar studies, and other relevant evidence</w:t>
            </w:r>
          </w:p>
        </w:tc>
        <w:tc>
          <w:tcPr>
            <w:tcW w:w="637" w:type="pct"/>
          </w:tcPr>
          <w:p w14:paraId="7D575495" w14:textId="77777777" w:rsidR="005676A9" w:rsidRPr="000142B2" w:rsidRDefault="005676A9" w:rsidP="005676A9">
            <w:pPr>
              <w:tabs>
                <w:tab w:val="left" w:pos="5400"/>
              </w:tabs>
              <w:jc w:val="center"/>
              <w:rPr>
                <w:sz w:val="20"/>
              </w:rPr>
            </w:pPr>
            <w:r>
              <w:rPr>
                <w:sz w:val="20"/>
              </w:rPr>
              <w:t>/5</w:t>
            </w:r>
          </w:p>
        </w:tc>
      </w:tr>
      <w:tr w:rsidR="005676A9" w:rsidRPr="000142B2" w14:paraId="4A80CB2C" w14:textId="77777777" w:rsidTr="005676A9">
        <w:tc>
          <w:tcPr>
            <w:tcW w:w="1101" w:type="pct"/>
          </w:tcPr>
          <w:p w14:paraId="41080890" w14:textId="77777777" w:rsidR="005676A9" w:rsidRPr="000142B2" w:rsidRDefault="005676A9" w:rsidP="005676A9">
            <w:pPr>
              <w:tabs>
                <w:tab w:val="left" w:pos="5400"/>
              </w:tabs>
              <w:rPr>
                <w:bCs/>
                <w:sz w:val="20"/>
              </w:rPr>
            </w:pPr>
            <w:bookmarkStart w:id="91" w:name="italic48" w:colFirst="0" w:colLast="0"/>
            <w:bookmarkStart w:id="92" w:name="bold49" w:colFirst="0" w:colLast="0"/>
            <w:bookmarkEnd w:id="89"/>
            <w:bookmarkEnd w:id="90"/>
            <w:r w:rsidRPr="000142B2">
              <w:rPr>
                <w:bCs/>
                <w:sz w:val="20"/>
              </w:rPr>
              <w:t>Generalisability</w:t>
            </w:r>
          </w:p>
        </w:tc>
        <w:tc>
          <w:tcPr>
            <w:tcW w:w="328" w:type="pct"/>
          </w:tcPr>
          <w:p w14:paraId="6C3D5F5E" w14:textId="77777777" w:rsidR="005676A9" w:rsidRPr="000142B2" w:rsidRDefault="005676A9" w:rsidP="005676A9">
            <w:pPr>
              <w:tabs>
                <w:tab w:val="left" w:pos="5400"/>
              </w:tabs>
              <w:jc w:val="center"/>
              <w:rPr>
                <w:sz w:val="20"/>
              </w:rPr>
            </w:pPr>
            <w:r w:rsidRPr="000142B2">
              <w:rPr>
                <w:sz w:val="20"/>
              </w:rPr>
              <w:t>21</w:t>
            </w:r>
          </w:p>
        </w:tc>
        <w:tc>
          <w:tcPr>
            <w:tcW w:w="2933" w:type="pct"/>
          </w:tcPr>
          <w:p w14:paraId="098077F0" w14:textId="77777777" w:rsidR="005676A9" w:rsidRPr="000142B2" w:rsidRDefault="005676A9" w:rsidP="005676A9">
            <w:pPr>
              <w:tabs>
                <w:tab w:val="left" w:pos="5400"/>
              </w:tabs>
              <w:rPr>
                <w:sz w:val="20"/>
              </w:rPr>
            </w:pPr>
            <w:r w:rsidRPr="000142B2">
              <w:rPr>
                <w:sz w:val="20"/>
              </w:rPr>
              <w:t>Discuss the generalisability (external validity) of the study results</w:t>
            </w:r>
          </w:p>
        </w:tc>
        <w:tc>
          <w:tcPr>
            <w:tcW w:w="637" w:type="pct"/>
          </w:tcPr>
          <w:p w14:paraId="2085DD20" w14:textId="77777777" w:rsidR="005676A9" w:rsidRPr="000142B2" w:rsidRDefault="005676A9" w:rsidP="005676A9">
            <w:pPr>
              <w:tabs>
                <w:tab w:val="left" w:pos="5400"/>
              </w:tabs>
              <w:jc w:val="center"/>
              <w:rPr>
                <w:sz w:val="20"/>
              </w:rPr>
            </w:pPr>
            <w:r>
              <w:rPr>
                <w:sz w:val="20"/>
              </w:rPr>
              <w:t>/1</w:t>
            </w:r>
          </w:p>
        </w:tc>
      </w:tr>
      <w:tr w:rsidR="005676A9" w:rsidRPr="000142B2" w14:paraId="13AC4C6D" w14:textId="77777777" w:rsidTr="005676A9">
        <w:tc>
          <w:tcPr>
            <w:tcW w:w="4363" w:type="pct"/>
            <w:gridSpan w:val="3"/>
            <w:tcBorders>
              <w:bottom w:val="single" w:sz="4" w:space="0" w:color="auto"/>
            </w:tcBorders>
          </w:tcPr>
          <w:p w14:paraId="49FF39D1" w14:textId="77777777" w:rsidR="005676A9" w:rsidRPr="000142B2" w:rsidRDefault="005676A9" w:rsidP="005676A9">
            <w:pPr>
              <w:pStyle w:val="TableSubHead"/>
              <w:tabs>
                <w:tab w:val="left" w:pos="5400"/>
              </w:tabs>
              <w:rPr>
                <w:sz w:val="20"/>
              </w:rPr>
            </w:pPr>
            <w:bookmarkStart w:id="93" w:name="italic49"/>
            <w:bookmarkStart w:id="94" w:name="bold50"/>
            <w:bookmarkEnd w:id="91"/>
            <w:bookmarkEnd w:id="92"/>
            <w:r w:rsidRPr="000142B2">
              <w:rPr>
                <w:sz w:val="20"/>
              </w:rPr>
              <w:t>Other information</w:t>
            </w:r>
            <w:bookmarkEnd w:id="93"/>
            <w:bookmarkEnd w:id="94"/>
          </w:p>
        </w:tc>
        <w:tc>
          <w:tcPr>
            <w:tcW w:w="637" w:type="pct"/>
            <w:tcBorders>
              <w:bottom w:val="single" w:sz="4" w:space="0" w:color="auto"/>
            </w:tcBorders>
          </w:tcPr>
          <w:p w14:paraId="5F59D0CE" w14:textId="77777777" w:rsidR="005676A9" w:rsidRPr="000142B2" w:rsidRDefault="005676A9" w:rsidP="005676A9">
            <w:pPr>
              <w:pStyle w:val="TableSubHead"/>
              <w:tabs>
                <w:tab w:val="left" w:pos="5400"/>
              </w:tabs>
              <w:jc w:val="center"/>
              <w:rPr>
                <w:sz w:val="20"/>
              </w:rPr>
            </w:pPr>
          </w:p>
        </w:tc>
      </w:tr>
      <w:tr w:rsidR="005676A9" w:rsidRPr="000142B2" w14:paraId="0FC95A91" w14:textId="77777777" w:rsidTr="005676A9">
        <w:tc>
          <w:tcPr>
            <w:tcW w:w="1101" w:type="pct"/>
            <w:tcBorders>
              <w:top w:val="single" w:sz="4" w:space="0" w:color="auto"/>
              <w:bottom w:val="single" w:sz="4" w:space="0" w:color="auto"/>
            </w:tcBorders>
          </w:tcPr>
          <w:p w14:paraId="53FCA00D" w14:textId="77777777" w:rsidR="005676A9" w:rsidRPr="000142B2" w:rsidRDefault="005676A9" w:rsidP="005676A9">
            <w:pPr>
              <w:tabs>
                <w:tab w:val="left" w:pos="5400"/>
              </w:tabs>
              <w:rPr>
                <w:bCs/>
                <w:sz w:val="20"/>
              </w:rPr>
            </w:pPr>
            <w:bookmarkStart w:id="95" w:name="italic50" w:colFirst="0" w:colLast="0"/>
            <w:bookmarkStart w:id="96" w:name="bold51" w:colFirst="0" w:colLast="0"/>
            <w:r w:rsidRPr="000142B2">
              <w:rPr>
                <w:bCs/>
                <w:sz w:val="20"/>
              </w:rPr>
              <w:t>Funding</w:t>
            </w:r>
          </w:p>
        </w:tc>
        <w:tc>
          <w:tcPr>
            <w:tcW w:w="328" w:type="pct"/>
            <w:tcBorders>
              <w:top w:val="single" w:sz="4" w:space="0" w:color="auto"/>
              <w:bottom w:val="single" w:sz="4" w:space="0" w:color="auto"/>
            </w:tcBorders>
          </w:tcPr>
          <w:p w14:paraId="1D95043E" w14:textId="77777777" w:rsidR="005676A9" w:rsidRPr="000142B2" w:rsidRDefault="005676A9" w:rsidP="005676A9">
            <w:pPr>
              <w:tabs>
                <w:tab w:val="left" w:pos="5400"/>
              </w:tabs>
              <w:jc w:val="center"/>
              <w:rPr>
                <w:sz w:val="20"/>
              </w:rPr>
            </w:pPr>
            <w:r w:rsidRPr="000142B2">
              <w:rPr>
                <w:sz w:val="20"/>
              </w:rPr>
              <w:t>22</w:t>
            </w:r>
          </w:p>
        </w:tc>
        <w:tc>
          <w:tcPr>
            <w:tcW w:w="2933" w:type="pct"/>
            <w:tcBorders>
              <w:top w:val="single" w:sz="4" w:space="0" w:color="auto"/>
              <w:bottom w:val="single" w:sz="4" w:space="0" w:color="auto"/>
            </w:tcBorders>
          </w:tcPr>
          <w:p w14:paraId="78D0791D" w14:textId="77777777" w:rsidR="005676A9" w:rsidRPr="000142B2" w:rsidRDefault="005676A9" w:rsidP="005676A9">
            <w:pPr>
              <w:tabs>
                <w:tab w:val="left" w:pos="5400"/>
              </w:tabs>
              <w:rPr>
                <w:sz w:val="20"/>
              </w:rPr>
            </w:pPr>
            <w:r w:rsidRPr="000142B2">
              <w:rPr>
                <w:sz w:val="20"/>
              </w:rPr>
              <w:t>Give the source of funding and the role of the funders for the present study and, if applicable, for the original study on which the present article is based</w:t>
            </w:r>
          </w:p>
        </w:tc>
        <w:tc>
          <w:tcPr>
            <w:tcW w:w="637" w:type="pct"/>
            <w:tcBorders>
              <w:top w:val="single" w:sz="4" w:space="0" w:color="auto"/>
              <w:bottom w:val="single" w:sz="4" w:space="0" w:color="auto"/>
            </w:tcBorders>
          </w:tcPr>
          <w:p w14:paraId="70C34F62" w14:textId="77777777" w:rsidR="005676A9" w:rsidRPr="000142B2" w:rsidRDefault="005676A9" w:rsidP="005676A9">
            <w:pPr>
              <w:tabs>
                <w:tab w:val="left" w:pos="5400"/>
              </w:tabs>
              <w:jc w:val="center"/>
              <w:rPr>
                <w:sz w:val="20"/>
              </w:rPr>
            </w:pPr>
            <w:r>
              <w:rPr>
                <w:sz w:val="20"/>
              </w:rPr>
              <w:t>/2</w:t>
            </w:r>
          </w:p>
        </w:tc>
      </w:tr>
      <w:tr w:rsidR="005676A9" w:rsidRPr="000142B2" w14:paraId="400FCD60" w14:textId="77777777" w:rsidTr="005676A9">
        <w:tc>
          <w:tcPr>
            <w:tcW w:w="1101" w:type="pct"/>
            <w:tcBorders>
              <w:top w:val="single" w:sz="4" w:space="0" w:color="auto"/>
              <w:bottom w:val="single" w:sz="4" w:space="0" w:color="auto"/>
            </w:tcBorders>
          </w:tcPr>
          <w:p w14:paraId="3AA418CF" w14:textId="77777777" w:rsidR="005676A9" w:rsidRPr="000142B2" w:rsidRDefault="005676A9" w:rsidP="005676A9">
            <w:pPr>
              <w:tabs>
                <w:tab w:val="left" w:pos="5400"/>
              </w:tabs>
              <w:rPr>
                <w:bCs/>
                <w:sz w:val="20"/>
              </w:rPr>
            </w:pPr>
            <w:r>
              <w:rPr>
                <w:bCs/>
                <w:sz w:val="20"/>
              </w:rPr>
              <w:t>TOTAL</w:t>
            </w:r>
          </w:p>
        </w:tc>
        <w:tc>
          <w:tcPr>
            <w:tcW w:w="328" w:type="pct"/>
            <w:tcBorders>
              <w:top w:val="single" w:sz="4" w:space="0" w:color="auto"/>
              <w:bottom w:val="single" w:sz="4" w:space="0" w:color="auto"/>
            </w:tcBorders>
          </w:tcPr>
          <w:p w14:paraId="44589684" w14:textId="77777777" w:rsidR="005676A9" w:rsidRPr="000142B2" w:rsidRDefault="005676A9" w:rsidP="005676A9">
            <w:pPr>
              <w:tabs>
                <w:tab w:val="left" w:pos="5400"/>
              </w:tabs>
              <w:jc w:val="center"/>
              <w:rPr>
                <w:sz w:val="20"/>
              </w:rPr>
            </w:pPr>
          </w:p>
        </w:tc>
        <w:tc>
          <w:tcPr>
            <w:tcW w:w="2933" w:type="pct"/>
            <w:tcBorders>
              <w:top w:val="single" w:sz="4" w:space="0" w:color="auto"/>
              <w:bottom w:val="single" w:sz="4" w:space="0" w:color="auto"/>
            </w:tcBorders>
          </w:tcPr>
          <w:p w14:paraId="15930D36" w14:textId="77777777" w:rsidR="005676A9" w:rsidRPr="000142B2" w:rsidRDefault="005676A9" w:rsidP="005676A9">
            <w:pPr>
              <w:tabs>
                <w:tab w:val="left" w:pos="5400"/>
              </w:tabs>
              <w:rPr>
                <w:sz w:val="20"/>
              </w:rPr>
            </w:pPr>
          </w:p>
        </w:tc>
        <w:tc>
          <w:tcPr>
            <w:tcW w:w="637" w:type="pct"/>
            <w:tcBorders>
              <w:top w:val="single" w:sz="4" w:space="0" w:color="auto"/>
              <w:bottom w:val="single" w:sz="4" w:space="0" w:color="auto"/>
            </w:tcBorders>
          </w:tcPr>
          <w:p w14:paraId="456EA07E" w14:textId="77777777" w:rsidR="005676A9" w:rsidRDefault="005676A9" w:rsidP="005676A9">
            <w:pPr>
              <w:tabs>
                <w:tab w:val="left" w:pos="5400"/>
              </w:tabs>
              <w:jc w:val="center"/>
              <w:rPr>
                <w:sz w:val="20"/>
              </w:rPr>
            </w:pPr>
            <w:r>
              <w:rPr>
                <w:sz w:val="20"/>
              </w:rPr>
              <w:t>/70</w:t>
            </w:r>
          </w:p>
        </w:tc>
      </w:tr>
      <w:bookmarkEnd w:id="95"/>
      <w:bookmarkEnd w:id="96"/>
    </w:tbl>
    <w:p w14:paraId="3946C048" w14:textId="77777777" w:rsidR="005676A9" w:rsidRPr="000142B2" w:rsidRDefault="005676A9" w:rsidP="005676A9">
      <w:pPr>
        <w:pStyle w:val="TableNote"/>
        <w:tabs>
          <w:tab w:val="left" w:pos="5400"/>
        </w:tabs>
        <w:rPr>
          <w:bCs/>
          <w:sz w:val="20"/>
        </w:rPr>
      </w:pPr>
    </w:p>
    <w:p w14:paraId="6A4B4CEA" w14:textId="77777777" w:rsidR="005676A9" w:rsidRPr="000142B2" w:rsidRDefault="005676A9" w:rsidP="005676A9">
      <w:pPr>
        <w:pStyle w:val="TableNote"/>
        <w:tabs>
          <w:tab w:val="left" w:pos="5400"/>
        </w:tabs>
        <w:rPr>
          <w:sz w:val="20"/>
        </w:rPr>
      </w:pPr>
      <w:r w:rsidRPr="000142B2">
        <w:rPr>
          <w:bCs/>
          <w:sz w:val="20"/>
        </w:rPr>
        <w:t>*</w:t>
      </w:r>
      <w:r w:rsidRPr="000142B2">
        <w:rPr>
          <w:sz w:val="20"/>
        </w:rPr>
        <w:t>Give information separately f</w:t>
      </w:r>
      <w:r>
        <w:rPr>
          <w:sz w:val="20"/>
        </w:rPr>
        <w:t>or exposed and unexposed groups.</w:t>
      </w:r>
    </w:p>
    <w:p w14:paraId="65D2A724" w14:textId="77777777" w:rsidR="005676A9" w:rsidRPr="000142B2" w:rsidRDefault="005676A9" w:rsidP="005676A9">
      <w:pPr>
        <w:pStyle w:val="TableNote"/>
        <w:tabs>
          <w:tab w:val="left" w:pos="5400"/>
        </w:tabs>
        <w:rPr>
          <w:sz w:val="20"/>
        </w:rPr>
      </w:pPr>
    </w:p>
    <w:p w14:paraId="5D62ECC3" w14:textId="77777777" w:rsidR="005676A9" w:rsidRPr="0037443F" w:rsidRDefault="005676A9" w:rsidP="005676A9">
      <w:pPr>
        <w:pStyle w:val="TableNote"/>
        <w:tabs>
          <w:tab w:val="left" w:pos="5400"/>
        </w:tabs>
        <w:rPr>
          <w:sz w:val="20"/>
        </w:rPr>
      </w:pPr>
      <w:r w:rsidRPr="004B7127">
        <w:rPr>
          <w:b/>
          <w:sz w:val="20"/>
        </w:rPr>
        <w:t>Note:</w:t>
      </w:r>
      <w:r w:rsidRPr="000142B2">
        <w:rPr>
          <w:sz w:val="20"/>
        </w:rPr>
        <w:t xml:space="preserve"> An Explanation and Elaboration article discusses each checklist item and gives methodological background and published examples of transparent reporting. The STROBE checklist is best used in conjunction with this article (freely available on the Web sites of PLoS Medicine at http://www.plosmedicine.org/, Annals of Internal Medicine at http://www.annals.org/, and Epidemiology at </w:t>
      </w:r>
      <w:r w:rsidRPr="0037443F">
        <w:rPr>
          <w:sz w:val="20"/>
        </w:rPr>
        <w:t>http://www.epidem.com/</w:t>
      </w:r>
      <w:r w:rsidRPr="000142B2">
        <w:rPr>
          <w:sz w:val="20"/>
        </w:rPr>
        <w:t xml:space="preserve">). Information on the STROBE Initiative is available at </w:t>
      </w:r>
      <w:r w:rsidRPr="0037443F">
        <w:rPr>
          <w:sz w:val="20"/>
        </w:rPr>
        <w:t>http://</w:t>
      </w:r>
      <w:r w:rsidRPr="0037443F">
        <w:rPr>
          <w:rStyle w:val="URL"/>
          <w:sz w:val="20"/>
        </w:rPr>
        <w:t>www.strobe-statement.org</w:t>
      </w:r>
      <w:r w:rsidRPr="0037443F">
        <w:rPr>
          <w:sz w:val="20"/>
        </w:rPr>
        <w:t>.</w:t>
      </w:r>
    </w:p>
    <w:p w14:paraId="3721E921" w14:textId="77777777" w:rsidR="005676A9" w:rsidRPr="000142B2" w:rsidRDefault="005676A9" w:rsidP="005676A9">
      <w:pPr>
        <w:pStyle w:val="TableNote"/>
        <w:tabs>
          <w:tab w:val="left" w:pos="5400"/>
        </w:tabs>
        <w:rPr>
          <w:sz w:val="20"/>
        </w:rPr>
      </w:pPr>
    </w:p>
    <w:p w14:paraId="7596F3CE" w14:textId="77777777" w:rsidR="005676A9" w:rsidRDefault="005676A9"/>
    <w:sectPr w:rsidR="005676A9" w:rsidSect="00397FF8">
      <w:pgSz w:w="11900" w:h="16840"/>
      <w:pgMar w:top="1440" w:right="1134" w:bottom="1440" w:left="2268" w:header="709" w:footer="709"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29895A38" w14:textId="77777777" w:rsidR="00397FF8" w:rsidRDefault="00397FF8" w:rsidP="007952F8">
      <w:r>
        <w:separator/>
      </w:r>
    </w:p>
  </w:endnote>
  <w:endnote w:type="continuationSeparator" w:id="0">
    <w:p w14:paraId="4ADBD447" w14:textId="77777777" w:rsidR="00397FF8" w:rsidRDefault="00397FF8" w:rsidP="007952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00000001" w:usb1="08070000" w:usb2="00000010" w:usb3="00000000" w:csb0="00020000"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Georgia">
    <w:panose1 w:val="02040502050405020303"/>
    <w:charset w:val="00"/>
    <w:family w:val="auto"/>
    <w:pitch w:val="variable"/>
    <w:sig w:usb0="00000003" w:usb1="00000000" w:usb2="00000000" w:usb3="00000000" w:csb0="00000001" w:csb1="00000000"/>
  </w:font>
  <w:font w:name="Baskerville">
    <w:panose1 w:val="02020502070401020303"/>
    <w:charset w:val="00"/>
    <w:family w:val="auto"/>
    <w:pitch w:val="variable"/>
    <w:sig w:usb0="80000063" w:usb1="00000000" w:usb2="00000000" w:usb3="00000000" w:csb0="000001FB" w:csb1="00000000"/>
  </w:font>
  <w:font w:name="Symbol">
    <w:panose1 w:val="00000000000000000000"/>
    <w:charset w:val="02"/>
    <w:family w:val="auto"/>
    <w:pitch w:val="variable"/>
    <w:sig w:usb0="00000000" w:usb1="10000000" w:usb2="00000000" w:usb3="00000000" w:csb0="80000000" w:csb1="00000000"/>
  </w:font>
  <w:font w:name="Verdana">
    <w:panose1 w:val="020B0604030504040204"/>
    <w:charset w:val="00"/>
    <w:family w:val="auto"/>
    <w:pitch w:val="variable"/>
    <w:sig w:usb0="A10006FF" w:usb1="4000205B" w:usb2="00000010" w:usb3="00000000" w:csb0="0000019F" w:csb1="00000000"/>
  </w:font>
  <w:font w:name="Helvetica Neue">
    <w:panose1 w:val="02000503000000020004"/>
    <w:charset w:val="00"/>
    <w:family w:val="auto"/>
    <w:pitch w:val="variable"/>
    <w:sig w:usb0="80000067"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6F1B9B" w14:textId="77777777" w:rsidR="00397FF8" w:rsidRDefault="00397FF8" w:rsidP="00F0461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E82DEF4" w14:textId="77777777" w:rsidR="00397FF8" w:rsidRDefault="00397FF8" w:rsidP="007952F8">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3EC9D6" w14:textId="77777777" w:rsidR="00397FF8" w:rsidRDefault="00397FF8" w:rsidP="00F0461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2C0429">
      <w:rPr>
        <w:rStyle w:val="PageNumber"/>
        <w:noProof/>
      </w:rPr>
      <w:t>i</w:t>
    </w:r>
    <w:r>
      <w:rPr>
        <w:rStyle w:val="PageNumber"/>
      </w:rPr>
      <w:fldChar w:fldCharType="end"/>
    </w:r>
  </w:p>
  <w:p w14:paraId="17D1CFFD" w14:textId="77777777" w:rsidR="00397FF8" w:rsidRDefault="00397FF8" w:rsidP="007952F8">
    <w:pPr>
      <w:pStyle w:val="Footer"/>
      <w:ind w:right="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3AD450" w14:textId="77777777" w:rsidR="00397FF8" w:rsidRDefault="00397FF8" w:rsidP="007952F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24A2A05" w14:textId="77777777" w:rsidR="00397FF8" w:rsidRDefault="00397FF8" w:rsidP="007952F8">
    <w:pPr>
      <w:pStyle w:val="Footer"/>
      <w:ind w:right="360"/>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301202" w14:textId="77777777" w:rsidR="00397FF8" w:rsidRDefault="00397FF8" w:rsidP="007952F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2C0429">
      <w:rPr>
        <w:rStyle w:val="PageNumber"/>
        <w:noProof/>
      </w:rPr>
      <w:t>1</w:t>
    </w:r>
    <w:r>
      <w:rPr>
        <w:rStyle w:val="PageNumber"/>
      </w:rPr>
      <w:fldChar w:fldCharType="end"/>
    </w:r>
  </w:p>
  <w:p w14:paraId="5D99827E" w14:textId="77777777" w:rsidR="00397FF8" w:rsidRDefault="00397FF8" w:rsidP="007952F8">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4B1D17E0" w14:textId="77777777" w:rsidR="00397FF8" w:rsidRDefault="00397FF8" w:rsidP="007952F8">
      <w:r>
        <w:separator/>
      </w:r>
    </w:p>
  </w:footnote>
  <w:footnote w:type="continuationSeparator" w:id="0">
    <w:p w14:paraId="721492B6" w14:textId="77777777" w:rsidR="00397FF8" w:rsidRDefault="00397FF8" w:rsidP="007952F8">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00000001"/>
    <w:multiLevelType w:val="hybridMultilevel"/>
    <w:tmpl w:val="00000001"/>
    <w:lvl w:ilvl="0" w:tplc="00000001">
      <w:start w:val="22"/>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35CF0970"/>
    <w:multiLevelType w:val="hybridMultilevel"/>
    <w:tmpl w:val="C0B8D4AC"/>
    <w:lvl w:ilvl="0" w:tplc="FFFFFFFF">
      <w:start w:val="1"/>
      <w:numFmt w:val="decimal"/>
      <w:lvlText w:val="%1."/>
      <w:lvlJc w:val="left"/>
      <w:pPr>
        <w:tabs>
          <w:tab w:val="num" w:pos="1080"/>
        </w:tabs>
        <w:ind w:left="1080" w:hanging="360"/>
      </w:pPr>
      <w:rPr>
        <w:rFonts w:hint="default"/>
      </w:rPr>
    </w:lvl>
    <w:lvl w:ilvl="1" w:tplc="FFFFFFFF" w:tentative="1">
      <w:start w:val="1"/>
      <w:numFmt w:val="lowerLetter"/>
      <w:lvlText w:val="%2."/>
      <w:lvlJc w:val="left"/>
      <w:pPr>
        <w:tabs>
          <w:tab w:val="num" w:pos="1800"/>
        </w:tabs>
        <w:ind w:left="1800" w:hanging="360"/>
      </w:pPr>
    </w:lvl>
    <w:lvl w:ilvl="2" w:tplc="FFFFFFFF" w:tentative="1">
      <w:start w:val="1"/>
      <w:numFmt w:val="lowerRoman"/>
      <w:lvlText w:val="%3."/>
      <w:lvlJc w:val="right"/>
      <w:pPr>
        <w:tabs>
          <w:tab w:val="num" w:pos="2520"/>
        </w:tabs>
        <w:ind w:left="2520" w:hanging="180"/>
      </w:pPr>
    </w:lvl>
    <w:lvl w:ilvl="3" w:tplc="FFFFFFFF" w:tentative="1">
      <w:start w:val="1"/>
      <w:numFmt w:val="decimal"/>
      <w:lvlText w:val="%4."/>
      <w:lvlJc w:val="left"/>
      <w:pPr>
        <w:tabs>
          <w:tab w:val="num" w:pos="3240"/>
        </w:tabs>
        <w:ind w:left="3240" w:hanging="360"/>
      </w:pPr>
    </w:lvl>
    <w:lvl w:ilvl="4" w:tplc="FFFFFFFF" w:tentative="1">
      <w:start w:val="1"/>
      <w:numFmt w:val="lowerLetter"/>
      <w:lvlText w:val="%5."/>
      <w:lvlJc w:val="left"/>
      <w:pPr>
        <w:tabs>
          <w:tab w:val="num" w:pos="3960"/>
        </w:tabs>
        <w:ind w:left="3960" w:hanging="360"/>
      </w:pPr>
    </w:lvl>
    <w:lvl w:ilvl="5" w:tplc="FFFFFFFF" w:tentative="1">
      <w:start w:val="1"/>
      <w:numFmt w:val="lowerRoman"/>
      <w:lvlText w:val="%6."/>
      <w:lvlJc w:val="right"/>
      <w:pPr>
        <w:tabs>
          <w:tab w:val="num" w:pos="4680"/>
        </w:tabs>
        <w:ind w:left="4680" w:hanging="180"/>
      </w:pPr>
    </w:lvl>
    <w:lvl w:ilvl="6" w:tplc="FFFFFFFF" w:tentative="1">
      <w:start w:val="1"/>
      <w:numFmt w:val="decimal"/>
      <w:lvlText w:val="%7."/>
      <w:lvlJc w:val="left"/>
      <w:pPr>
        <w:tabs>
          <w:tab w:val="num" w:pos="5400"/>
        </w:tabs>
        <w:ind w:left="5400" w:hanging="360"/>
      </w:pPr>
    </w:lvl>
    <w:lvl w:ilvl="7" w:tplc="FFFFFFFF" w:tentative="1">
      <w:start w:val="1"/>
      <w:numFmt w:val="lowerLetter"/>
      <w:lvlText w:val="%8."/>
      <w:lvlJc w:val="left"/>
      <w:pPr>
        <w:tabs>
          <w:tab w:val="num" w:pos="6120"/>
        </w:tabs>
        <w:ind w:left="6120" w:hanging="360"/>
      </w:pPr>
    </w:lvl>
    <w:lvl w:ilvl="8" w:tplc="FFFFFFFF" w:tentative="1">
      <w:start w:val="1"/>
      <w:numFmt w:val="lowerRoman"/>
      <w:lvlText w:val="%9."/>
      <w:lvlJc w:val="right"/>
      <w:pPr>
        <w:tabs>
          <w:tab w:val="num" w:pos="6840"/>
        </w:tabs>
        <w:ind w:left="6840" w:hanging="180"/>
      </w:pPr>
    </w:lvl>
  </w:abstractNum>
  <w:abstractNum w:abstractNumId="2">
    <w:nsid w:val="43612495"/>
    <w:multiLevelType w:val="hybridMultilevel"/>
    <w:tmpl w:val="1F869F3A"/>
    <w:lvl w:ilvl="0" w:tplc="32B0E2F2">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6A434B7D"/>
    <w:multiLevelType w:val="singleLevel"/>
    <w:tmpl w:val="04090015"/>
    <w:lvl w:ilvl="0">
      <w:start w:val="1"/>
      <w:numFmt w:val="upperLetter"/>
      <w:lvlText w:val="%1."/>
      <w:lvlJc w:val="left"/>
      <w:pPr>
        <w:tabs>
          <w:tab w:val="num" w:pos="360"/>
        </w:tabs>
        <w:ind w:left="360" w:hanging="360"/>
      </w:pPr>
      <w:rPr>
        <w:rFonts w:hint="default"/>
      </w:rPr>
    </w:lvl>
  </w:abstractNum>
  <w:num w:numId="1">
    <w:abstractNumId w:val="2"/>
  </w:num>
  <w:num w:numId="2">
    <w:abstractNumId w:val="1"/>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dirty"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1482C"/>
    <w:rsid w:val="0000169F"/>
    <w:rsid w:val="00011A73"/>
    <w:rsid w:val="0002228C"/>
    <w:rsid w:val="00031CD9"/>
    <w:rsid w:val="000342E9"/>
    <w:rsid w:val="00034E54"/>
    <w:rsid w:val="000361A9"/>
    <w:rsid w:val="00036476"/>
    <w:rsid w:val="000450F2"/>
    <w:rsid w:val="00056A11"/>
    <w:rsid w:val="00066C36"/>
    <w:rsid w:val="00071820"/>
    <w:rsid w:val="00071CA2"/>
    <w:rsid w:val="00086892"/>
    <w:rsid w:val="00091193"/>
    <w:rsid w:val="00091FF1"/>
    <w:rsid w:val="000A0DB8"/>
    <w:rsid w:val="000A3745"/>
    <w:rsid w:val="000B2AFB"/>
    <w:rsid w:val="000B5FAD"/>
    <w:rsid w:val="000B642E"/>
    <w:rsid w:val="000C2BAA"/>
    <w:rsid w:val="000C4891"/>
    <w:rsid w:val="000C7215"/>
    <w:rsid w:val="000D1FEE"/>
    <w:rsid w:val="000D3121"/>
    <w:rsid w:val="000D6EAD"/>
    <w:rsid w:val="000E1FC7"/>
    <w:rsid w:val="000E2E9E"/>
    <w:rsid w:val="00104044"/>
    <w:rsid w:val="001304EE"/>
    <w:rsid w:val="00142A05"/>
    <w:rsid w:val="0014640D"/>
    <w:rsid w:val="0015016B"/>
    <w:rsid w:val="0015098B"/>
    <w:rsid w:val="00155C61"/>
    <w:rsid w:val="001602B6"/>
    <w:rsid w:val="00162B3A"/>
    <w:rsid w:val="00190362"/>
    <w:rsid w:val="00196479"/>
    <w:rsid w:val="001A1CED"/>
    <w:rsid w:val="001B2C11"/>
    <w:rsid w:val="001B4757"/>
    <w:rsid w:val="001C0052"/>
    <w:rsid w:val="001C256E"/>
    <w:rsid w:val="001C6CB8"/>
    <w:rsid w:val="001D1CBE"/>
    <w:rsid w:val="001D2BA0"/>
    <w:rsid w:val="001D71ED"/>
    <w:rsid w:val="001E240C"/>
    <w:rsid w:val="001F2B9C"/>
    <w:rsid w:val="001F33B5"/>
    <w:rsid w:val="001F541C"/>
    <w:rsid w:val="00202947"/>
    <w:rsid w:val="00215B57"/>
    <w:rsid w:val="00217FAC"/>
    <w:rsid w:val="002224C9"/>
    <w:rsid w:val="0022443E"/>
    <w:rsid w:val="002342E2"/>
    <w:rsid w:val="002352DA"/>
    <w:rsid w:val="00236AFA"/>
    <w:rsid w:val="002416CB"/>
    <w:rsid w:val="002467D7"/>
    <w:rsid w:val="0025410C"/>
    <w:rsid w:val="00256A38"/>
    <w:rsid w:val="0026097C"/>
    <w:rsid w:val="00261058"/>
    <w:rsid w:val="002670CF"/>
    <w:rsid w:val="0027485F"/>
    <w:rsid w:val="0027632D"/>
    <w:rsid w:val="00281108"/>
    <w:rsid w:val="00281578"/>
    <w:rsid w:val="002A0DBC"/>
    <w:rsid w:val="002A5B1F"/>
    <w:rsid w:val="002B3EC6"/>
    <w:rsid w:val="002B5142"/>
    <w:rsid w:val="002B7FB7"/>
    <w:rsid w:val="002C0422"/>
    <w:rsid w:val="002C0429"/>
    <w:rsid w:val="002C24DF"/>
    <w:rsid w:val="002C428F"/>
    <w:rsid w:val="002C4E13"/>
    <w:rsid w:val="002D2F6B"/>
    <w:rsid w:val="002D6435"/>
    <w:rsid w:val="002D718B"/>
    <w:rsid w:val="002E4841"/>
    <w:rsid w:val="002E56BA"/>
    <w:rsid w:val="002F130F"/>
    <w:rsid w:val="002F3F7C"/>
    <w:rsid w:val="00316D5E"/>
    <w:rsid w:val="00321644"/>
    <w:rsid w:val="003245B7"/>
    <w:rsid w:val="003317F7"/>
    <w:rsid w:val="00341CCA"/>
    <w:rsid w:val="0034355A"/>
    <w:rsid w:val="00373BF4"/>
    <w:rsid w:val="0038168A"/>
    <w:rsid w:val="0039295B"/>
    <w:rsid w:val="00397FF8"/>
    <w:rsid w:val="003A0900"/>
    <w:rsid w:val="003A4A88"/>
    <w:rsid w:val="003A4E6A"/>
    <w:rsid w:val="003C71CC"/>
    <w:rsid w:val="003D106F"/>
    <w:rsid w:val="003D6176"/>
    <w:rsid w:val="003E73CD"/>
    <w:rsid w:val="003F5D8F"/>
    <w:rsid w:val="0040745A"/>
    <w:rsid w:val="0041088A"/>
    <w:rsid w:val="00411155"/>
    <w:rsid w:val="00416B71"/>
    <w:rsid w:val="0043114D"/>
    <w:rsid w:val="004354C8"/>
    <w:rsid w:val="00436FE8"/>
    <w:rsid w:val="0043722E"/>
    <w:rsid w:val="004428D7"/>
    <w:rsid w:val="00446F52"/>
    <w:rsid w:val="00450640"/>
    <w:rsid w:val="004541F8"/>
    <w:rsid w:val="0045660C"/>
    <w:rsid w:val="00457A72"/>
    <w:rsid w:val="00461D82"/>
    <w:rsid w:val="004638C4"/>
    <w:rsid w:val="00476A5D"/>
    <w:rsid w:val="00485711"/>
    <w:rsid w:val="00485E64"/>
    <w:rsid w:val="0048668C"/>
    <w:rsid w:val="004A3EC2"/>
    <w:rsid w:val="004B3C23"/>
    <w:rsid w:val="004C12DC"/>
    <w:rsid w:val="004C2EE9"/>
    <w:rsid w:val="004C7A46"/>
    <w:rsid w:val="004E5070"/>
    <w:rsid w:val="004E51BA"/>
    <w:rsid w:val="004F1A2D"/>
    <w:rsid w:val="004F2644"/>
    <w:rsid w:val="004F4819"/>
    <w:rsid w:val="00501DA8"/>
    <w:rsid w:val="00506532"/>
    <w:rsid w:val="00507F8F"/>
    <w:rsid w:val="005131B2"/>
    <w:rsid w:val="00525B3C"/>
    <w:rsid w:val="0053012A"/>
    <w:rsid w:val="00542E03"/>
    <w:rsid w:val="00545554"/>
    <w:rsid w:val="005513DA"/>
    <w:rsid w:val="00555296"/>
    <w:rsid w:val="0056030F"/>
    <w:rsid w:val="00561B86"/>
    <w:rsid w:val="0056219D"/>
    <w:rsid w:val="00567011"/>
    <w:rsid w:val="005676A9"/>
    <w:rsid w:val="005725D4"/>
    <w:rsid w:val="005746DA"/>
    <w:rsid w:val="00580806"/>
    <w:rsid w:val="00584901"/>
    <w:rsid w:val="00591CDF"/>
    <w:rsid w:val="00596A4E"/>
    <w:rsid w:val="005A6D41"/>
    <w:rsid w:val="005B2CCF"/>
    <w:rsid w:val="005C6DB7"/>
    <w:rsid w:val="005C71FE"/>
    <w:rsid w:val="005D14D0"/>
    <w:rsid w:val="005E0144"/>
    <w:rsid w:val="005E732E"/>
    <w:rsid w:val="005E7729"/>
    <w:rsid w:val="005F67D5"/>
    <w:rsid w:val="0061482C"/>
    <w:rsid w:val="00616B65"/>
    <w:rsid w:val="00617E0F"/>
    <w:rsid w:val="00620034"/>
    <w:rsid w:val="006357A1"/>
    <w:rsid w:val="006410FF"/>
    <w:rsid w:val="006417CB"/>
    <w:rsid w:val="006425B8"/>
    <w:rsid w:val="0064551B"/>
    <w:rsid w:val="006503B3"/>
    <w:rsid w:val="00651B81"/>
    <w:rsid w:val="006602C1"/>
    <w:rsid w:val="00664A75"/>
    <w:rsid w:val="00666B2D"/>
    <w:rsid w:val="00683234"/>
    <w:rsid w:val="00693128"/>
    <w:rsid w:val="006C004B"/>
    <w:rsid w:val="006C3DD8"/>
    <w:rsid w:val="006C5468"/>
    <w:rsid w:val="006C7DC8"/>
    <w:rsid w:val="006D07B1"/>
    <w:rsid w:val="006D497A"/>
    <w:rsid w:val="006D5E83"/>
    <w:rsid w:val="006D73EB"/>
    <w:rsid w:val="006E4011"/>
    <w:rsid w:val="006E7542"/>
    <w:rsid w:val="006F5CC3"/>
    <w:rsid w:val="00701D01"/>
    <w:rsid w:val="00717272"/>
    <w:rsid w:val="0073158E"/>
    <w:rsid w:val="00733AC9"/>
    <w:rsid w:val="007525C3"/>
    <w:rsid w:val="00753A4B"/>
    <w:rsid w:val="007616C3"/>
    <w:rsid w:val="00762732"/>
    <w:rsid w:val="00764227"/>
    <w:rsid w:val="00771488"/>
    <w:rsid w:val="00776D56"/>
    <w:rsid w:val="00785EEB"/>
    <w:rsid w:val="007952F8"/>
    <w:rsid w:val="007A0057"/>
    <w:rsid w:val="007C7F4E"/>
    <w:rsid w:val="007D1EA3"/>
    <w:rsid w:val="007D66B6"/>
    <w:rsid w:val="007D7218"/>
    <w:rsid w:val="007D7E29"/>
    <w:rsid w:val="007E359B"/>
    <w:rsid w:val="007E5D67"/>
    <w:rsid w:val="007F6C2A"/>
    <w:rsid w:val="00800814"/>
    <w:rsid w:val="0080326C"/>
    <w:rsid w:val="00806598"/>
    <w:rsid w:val="00806C9E"/>
    <w:rsid w:val="00814075"/>
    <w:rsid w:val="00816561"/>
    <w:rsid w:val="00824F55"/>
    <w:rsid w:val="008256F6"/>
    <w:rsid w:val="00830618"/>
    <w:rsid w:val="00831088"/>
    <w:rsid w:val="0083398F"/>
    <w:rsid w:val="00835ECA"/>
    <w:rsid w:val="00836262"/>
    <w:rsid w:val="00837802"/>
    <w:rsid w:val="0085238A"/>
    <w:rsid w:val="008728B9"/>
    <w:rsid w:val="0088071C"/>
    <w:rsid w:val="008820E5"/>
    <w:rsid w:val="0088648F"/>
    <w:rsid w:val="008947D9"/>
    <w:rsid w:val="008A3D9D"/>
    <w:rsid w:val="008A5B73"/>
    <w:rsid w:val="008A669B"/>
    <w:rsid w:val="008A7951"/>
    <w:rsid w:val="008B208F"/>
    <w:rsid w:val="008B3E51"/>
    <w:rsid w:val="008B3EFE"/>
    <w:rsid w:val="008B46BE"/>
    <w:rsid w:val="008B66EA"/>
    <w:rsid w:val="008C2285"/>
    <w:rsid w:val="008C6DB8"/>
    <w:rsid w:val="008D0463"/>
    <w:rsid w:val="008D4C42"/>
    <w:rsid w:val="008E01E3"/>
    <w:rsid w:val="008E38A8"/>
    <w:rsid w:val="008E4096"/>
    <w:rsid w:val="008F6125"/>
    <w:rsid w:val="009033F7"/>
    <w:rsid w:val="0091545E"/>
    <w:rsid w:val="009176B8"/>
    <w:rsid w:val="0092258B"/>
    <w:rsid w:val="009332BD"/>
    <w:rsid w:val="00941BF3"/>
    <w:rsid w:val="0095212C"/>
    <w:rsid w:val="009545EA"/>
    <w:rsid w:val="00961AAA"/>
    <w:rsid w:val="00970516"/>
    <w:rsid w:val="009709AD"/>
    <w:rsid w:val="00970FEA"/>
    <w:rsid w:val="00975ECA"/>
    <w:rsid w:val="009801AD"/>
    <w:rsid w:val="00983409"/>
    <w:rsid w:val="00984B5F"/>
    <w:rsid w:val="00994A63"/>
    <w:rsid w:val="00996930"/>
    <w:rsid w:val="009A6111"/>
    <w:rsid w:val="009B1E00"/>
    <w:rsid w:val="009B3FCC"/>
    <w:rsid w:val="009B565F"/>
    <w:rsid w:val="009C2FC6"/>
    <w:rsid w:val="009C5B42"/>
    <w:rsid w:val="009D3C12"/>
    <w:rsid w:val="009E2C27"/>
    <w:rsid w:val="009E72EA"/>
    <w:rsid w:val="009E7818"/>
    <w:rsid w:val="009F01E7"/>
    <w:rsid w:val="009F3345"/>
    <w:rsid w:val="009F7122"/>
    <w:rsid w:val="00A00229"/>
    <w:rsid w:val="00A017A1"/>
    <w:rsid w:val="00A02DD2"/>
    <w:rsid w:val="00A06701"/>
    <w:rsid w:val="00A070C4"/>
    <w:rsid w:val="00A20483"/>
    <w:rsid w:val="00A234AB"/>
    <w:rsid w:val="00A34C46"/>
    <w:rsid w:val="00A363C4"/>
    <w:rsid w:val="00A36D4B"/>
    <w:rsid w:val="00A4434D"/>
    <w:rsid w:val="00A503FD"/>
    <w:rsid w:val="00A70842"/>
    <w:rsid w:val="00A71943"/>
    <w:rsid w:val="00A76291"/>
    <w:rsid w:val="00A80283"/>
    <w:rsid w:val="00A80435"/>
    <w:rsid w:val="00A8057F"/>
    <w:rsid w:val="00AA411E"/>
    <w:rsid w:val="00AB67D7"/>
    <w:rsid w:val="00AC3D7B"/>
    <w:rsid w:val="00AE0C9C"/>
    <w:rsid w:val="00AE2A5F"/>
    <w:rsid w:val="00AE747A"/>
    <w:rsid w:val="00AF0D84"/>
    <w:rsid w:val="00AF1AC4"/>
    <w:rsid w:val="00AF4081"/>
    <w:rsid w:val="00B01423"/>
    <w:rsid w:val="00B02A15"/>
    <w:rsid w:val="00B10B4F"/>
    <w:rsid w:val="00B11F67"/>
    <w:rsid w:val="00B128EF"/>
    <w:rsid w:val="00B1412B"/>
    <w:rsid w:val="00B14681"/>
    <w:rsid w:val="00B31DCE"/>
    <w:rsid w:val="00B33B9A"/>
    <w:rsid w:val="00B5027C"/>
    <w:rsid w:val="00B60C63"/>
    <w:rsid w:val="00B64DB7"/>
    <w:rsid w:val="00B7116D"/>
    <w:rsid w:val="00B76B1C"/>
    <w:rsid w:val="00B815A1"/>
    <w:rsid w:val="00B86816"/>
    <w:rsid w:val="00B90035"/>
    <w:rsid w:val="00B92577"/>
    <w:rsid w:val="00B93263"/>
    <w:rsid w:val="00BA5F75"/>
    <w:rsid w:val="00BA622C"/>
    <w:rsid w:val="00BC2F97"/>
    <w:rsid w:val="00BD5073"/>
    <w:rsid w:val="00BE2BB5"/>
    <w:rsid w:val="00BE2D29"/>
    <w:rsid w:val="00BE7735"/>
    <w:rsid w:val="00BE7F1E"/>
    <w:rsid w:val="00BF646A"/>
    <w:rsid w:val="00BF7B41"/>
    <w:rsid w:val="00C03DEB"/>
    <w:rsid w:val="00C1014C"/>
    <w:rsid w:val="00C11355"/>
    <w:rsid w:val="00C21B54"/>
    <w:rsid w:val="00C23571"/>
    <w:rsid w:val="00C31601"/>
    <w:rsid w:val="00C41773"/>
    <w:rsid w:val="00C50385"/>
    <w:rsid w:val="00C576D1"/>
    <w:rsid w:val="00C74D35"/>
    <w:rsid w:val="00CA4E57"/>
    <w:rsid w:val="00CA5E59"/>
    <w:rsid w:val="00CA6904"/>
    <w:rsid w:val="00CB7E87"/>
    <w:rsid w:val="00CC2039"/>
    <w:rsid w:val="00CD3310"/>
    <w:rsid w:val="00CE026D"/>
    <w:rsid w:val="00CE1312"/>
    <w:rsid w:val="00CE1F67"/>
    <w:rsid w:val="00CE2A17"/>
    <w:rsid w:val="00CE2CAE"/>
    <w:rsid w:val="00CE5FB7"/>
    <w:rsid w:val="00CF4146"/>
    <w:rsid w:val="00CF54D8"/>
    <w:rsid w:val="00D05881"/>
    <w:rsid w:val="00D13F9A"/>
    <w:rsid w:val="00D42395"/>
    <w:rsid w:val="00D434A3"/>
    <w:rsid w:val="00D50637"/>
    <w:rsid w:val="00D72CA0"/>
    <w:rsid w:val="00D73C1D"/>
    <w:rsid w:val="00D743FB"/>
    <w:rsid w:val="00D83079"/>
    <w:rsid w:val="00D85F3F"/>
    <w:rsid w:val="00D93834"/>
    <w:rsid w:val="00DA1E3C"/>
    <w:rsid w:val="00DA6A1A"/>
    <w:rsid w:val="00DC5648"/>
    <w:rsid w:val="00DD37EB"/>
    <w:rsid w:val="00DD390B"/>
    <w:rsid w:val="00DD5F0C"/>
    <w:rsid w:val="00DE2C35"/>
    <w:rsid w:val="00DF2881"/>
    <w:rsid w:val="00E02D2D"/>
    <w:rsid w:val="00E03647"/>
    <w:rsid w:val="00E04711"/>
    <w:rsid w:val="00E261E9"/>
    <w:rsid w:val="00E4152C"/>
    <w:rsid w:val="00E43905"/>
    <w:rsid w:val="00E66B8F"/>
    <w:rsid w:val="00E84AB5"/>
    <w:rsid w:val="00E8519D"/>
    <w:rsid w:val="00E912D9"/>
    <w:rsid w:val="00E912E0"/>
    <w:rsid w:val="00E9450C"/>
    <w:rsid w:val="00E94719"/>
    <w:rsid w:val="00EA518D"/>
    <w:rsid w:val="00EB1A73"/>
    <w:rsid w:val="00EB738E"/>
    <w:rsid w:val="00EC0B01"/>
    <w:rsid w:val="00EC1A5D"/>
    <w:rsid w:val="00EC3D39"/>
    <w:rsid w:val="00ED1E07"/>
    <w:rsid w:val="00ED3101"/>
    <w:rsid w:val="00F001A3"/>
    <w:rsid w:val="00F00D4D"/>
    <w:rsid w:val="00F04610"/>
    <w:rsid w:val="00F07EA4"/>
    <w:rsid w:val="00F10400"/>
    <w:rsid w:val="00F104CE"/>
    <w:rsid w:val="00F17E28"/>
    <w:rsid w:val="00F2437E"/>
    <w:rsid w:val="00F3147B"/>
    <w:rsid w:val="00F32273"/>
    <w:rsid w:val="00F37219"/>
    <w:rsid w:val="00F44DFA"/>
    <w:rsid w:val="00F55154"/>
    <w:rsid w:val="00F65BA3"/>
    <w:rsid w:val="00F70326"/>
    <w:rsid w:val="00F70F4B"/>
    <w:rsid w:val="00F8347B"/>
    <w:rsid w:val="00F86D71"/>
    <w:rsid w:val="00F90C27"/>
    <w:rsid w:val="00F93A55"/>
    <w:rsid w:val="00F96477"/>
    <w:rsid w:val="00FA2E67"/>
    <w:rsid w:val="00FB0F78"/>
    <w:rsid w:val="00FB524E"/>
    <w:rsid w:val="00FB74ED"/>
    <w:rsid w:val="00FC3F51"/>
    <w:rsid w:val="00FD10DE"/>
    <w:rsid w:val="00FD4E61"/>
    <w:rsid w:val="00FD5848"/>
    <w:rsid w:val="00FE1282"/>
    <w:rsid w:val="00FE162B"/>
    <w:rsid w:val="00FF250B"/>
    <w:rsid w:val="00FF699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35"/>
    <o:shapelayout v:ext="edit">
      <o:idmap v:ext="edit" data="1"/>
    </o:shapelayout>
  </w:shapeDefaults>
  <w:decimalSymbol w:val="."/>
  <w:listSeparator w:val=","/>
  <w14:docId w14:val="67A3DA74"/>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1482C"/>
    <w:rPr>
      <w:rFonts w:ascii="Cambria" w:eastAsia="ＭＳ 明朝" w:hAnsi="Cambria" w:cs="Times New Roman"/>
    </w:rPr>
  </w:style>
  <w:style w:type="paragraph" w:styleId="Heading1">
    <w:name w:val="heading 1"/>
    <w:basedOn w:val="Normal"/>
    <w:next w:val="Normal"/>
    <w:link w:val="Heading1Char"/>
    <w:qFormat/>
    <w:rsid w:val="0061482C"/>
    <w:pPr>
      <w:keepNext/>
      <w:spacing w:line="480" w:lineRule="auto"/>
      <w:outlineLvl w:val="0"/>
    </w:pPr>
    <w:rPr>
      <w:rFonts w:ascii="Times New Roman" w:eastAsia="Times New Roman" w:hAnsi="Times New Roman"/>
      <w:b/>
      <w:sz w:val="22"/>
      <w:szCs w:val="20"/>
    </w:rPr>
  </w:style>
  <w:style w:type="paragraph" w:styleId="Heading2">
    <w:name w:val="heading 2"/>
    <w:basedOn w:val="Normal"/>
    <w:next w:val="Normal"/>
    <w:link w:val="Heading2Char"/>
    <w:qFormat/>
    <w:rsid w:val="0061482C"/>
    <w:pPr>
      <w:keepNext/>
      <w:outlineLvl w:val="1"/>
    </w:pPr>
    <w:rPr>
      <w:rFonts w:ascii="Times New Roman" w:eastAsia="Times New Roman" w:hAnsi="Times New Roman"/>
      <w:b/>
      <w:sz w:val="20"/>
      <w:szCs w:val="20"/>
    </w:rPr>
  </w:style>
  <w:style w:type="paragraph" w:styleId="Heading3">
    <w:name w:val="heading 3"/>
    <w:basedOn w:val="Normal"/>
    <w:next w:val="Normal"/>
    <w:link w:val="Heading3Char"/>
    <w:uiPriority w:val="9"/>
    <w:unhideWhenUsed/>
    <w:qFormat/>
    <w:rsid w:val="0061482C"/>
    <w:pPr>
      <w:keepNext/>
      <w:spacing w:before="240" w:after="60"/>
      <w:outlineLvl w:val="2"/>
    </w:pPr>
    <w:rPr>
      <w:rFonts w:ascii="Calibri" w:eastAsia="ＭＳ ゴシック" w:hAnsi="Calibri"/>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1482C"/>
    <w:rPr>
      <w:rFonts w:ascii="Times New Roman" w:eastAsia="Times New Roman" w:hAnsi="Times New Roman" w:cs="Times New Roman"/>
      <w:b/>
      <w:sz w:val="22"/>
      <w:szCs w:val="20"/>
    </w:rPr>
  </w:style>
  <w:style w:type="character" w:customStyle="1" w:styleId="Heading2Char">
    <w:name w:val="Heading 2 Char"/>
    <w:basedOn w:val="DefaultParagraphFont"/>
    <w:link w:val="Heading2"/>
    <w:rsid w:val="0061482C"/>
    <w:rPr>
      <w:rFonts w:ascii="Times New Roman" w:eastAsia="Times New Roman" w:hAnsi="Times New Roman" w:cs="Times New Roman"/>
      <w:b/>
      <w:sz w:val="20"/>
      <w:szCs w:val="20"/>
    </w:rPr>
  </w:style>
  <w:style w:type="character" w:customStyle="1" w:styleId="Heading3Char">
    <w:name w:val="Heading 3 Char"/>
    <w:basedOn w:val="DefaultParagraphFont"/>
    <w:link w:val="Heading3"/>
    <w:uiPriority w:val="9"/>
    <w:rsid w:val="0061482C"/>
    <w:rPr>
      <w:rFonts w:ascii="Calibri" w:eastAsia="ＭＳ ゴシック" w:hAnsi="Calibri" w:cs="Times New Roman"/>
      <w:b/>
      <w:bCs/>
      <w:sz w:val="26"/>
      <w:szCs w:val="26"/>
    </w:rPr>
  </w:style>
  <w:style w:type="paragraph" w:styleId="NormalWeb">
    <w:name w:val="Normal (Web)"/>
    <w:basedOn w:val="Normal"/>
    <w:uiPriority w:val="99"/>
    <w:unhideWhenUsed/>
    <w:rsid w:val="0061482C"/>
    <w:pPr>
      <w:spacing w:before="100" w:beforeAutospacing="1" w:after="100" w:afterAutospacing="1"/>
    </w:pPr>
    <w:rPr>
      <w:rFonts w:ascii="Times" w:hAnsi="Times"/>
      <w:sz w:val="20"/>
      <w:szCs w:val="20"/>
    </w:rPr>
  </w:style>
  <w:style w:type="paragraph" w:styleId="BodyText">
    <w:name w:val="Body Text"/>
    <w:basedOn w:val="Normal"/>
    <w:link w:val="BodyTextChar"/>
    <w:semiHidden/>
    <w:rsid w:val="0061482C"/>
    <w:pPr>
      <w:spacing w:line="480" w:lineRule="auto"/>
    </w:pPr>
    <w:rPr>
      <w:rFonts w:ascii="Times New Roman" w:eastAsia="Times New Roman" w:hAnsi="Times New Roman"/>
      <w:sz w:val="22"/>
      <w:szCs w:val="20"/>
    </w:rPr>
  </w:style>
  <w:style w:type="character" w:customStyle="1" w:styleId="BodyTextChar">
    <w:name w:val="Body Text Char"/>
    <w:basedOn w:val="DefaultParagraphFont"/>
    <w:link w:val="BodyText"/>
    <w:semiHidden/>
    <w:rsid w:val="0061482C"/>
    <w:rPr>
      <w:rFonts w:ascii="Times New Roman" w:eastAsia="Times New Roman" w:hAnsi="Times New Roman" w:cs="Times New Roman"/>
      <w:sz w:val="22"/>
      <w:szCs w:val="20"/>
    </w:rPr>
  </w:style>
  <w:style w:type="paragraph" w:styleId="BodyText2">
    <w:name w:val="Body Text 2"/>
    <w:basedOn w:val="Normal"/>
    <w:link w:val="BodyText2Char"/>
    <w:uiPriority w:val="99"/>
    <w:unhideWhenUsed/>
    <w:rsid w:val="0061482C"/>
    <w:pPr>
      <w:spacing w:after="120" w:line="480" w:lineRule="auto"/>
    </w:pPr>
  </w:style>
  <w:style w:type="character" w:customStyle="1" w:styleId="BodyText2Char">
    <w:name w:val="Body Text 2 Char"/>
    <w:basedOn w:val="DefaultParagraphFont"/>
    <w:link w:val="BodyText2"/>
    <w:uiPriority w:val="99"/>
    <w:rsid w:val="0061482C"/>
    <w:rPr>
      <w:rFonts w:ascii="Cambria" w:eastAsia="ＭＳ 明朝" w:hAnsi="Cambria" w:cs="Times New Roman"/>
    </w:rPr>
  </w:style>
  <w:style w:type="character" w:styleId="Hyperlink">
    <w:name w:val="Hyperlink"/>
    <w:semiHidden/>
    <w:rsid w:val="0061482C"/>
    <w:rPr>
      <w:color w:val="0000FF"/>
      <w:u w:val="single"/>
    </w:rPr>
  </w:style>
  <w:style w:type="paragraph" w:styleId="BodyTextIndent">
    <w:name w:val="Body Text Indent"/>
    <w:basedOn w:val="Normal"/>
    <w:link w:val="BodyTextIndentChar"/>
    <w:uiPriority w:val="99"/>
    <w:semiHidden/>
    <w:unhideWhenUsed/>
    <w:rsid w:val="0061482C"/>
    <w:pPr>
      <w:spacing w:after="120"/>
      <w:ind w:left="283"/>
    </w:pPr>
  </w:style>
  <w:style w:type="character" w:customStyle="1" w:styleId="BodyTextIndentChar">
    <w:name w:val="Body Text Indent Char"/>
    <w:basedOn w:val="DefaultParagraphFont"/>
    <w:link w:val="BodyTextIndent"/>
    <w:uiPriority w:val="99"/>
    <w:semiHidden/>
    <w:rsid w:val="0061482C"/>
    <w:rPr>
      <w:rFonts w:ascii="Cambria" w:eastAsia="ＭＳ 明朝" w:hAnsi="Cambria" w:cs="Times New Roman"/>
    </w:rPr>
  </w:style>
  <w:style w:type="paragraph" w:styleId="Header">
    <w:name w:val="header"/>
    <w:basedOn w:val="Normal"/>
    <w:link w:val="HeaderChar"/>
    <w:uiPriority w:val="99"/>
    <w:unhideWhenUsed/>
    <w:rsid w:val="0061482C"/>
    <w:pPr>
      <w:tabs>
        <w:tab w:val="center" w:pos="4320"/>
        <w:tab w:val="right" w:pos="8640"/>
      </w:tabs>
    </w:pPr>
  </w:style>
  <w:style w:type="character" w:customStyle="1" w:styleId="HeaderChar">
    <w:name w:val="Header Char"/>
    <w:basedOn w:val="DefaultParagraphFont"/>
    <w:link w:val="Header"/>
    <w:uiPriority w:val="99"/>
    <w:rsid w:val="0061482C"/>
    <w:rPr>
      <w:rFonts w:ascii="Cambria" w:eastAsia="ＭＳ 明朝" w:hAnsi="Cambria" w:cs="Times New Roman"/>
    </w:rPr>
  </w:style>
  <w:style w:type="paragraph" w:styleId="Footer">
    <w:name w:val="footer"/>
    <w:basedOn w:val="Normal"/>
    <w:link w:val="FooterChar"/>
    <w:unhideWhenUsed/>
    <w:rsid w:val="0061482C"/>
    <w:pPr>
      <w:tabs>
        <w:tab w:val="center" w:pos="4320"/>
        <w:tab w:val="right" w:pos="8640"/>
      </w:tabs>
    </w:pPr>
  </w:style>
  <w:style w:type="character" w:customStyle="1" w:styleId="FooterChar">
    <w:name w:val="Footer Char"/>
    <w:basedOn w:val="DefaultParagraphFont"/>
    <w:link w:val="Footer"/>
    <w:rsid w:val="0061482C"/>
    <w:rPr>
      <w:rFonts w:ascii="Cambria" w:eastAsia="ＭＳ 明朝" w:hAnsi="Cambria" w:cs="Times New Roman"/>
    </w:rPr>
  </w:style>
  <w:style w:type="table" w:styleId="TableGrid">
    <w:name w:val="Table Grid"/>
    <w:basedOn w:val="TableNormal"/>
    <w:uiPriority w:val="59"/>
    <w:rsid w:val="0061482C"/>
    <w:rPr>
      <w:rFonts w:ascii="Cambria" w:eastAsia="ＭＳ 明朝"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61482C"/>
    <w:pPr>
      <w:spacing w:after="200"/>
    </w:pPr>
    <w:rPr>
      <w:b/>
      <w:bCs/>
      <w:color w:val="4F81BD"/>
      <w:sz w:val="18"/>
      <w:szCs w:val="18"/>
    </w:rPr>
  </w:style>
  <w:style w:type="paragraph" w:styleId="BalloonText">
    <w:name w:val="Balloon Text"/>
    <w:basedOn w:val="Normal"/>
    <w:link w:val="BalloonTextChar"/>
    <w:uiPriority w:val="99"/>
    <w:semiHidden/>
    <w:unhideWhenUsed/>
    <w:rsid w:val="0061482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1482C"/>
    <w:rPr>
      <w:rFonts w:ascii="Lucida Grande" w:eastAsia="ＭＳ 明朝" w:hAnsi="Lucida Grande" w:cs="Lucida Grande"/>
      <w:sz w:val="18"/>
      <w:szCs w:val="18"/>
    </w:rPr>
  </w:style>
  <w:style w:type="character" w:styleId="FollowedHyperlink">
    <w:name w:val="FollowedHyperlink"/>
    <w:basedOn w:val="DefaultParagraphFont"/>
    <w:uiPriority w:val="99"/>
    <w:semiHidden/>
    <w:unhideWhenUsed/>
    <w:rsid w:val="009B565F"/>
    <w:rPr>
      <w:color w:val="800080" w:themeColor="followedHyperlink"/>
      <w:u w:val="single"/>
    </w:rPr>
  </w:style>
  <w:style w:type="character" w:styleId="PageNumber">
    <w:name w:val="page number"/>
    <w:basedOn w:val="DefaultParagraphFont"/>
    <w:uiPriority w:val="99"/>
    <w:semiHidden/>
    <w:unhideWhenUsed/>
    <w:rsid w:val="007952F8"/>
  </w:style>
  <w:style w:type="paragraph" w:customStyle="1" w:styleId="TableNote">
    <w:name w:val="TableNote"/>
    <w:basedOn w:val="Normal"/>
    <w:rsid w:val="005676A9"/>
    <w:pPr>
      <w:spacing w:line="300" w:lineRule="exact"/>
    </w:pPr>
    <w:rPr>
      <w:rFonts w:ascii="Times New Roman" w:eastAsia="Times New Roman" w:hAnsi="Times New Roman"/>
      <w:szCs w:val="20"/>
      <w:lang w:val="en-GB"/>
    </w:rPr>
  </w:style>
  <w:style w:type="paragraph" w:customStyle="1" w:styleId="TableTitle">
    <w:name w:val="TableTitle"/>
    <w:basedOn w:val="Normal"/>
    <w:rsid w:val="005676A9"/>
    <w:pPr>
      <w:spacing w:line="300" w:lineRule="exact"/>
    </w:pPr>
    <w:rPr>
      <w:rFonts w:ascii="Times New Roman" w:eastAsia="Times New Roman" w:hAnsi="Times New Roman"/>
      <w:szCs w:val="20"/>
      <w:lang w:val="en-GB"/>
    </w:rPr>
  </w:style>
  <w:style w:type="character" w:customStyle="1" w:styleId="URL">
    <w:name w:val="URL"/>
    <w:rsid w:val="005676A9"/>
    <w:rPr>
      <w:color w:val="666699"/>
    </w:rPr>
  </w:style>
  <w:style w:type="paragraph" w:customStyle="1" w:styleId="TableHeader">
    <w:name w:val="TableHeader"/>
    <w:basedOn w:val="Normal"/>
    <w:rsid w:val="005676A9"/>
    <w:pPr>
      <w:spacing w:before="120"/>
    </w:pPr>
    <w:rPr>
      <w:rFonts w:ascii="Times New Roman" w:eastAsia="Times New Roman" w:hAnsi="Times New Roman"/>
      <w:b/>
      <w:szCs w:val="20"/>
      <w:lang w:val="en-GB"/>
    </w:rPr>
  </w:style>
  <w:style w:type="paragraph" w:customStyle="1" w:styleId="TableSubHead">
    <w:name w:val="TableSubHead"/>
    <w:basedOn w:val="TableHeader"/>
    <w:rsid w:val="005676A9"/>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1482C"/>
    <w:rPr>
      <w:rFonts w:ascii="Cambria" w:eastAsia="ＭＳ 明朝" w:hAnsi="Cambria" w:cs="Times New Roman"/>
    </w:rPr>
  </w:style>
  <w:style w:type="paragraph" w:styleId="Heading1">
    <w:name w:val="heading 1"/>
    <w:basedOn w:val="Normal"/>
    <w:next w:val="Normal"/>
    <w:link w:val="Heading1Char"/>
    <w:qFormat/>
    <w:rsid w:val="0061482C"/>
    <w:pPr>
      <w:keepNext/>
      <w:spacing w:line="480" w:lineRule="auto"/>
      <w:outlineLvl w:val="0"/>
    </w:pPr>
    <w:rPr>
      <w:rFonts w:ascii="Times New Roman" w:eastAsia="Times New Roman" w:hAnsi="Times New Roman"/>
      <w:b/>
      <w:sz w:val="22"/>
      <w:szCs w:val="20"/>
    </w:rPr>
  </w:style>
  <w:style w:type="paragraph" w:styleId="Heading2">
    <w:name w:val="heading 2"/>
    <w:basedOn w:val="Normal"/>
    <w:next w:val="Normal"/>
    <w:link w:val="Heading2Char"/>
    <w:qFormat/>
    <w:rsid w:val="0061482C"/>
    <w:pPr>
      <w:keepNext/>
      <w:outlineLvl w:val="1"/>
    </w:pPr>
    <w:rPr>
      <w:rFonts w:ascii="Times New Roman" w:eastAsia="Times New Roman" w:hAnsi="Times New Roman"/>
      <w:b/>
      <w:sz w:val="20"/>
      <w:szCs w:val="20"/>
    </w:rPr>
  </w:style>
  <w:style w:type="paragraph" w:styleId="Heading3">
    <w:name w:val="heading 3"/>
    <w:basedOn w:val="Normal"/>
    <w:next w:val="Normal"/>
    <w:link w:val="Heading3Char"/>
    <w:uiPriority w:val="9"/>
    <w:unhideWhenUsed/>
    <w:qFormat/>
    <w:rsid w:val="0061482C"/>
    <w:pPr>
      <w:keepNext/>
      <w:spacing w:before="240" w:after="60"/>
      <w:outlineLvl w:val="2"/>
    </w:pPr>
    <w:rPr>
      <w:rFonts w:ascii="Calibri" w:eastAsia="ＭＳ ゴシック" w:hAnsi="Calibri"/>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1482C"/>
    <w:rPr>
      <w:rFonts w:ascii="Times New Roman" w:eastAsia="Times New Roman" w:hAnsi="Times New Roman" w:cs="Times New Roman"/>
      <w:b/>
      <w:sz w:val="22"/>
      <w:szCs w:val="20"/>
    </w:rPr>
  </w:style>
  <w:style w:type="character" w:customStyle="1" w:styleId="Heading2Char">
    <w:name w:val="Heading 2 Char"/>
    <w:basedOn w:val="DefaultParagraphFont"/>
    <w:link w:val="Heading2"/>
    <w:rsid w:val="0061482C"/>
    <w:rPr>
      <w:rFonts w:ascii="Times New Roman" w:eastAsia="Times New Roman" w:hAnsi="Times New Roman" w:cs="Times New Roman"/>
      <w:b/>
      <w:sz w:val="20"/>
      <w:szCs w:val="20"/>
    </w:rPr>
  </w:style>
  <w:style w:type="character" w:customStyle="1" w:styleId="Heading3Char">
    <w:name w:val="Heading 3 Char"/>
    <w:basedOn w:val="DefaultParagraphFont"/>
    <w:link w:val="Heading3"/>
    <w:uiPriority w:val="9"/>
    <w:rsid w:val="0061482C"/>
    <w:rPr>
      <w:rFonts w:ascii="Calibri" w:eastAsia="ＭＳ ゴシック" w:hAnsi="Calibri" w:cs="Times New Roman"/>
      <w:b/>
      <w:bCs/>
      <w:sz w:val="26"/>
      <w:szCs w:val="26"/>
    </w:rPr>
  </w:style>
  <w:style w:type="paragraph" w:styleId="NormalWeb">
    <w:name w:val="Normal (Web)"/>
    <w:basedOn w:val="Normal"/>
    <w:uiPriority w:val="99"/>
    <w:unhideWhenUsed/>
    <w:rsid w:val="0061482C"/>
    <w:pPr>
      <w:spacing w:before="100" w:beforeAutospacing="1" w:after="100" w:afterAutospacing="1"/>
    </w:pPr>
    <w:rPr>
      <w:rFonts w:ascii="Times" w:hAnsi="Times"/>
      <w:sz w:val="20"/>
      <w:szCs w:val="20"/>
    </w:rPr>
  </w:style>
  <w:style w:type="paragraph" w:styleId="BodyText">
    <w:name w:val="Body Text"/>
    <w:basedOn w:val="Normal"/>
    <w:link w:val="BodyTextChar"/>
    <w:semiHidden/>
    <w:rsid w:val="0061482C"/>
    <w:pPr>
      <w:spacing w:line="480" w:lineRule="auto"/>
    </w:pPr>
    <w:rPr>
      <w:rFonts w:ascii="Times New Roman" w:eastAsia="Times New Roman" w:hAnsi="Times New Roman"/>
      <w:sz w:val="22"/>
      <w:szCs w:val="20"/>
    </w:rPr>
  </w:style>
  <w:style w:type="character" w:customStyle="1" w:styleId="BodyTextChar">
    <w:name w:val="Body Text Char"/>
    <w:basedOn w:val="DefaultParagraphFont"/>
    <w:link w:val="BodyText"/>
    <w:semiHidden/>
    <w:rsid w:val="0061482C"/>
    <w:rPr>
      <w:rFonts w:ascii="Times New Roman" w:eastAsia="Times New Roman" w:hAnsi="Times New Roman" w:cs="Times New Roman"/>
      <w:sz w:val="22"/>
      <w:szCs w:val="20"/>
    </w:rPr>
  </w:style>
  <w:style w:type="paragraph" w:styleId="BodyText2">
    <w:name w:val="Body Text 2"/>
    <w:basedOn w:val="Normal"/>
    <w:link w:val="BodyText2Char"/>
    <w:uiPriority w:val="99"/>
    <w:unhideWhenUsed/>
    <w:rsid w:val="0061482C"/>
    <w:pPr>
      <w:spacing w:after="120" w:line="480" w:lineRule="auto"/>
    </w:pPr>
  </w:style>
  <w:style w:type="character" w:customStyle="1" w:styleId="BodyText2Char">
    <w:name w:val="Body Text 2 Char"/>
    <w:basedOn w:val="DefaultParagraphFont"/>
    <w:link w:val="BodyText2"/>
    <w:uiPriority w:val="99"/>
    <w:rsid w:val="0061482C"/>
    <w:rPr>
      <w:rFonts w:ascii="Cambria" w:eastAsia="ＭＳ 明朝" w:hAnsi="Cambria" w:cs="Times New Roman"/>
    </w:rPr>
  </w:style>
  <w:style w:type="character" w:styleId="Hyperlink">
    <w:name w:val="Hyperlink"/>
    <w:semiHidden/>
    <w:rsid w:val="0061482C"/>
    <w:rPr>
      <w:color w:val="0000FF"/>
      <w:u w:val="single"/>
    </w:rPr>
  </w:style>
  <w:style w:type="paragraph" w:styleId="BodyTextIndent">
    <w:name w:val="Body Text Indent"/>
    <w:basedOn w:val="Normal"/>
    <w:link w:val="BodyTextIndentChar"/>
    <w:uiPriority w:val="99"/>
    <w:semiHidden/>
    <w:unhideWhenUsed/>
    <w:rsid w:val="0061482C"/>
    <w:pPr>
      <w:spacing w:after="120"/>
      <w:ind w:left="283"/>
    </w:pPr>
  </w:style>
  <w:style w:type="character" w:customStyle="1" w:styleId="BodyTextIndentChar">
    <w:name w:val="Body Text Indent Char"/>
    <w:basedOn w:val="DefaultParagraphFont"/>
    <w:link w:val="BodyTextIndent"/>
    <w:uiPriority w:val="99"/>
    <w:semiHidden/>
    <w:rsid w:val="0061482C"/>
    <w:rPr>
      <w:rFonts w:ascii="Cambria" w:eastAsia="ＭＳ 明朝" w:hAnsi="Cambria" w:cs="Times New Roman"/>
    </w:rPr>
  </w:style>
  <w:style w:type="paragraph" w:styleId="Header">
    <w:name w:val="header"/>
    <w:basedOn w:val="Normal"/>
    <w:link w:val="HeaderChar"/>
    <w:uiPriority w:val="99"/>
    <w:unhideWhenUsed/>
    <w:rsid w:val="0061482C"/>
    <w:pPr>
      <w:tabs>
        <w:tab w:val="center" w:pos="4320"/>
        <w:tab w:val="right" w:pos="8640"/>
      </w:tabs>
    </w:pPr>
  </w:style>
  <w:style w:type="character" w:customStyle="1" w:styleId="HeaderChar">
    <w:name w:val="Header Char"/>
    <w:basedOn w:val="DefaultParagraphFont"/>
    <w:link w:val="Header"/>
    <w:uiPriority w:val="99"/>
    <w:rsid w:val="0061482C"/>
    <w:rPr>
      <w:rFonts w:ascii="Cambria" w:eastAsia="ＭＳ 明朝" w:hAnsi="Cambria" w:cs="Times New Roman"/>
    </w:rPr>
  </w:style>
  <w:style w:type="paragraph" w:styleId="Footer">
    <w:name w:val="footer"/>
    <w:basedOn w:val="Normal"/>
    <w:link w:val="FooterChar"/>
    <w:unhideWhenUsed/>
    <w:rsid w:val="0061482C"/>
    <w:pPr>
      <w:tabs>
        <w:tab w:val="center" w:pos="4320"/>
        <w:tab w:val="right" w:pos="8640"/>
      </w:tabs>
    </w:pPr>
  </w:style>
  <w:style w:type="character" w:customStyle="1" w:styleId="FooterChar">
    <w:name w:val="Footer Char"/>
    <w:basedOn w:val="DefaultParagraphFont"/>
    <w:link w:val="Footer"/>
    <w:rsid w:val="0061482C"/>
    <w:rPr>
      <w:rFonts w:ascii="Cambria" w:eastAsia="ＭＳ 明朝" w:hAnsi="Cambria" w:cs="Times New Roman"/>
    </w:rPr>
  </w:style>
  <w:style w:type="table" w:styleId="TableGrid">
    <w:name w:val="Table Grid"/>
    <w:basedOn w:val="TableNormal"/>
    <w:uiPriority w:val="59"/>
    <w:rsid w:val="0061482C"/>
    <w:rPr>
      <w:rFonts w:ascii="Cambria" w:eastAsia="ＭＳ 明朝"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61482C"/>
    <w:pPr>
      <w:spacing w:after="200"/>
    </w:pPr>
    <w:rPr>
      <w:b/>
      <w:bCs/>
      <w:color w:val="4F81BD"/>
      <w:sz w:val="18"/>
      <w:szCs w:val="18"/>
    </w:rPr>
  </w:style>
  <w:style w:type="paragraph" w:styleId="BalloonText">
    <w:name w:val="Balloon Text"/>
    <w:basedOn w:val="Normal"/>
    <w:link w:val="BalloonTextChar"/>
    <w:uiPriority w:val="99"/>
    <w:semiHidden/>
    <w:unhideWhenUsed/>
    <w:rsid w:val="0061482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1482C"/>
    <w:rPr>
      <w:rFonts w:ascii="Lucida Grande" w:eastAsia="ＭＳ 明朝" w:hAnsi="Lucida Grande" w:cs="Lucida Grande"/>
      <w:sz w:val="18"/>
      <w:szCs w:val="18"/>
    </w:rPr>
  </w:style>
  <w:style w:type="character" w:styleId="FollowedHyperlink">
    <w:name w:val="FollowedHyperlink"/>
    <w:basedOn w:val="DefaultParagraphFont"/>
    <w:uiPriority w:val="99"/>
    <w:semiHidden/>
    <w:unhideWhenUsed/>
    <w:rsid w:val="009B565F"/>
    <w:rPr>
      <w:color w:val="800080" w:themeColor="followedHyperlink"/>
      <w:u w:val="single"/>
    </w:rPr>
  </w:style>
  <w:style w:type="character" w:styleId="PageNumber">
    <w:name w:val="page number"/>
    <w:basedOn w:val="DefaultParagraphFont"/>
    <w:uiPriority w:val="99"/>
    <w:semiHidden/>
    <w:unhideWhenUsed/>
    <w:rsid w:val="007952F8"/>
  </w:style>
  <w:style w:type="paragraph" w:customStyle="1" w:styleId="TableNote">
    <w:name w:val="TableNote"/>
    <w:basedOn w:val="Normal"/>
    <w:rsid w:val="005676A9"/>
    <w:pPr>
      <w:spacing w:line="300" w:lineRule="exact"/>
    </w:pPr>
    <w:rPr>
      <w:rFonts w:ascii="Times New Roman" w:eastAsia="Times New Roman" w:hAnsi="Times New Roman"/>
      <w:szCs w:val="20"/>
      <w:lang w:val="en-GB"/>
    </w:rPr>
  </w:style>
  <w:style w:type="paragraph" w:customStyle="1" w:styleId="TableTitle">
    <w:name w:val="TableTitle"/>
    <w:basedOn w:val="Normal"/>
    <w:rsid w:val="005676A9"/>
    <w:pPr>
      <w:spacing w:line="300" w:lineRule="exact"/>
    </w:pPr>
    <w:rPr>
      <w:rFonts w:ascii="Times New Roman" w:eastAsia="Times New Roman" w:hAnsi="Times New Roman"/>
      <w:szCs w:val="20"/>
      <w:lang w:val="en-GB"/>
    </w:rPr>
  </w:style>
  <w:style w:type="character" w:customStyle="1" w:styleId="URL">
    <w:name w:val="URL"/>
    <w:rsid w:val="005676A9"/>
    <w:rPr>
      <w:color w:val="666699"/>
    </w:rPr>
  </w:style>
  <w:style w:type="paragraph" w:customStyle="1" w:styleId="TableHeader">
    <w:name w:val="TableHeader"/>
    <w:basedOn w:val="Normal"/>
    <w:rsid w:val="005676A9"/>
    <w:pPr>
      <w:spacing w:before="120"/>
    </w:pPr>
    <w:rPr>
      <w:rFonts w:ascii="Times New Roman" w:eastAsia="Times New Roman" w:hAnsi="Times New Roman"/>
      <w:b/>
      <w:szCs w:val="20"/>
      <w:lang w:val="en-GB"/>
    </w:rPr>
  </w:style>
  <w:style w:type="paragraph" w:customStyle="1" w:styleId="TableSubHead">
    <w:name w:val="TableSubHead"/>
    <w:basedOn w:val="TableHeader"/>
    <w:rsid w:val="005676A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73920789">
      <w:bodyDiv w:val="1"/>
      <w:marLeft w:val="0"/>
      <w:marRight w:val="0"/>
      <w:marTop w:val="0"/>
      <w:marBottom w:val="0"/>
      <w:divBdr>
        <w:top w:val="none" w:sz="0" w:space="0" w:color="auto"/>
        <w:left w:val="none" w:sz="0" w:space="0" w:color="auto"/>
        <w:bottom w:val="none" w:sz="0" w:space="0" w:color="auto"/>
        <w:right w:val="none" w:sz="0" w:space="0" w:color="auto"/>
      </w:divBdr>
      <w:divsChild>
        <w:div w:id="1558396339">
          <w:marLeft w:val="0"/>
          <w:marRight w:val="0"/>
          <w:marTop w:val="0"/>
          <w:marBottom w:val="0"/>
          <w:divBdr>
            <w:top w:val="none" w:sz="0" w:space="0" w:color="auto"/>
            <w:left w:val="none" w:sz="0" w:space="0" w:color="auto"/>
            <w:bottom w:val="none" w:sz="0" w:space="0" w:color="auto"/>
            <w:right w:val="none" w:sz="0" w:space="0" w:color="auto"/>
          </w:divBdr>
          <w:divsChild>
            <w:div w:id="1134560099">
              <w:marLeft w:val="0"/>
              <w:marRight w:val="0"/>
              <w:marTop w:val="0"/>
              <w:marBottom w:val="0"/>
              <w:divBdr>
                <w:top w:val="none" w:sz="0" w:space="0" w:color="auto"/>
                <w:left w:val="none" w:sz="0" w:space="0" w:color="auto"/>
                <w:bottom w:val="none" w:sz="0" w:space="0" w:color="auto"/>
                <w:right w:val="none" w:sz="0" w:space="0" w:color="auto"/>
              </w:divBdr>
              <w:divsChild>
                <w:div w:id="1582789760">
                  <w:marLeft w:val="0"/>
                  <w:marRight w:val="0"/>
                  <w:marTop w:val="0"/>
                  <w:marBottom w:val="0"/>
                  <w:divBdr>
                    <w:top w:val="none" w:sz="0" w:space="0" w:color="auto"/>
                    <w:left w:val="none" w:sz="0" w:space="0" w:color="auto"/>
                    <w:bottom w:val="none" w:sz="0" w:space="0" w:color="auto"/>
                    <w:right w:val="none" w:sz="0" w:space="0" w:color="auto"/>
                  </w:divBdr>
                  <w:divsChild>
                    <w:div w:id="1498888156">
                      <w:marLeft w:val="0"/>
                      <w:marRight w:val="0"/>
                      <w:marTop w:val="0"/>
                      <w:marBottom w:val="0"/>
                      <w:divBdr>
                        <w:top w:val="none" w:sz="0" w:space="0" w:color="auto"/>
                        <w:left w:val="none" w:sz="0" w:space="0" w:color="auto"/>
                        <w:bottom w:val="none" w:sz="0" w:space="0" w:color="auto"/>
                        <w:right w:val="none" w:sz="0" w:space="0" w:color="auto"/>
                      </w:divBdr>
                      <w:divsChild>
                        <w:div w:id="1447652135">
                          <w:marLeft w:val="0"/>
                          <w:marRight w:val="0"/>
                          <w:marTop w:val="0"/>
                          <w:marBottom w:val="0"/>
                          <w:divBdr>
                            <w:top w:val="none" w:sz="0" w:space="0" w:color="auto"/>
                            <w:left w:val="none" w:sz="0" w:space="0" w:color="auto"/>
                            <w:bottom w:val="none" w:sz="0" w:space="0" w:color="auto"/>
                            <w:right w:val="none" w:sz="0" w:space="0" w:color="auto"/>
                          </w:divBdr>
                          <w:divsChild>
                            <w:div w:id="1658849291">
                              <w:marLeft w:val="0"/>
                              <w:marRight w:val="0"/>
                              <w:marTop w:val="0"/>
                              <w:marBottom w:val="0"/>
                              <w:divBdr>
                                <w:top w:val="none" w:sz="0" w:space="0" w:color="auto"/>
                                <w:left w:val="none" w:sz="0" w:space="0" w:color="auto"/>
                                <w:bottom w:val="none" w:sz="0" w:space="0" w:color="auto"/>
                                <w:right w:val="none" w:sz="0" w:space="0" w:color="auto"/>
                              </w:divBdr>
                              <w:divsChild>
                                <w:div w:id="1418135711">
                                  <w:marLeft w:val="0"/>
                                  <w:marRight w:val="0"/>
                                  <w:marTop w:val="0"/>
                                  <w:marBottom w:val="0"/>
                                  <w:divBdr>
                                    <w:top w:val="none" w:sz="0" w:space="0" w:color="auto"/>
                                    <w:left w:val="none" w:sz="0" w:space="0" w:color="auto"/>
                                    <w:bottom w:val="none" w:sz="0" w:space="0" w:color="auto"/>
                                    <w:right w:val="none" w:sz="0" w:space="0" w:color="auto"/>
                                  </w:divBdr>
                                  <w:divsChild>
                                    <w:div w:id="177895145">
                                      <w:marLeft w:val="0"/>
                                      <w:marRight w:val="0"/>
                                      <w:marTop w:val="0"/>
                                      <w:marBottom w:val="0"/>
                                      <w:divBdr>
                                        <w:top w:val="none" w:sz="0" w:space="0" w:color="auto"/>
                                        <w:left w:val="none" w:sz="0" w:space="0" w:color="auto"/>
                                        <w:bottom w:val="none" w:sz="0" w:space="0" w:color="auto"/>
                                        <w:right w:val="none" w:sz="0" w:space="0" w:color="auto"/>
                                      </w:divBdr>
                                      <w:divsChild>
                                        <w:div w:id="779229190">
                                          <w:marLeft w:val="0"/>
                                          <w:marRight w:val="0"/>
                                          <w:marTop w:val="0"/>
                                          <w:marBottom w:val="0"/>
                                          <w:divBdr>
                                            <w:top w:val="none" w:sz="0" w:space="0" w:color="auto"/>
                                            <w:left w:val="none" w:sz="0" w:space="0" w:color="auto"/>
                                            <w:bottom w:val="none" w:sz="0" w:space="0" w:color="auto"/>
                                            <w:right w:val="none" w:sz="0" w:space="0" w:color="auto"/>
                                          </w:divBdr>
                                          <w:divsChild>
                                            <w:div w:id="393360587">
                                              <w:marLeft w:val="0"/>
                                              <w:marRight w:val="0"/>
                                              <w:marTop w:val="0"/>
                                              <w:marBottom w:val="0"/>
                                              <w:divBdr>
                                                <w:top w:val="none" w:sz="0" w:space="0" w:color="auto"/>
                                                <w:left w:val="none" w:sz="0" w:space="0" w:color="auto"/>
                                                <w:bottom w:val="none" w:sz="0" w:space="0" w:color="auto"/>
                                                <w:right w:val="none" w:sz="0" w:space="0" w:color="auto"/>
                                              </w:divBdr>
                                              <w:divsChild>
                                                <w:div w:id="2124184472">
                                                  <w:marLeft w:val="0"/>
                                                  <w:marRight w:val="0"/>
                                                  <w:marTop w:val="0"/>
                                                  <w:marBottom w:val="0"/>
                                                  <w:divBdr>
                                                    <w:top w:val="none" w:sz="0" w:space="0" w:color="auto"/>
                                                    <w:left w:val="none" w:sz="0" w:space="0" w:color="auto"/>
                                                    <w:bottom w:val="none" w:sz="0" w:space="0" w:color="auto"/>
                                                    <w:right w:val="none" w:sz="0" w:space="0" w:color="auto"/>
                                                  </w:divBdr>
                                                  <w:divsChild>
                                                    <w:div w:id="764300472">
                                                      <w:marLeft w:val="0"/>
                                                      <w:marRight w:val="0"/>
                                                      <w:marTop w:val="0"/>
                                                      <w:marBottom w:val="0"/>
                                                      <w:divBdr>
                                                        <w:top w:val="none" w:sz="0" w:space="0" w:color="auto"/>
                                                        <w:left w:val="none" w:sz="0" w:space="0" w:color="auto"/>
                                                        <w:bottom w:val="none" w:sz="0" w:space="0" w:color="auto"/>
                                                        <w:right w:val="none" w:sz="0" w:space="0" w:color="auto"/>
                                                      </w:divBdr>
                                                      <w:divsChild>
                                                        <w:div w:id="640421646">
                                                          <w:marLeft w:val="0"/>
                                                          <w:marRight w:val="0"/>
                                                          <w:marTop w:val="0"/>
                                                          <w:marBottom w:val="0"/>
                                                          <w:divBdr>
                                                            <w:top w:val="none" w:sz="0" w:space="0" w:color="auto"/>
                                                            <w:left w:val="none" w:sz="0" w:space="0" w:color="auto"/>
                                                            <w:bottom w:val="none" w:sz="0" w:space="0" w:color="auto"/>
                                                            <w:right w:val="none" w:sz="0" w:space="0" w:color="auto"/>
                                                          </w:divBdr>
                                                          <w:divsChild>
                                                            <w:div w:id="235097589">
                                                              <w:marLeft w:val="0"/>
                                                              <w:marRight w:val="0"/>
                                                              <w:marTop w:val="0"/>
                                                              <w:marBottom w:val="0"/>
                                                              <w:divBdr>
                                                                <w:top w:val="none" w:sz="0" w:space="0" w:color="auto"/>
                                                                <w:left w:val="none" w:sz="0" w:space="0" w:color="auto"/>
                                                                <w:bottom w:val="none" w:sz="0" w:space="0" w:color="auto"/>
                                                                <w:right w:val="none" w:sz="0" w:space="0" w:color="auto"/>
                                                              </w:divBdr>
                                                              <w:divsChild>
                                                                <w:div w:id="1279029525">
                                                                  <w:marLeft w:val="0"/>
                                                                  <w:marRight w:val="0"/>
                                                                  <w:marTop w:val="0"/>
                                                                  <w:marBottom w:val="0"/>
                                                                  <w:divBdr>
                                                                    <w:top w:val="none" w:sz="0" w:space="0" w:color="auto"/>
                                                                    <w:left w:val="none" w:sz="0" w:space="0" w:color="auto"/>
                                                                    <w:bottom w:val="none" w:sz="0" w:space="0" w:color="auto"/>
                                                                    <w:right w:val="none" w:sz="0" w:space="0" w:color="auto"/>
                                                                  </w:divBdr>
                                                                  <w:divsChild>
                                                                    <w:div w:id="731277182">
                                                                      <w:marLeft w:val="0"/>
                                                                      <w:marRight w:val="0"/>
                                                                      <w:marTop w:val="0"/>
                                                                      <w:marBottom w:val="0"/>
                                                                      <w:divBdr>
                                                                        <w:top w:val="none" w:sz="0" w:space="0" w:color="auto"/>
                                                                        <w:left w:val="none" w:sz="0" w:space="0" w:color="auto"/>
                                                                        <w:bottom w:val="none" w:sz="0" w:space="0" w:color="auto"/>
                                                                        <w:right w:val="none" w:sz="0" w:space="0" w:color="auto"/>
                                                                      </w:divBdr>
                                                                      <w:divsChild>
                                                                        <w:div w:id="1447890894">
                                                                          <w:marLeft w:val="0"/>
                                                                          <w:marRight w:val="0"/>
                                                                          <w:marTop w:val="0"/>
                                                                          <w:marBottom w:val="0"/>
                                                                          <w:divBdr>
                                                                            <w:top w:val="none" w:sz="0" w:space="0" w:color="auto"/>
                                                                            <w:left w:val="none" w:sz="0" w:space="0" w:color="auto"/>
                                                                            <w:bottom w:val="none" w:sz="0" w:space="0" w:color="auto"/>
                                                                            <w:right w:val="none" w:sz="0" w:space="0" w:color="auto"/>
                                                                          </w:divBdr>
                                                                          <w:divsChild>
                                                                            <w:div w:id="1567570729">
                                                                              <w:marLeft w:val="0"/>
                                                                              <w:marRight w:val="0"/>
                                                                              <w:marTop w:val="0"/>
                                                                              <w:marBottom w:val="0"/>
                                                                              <w:divBdr>
                                                                                <w:top w:val="none" w:sz="0" w:space="0" w:color="auto"/>
                                                                                <w:left w:val="none" w:sz="0" w:space="0" w:color="auto"/>
                                                                                <w:bottom w:val="none" w:sz="0" w:space="0" w:color="auto"/>
                                                                                <w:right w:val="none" w:sz="0" w:space="0" w:color="auto"/>
                                                                              </w:divBdr>
                                                                              <w:divsChild>
                                                                                <w:div w:id="479348102">
                                                                                  <w:marLeft w:val="0"/>
                                                                                  <w:marRight w:val="0"/>
                                                                                  <w:marTop w:val="0"/>
                                                                                  <w:marBottom w:val="0"/>
                                                                                  <w:divBdr>
                                                                                    <w:top w:val="none" w:sz="0" w:space="0" w:color="auto"/>
                                                                                    <w:left w:val="none" w:sz="0" w:space="0" w:color="auto"/>
                                                                                    <w:bottom w:val="none" w:sz="0" w:space="0" w:color="auto"/>
                                                                                    <w:right w:val="none" w:sz="0" w:space="0" w:color="auto"/>
                                                                                  </w:divBdr>
                                                                                  <w:divsChild>
                                                                                    <w:div w:id="1383867370">
                                                                                      <w:marLeft w:val="0"/>
                                                                                      <w:marRight w:val="0"/>
                                                                                      <w:marTop w:val="0"/>
                                                                                      <w:marBottom w:val="0"/>
                                                                                      <w:divBdr>
                                                                                        <w:top w:val="none" w:sz="0" w:space="0" w:color="auto"/>
                                                                                        <w:left w:val="none" w:sz="0" w:space="0" w:color="auto"/>
                                                                                        <w:bottom w:val="none" w:sz="0" w:space="0" w:color="auto"/>
                                                                                        <w:right w:val="none" w:sz="0" w:space="0" w:color="auto"/>
                                                                                      </w:divBdr>
                                                                                      <w:divsChild>
                                                                                        <w:div w:id="179777405">
                                                                                          <w:marLeft w:val="0"/>
                                                                                          <w:marRight w:val="0"/>
                                                                                          <w:marTop w:val="0"/>
                                                                                          <w:marBottom w:val="0"/>
                                                                                          <w:divBdr>
                                                                                            <w:top w:val="none" w:sz="0" w:space="0" w:color="auto"/>
                                                                                            <w:left w:val="none" w:sz="0" w:space="0" w:color="auto"/>
                                                                                            <w:bottom w:val="none" w:sz="0" w:space="0" w:color="auto"/>
                                                                                            <w:right w:val="none" w:sz="0" w:space="0" w:color="auto"/>
                                                                                          </w:divBdr>
                                                                                          <w:divsChild>
                                                                                            <w:div w:id="1585068626">
                                                                                              <w:marLeft w:val="0"/>
                                                                                              <w:marRight w:val="0"/>
                                                                                              <w:marTop w:val="0"/>
                                                                                              <w:marBottom w:val="0"/>
                                                                                              <w:divBdr>
                                                                                                <w:top w:val="none" w:sz="0" w:space="0" w:color="auto"/>
                                                                                                <w:left w:val="none" w:sz="0" w:space="0" w:color="auto"/>
                                                                                                <w:bottom w:val="none" w:sz="0" w:space="0" w:color="auto"/>
                                                                                                <w:right w:val="none" w:sz="0" w:space="0" w:color="auto"/>
                                                                                              </w:divBdr>
                                                                                              <w:divsChild>
                                                                                                <w:div w:id="1598369987">
                                                                                                  <w:marLeft w:val="0"/>
                                                                                                  <w:marRight w:val="0"/>
                                                                                                  <w:marTop w:val="0"/>
                                                                                                  <w:marBottom w:val="0"/>
                                                                                                  <w:divBdr>
                                                                                                    <w:top w:val="none" w:sz="0" w:space="0" w:color="auto"/>
                                                                                                    <w:left w:val="none" w:sz="0" w:space="0" w:color="auto"/>
                                                                                                    <w:bottom w:val="none" w:sz="0" w:space="0" w:color="auto"/>
                                                                                                    <w:right w:val="none" w:sz="0" w:space="0" w:color="auto"/>
                                                                                                  </w:divBdr>
                                                                                                  <w:divsChild>
                                                                                                    <w:div w:id="556164056">
                                                                                                      <w:marLeft w:val="0"/>
                                                                                                      <w:marRight w:val="0"/>
                                                                                                      <w:marTop w:val="0"/>
                                                                                                      <w:marBottom w:val="0"/>
                                                                                                      <w:divBdr>
                                                                                                        <w:top w:val="none" w:sz="0" w:space="0" w:color="auto"/>
                                                                                                        <w:left w:val="none" w:sz="0" w:space="0" w:color="auto"/>
                                                                                                        <w:bottom w:val="none" w:sz="0" w:space="0" w:color="auto"/>
                                                                                                        <w:right w:val="none" w:sz="0" w:space="0" w:color="auto"/>
                                                                                                      </w:divBdr>
                                                                                                      <w:divsChild>
                                                                                                        <w:div w:id="1664700960">
                                                                                                          <w:marLeft w:val="0"/>
                                                                                                          <w:marRight w:val="0"/>
                                                                                                          <w:marTop w:val="0"/>
                                                                                                          <w:marBottom w:val="0"/>
                                                                                                          <w:divBdr>
                                                                                                            <w:top w:val="none" w:sz="0" w:space="0" w:color="auto"/>
                                                                                                            <w:left w:val="none" w:sz="0" w:space="0" w:color="auto"/>
                                                                                                            <w:bottom w:val="none" w:sz="0" w:space="0" w:color="auto"/>
                                                                                                            <w:right w:val="none" w:sz="0" w:space="0" w:color="auto"/>
                                                                                                          </w:divBdr>
                                                                                                          <w:divsChild>
                                                                                                            <w:div w:id="821578372">
                                                                                                              <w:marLeft w:val="0"/>
                                                                                                              <w:marRight w:val="0"/>
                                                                                                              <w:marTop w:val="0"/>
                                                                                                              <w:marBottom w:val="0"/>
                                                                                                              <w:divBdr>
                                                                                                                <w:top w:val="none" w:sz="0" w:space="0" w:color="auto"/>
                                                                                                                <w:left w:val="none" w:sz="0" w:space="0" w:color="auto"/>
                                                                                                                <w:bottom w:val="none" w:sz="0" w:space="0" w:color="auto"/>
                                                                                                                <w:right w:val="none" w:sz="0" w:space="0" w:color="auto"/>
                                                                                                              </w:divBdr>
                                                                                                              <w:divsChild>
                                                                                                                <w:div w:id="1318651307">
                                                                                                                  <w:marLeft w:val="0"/>
                                                                                                                  <w:marRight w:val="0"/>
                                                                                                                  <w:marTop w:val="0"/>
                                                                                                                  <w:marBottom w:val="0"/>
                                                                                                                  <w:divBdr>
                                                                                                                    <w:top w:val="none" w:sz="0" w:space="0" w:color="auto"/>
                                                                                                                    <w:left w:val="none" w:sz="0" w:space="0" w:color="auto"/>
                                                                                                                    <w:bottom w:val="none" w:sz="0" w:space="0" w:color="auto"/>
                                                                                                                    <w:right w:val="none" w:sz="0" w:space="0" w:color="auto"/>
                                                                                                                  </w:divBdr>
                                                                                                                  <w:divsChild>
                                                                                                                    <w:div w:id="579094684">
                                                                                                                      <w:marLeft w:val="0"/>
                                                                                                                      <w:marRight w:val="0"/>
                                                                                                                      <w:marTop w:val="0"/>
                                                                                                                      <w:marBottom w:val="0"/>
                                                                                                                      <w:divBdr>
                                                                                                                        <w:top w:val="none" w:sz="0" w:space="0" w:color="auto"/>
                                                                                                                        <w:left w:val="none" w:sz="0" w:space="0" w:color="auto"/>
                                                                                                                        <w:bottom w:val="none" w:sz="0" w:space="0" w:color="auto"/>
                                                                                                                        <w:right w:val="none" w:sz="0" w:space="0" w:color="auto"/>
                                                                                                                      </w:divBdr>
                                                                                                                      <w:divsChild>
                                                                                                                        <w:div w:id="1335110981">
                                                                                                                          <w:marLeft w:val="0"/>
                                                                                                                          <w:marRight w:val="0"/>
                                                                                                                          <w:marTop w:val="0"/>
                                                                                                                          <w:marBottom w:val="0"/>
                                                                                                                          <w:divBdr>
                                                                                                                            <w:top w:val="none" w:sz="0" w:space="0" w:color="auto"/>
                                                                                                                            <w:left w:val="none" w:sz="0" w:space="0" w:color="auto"/>
                                                                                                                            <w:bottom w:val="none" w:sz="0" w:space="0" w:color="auto"/>
                                                                                                                            <w:right w:val="none" w:sz="0" w:space="0" w:color="auto"/>
                                                                                                                          </w:divBdr>
                                                                                                                          <w:divsChild>
                                                                                                                            <w:div w:id="963972757">
                                                                                                                              <w:marLeft w:val="0"/>
                                                                                                                              <w:marRight w:val="0"/>
                                                                                                                              <w:marTop w:val="0"/>
                                                                                                                              <w:marBottom w:val="0"/>
                                                                                                                              <w:divBdr>
                                                                                                                                <w:top w:val="none" w:sz="0" w:space="0" w:color="auto"/>
                                                                                                                                <w:left w:val="none" w:sz="0" w:space="0" w:color="auto"/>
                                                                                                                                <w:bottom w:val="none" w:sz="0" w:space="0" w:color="auto"/>
                                                                                                                                <w:right w:val="none" w:sz="0" w:space="0" w:color="auto"/>
                                                                                                                              </w:divBdr>
                                                                                                                              <w:divsChild>
                                                                                                                                <w:div w:id="2080512765">
                                                                                                                                  <w:marLeft w:val="0"/>
                                                                                                                                  <w:marRight w:val="0"/>
                                                                                                                                  <w:marTop w:val="0"/>
                                                                                                                                  <w:marBottom w:val="0"/>
                                                                                                                                  <w:divBdr>
                                                                                                                                    <w:top w:val="none" w:sz="0" w:space="0" w:color="auto"/>
                                                                                                                                    <w:left w:val="none" w:sz="0" w:space="0" w:color="auto"/>
                                                                                                                                    <w:bottom w:val="none" w:sz="0" w:space="0" w:color="auto"/>
                                                                                                                                    <w:right w:val="none" w:sz="0" w:space="0" w:color="auto"/>
                                                                                                                                  </w:divBdr>
                                                                                                                                  <w:divsChild>
                                                                                                                                    <w:div w:id="1889762847">
                                                                                                                                      <w:marLeft w:val="0"/>
                                                                                                                                      <w:marRight w:val="0"/>
                                                                                                                                      <w:marTop w:val="0"/>
                                                                                                                                      <w:marBottom w:val="0"/>
                                                                                                                                      <w:divBdr>
                                                                                                                                        <w:top w:val="none" w:sz="0" w:space="0" w:color="auto"/>
                                                                                                                                        <w:left w:val="none" w:sz="0" w:space="0" w:color="auto"/>
                                                                                                                                        <w:bottom w:val="none" w:sz="0" w:space="0" w:color="auto"/>
                                                                                                                                        <w:right w:val="none" w:sz="0" w:space="0" w:color="auto"/>
                                                                                                                                      </w:divBdr>
                                                                                                                                      <w:divsChild>
                                                                                                                                        <w:div w:id="532352089">
                                                                                                                                          <w:marLeft w:val="0"/>
                                                                                                                                          <w:marRight w:val="0"/>
                                                                                                                                          <w:marTop w:val="0"/>
                                                                                                                                          <w:marBottom w:val="0"/>
                                                                                                                                          <w:divBdr>
                                                                                                                                            <w:top w:val="none" w:sz="0" w:space="0" w:color="auto"/>
                                                                                                                                            <w:left w:val="none" w:sz="0" w:space="0" w:color="auto"/>
                                                                                                                                            <w:bottom w:val="none" w:sz="0" w:space="0" w:color="auto"/>
                                                                                                                                            <w:right w:val="none" w:sz="0" w:space="0" w:color="auto"/>
                                                                                                                                          </w:divBdr>
                                                                                                                                          <w:divsChild>
                                                                                                                                            <w:div w:id="1664158338">
                                                                                                                                              <w:marLeft w:val="0"/>
                                                                                                                                              <w:marRight w:val="0"/>
                                                                                                                                              <w:marTop w:val="0"/>
                                                                                                                                              <w:marBottom w:val="0"/>
                                                                                                                                              <w:divBdr>
                                                                                                                                                <w:top w:val="none" w:sz="0" w:space="0" w:color="auto"/>
                                                                                                                                                <w:left w:val="none" w:sz="0" w:space="0" w:color="auto"/>
                                                                                                                                                <w:bottom w:val="none" w:sz="0" w:space="0" w:color="auto"/>
                                                                                                                                                <w:right w:val="none" w:sz="0" w:space="0" w:color="auto"/>
                                                                                                                                              </w:divBdr>
                                                                                                                                              <w:divsChild>
                                                                                                                                                <w:div w:id="1018314176">
                                                                                                                                                  <w:marLeft w:val="0"/>
                                                                                                                                                  <w:marRight w:val="0"/>
                                                                                                                                                  <w:marTop w:val="0"/>
                                                                                                                                                  <w:marBottom w:val="0"/>
                                                                                                                                                  <w:divBdr>
                                                                                                                                                    <w:top w:val="none" w:sz="0" w:space="0" w:color="auto"/>
                                                                                                                                                    <w:left w:val="none" w:sz="0" w:space="0" w:color="auto"/>
                                                                                                                                                    <w:bottom w:val="none" w:sz="0" w:space="0" w:color="auto"/>
                                                                                                                                                    <w:right w:val="none" w:sz="0" w:space="0" w:color="auto"/>
                                                                                                                                                  </w:divBdr>
                                                                                                                                                  <w:divsChild>
                                                                                                                                                    <w:div w:id="562446667">
                                                                                                                                                      <w:marLeft w:val="0"/>
                                                                                                                                                      <w:marRight w:val="0"/>
                                                                                                                                                      <w:marTop w:val="0"/>
                                                                                                                                                      <w:marBottom w:val="0"/>
                                                                                                                                                      <w:divBdr>
                                                                                                                                                        <w:top w:val="none" w:sz="0" w:space="0" w:color="auto"/>
                                                                                                                                                        <w:left w:val="none" w:sz="0" w:space="0" w:color="auto"/>
                                                                                                                                                        <w:bottom w:val="none" w:sz="0" w:space="0" w:color="auto"/>
                                                                                                                                                        <w:right w:val="none" w:sz="0" w:space="0" w:color="auto"/>
                                                                                                                                                      </w:divBdr>
                                                                                                                                                      <w:divsChild>
                                                                                                                                                        <w:div w:id="1354845108">
                                                                                                                                                          <w:marLeft w:val="0"/>
                                                                                                                                                          <w:marRight w:val="0"/>
                                                                                                                                                          <w:marTop w:val="0"/>
                                                                                                                                                          <w:marBottom w:val="0"/>
                                                                                                                                                          <w:divBdr>
                                                                                                                                                            <w:top w:val="none" w:sz="0" w:space="0" w:color="auto"/>
                                                                                                                                                            <w:left w:val="none" w:sz="0" w:space="0" w:color="auto"/>
                                                                                                                                                            <w:bottom w:val="none" w:sz="0" w:space="0" w:color="auto"/>
                                                                                                                                                            <w:right w:val="none" w:sz="0" w:space="0" w:color="auto"/>
                                                                                                                                                          </w:divBdr>
                                                                                                                                                          <w:divsChild>
                                                                                                                                                            <w:div w:id="405763404">
                                                                                                                                                              <w:marLeft w:val="0"/>
                                                                                                                                                              <w:marRight w:val="0"/>
                                                                                                                                                              <w:marTop w:val="0"/>
                                                                                                                                                              <w:marBottom w:val="0"/>
                                                                                                                                                              <w:divBdr>
                                                                                                                                                                <w:top w:val="none" w:sz="0" w:space="0" w:color="auto"/>
                                                                                                                                                                <w:left w:val="none" w:sz="0" w:space="0" w:color="auto"/>
                                                                                                                                                                <w:bottom w:val="none" w:sz="0" w:space="0" w:color="auto"/>
                                                                                                                                                                <w:right w:val="none" w:sz="0" w:space="0" w:color="auto"/>
                                                                                                                                                              </w:divBdr>
                                                                                                                                                              <w:divsChild>
                                                                                                                                                                <w:div w:id="1384207311">
                                                                                                                                                                  <w:marLeft w:val="0"/>
                                                                                                                                                                  <w:marRight w:val="0"/>
                                                                                                                                                                  <w:marTop w:val="0"/>
                                                                                                                                                                  <w:marBottom w:val="0"/>
                                                                                                                                                                  <w:divBdr>
                                                                                                                                                                    <w:top w:val="none" w:sz="0" w:space="0" w:color="auto"/>
                                                                                                                                                                    <w:left w:val="none" w:sz="0" w:space="0" w:color="auto"/>
                                                                                                                                                                    <w:bottom w:val="none" w:sz="0" w:space="0" w:color="auto"/>
                                                                                                                                                                    <w:right w:val="none" w:sz="0" w:space="0" w:color="auto"/>
                                                                                                                                                                  </w:divBdr>
                                                                                                                                                                  <w:divsChild>
                                                                                                                                                                    <w:div w:id="1783770353">
                                                                                                                                                                      <w:marLeft w:val="0"/>
                                                                                                                                                                      <w:marRight w:val="0"/>
                                                                                                                                                                      <w:marTop w:val="0"/>
                                                                                                                                                                      <w:marBottom w:val="0"/>
                                                                                                                                                                      <w:divBdr>
                                                                                                                                                                        <w:top w:val="none" w:sz="0" w:space="0" w:color="auto"/>
                                                                                                                                                                        <w:left w:val="none" w:sz="0" w:space="0" w:color="auto"/>
                                                                                                                                                                        <w:bottom w:val="none" w:sz="0" w:space="0" w:color="auto"/>
                                                                                                                                                                        <w:right w:val="none" w:sz="0" w:space="0" w:color="auto"/>
                                                                                                                                                                      </w:divBdr>
                                                                                                                                                                      <w:divsChild>
                                                                                                                                                                        <w:div w:id="1036077882">
                                                                                                                                                                          <w:marLeft w:val="0"/>
                                                                                                                                                                          <w:marRight w:val="0"/>
                                                                                                                                                                          <w:marTop w:val="0"/>
                                                                                                                                                                          <w:marBottom w:val="0"/>
                                                                                                                                                                          <w:divBdr>
                                                                                                                                                                            <w:top w:val="none" w:sz="0" w:space="0" w:color="auto"/>
                                                                                                                                                                            <w:left w:val="none" w:sz="0" w:space="0" w:color="auto"/>
                                                                                                                                                                            <w:bottom w:val="none" w:sz="0" w:space="0" w:color="auto"/>
                                                                                                                                                                            <w:right w:val="none" w:sz="0" w:space="0" w:color="auto"/>
                                                                                                                                                                          </w:divBdr>
                                                                                                                                                                          <w:divsChild>
                                                                                                                                                                            <w:div w:id="561063326">
                                                                                                                                                                              <w:marLeft w:val="0"/>
                                                                                                                                                                              <w:marRight w:val="0"/>
                                                                                                                                                                              <w:marTop w:val="0"/>
                                                                                                                                                                              <w:marBottom w:val="0"/>
                                                                                                                                                                              <w:divBdr>
                                                                                                                                                                                <w:top w:val="none" w:sz="0" w:space="0" w:color="auto"/>
                                                                                                                                                                                <w:left w:val="none" w:sz="0" w:space="0" w:color="auto"/>
                                                                                                                                                                                <w:bottom w:val="none" w:sz="0" w:space="0" w:color="auto"/>
                                                                                                                                                                                <w:right w:val="none" w:sz="0" w:space="0" w:color="auto"/>
                                                                                                                                                                              </w:divBdr>
                                                                                                                                                                              <w:divsChild>
                                                                                                                                                                                <w:div w:id="793406078">
                                                                                                                                                                                  <w:marLeft w:val="0"/>
                                                                                                                                                                                  <w:marRight w:val="0"/>
                                                                                                                                                                                  <w:marTop w:val="0"/>
                                                                                                                                                                                  <w:marBottom w:val="0"/>
                                                                                                                                                                                  <w:divBdr>
                                                                                                                                                                                    <w:top w:val="none" w:sz="0" w:space="0" w:color="auto"/>
                                                                                                                                                                                    <w:left w:val="none" w:sz="0" w:space="0" w:color="auto"/>
                                                                                                                                                                                    <w:bottom w:val="none" w:sz="0" w:space="0" w:color="auto"/>
                                                                                                                                                                                    <w:right w:val="none" w:sz="0" w:space="0" w:color="auto"/>
                                                                                                                                                                                  </w:divBdr>
                                                                                                                                                                                  <w:divsChild>
                                                                                                                                                                                    <w:div w:id="669721409">
                                                                                                                                                                                      <w:marLeft w:val="0"/>
                                                                                                                                                                                      <w:marRight w:val="0"/>
                                                                                                                                                                                      <w:marTop w:val="0"/>
                                                                                                                                                                                      <w:marBottom w:val="0"/>
                                                                                                                                                                                      <w:divBdr>
                                                                                                                                                                                        <w:top w:val="none" w:sz="0" w:space="0" w:color="auto"/>
                                                                                                                                                                                        <w:left w:val="none" w:sz="0" w:space="0" w:color="auto"/>
                                                                                                                                                                                        <w:bottom w:val="none" w:sz="0" w:space="0" w:color="auto"/>
                                                                                                                                                                                        <w:right w:val="none" w:sz="0" w:space="0" w:color="auto"/>
                                                                                                                                                                                      </w:divBdr>
                                                                                                                                                                                      <w:divsChild>
                                                                                                                                                                                        <w:div w:id="1541286648">
                                                                                                                                                                                          <w:marLeft w:val="0"/>
                                                                                                                                                                                          <w:marRight w:val="0"/>
                                                                                                                                                                                          <w:marTop w:val="0"/>
                                                                                                                                                                                          <w:marBottom w:val="0"/>
                                                                                                                                                                                          <w:divBdr>
                                                                                                                                                                                            <w:top w:val="none" w:sz="0" w:space="0" w:color="auto"/>
                                                                                                                                                                                            <w:left w:val="none" w:sz="0" w:space="0" w:color="auto"/>
                                                                                                                                                                                            <w:bottom w:val="none" w:sz="0" w:space="0" w:color="auto"/>
                                                                                                                                                                                            <w:right w:val="none" w:sz="0" w:space="0" w:color="auto"/>
                                                                                                                                                                                          </w:divBdr>
                                                                                                                                                                                          <w:divsChild>
                                                                                                                                                                                            <w:div w:id="640303965">
                                                                                                                                                                                              <w:marLeft w:val="0"/>
                                                                                                                                                                                              <w:marRight w:val="0"/>
                                                                                                                                                                                              <w:marTop w:val="0"/>
                                                                                                                                                                                              <w:marBottom w:val="0"/>
                                                                                                                                                                                              <w:divBdr>
                                                                                                                                                                                                <w:top w:val="none" w:sz="0" w:space="0" w:color="auto"/>
                                                                                                                                                                                                <w:left w:val="none" w:sz="0" w:space="0" w:color="auto"/>
                                                                                                                                                                                                <w:bottom w:val="none" w:sz="0" w:space="0" w:color="auto"/>
                                                                                                                                                                                                <w:right w:val="none" w:sz="0" w:space="0" w:color="auto"/>
                                                                                                                                                                                              </w:divBdr>
                                                                                                                                                                                              <w:divsChild>
                                                                                                                                                                                                <w:div w:id="506748454">
                                                                                                                                                                                                  <w:marLeft w:val="0"/>
                                                                                                                                                                                                  <w:marRight w:val="0"/>
                                                                                                                                                                                                  <w:marTop w:val="0"/>
                                                                                                                                                                                                  <w:marBottom w:val="0"/>
                                                                                                                                                                                                  <w:divBdr>
                                                                                                                                                                                                    <w:top w:val="none" w:sz="0" w:space="0" w:color="auto"/>
                                                                                                                                                                                                    <w:left w:val="none" w:sz="0" w:space="0" w:color="auto"/>
                                                                                                                                                                                                    <w:bottom w:val="none" w:sz="0" w:space="0" w:color="auto"/>
                                                                                                                                                                                                    <w:right w:val="none" w:sz="0" w:space="0" w:color="auto"/>
                                                                                                                                                                                                  </w:divBdr>
                                                                                                                                                                                                  <w:divsChild>
                                                                                                                                                                                                    <w:div w:id="1590583945">
                                                                                                                                                                                                      <w:marLeft w:val="0"/>
                                                                                                                                                                                                      <w:marRight w:val="0"/>
                                                                                                                                                                                                      <w:marTop w:val="0"/>
                                                                                                                                                                                                      <w:marBottom w:val="0"/>
                                                                                                                                                                                                      <w:divBdr>
                                                                                                                                                                                                        <w:top w:val="none" w:sz="0" w:space="0" w:color="auto"/>
                                                                                                                                                                                                        <w:left w:val="none" w:sz="0" w:space="0" w:color="auto"/>
                                                                                                                                                                                                        <w:bottom w:val="none" w:sz="0" w:space="0" w:color="auto"/>
                                                                                                                                                                                                        <w:right w:val="none" w:sz="0" w:space="0" w:color="auto"/>
                                                                                                                                                                                                      </w:divBdr>
                                                                                                                                                                                                      <w:divsChild>
                                                                                                                                                                                                        <w:div w:id="922105121">
                                                                                                                                                                                                          <w:marLeft w:val="0"/>
                                                                                                                                                                                                          <w:marRight w:val="0"/>
                                                                                                                                                                                                          <w:marTop w:val="0"/>
                                                                                                                                                                                                          <w:marBottom w:val="0"/>
                                                                                                                                                                                                          <w:divBdr>
                                                                                                                                                                                                            <w:top w:val="none" w:sz="0" w:space="0" w:color="auto"/>
                                                                                                                                                                                                            <w:left w:val="none" w:sz="0" w:space="0" w:color="auto"/>
                                                                                                                                                                                                            <w:bottom w:val="none" w:sz="0" w:space="0" w:color="auto"/>
                                                                                                                                                                                                            <w:right w:val="none" w:sz="0" w:space="0" w:color="auto"/>
                                                                                                                                                                                                          </w:divBdr>
                                                                                                                                                                                                          <w:divsChild>
                                                                                                                                                                                                            <w:div w:id="1792242407">
                                                                                                                                                                                                              <w:marLeft w:val="0"/>
                                                                                                                                                                                                              <w:marRight w:val="0"/>
                                                                                                                                                                                                              <w:marTop w:val="0"/>
                                                                                                                                                                                                              <w:marBottom w:val="0"/>
                                                                                                                                                                                                              <w:divBdr>
                                                                                                                                                                                                                <w:top w:val="none" w:sz="0" w:space="0" w:color="auto"/>
                                                                                                                                                                                                                <w:left w:val="none" w:sz="0" w:space="0" w:color="auto"/>
                                                                                                                                                                                                                <w:bottom w:val="none" w:sz="0" w:space="0" w:color="auto"/>
                                                                                                                                                                                                                <w:right w:val="none" w:sz="0" w:space="0" w:color="auto"/>
                                                                                                                                                                                                              </w:divBdr>
                                                                                                                                                                                                              <w:divsChild>
                                                                                                                                                                                                                <w:div w:id="1099450037">
                                                                                                                                                                                                                  <w:marLeft w:val="0"/>
                                                                                                                                                                                                                  <w:marRight w:val="0"/>
                                                                                                                                                                                                                  <w:marTop w:val="0"/>
                                                                                                                                                                                                                  <w:marBottom w:val="0"/>
                                                                                                                                                                                                                  <w:divBdr>
                                                                                                                                                                                                                    <w:top w:val="none" w:sz="0" w:space="0" w:color="auto"/>
                                                                                                                                                                                                                    <w:left w:val="none" w:sz="0" w:space="0" w:color="auto"/>
                                                                                                                                                                                                                    <w:bottom w:val="none" w:sz="0" w:space="0" w:color="auto"/>
                                                                                                                                                                                                                    <w:right w:val="none" w:sz="0" w:space="0" w:color="auto"/>
                                                                                                                                                                                                                  </w:divBdr>
                                                                                                                                                                                                                  <w:divsChild>
                                                                                                                                                                                                                    <w:div w:id="1057705678">
                                                                                                                                                                                                                      <w:marLeft w:val="0"/>
                                                                                                                                                                                                                      <w:marRight w:val="0"/>
                                                                                                                                                                                                                      <w:marTop w:val="0"/>
                                                                                                                                                                                                                      <w:marBottom w:val="0"/>
                                                                                                                                                                                                                      <w:divBdr>
                                                                                                                                                                                                                        <w:top w:val="none" w:sz="0" w:space="0" w:color="auto"/>
                                                                                                                                                                                                                        <w:left w:val="none" w:sz="0" w:space="0" w:color="auto"/>
                                                                                                                                                                                                                        <w:bottom w:val="none" w:sz="0" w:space="0" w:color="auto"/>
                                                                                                                                                                                                                        <w:right w:val="none" w:sz="0" w:space="0" w:color="auto"/>
                                                                                                                                                                                                                      </w:divBdr>
                                                                                                                                                                                                                      <w:divsChild>
                                                                                                                                                                                                                        <w:div w:id="1166021583">
                                                                                                                                                                                                                          <w:marLeft w:val="0"/>
                                                                                                                                                                                                                          <w:marRight w:val="0"/>
                                                                                                                                                                                                                          <w:marTop w:val="0"/>
                                                                                                                                                                                                                          <w:marBottom w:val="0"/>
                                                                                                                                                                                                                          <w:divBdr>
                                                                                                                                                                                                                            <w:top w:val="none" w:sz="0" w:space="0" w:color="auto"/>
                                                                                                                                                                                                                            <w:left w:val="none" w:sz="0" w:space="0" w:color="auto"/>
                                                                                                                                                                                                                            <w:bottom w:val="none" w:sz="0" w:space="0" w:color="auto"/>
                                                                                                                                                                                                                            <w:right w:val="none" w:sz="0" w:space="0" w:color="auto"/>
                                                                                                                                                                                                                          </w:divBdr>
                                                                                                                                                                                                                          <w:divsChild>
                                                                                                                                                                                                                            <w:div w:id="884413771">
                                                                                                                                                                                                                              <w:marLeft w:val="0"/>
                                                                                                                                                                                                                              <w:marRight w:val="0"/>
                                                                                                                                                                                                                              <w:marTop w:val="0"/>
                                                                                                                                                                                                                              <w:marBottom w:val="0"/>
                                                                                                                                                                                                                              <w:divBdr>
                                                                                                                                                                                                                                <w:top w:val="none" w:sz="0" w:space="0" w:color="auto"/>
                                                                                                                                                                                                                                <w:left w:val="none" w:sz="0" w:space="0" w:color="auto"/>
                                                                                                                                                                                                                                <w:bottom w:val="none" w:sz="0" w:space="0" w:color="auto"/>
                                                                                                                                                                                                                                <w:right w:val="none" w:sz="0" w:space="0" w:color="auto"/>
                                                                                                                                                                                                                              </w:divBdr>
                                                                                                                                                                                                                              <w:divsChild>
                                                                                                                                                                                                                                <w:div w:id="1261714573">
                                                                                                                                                                                                                                  <w:marLeft w:val="0"/>
                                                                                                                                                                                                                                  <w:marRight w:val="0"/>
                                                                                                                                                                                                                                  <w:marTop w:val="0"/>
                                                                                                                                                                                                                                  <w:marBottom w:val="0"/>
                                                                                                                                                                                                                                  <w:divBdr>
                                                                                                                                                                                                                                    <w:top w:val="none" w:sz="0" w:space="0" w:color="auto"/>
                                                                                                                                                                                                                                    <w:left w:val="none" w:sz="0" w:space="0" w:color="auto"/>
                                                                                                                                                                                                                                    <w:bottom w:val="none" w:sz="0" w:space="0" w:color="auto"/>
                                                                                                                                                                                                                                    <w:right w:val="none" w:sz="0" w:space="0" w:color="auto"/>
                                                                                                                                                                                                                                  </w:divBdr>
                                                                                                                                                                                                                                  <w:divsChild>
                                                                                                                                                                                                                                    <w:div w:id="532308145">
                                                                                                                                                                                                                                      <w:marLeft w:val="0"/>
                                                                                                                                                                                                                                      <w:marRight w:val="0"/>
                                                                                                                                                                                                                                      <w:marTop w:val="0"/>
                                                                                                                                                                                                                                      <w:marBottom w:val="0"/>
                                                                                                                                                                                                                                      <w:divBdr>
                                                                                                                                                                                                                                        <w:top w:val="none" w:sz="0" w:space="0" w:color="auto"/>
                                                                                                                                                                                                                                        <w:left w:val="none" w:sz="0" w:space="0" w:color="auto"/>
                                                                                                                                                                                                                                        <w:bottom w:val="none" w:sz="0" w:space="0" w:color="auto"/>
                                                                                                                                                                                                                                        <w:right w:val="none" w:sz="0" w:space="0" w:color="auto"/>
                                                                                                                                                                                                                                      </w:divBdr>
                                                                                                                                                                                                                                      <w:divsChild>
                                                                                                                                                                                                                                        <w:div w:id="1761676634">
                                                                                                                                                                                                                                          <w:marLeft w:val="0"/>
                                                                                                                                                                                                                                          <w:marRight w:val="0"/>
                                                                                                                                                                                                                                          <w:marTop w:val="0"/>
                                                                                                                                                                                                                                          <w:marBottom w:val="0"/>
                                                                                                                                                                                                                                          <w:divBdr>
                                                                                                                                                                                                                                            <w:top w:val="none" w:sz="0" w:space="0" w:color="auto"/>
                                                                                                                                                                                                                                            <w:left w:val="none" w:sz="0" w:space="0" w:color="auto"/>
                                                                                                                                                                                                                                            <w:bottom w:val="none" w:sz="0" w:space="0" w:color="auto"/>
                                                                                                                                                                                                                                            <w:right w:val="none" w:sz="0" w:space="0" w:color="auto"/>
                                                                                                                                                                                                                                          </w:divBdr>
                                                                                                                                                                                                                                          <w:divsChild>
                                                                                                                                                                                                                                            <w:div w:id="66921009">
                                                                                                                                                                                                                                              <w:marLeft w:val="0"/>
                                                                                                                                                                                                                                              <w:marRight w:val="0"/>
                                                                                                                                                                                                                                              <w:marTop w:val="0"/>
                                                                                                                                                                                                                                              <w:marBottom w:val="0"/>
                                                                                                                                                                                                                                              <w:divBdr>
                                                                                                                                                                                                                                                <w:top w:val="none" w:sz="0" w:space="0" w:color="auto"/>
                                                                                                                                                                                                                                                <w:left w:val="none" w:sz="0" w:space="0" w:color="auto"/>
                                                                                                                                                                                                                                                <w:bottom w:val="none" w:sz="0" w:space="0" w:color="auto"/>
                                                                                                                                                                                                                                                <w:right w:val="none" w:sz="0" w:space="0" w:color="auto"/>
                                                                                                                                                                                                                                              </w:divBdr>
                                                                                                                                                                                                                                              <w:divsChild>
                                                                                                                                                                                                                                                <w:div w:id="1348213118">
                                                                                                                                                                                                                                                  <w:marLeft w:val="0"/>
                                                                                                                                                                                                                                                  <w:marRight w:val="0"/>
                                                                                                                                                                                                                                                  <w:marTop w:val="0"/>
                                                                                                                                                                                                                                                  <w:marBottom w:val="0"/>
                                                                                                                                                                                                                                                  <w:divBdr>
                                                                                                                                                                                                                                                    <w:top w:val="none" w:sz="0" w:space="0" w:color="auto"/>
                                                                                                                                                                                                                                                    <w:left w:val="none" w:sz="0" w:space="0" w:color="auto"/>
                                                                                                                                                                                                                                                    <w:bottom w:val="none" w:sz="0" w:space="0" w:color="auto"/>
                                                                                                                                                                                                                                                    <w:right w:val="none" w:sz="0" w:space="0" w:color="auto"/>
                                                                                                                                                                                                                                                  </w:divBdr>
                                                                                                                                                                                                                                                  <w:divsChild>
                                                                                                                                                                                                                                                    <w:div w:id="2039969963">
                                                                                                                                                                                                                                                      <w:marLeft w:val="0"/>
                                                                                                                                                                                                                                                      <w:marRight w:val="0"/>
                                                                                                                                                                                                                                                      <w:marTop w:val="0"/>
                                                                                                                                                                                                                                                      <w:marBottom w:val="0"/>
                                                                                                                                                                                                                                                      <w:divBdr>
                                                                                                                                                                                                                                                        <w:top w:val="none" w:sz="0" w:space="0" w:color="auto"/>
                                                                                                                                                                                                                                                        <w:left w:val="none" w:sz="0" w:space="0" w:color="auto"/>
                                                                                                                                                                                                                                                        <w:bottom w:val="none" w:sz="0" w:space="0" w:color="auto"/>
                                                                                                                                                                                                                                                        <w:right w:val="none" w:sz="0" w:space="0" w:color="auto"/>
                                                                                                                                                                                                                                                      </w:divBdr>
                                                                                                                                                                                                                                                      <w:divsChild>
                                                                                                                                                                                                                                                        <w:div w:id="153958925">
                                                                                                                                                                                                                                                          <w:marLeft w:val="0"/>
                                                                                                                                                                                                                                                          <w:marRight w:val="0"/>
                                                                                                                                                                                                                                                          <w:marTop w:val="0"/>
                                                                                                                                                                                                                                                          <w:marBottom w:val="0"/>
                                                                                                                                                                                                                                                          <w:divBdr>
                                                                                                                                                                                                                                                            <w:top w:val="none" w:sz="0" w:space="0" w:color="auto"/>
                                                                                                                                                                                                                                                            <w:left w:val="none" w:sz="0" w:space="0" w:color="auto"/>
                                                                                                                                                                                                                                                            <w:bottom w:val="none" w:sz="0" w:space="0" w:color="auto"/>
                                                                                                                                                                                                                                                            <w:right w:val="none" w:sz="0" w:space="0" w:color="auto"/>
                                                                                                                                                                                                                                                          </w:divBdr>
                                                                                                                                                                                                                                                          <w:divsChild>
                                                                                                                                                                                                                                                            <w:div w:id="1515149515">
                                                                                                                                                                                                                                                              <w:marLeft w:val="0"/>
                                                                                                                                                                                                                                                              <w:marRight w:val="0"/>
                                                                                                                                                                                                                                                              <w:marTop w:val="0"/>
                                                                                                                                                                                                                                                              <w:marBottom w:val="0"/>
                                                                                                                                                                                                                                                              <w:divBdr>
                                                                                                                                                                                                                                                                <w:top w:val="none" w:sz="0" w:space="0" w:color="auto"/>
                                                                                                                                                                                                                                                                <w:left w:val="none" w:sz="0" w:space="0" w:color="auto"/>
                                                                                                                                                                                                                                                                <w:bottom w:val="none" w:sz="0" w:space="0" w:color="auto"/>
                                                                                                                                                                                                                                                                <w:right w:val="none" w:sz="0" w:space="0" w:color="auto"/>
                                                                                                                                                                                                                                                              </w:divBdr>
                                                                                                                                                                                                                                                              <w:divsChild>
                                                                                                                                                                                                                                                                <w:div w:id="1188985197">
                                                                                                                                                                                                                                                                  <w:marLeft w:val="0"/>
                                                                                                                                                                                                                                                                  <w:marRight w:val="0"/>
                                                                                                                                                                                                                                                                  <w:marTop w:val="0"/>
                                                                                                                                                                                                                                                                  <w:marBottom w:val="0"/>
                                                                                                                                                                                                                                                                  <w:divBdr>
                                                                                                                                                                                                                                                                    <w:top w:val="none" w:sz="0" w:space="0" w:color="auto"/>
                                                                                                                                                                                                                                                                    <w:left w:val="none" w:sz="0" w:space="0" w:color="auto"/>
                                                                                                                                                                                                                                                                    <w:bottom w:val="none" w:sz="0" w:space="0" w:color="auto"/>
                                                                                                                                                                                                                                                                    <w:right w:val="none" w:sz="0" w:space="0" w:color="auto"/>
                                                                                                                                                                                                                                                                  </w:divBdr>
                                                                                                                                                                                                                                                                  <w:divsChild>
                                                                                                                                                                                                                                                                    <w:div w:id="1662536978">
                                                                                                                                                                                                                                                                      <w:marLeft w:val="0"/>
                                                                                                                                                                                                                                                                      <w:marRight w:val="0"/>
                                                                                                                                                                                                                                                                      <w:marTop w:val="0"/>
                                                                                                                                                                                                                                                                      <w:marBottom w:val="0"/>
                                                                                                                                                                                                                                                                      <w:divBdr>
                                                                                                                                                                                                                                                                        <w:top w:val="none" w:sz="0" w:space="0" w:color="auto"/>
                                                                                                                                                                                                                                                                        <w:left w:val="none" w:sz="0" w:space="0" w:color="auto"/>
                                                                                                                                                                                                                                                                        <w:bottom w:val="none" w:sz="0" w:space="0" w:color="auto"/>
                                                                                                                                                                                                                                                                        <w:right w:val="none" w:sz="0" w:space="0" w:color="auto"/>
                                                                                                                                                                                                                                                                      </w:divBdr>
                                                                                                                                                                                                                                                                      <w:divsChild>
                                                                                                                                                                                                                                                                        <w:div w:id="599021782">
                                                                                                                                                                                                                                                                          <w:marLeft w:val="0"/>
                                                                                                                                                                                                                                                                          <w:marRight w:val="0"/>
                                                                                                                                                                                                                                                                          <w:marTop w:val="0"/>
                                                                                                                                                                                                                                                                          <w:marBottom w:val="0"/>
                                                                                                                                                                                                                                                                          <w:divBdr>
                                                                                                                                                                                                                                                                            <w:top w:val="none" w:sz="0" w:space="0" w:color="auto"/>
                                                                                                                                                                                                                                                                            <w:left w:val="none" w:sz="0" w:space="0" w:color="auto"/>
                                                                                                                                                                                                                                                                            <w:bottom w:val="none" w:sz="0" w:space="0" w:color="auto"/>
                                                                                                                                                                                                                                                                            <w:right w:val="none" w:sz="0" w:space="0" w:color="auto"/>
                                                                                                                                                                                                                                                                          </w:divBdr>
                                                                                                                                                                                                                                                                          <w:divsChild>
                                                                                                                                                                                                                                                                            <w:div w:id="498152307">
                                                                                                                                                                                                                                                                              <w:marLeft w:val="0"/>
                                                                                                                                                                                                                                                                              <w:marRight w:val="0"/>
                                                                                                                                                                                                                                                                              <w:marTop w:val="0"/>
                                                                                                                                                                                                                                                                              <w:marBottom w:val="0"/>
                                                                                                                                                                                                                                                                              <w:divBdr>
                                                                                                                                                                                                                                                                                <w:top w:val="none" w:sz="0" w:space="0" w:color="auto"/>
                                                                                                                                                                                                                                                                                <w:left w:val="none" w:sz="0" w:space="0" w:color="auto"/>
                                                                                                                                                                                                                                                                                <w:bottom w:val="none" w:sz="0" w:space="0" w:color="auto"/>
                                                                                                                                                                                                                                                                                <w:right w:val="none" w:sz="0" w:space="0" w:color="auto"/>
                                                                                                                                                                                                                                                                              </w:divBdr>
                                                                                                                                                                                                                                                                              <w:divsChild>
                                                                                                                                                                                                                                                                                <w:div w:id="956913279">
                                                                                                                                                                                                                                                                                  <w:marLeft w:val="0"/>
                                                                                                                                                                                                                                                                                  <w:marRight w:val="0"/>
                                                                                                                                                                                                                                                                                  <w:marTop w:val="0"/>
                                                                                                                                                                                                                                                                                  <w:marBottom w:val="0"/>
                                                                                                                                                                                                                                                                                  <w:divBdr>
                                                                                                                                                                                                                                                                                    <w:top w:val="none" w:sz="0" w:space="0" w:color="auto"/>
                                                                                                                                                                                                                                                                                    <w:left w:val="none" w:sz="0" w:space="0" w:color="auto"/>
                                                                                                                                                                                                                                                                                    <w:bottom w:val="none" w:sz="0" w:space="0" w:color="auto"/>
                                                                                                                                                                                                                                                                                    <w:right w:val="none" w:sz="0" w:space="0" w:color="auto"/>
                                                                                                                                                                                                                                                                                  </w:divBdr>
                                                                                                                                                                                                                                                                                  <w:divsChild>
                                                                                                                                                                                                                                                                                    <w:div w:id="1066025420">
                                                                                                                                                                                                                                                                                      <w:marLeft w:val="0"/>
                                                                                                                                                                                                                                                                                      <w:marRight w:val="0"/>
                                                                                                                                                                                                                                                                                      <w:marTop w:val="0"/>
                                                                                                                                                                                                                                                                                      <w:marBottom w:val="0"/>
                                                                                                                                                                                                                                                                                      <w:divBdr>
                                                                                                                                                                                                                                                                                        <w:top w:val="none" w:sz="0" w:space="0" w:color="auto"/>
                                                                                                                                                                                                                                                                                        <w:left w:val="none" w:sz="0" w:space="0" w:color="auto"/>
                                                                                                                                                                                                                                                                                        <w:bottom w:val="none" w:sz="0" w:space="0" w:color="auto"/>
                                                                                                                                                                                                                                                                                        <w:right w:val="none" w:sz="0" w:space="0" w:color="auto"/>
                                                                                                                                                                                                                                                                                      </w:divBdr>
                                                                                                                                                                                                                                                                                      <w:divsChild>
                                                                                                                                                                                                                                                                                        <w:div w:id="1905026378">
                                                                                                                                                                                                                                                                                          <w:marLeft w:val="0"/>
                                                                                                                                                                                                                                                                                          <w:marRight w:val="0"/>
                                                                                                                                                                                                                                                                                          <w:marTop w:val="0"/>
                                                                                                                                                                                                                                                                                          <w:marBottom w:val="0"/>
                                                                                                                                                                                                                                                                                          <w:divBdr>
                                                                                                                                                                                                                                                                                            <w:top w:val="none" w:sz="0" w:space="0" w:color="auto"/>
                                                                                                                                                                                                                                                                                            <w:left w:val="none" w:sz="0" w:space="0" w:color="auto"/>
                                                                                                                                                                                                                                                                                            <w:bottom w:val="none" w:sz="0" w:space="0" w:color="auto"/>
                                                                                                                                                                                                                                                                                            <w:right w:val="none" w:sz="0" w:space="0" w:color="auto"/>
                                                                                                                                                                                                                                                                                          </w:divBdr>
                                                                                                                                                                                                                                                                                          <w:divsChild>
                                                                                                                                                                                                                                                                                            <w:div w:id="266618654">
                                                                                                                                                                                                                                                                                              <w:marLeft w:val="0"/>
                                                                                                                                                                                                                                                                                              <w:marRight w:val="0"/>
                                                                                                                                                                                                                                                                                              <w:marTop w:val="0"/>
                                                                                                                                                                                                                                                                                              <w:marBottom w:val="0"/>
                                                                                                                                                                                                                                                                                              <w:divBdr>
                                                                                                                                                                                                                                                                                                <w:top w:val="none" w:sz="0" w:space="0" w:color="auto"/>
                                                                                                                                                                                                                                                                                                <w:left w:val="none" w:sz="0" w:space="0" w:color="auto"/>
                                                                                                                                                                                                                                                                                                <w:bottom w:val="none" w:sz="0" w:space="0" w:color="auto"/>
                                                                                                                                                                                                                                                                                                <w:right w:val="none" w:sz="0" w:space="0" w:color="auto"/>
                                                                                                                                                                                                                                                                                              </w:divBdr>
                                                                                                                                                                                                                                                                                              <w:divsChild>
                                                                                                                                                                                                                                                                                                <w:div w:id="1518614546">
                                                                                                                                                                                                                                                                                                  <w:marLeft w:val="0"/>
                                                                                                                                                                                                                                                                                                  <w:marRight w:val="0"/>
                                                                                                                                                                                                                                                                                                  <w:marTop w:val="0"/>
                                                                                                                                                                                                                                                                                                  <w:marBottom w:val="0"/>
                                                                                                                                                                                                                                                                                                  <w:divBdr>
                                                                                                                                                                                                                                                                                                    <w:top w:val="none" w:sz="0" w:space="0" w:color="auto"/>
                                                                                                                                                                                                                                                                                                    <w:left w:val="none" w:sz="0" w:space="0" w:color="auto"/>
                                                                                                                                                                                                                                                                                                    <w:bottom w:val="none" w:sz="0" w:space="0" w:color="auto"/>
                                                                                                                                                                                                                                                                                                    <w:right w:val="none" w:sz="0" w:space="0" w:color="auto"/>
                                                                                                                                                                                                                                                                                                  </w:divBdr>
                                                                                                                                                                                                                                                                                                  <w:divsChild>
                                                                                                                                                                                                                                                                                                    <w:div w:id="773791676">
                                                                                                                                                                                                                                                                                                      <w:marLeft w:val="0"/>
                                                                                                                                                                                                                                                                                                      <w:marRight w:val="0"/>
                                                                                                                                                                                                                                                                                                      <w:marTop w:val="0"/>
                                                                                                                                                                                                                                                                                                      <w:marBottom w:val="0"/>
                                                                                                                                                                                                                                                                                                      <w:divBdr>
                                                                                                                                                                                                                                                                                                        <w:top w:val="none" w:sz="0" w:space="0" w:color="auto"/>
                                                                                                                                                                                                                                                                                                        <w:left w:val="none" w:sz="0" w:space="0" w:color="auto"/>
                                                                                                                                                                                                                                                                                                        <w:bottom w:val="none" w:sz="0" w:space="0" w:color="auto"/>
                                                                                                                                                                                                                                                                                                        <w:right w:val="none" w:sz="0" w:space="0" w:color="auto"/>
                                                                                                                                                                                                                                                                                                      </w:divBdr>
                                                                                                                                                                                                                                                                                                      <w:divsChild>
                                                                                                                                                                                                                                                                                                        <w:div w:id="1281687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footer" Target="footer4.xml"/><Relationship Id="rId14" Type="http://schemas.openxmlformats.org/officeDocument/2006/relationships/diagramData" Target="diagrams/data1.xml"/><Relationship Id="rId15" Type="http://schemas.openxmlformats.org/officeDocument/2006/relationships/diagramLayout" Target="diagrams/layout1.xml"/><Relationship Id="rId16" Type="http://schemas.openxmlformats.org/officeDocument/2006/relationships/diagramQuickStyle" Target="diagrams/quickStyle1.xml"/><Relationship Id="rId17" Type="http://schemas.openxmlformats.org/officeDocument/2006/relationships/diagramColors" Target="diagrams/colors1.xml"/><Relationship Id="rId18" Type="http://schemas.microsoft.com/office/2007/relationships/diagramDrawing" Target="diagrams/drawing1.xml"/><Relationship Id="rId19" Type="http://schemas.openxmlformats.org/officeDocument/2006/relationships/diagramData" Target="diagrams/data2.xml"/><Relationship Id="rId63" Type="http://schemas.openxmlformats.org/officeDocument/2006/relationships/image" Target="media/image36.png"/><Relationship Id="rId64" Type="http://schemas.openxmlformats.org/officeDocument/2006/relationships/fontTable" Target="fontTable.xml"/><Relationship Id="rId65" Type="http://schemas.openxmlformats.org/officeDocument/2006/relationships/theme" Target="theme/theme1.xml"/><Relationship Id="rId50" Type="http://schemas.openxmlformats.org/officeDocument/2006/relationships/image" Target="media/image23.png"/><Relationship Id="rId51" Type="http://schemas.openxmlformats.org/officeDocument/2006/relationships/image" Target="media/image24.png"/><Relationship Id="rId52" Type="http://schemas.openxmlformats.org/officeDocument/2006/relationships/image" Target="media/image25.png"/><Relationship Id="rId53" Type="http://schemas.openxmlformats.org/officeDocument/2006/relationships/image" Target="media/image26.png"/><Relationship Id="rId54" Type="http://schemas.openxmlformats.org/officeDocument/2006/relationships/image" Target="media/image27.png"/><Relationship Id="rId55" Type="http://schemas.openxmlformats.org/officeDocument/2006/relationships/image" Target="media/image28.png"/><Relationship Id="rId56" Type="http://schemas.openxmlformats.org/officeDocument/2006/relationships/image" Target="media/image29.png"/><Relationship Id="rId57" Type="http://schemas.openxmlformats.org/officeDocument/2006/relationships/image" Target="media/image30.wmf"/><Relationship Id="rId58" Type="http://schemas.openxmlformats.org/officeDocument/2006/relationships/image" Target="media/image31.png"/><Relationship Id="rId59" Type="http://schemas.openxmlformats.org/officeDocument/2006/relationships/image" Target="media/image32.png"/><Relationship Id="rId40" Type="http://schemas.openxmlformats.org/officeDocument/2006/relationships/image" Target="media/image18.png"/><Relationship Id="rId41" Type="http://schemas.openxmlformats.org/officeDocument/2006/relationships/image" Target="media/image19.png"/><Relationship Id="rId42" Type="http://schemas.openxmlformats.org/officeDocument/2006/relationships/diagramData" Target="diagrams/data3.xml"/><Relationship Id="rId43" Type="http://schemas.openxmlformats.org/officeDocument/2006/relationships/diagramLayout" Target="diagrams/layout3.xml"/><Relationship Id="rId44" Type="http://schemas.openxmlformats.org/officeDocument/2006/relationships/diagramQuickStyle" Target="diagrams/quickStyle3.xml"/><Relationship Id="rId45" Type="http://schemas.openxmlformats.org/officeDocument/2006/relationships/diagramColors" Target="diagrams/colors3.xml"/><Relationship Id="rId46" Type="http://schemas.microsoft.com/office/2007/relationships/diagramDrawing" Target="diagrams/drawing3.xml"/><Relationship Id="rId47" Type="http://schemas.openxmlformats.org/officeDocument/2006/relationships/image" Target="media/image20.png"/><Relationship Id="rId48" Type="http://schemas.openxmlformats.org/officeDocument/2006/relationships/image" Target="media/image21.png"/><Relationship Id="rId49" Type="http://schemas.openxmlformats.org/officeDocument/2006/relationships/image" Target="media/image22.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30" Type="http://schemas.openxmlformats.org/officeDocument/2006/relationships/image" Target="media/image8.png"/><Relationship Id="rId31" Type="http://schemas.openxmlformats.org/officeDocument/2006/relationships/image" Target="media/image9.png"/><Relationship Id="rId32" Type="http://schemas.openxmlformats.org/officeDocument/2006/relationships/image" Target="media/image10.png"/><Relationship Id="rId33" Type="http://schemas.openxmlformats.org/officeDocument/2006/relationships/image" Target="media/image11.png"/><Relationship Id="rId34" Type="http://schemas.openxmlformats.org/officeDocument/2006/relationships/image" Target="media/image12.png"/><Relationship Id="rId35" Type="http://schemas.openxmlformats.org/officeDocument/2006/relationships/image" Target="media/image13.png"/><Relationship Id="rId36" Type="http://schemas.openxmlformats.org/officeDocument/2006/relationships/image" Target="media/image14.png"/><Relationship Id="rId37" Type="http://schemas.openxmlformats.org/officeDocument/2006/relationships/image" Target="media/image15.png"/><Relationship Id="rId38" Type="http://schemas.openxmlformats.org/officeDocument/2006/relationships/image" Target="media/image16.png"/><Relationship Id="rId39" Type="http://schemas.openxmlformats.org/officeDocument/2006/relationships/image" Target="media/image17.png"/><Relationship Id="rId20" Type="http://schemas.openxmlformats.org/officeDocument/2006/relationships/diagramLayout" Target="diagrams/layout2.xml"/><Relationship Id="rId21" Type="http://schemas.openxmlformats.org/officeDocument/2006/relationships/diagramQuickStyle" Target="diagrams/quickStyle2.xml"/><Relationship Id="rId22" Type="http://schemas.openxmlformats.org/officeDocument/2006/relationships/diagramColors" Target="diagrams/colors2.xml"/><Relationship Id="rId23" Type="http://schemas.microsoft.com/office/2007/relationships/diagramDrawing" Target="diagrams/drawing2.xml"/><Relationship Id="rId24" Type="http://schemas.openxmlformats.org/officeDocument/2006/relationships/image" Target="media/image2.jpeg"/><Relationship Id="rId25" Type="http://schemas.openxmlformats.org/officeDocument/2006/relationships/image" Target="media/image3.emf"/><Relationship Id="rId26" Type="http://schemas.openxmlformats.org/officeDocument/2006/relationships/image" Target="media/image4.png"/><Relationship Id="rId27" Type="http://schemas.openxmlformats.org/officeDocument/2006/relationships/image" Target="media/image5.png"/><Relationship Id="rId28" Type="http://schemas.openxmlformats.org/officeDocument/2006/relationships/image" Target="media/image6.png"/><Relationship Id="rId29" Type="http://schemas.openxmlformats.org/officeDocument/2006/relationships/image" Target="media/image7.png"/><Relationship Id="rId60" Type="http://schemas.openxmlformats.org/officeDocument/2006/relationships/image" Target="media/image33.png"/><Relationship Id="rId61" Type="http://schemas.openxmlformats.org/officeDocument/2006/relationships/image" Target="media/image34.png"/><Relationship Id="rId62" Type="http://schemas.openxmlformats.org/officeDocument/2006/relationships/image" Target="media/image35.png"/><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footer" Target="footer3.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204558A-5E17-CC4D-9791-EB02B3298592}" type="doc">
      <dgm:prSet loTypeId="urn:microsoft.com/office/officeart/2005/8/layout/process2" loCatId="" qsTypeId="urn:microsoft.com/office/officeart/2005/8/quickstyle/simple4" qsCatId="simple" csTypeId="urn:microsoft.com/office/officeart/2005/8/colors/accent1_2" csCatId="accent1" phldr="1"/>
      <dgm:spPr/>
    </dgm:pt>
    <dgm:pt modelId="{D172F7B1-A24D-7443-B5E3-EB653FC6C626}">
      <dgm:prSet phldrT="[Text]"/>
      <dgm:spPr/>
      <dgm:t>
        <a:bodyPr/>
        <a:lstStyle/>
        <a:p>
          <a:r>
            <a:rPr lang="en-US"/>
            <a:t>Patient with clinically localized melanoma</a:t>
          </a:r>
        </a:p>
      </dgm:t>
    </dgm:pt>
    <dgm:pt modelId="{498CE90E-EEEC-6144-B067-470316BA6150}" type="parTrans" cxnId="{46E7CE71-AD37-6745-8990-37B231686C93}">
      <dgm:prSet/>
      <dgm:spPr/>
      <dgm:t>
        <a:bodyPr/>
        <a:lstStyle/>
        <a:p>
          <a:endParaRPr lang="en-US"/>
        </a:p>
      </dgm:t>
    </dgm:pt>
    <dgm:pt modelId="{5F798749-5D98-C042-A1B3-881A456D70CF}" type="sibTrans" cxnId="{46E7CE71-AD37-6745-8990-37B231686C93}">
      <dgm:prSet/>
      <dgm:spPr/>
      <dgm:t>
        <a:bodyPr/>
        <a:lstStyle/>
        <a:p>
          <a:endParaRPr lang="en-US"/>
        </a:p>
      </dgm:t>
    </dgm:pt>
    <dgm:pt modelId="{D70E07E1-849A-FA45-A1AA-7ABF6C92D7D1}">
      <dgm:prSet phldrT="[Text]"/>
      <dgm:spPr/>
      <dgm:t>
        <a:bodyPr/>
        <a:lstStyle/>
        <a:p>
          <a:r>
            <a:rPr lang="en-US"/>
            <a:t>Lymphoscintigraphy</a:t>
          </a:r>
        </a:p>
      </dgm:t>
    </dgm:pt>
    <dgm:pt modelId="{E7B1D36D-4847-AC45-BF9F-6A77CDC9FE20}" type="parTrans" cxnId="{8A5F6CF7-3443-7847-B749-3952D6856881}">
      <dgm:prSet/>
      <dgm:spPr/>
      <dgm:t>
        <a:bodyPr/>
        <a:lstStyle/>
        <a:p>
          <a:endParaRPr lang="en-US"/>
        </a:p>
      </dgm:t>
    </dgm:pt>
    <dgm:pt modelId="{8EAD970E-58FE-BD4A-8B87-DA087CBDDBDB}" type="sibTrans" cxnId="{8A5F6CF7-3443-7847-B749-3952D6856881}">
      <dgm:prSet/>
      <dgm:spPr/>
      <dgm:t>
        <a:bodyPr/>
        <a:lstStyle/>
        <a:p>
          <a:endParaRPr lang="en-US"/>
        </a:p>
      </dgm:t>
    </dgm:pt>
    <dgm:pt modelId="{49847A18-73A3-544B-A81D-B201A41B61BF}">
      <dgm:prSet/>
      <dgm:spPr/>
      <dgm:t>
        <a:bodyPr/>
        <a:lstStyle/>
        <a:p>
          <a:r>
            <a:rPr lang="en-US"/>
            <a:t>Sentinel node biopsy</a:t>
          </a:r>
        </a:p>
      </dgm:t>
    </dgm:pt>
    <dgm:pt modelId="{617F74C3-118D-C34D-A024-5B501B52F908}" type="parTrans" cxnId="{A9A38EE0-30A8-3346-8D0F-230587621D08}">
      <dgm:prSet/>
      <dgm:spPr/>
      <dgm:t>
        <a:bodyPr/>
        <a:lstStyle/>
        <a:p>
          <a:endParaRPr lang="en-US"/>
        </a:p>
      </dgm:t>
    </dgm:pt>
    <dgm:pt modelId="{D2283948-AB5D-3C47-8286-768F19EEE9CF}" type="sibTrans" cxnId="{A9A38EE0-30A8-3346-8D0F-230587621D08}">
      <dgm:prSet/>
      <dgm:spPr/>
      <dgm:t>
        <a:bodyPr/>
        <a:lstStyle/>
        <a:p>
          <a:endParaRPr lang="en-US"/>
        </a:p>
      </dgm:t>
    </dgm:pt>
    <dgm:pt modelId="{CDBD1EAF-458D-D74C-8FD7-16C8EBF7AFD1}">
      <dgm:prSet/>
      <dgm:spPr/>
      <dgm:t>
        <a:bodyPr/>
        <a:lstStyle/>
        <a:p>
          <a:r>
            <a:rPr lang="en-US"/>
            <a:t>Completion lymph node dissection to assess for non-sentinel node metastases</a:t>
          </a:r>
        </a:p>
      </dgm:t>
    </dgm:pt>
    <dgm:pt modelId="{F7458885-252E-114D-B363-DC9689D3A62D}" type="parTrans" cxnId="{55DAC8D7-BA8D-7F4A-A19F-16D6FE9C08F2}">
      <dgm:prSet/>
      <dgm:spPr/>
      <dgm:t>
        <a:bodyPr/>
        <a:lstStyle/>
        <a:p>
          <a:endParaRPr lang="en-US"/>
        </a:p>
      </dgm:t>
    </dgm:pt>
    <dgm:pt modelId="{57FF33EB-EB87-4140-BB08-49EA60EE93C8}" type="sibTrans" cxnId="{55DAC8D7-BA8D-7F4A-A19F-16D6FE9C08F2}">
      <dgm:prSet/>
      <dgm:spPr/>
      <dgm:t>
        <a:bodyPr/>
        <a:lstStyle/>
        <a:p>
          <a:endParaRPr lang="en-US"/>
        </a:p>
      </dgm:t>
    </dgm:pt>
    <dgm:pt modelId="{835D381D-0B1E-A44E-986E-B8D002EC788E}">
      <dgm:prSet/>
      <dgm:spPr/>
      <dgm:t>
        <a:bodyPr/>
        <a:lstStyle/>
        <a:p>
          <a:r>
            <a:rPr lang="en-US"/>
            <a:t>If sentinel node(s) contain melanoma</a:t>
          </a:r>
        </a:p>
      </dgm:t>
    </dgm:pt>
    <dgm:pt modelId="{97D1BD4E-5501-0F4B-9446-A2A58B88FAA1}" type="parTrans" cxnId="{07AE2942-B618-B845-AB67-3FC6FACFF830}">
      <dgm:prSet/>
      <dgm:spPr/>
      <dgm:t>
        <a:bodyPr/>
        <a:lstStyle/>
        <a:p>
          <a:endParaRPr lang="en-US"/>
        </a:p>
      </dgm:t>
    </dgm:pt>
    <dgm:pt modelId="{98B51320-F62B-1E4C-A5E4-DB18F7BF3F6D}" type="sibTrans" cxnId="{07AE2942-B618-B845-AB67-3FC6FACFF830}">
      <dgm:prSet/>
      <dgm:spPr/>
      <dgm:t>
        <a:bodyPr/>
        <a:lstStyle/>
        <a:p>
          <a:endParaRPr lang="en-US"/>
        </a:p>
      </dgm:t>
    </dgm:pt>
    <dgm:pt modelId="{8A72D9CB-EE54-8D4D-A6EB-741A91ED7B71}">
      <dgm:prSet/>
      <dgm:spPr/>
      <dgm:t>
        <a:bodyPr/>
        <a:lstStyle/>
        <a:p>
          <a:r>
            <a:rPr lang="en-US"/>
            <a:t>Consider prognosis, adjuvant therapy and trial eligibility</a:t>
          </a:r>
        </a:p>
      </dgm:t>
    </dgm:pt>
    <dgm:pt modelId="{CDD2078D-4ED5-7A4B-A12B-E38430FE59D2}" type="parTrans" cxnId="{B2FF5481-D586-4447-8B8D-9F8EA931FEA4}">
      <dgm:prSet/>
      <dgm:spPr/>
      <dgm:t>
        <a:bodyPr/>
        <a:lstStyle/>
        <a:p>
          <a:endParaRPr lang="en-US"/>
        </a:p>
      </dgm:t>
    </dgm:pt>
    <dgm:pt modelId="{880029E0-10DF-5143-A8BF-A26D8B72C132}" type="sibTrans" cxnId="{B2FF5481-D586-4447-8B8D-9F8EA931FEA4}">
      <dgm:prSet/>
      <dgm:spPr/>
      <dgm:t>
        <a:bodyPr/>
        <a:lstStyle/>
        <a:p>
          <a:endParaRPr lang="en-US"/>
        </a:p>
      </dgm:t>
    </dgm:pt>
    <dgm:pt modelId="{D4D07E15-4D5F-6B47-AAD9-24CE9A0CCE2E}" type="pres">
      <dgm:prSet presAssocID="{1204558A-5E17-CC4D-9791-EB02B3298592}" presName="linearFlow" presStyleCnt="0">
        <dgm:presLayoutVars>
          <dgm:resizeHandles val="exact"/>
        </dgm:presLayoutVars>
      </dgm:prSet>
      <dgm:spPr/>
    </dgm:pt>
    <dgm:pt modelId="{337877AD-04F7-744F-B65D-122667EE8EEF}" type="pres">
      <dgm:prSet presAssocID="{D172F7B1-A24D-7443-B5E3-EB653FC6C626}" presName="node" presStyleLbl="node1" presStyleIdx="0" presStyleCnt="6" custLinFactNeighborX="977" custLinFactNeighborY="34431">
        <dgm:presLayoutVars>
          <dgm:bulletEnabled val="1"/>
        </dgm:presLayoutVars>
      </dgm:prSet>
      <dgm:spPr/>
      <dgm:t>
        <a:bodyPr/>
        <a:lstStyle/>
        <a:p>
          <a:endParaRPr lang="en-US"/>
        </a:p>
      </dgm:t>
    </dgm:pt>
    <dgm:pt modelId="{6E1DE3C9-BCF8-0848-9360-25BAD6C9371A}" type="pres">
      <dgm:prSet presAssocID="{5F798749-5D98-C042-A1B3-881A456D70CF}" presName="sibTrans" presStyleLbl="sibTrans2D1" presStyleIdx="0" presStyleCnt="5"/>
      <dgm:spPr/>
      <dgm:t>
        <a:bodyPr/>
        <a:lstStyle/>
        <a:p>
          <a:endParaRPr lang="en-US"/>
        </a:p>
      </dgm:t>
    </dgm:pt>
    <dgm:pt modelId="{E9E24784-E604-7842-9122-53B7D21A94EE}" type="pres">
      <dgm:prSet presAssocID="{5F798749-5D98-C042-A1B3-881A456D70CF}" presName="connectorText" presStyleLbl="sibTrans2D1" presStyleIdx="0" presStyleCnt="5"/>
      <dgm:spPr/>
      <dgm:t>
        <a:bodyPr/>
        <a:lstStyle/>
        <a:p>
          <a:endParaRPr lang="en-US"/>
        </a:p>
      </dgm:t>
    </dgm:pt>
    <dgm:pt modelId="{777927DB-B28E-6F4A-BA33-D2D8CCCA9B03}" type="pres">
      <dgm:prSet presAssocID="{D70E07E1-849A-FA45-A1AA-7ABF6C92D7D1}" presName="node" presStyleLbl="node1" presStyleIdx="1" presStyleCnt="6">
        <dgm:presLayoutVars>
          <dgm:bulletEnabled val="1"/>
        </dgm:presLayoutVars>
      </dgm:prSet>
      <dgm:spPr/>
      <dgm:t>
        <a:bodyPr/>
        <a:lstStyle/>
        <a:p>
          <a:endParaRPr lang="en-US"/>
        </a:p>
      </dgm:t>
    </dgm:pt>
    <dgm:pt modelId="{12E84E03-856F-7047-BCA3-1C8B77A4FA24}" type="pres">
      <dgm:prSet presAssocID="{8EAD970E-58FE-BD4A-8B87-DA087CBDDBDB}" presName="sibTrans" presStyleLbl="sibTrans2D1" presStyleIdx="1" presStyleCnt="5"/>
      <dgm:spPr/>
      <dgm:t>
        <a:bodyPr/>
        <a:lstStyle/>
        <a:p>
          <a:endParaRPr lang="en-US"/>
        </a:p>
      </dgm:t>
    </dgm:pt>
    <dgm:pt modelId="{557B619C-E5E5-5D44-AB50-0D78A085A6F4}" type="pres">
      <dgm:prSet presAssocID="{8EAD970E-58FE-BD4A-8B87-DA087CBDDBDB}" presName="connectorText" presStyleLbl="sibTrans2D1" presStyleIdx="1" presStyleCnt="5"/>
      <dgm:spPr/>
      <dgm:t>
        <a:bodyPr/>
        <a:lstStyle/>
        <a:p>
          <a:endParaRPr lang="en-US"/>
        </a:p>
      </dgm:t>
    </dgm:pt>
    <dgm:pt modelId="{CBA44342-56E2-0B45-B78E-8AA6CE646014}" type="pres">
      <dgm:prSet presAssocID="{49847A18-73A3-544B-A81D-B201A41B61BF}" presName="node" presStyleLbl="node1" presStyleIdx="2" presStyleCnt="6">
        <dgm:presLayoutVars>
          <dgm:bulletEnabled val="1"/>
        </dgm:presLayoutVars>
      </dgm:prSet>
      <dgm:spPr/>
      <dgm:t>
        <a:bodyPr/>
        <a:lstStyle/>
        <a:p>
          <a:endParaRPr lang="en-US"/>
        </a:p>
      </dgm:t>
    </dgm:pt>
    <dgm:pt modelId="{46CBB2CF-5F30-6041-91BC-D46C09C59CE8}" type="pres">
      <dgm:prSet presAssocID="{D2283948-AB5D-3C47-8286-768F19EEE9CF}" presName="sibTrans" presStyleLbl="sibTrans2D1" presStyleIdx="2" presStyleCnt="5"/>
      <dgm:spPr/>
      <dgm:t>
        <a:bodyPr/>
        <a:lstStyle/>
        <a:p>
          <a:endParaRPr lang="en-US"/>
        </a:p>
      </dgm:t>
    </dgm:pt>
    <dgm:pt modelId="{596BC3D0-0ACD-1544-917E-2545B452DDCF}" type="pres">
      <dgm:prSet presAssocID="{D2283948-AB5D-3C47-8286-768F19EEE9CF}" presName="connectorText" presStyleLbl="sibTrans2D1" presStyleIdx="2" presStyleCnt="5"/>
      <dgm:spPr/>
      <dgm:t>
        <a:bodyPr/>
        <a:lstStyle/>
        <a:p>
          <a:endParaRPr lang="en-US"/>
        </a:p>
      </dgm:t>
    </dgm:pt>
    <dgm:pt modelId="{E57A743D-9AF7-B242-BAEF-9592151AAEDE}" type="pres">
      <dgm:prSet presAssocID="{835D381D-0B1E-A44E-986E-B8D002EC788E}" presName="node" presStyleLbl="node1" presStyleIdx="3" presStyleCnt="6">
        <dgm:presLayoutVars>
          <dgm:bulletEnabled val="1"/>
        </dgm:presLayoutVars>
      </dgm:prSet>
      <dgm:spPr/>
      <dgm:t>
        <a:bodyPr/>
        <a:lstStyle/>
        <a:p>
          <a:endParaRPr lang="en-US"/>
        </a:p>
      </dgm:t>
    </dgm:pt>
    <dgm:pt modelId="{47632220-81BE-2241-9803-3CA406FF099D}" type="pres">
      <dgm:prSet presAssocID="{98B51320-F62B-1E4C-A5E4-DB18F7BF3F6D}" presName="sibTrans" presStyleLbl="sibTrans2D1" presStyleIdx="3" presStyleCnt="5"/>
      <dgm:spPr/>
      <dgm:t>
        <a:bodyPr/>
        <a:lstStyle/>
        <a:p>
          <a:endParaRPr lang="en-US"/>
        </a:p>
      </dgm:t>
    </dgm:pt>
    <dgm:pt modelId="{EB308DE8-ED6F-934E-AF1D-35D54F14218C}" type="pres">
      <dgm:prSet presAssocID="{98B51320-F62B-1E4C-A5E4-DB18F7BF3F6D}" presName="connectorText" presStyleLbl="sibTrans2D1" presStyleIdx="3" presStyleCnt="5"/>
      <dgm:spPr/>
      <dgm:t>
        <a:bodyPr/>
        <a:lstStyle/>
        <a:p>
          <a:endParaRPr lang="en-US"/>
        </a:p>
      </dgm:t>
    </dgm:pt>
    <dgm:pt modelId="{588FEDD9-328C-CA40-836E-F56E286B0356}" type="pres">
      <dgm:prSet presAssocID="{CDBD1EAF-458D-D74C-8FD7-16C8EBF7AFD1}" presName="node" presStyleLbl="node1" presStyleIdx="4" presStyleCnt="6">
        <dgm:presLayoutVars>
          <dgm:bulletEnabled val="1"/>
        </dgm:presLayoutVars>
      </dgm:prSet>
      <dgm:spPr/>
      <dgm:t>
        <a:bodyPr/>
        <a:lstStyle/>
        <a:p>
          <a:endParaRPr lang="en-US"/>
        </a:p>
      </dgm:t>
    </dgm:pt>
    <dgm:pt modelId="{4AB88E1A-DBE8-7A48-AC09-EE480C6FF371}" type="pres">
      <dgm:prSet presAssocID="{57FF33EB-EB87-4140-BB08-49EA60EE93C8}" presName="sibTrans" presStyleLbl="sibTrans2D1" presStyleIdx="4" presStyleCnt="5"/>
      <dgm:spPr/>
      <dgm:t>
        <a:bodyPr/>
        <a:lstStyle/>
        <a:p>
          <a:endParaRPr lang="en-US"/>
        </a:p>
      </dgm:t>
    </dgm:pt>
    <dgm:pt modelId="{2AA3352C-41A6-0747-857F-7E287CD7E30C}" type="pres">
      <dgm:prSet presAssocID="{57FF33EB-EB87-4140-BB08-49EA60EE93C8}" presName="connectorText" presStyleLbl="sibTrans2D1" presStyleIdx="4" presStyleCnt="5"/>
      <dgm:spPr/>
      <dgm:t>
        <a:bodyPr/>
        <a:lstStyle/>
        <a:p>
          <a:endParaRPr lang="en-US"/>
        </a:p>
      </dgm:t>
    </dgm:pt>
    <dgm:pt modelId="{CD37B3B0-484B-8B4D-9C26-C32735087890}" type="pres">
      <dgm:prSet presAssocID="{8A72D9CB-EE54-8D4D-A6EB-741A91ED7B71}" presName="node" presStyleLbl="node1" presStyleIdx="5" presStyleCnt="6">
        <dgm:presLayoutVars>
          <dgm:bulletEnabled val="1"/>
        </dgm:presLayoutVars>
      </dgm:prSet>
      <dgm:spPr/>
      <dgm:t>
        <a:bodyPr/>
        <a:lstStyle/>
        <a:p>
          <a:endParaRPr lang="en-US"/>
        </a:p>
      </dgm:t>
    </dgm:pt>
  </dgm:ptLst>
  <dgm:cxnLst>
    <dgm:cxn modelId="{81C3740D-3C04-9342-8941-B283AEDA9B71}" type="presOf" srcId="{CDBD1EAF-458D-D74C-8FD7-16C8EBF7AFD1}" destId="{588FEDD9-328C-CA40-836E-F56E286B0356}" srcOrd="0" destOrd="0" presId="urn:microsoft.com/office/officeart/2005/8/layout/process2"/>
    <dgm:cxn modelId="{0F66094D-1557-D947-921A-3E721822AB33}" type="presOf" srcId="{D70E07E1-849A-FA45-A1AA-7ABF6C92D7D1}" destId="{777927DB-B28E-6F4A-BA33-D2D8CCCA9B03}" srcOrd="0" destOrd="0" presId="urn:microsoft.com/office/officeart/2005/8/layout/process2"/>
    <dgm:cxn modelId="{D3C351AA-172B-1C46-A7F9-148C9230C818}" type="presOf" srcId="{835D381D-0B1E-A44E-986E-B8D002EC788E}" destId="{E57A743D-9AF7-B242-BAEF-9592151AAEDE}" srcOrd="0" destOrd="0" presId="urn:microsoft.com/office/officeart/2005/8/layout/process2"/>
    <dgm:cxn modelId="{55DAC8D7-BA8D-7F4A-A19F-16D6FE9C08F2}" srcId="{1204558A-5E17-CC4D-9791-EB02B3298592}" destId="{CDBD1EAF-458D-D74C-8FD7-16C8EBF7AFD1}" srcOrd="4" destOrd="0" parTransId="{F7458885-252E-114D-B363-DC9689D3A62D}" sibTransId="{57FF33EB-EB87-4140-BB08-49EA60EE93C8}"/>
    <dgm:cxn modelId="{5443E83A-C8FF-1948-8CF2-48E72811C8FD}" type="presOf" srcId="{D2283948-AB5D-3C47-8286-768F19EEE9CF}" destId="{46CBB2CF-5F30-6041-91BC-D46C09C59CE8}" srcOrd="0" destOrd="0" presId="urn:microsoft.com/office/officeart/2005/8/layout/process2"/>
    <dgm:cxn modelId="{AFA5DEF6-E4DC-1042-B876-1B689507ED73}" type="presOf" srcId="{57FF33EB-EB87-4140-BB08-49EA60EE93C8}" destId="{2AA3352C-41A6-0747-857F-7E287CD7E30C}" srcOrd="1" destOrd="0" presId="urn:microsoft.com/office/officeart/2005/8/layout/process2"/>
    <dgm:cxn modelId="{09A33182-AAAD-8D4B-9FD0-96EAE8EDA303}" type="presOf" srcId="{8EAD970E-58FE-BD4A-8B87-DA087CBDDBDB}" destId="{12E84E03-856F-7047-BCA3-1C8B77A4FA24}" srcOrd="0" destOrd="0" presId="urn:microsoft.com/office/officeart/2005/8/layout/process2"/>
    <dgm:cxn modelId="{A9A38EE0-30A8-3346-8D0F-230587621D08}" srcId="{1204558A-5E17-CC4D-9791-EB02B3298592}" destId="{49847A18-73A3-544B-A81D-B201A41B61BF}" srcOrd="2" destOrd="0" parTransId="{617F74C3-118D-C34D-A024-5B501B52F908}" sibTransId="{D2283948-AB5D-3C47-8286-768F19EEE9CF}"/>
    <dgm:cxn modelId="{67E85EE6-2AC2-9146-AB20-13FCF73FEF17}" type="presOf" srcId="{49847A18-73A3-544B-A81D-B201A41B61BF}" destId="{CBA44342-56E2-0B45-B78E-8AA6CE646014}" srcOrd="0" destOrd="0" presId="urn:microsoft.com/office/officeart/2005/8/layout/process2"/>
    <dgm:cxn modelId="{516A1D00-2811-CD4E-B81D-65801C8340DB}" type="presOf" srcId="{98B51320-F62B-1E4C-A5E4-DB18F7BF3F6D}" destId="{EB308DE8-ED6F-934E-AF1D-35D54F14218C}" srcOrd="1" destOrd="0" presId="urn:microsoft.com/office/officeart/2005/8/layout/process2"/>
    <dgm:cxn modelId="{67A6A423-7CFB-DF42-AABD-9EE5967BDE61}" type="presOf" srcId="{98B51320-F62B-1E4C-A5E4-DB18F7BF3F6D}" destId="{47632220-81BE-2241-9803-3CA406FF099D}" srcOrd="0" destOrd="0" presId="urn:microsoft.com/office/officeart/2005/8/layout/process2"/>
    <dgm:cxn modelId="{3325ED6E-91F3-6C41-9525-9F257D64AD46}" type="presOf" srcId="{57FF33EB-EB87-4140-BB08-49EA60EE93C8}" destId="{4AB88E1A-DBE8-7A48-AC09-EE480C6FF371}" srcOrd="0" destOrd="0" presId="urn:microsoft.com/office/officeart/2005/8/layout/process2"/>
    <dgm:cxn modelId="{07AE2942-B618-B845-AB67-3FC6FACFF830}" srcId="{1204558A-5E17-CC4D-9791-EB02B3298592}" destId="{835D381D-0B1E-A44E-986E-B8D002EC788E}" srcOrd="3" destOrd="0" parTransId="{97D1BD4E-5501-0F4B-9446-A2A58B88FAA1}" sibTransId="{98B51320-F62B-1E4C-A5E4-DB18F7BF3F6D}"/>
    <dgm:cxn modelId="{46E7CE71-AD37-6745-8990-37B231686C93}" srcId="{1204558A-5E17-CC4D-9791-EB02B3298592}" destId="{D172F7B1-A24D-7443-B5E3-EB653FC6C626}" srcOrd="0" destOrd="0" parTransId="{498CE90E-EEEC-6144-B067-470316BA6150}" sibTransId="{5F798749-5D98-C042-A1B3-881A456D70CF}"/>
    <dgm:cxn modelId="{DF411785-8924-A346-AADB-3A6E73FF042F}" type="presOf" srcId="{5F798749-5D98-C042-A1B3-881A456D70CF}" destId="{6E1DE3C9-BCF8-0848-9360-25BAD6C9371A}" srcOrd="0" destOrd="0" presId="urn:microsoft.com/office/officeart/2005/8/layout/process2"/>
    <dgm:cxn modelId="{E082FFAD-EE79-DE4C-9922-1C20E5961703}" type="presOf" srcId="{8A72D9CB-EE54-8D4D-A6EB-741A91ED7B71}" destId="{CD37B3B0-484B-8B4D-9C26-C32735087890}" srcOrd="0" destOrd="0" presId="urn:microsoft.com/office/officeart/2005/8/layout/process2"/>
    <dgm:cxn modelId="{F79B08C5-38FE-6A4B-8AB3-B59921FD033E}" type="presOf" srcId="{1204558A-5E17-CC4D-9791-EB02B3298592}" destId="{D4D07E15-4D5F-6B47-AAD9-24CE9A0CCE2E}" srcOrd="0" destOrd="0" presId="urn:microsoft.com/office/officeart/2005/8/layout/process2"/>
    <dgm:cxn modelId="{B2FF5481-D586-4447-8B8D-9F8EA931FEA4}" srcId="{1204558A-5E17-CC4D-9791-EB02B3298592}" destId="{8A72D9CB-EE54-8D4D-A6EB-741A91ED7B71}" srcOrd="5" destOrd="0" parTransId="{CDD2078D-4ED5-7A4B-A12B-E38430FE59D2}" sibTransId="{880029E0-10DF-5143-A8BF-A26D8B72C132}"/>
    <dgm:cxn modelId="{6D353E57-58EF-2344-8E09-4912245D2258}" type="presOf" srcId="{D172F7B1-A24D-7443-B5E3-EB653FC6C626}" destId="{337877AD-04F7-744F-B65D-122667EE8EEF}" srcOrd="0" destOrd="0" presId="urn:microsoft.com/office/officeart/2005/8/layout/process2"/>
    <dgm:cxn modelId="{789E19F3-A866-7A47-B8BE-9F36D03CD676}" type="presOf" srcId="{8EAD970E-58FE-BD4A-8B87-DA087CBDDBDB}" destId="{557B619C-E5E5-5D44-AB50-0D78A085A6F4}" srcOrd="1" destOrd="0" presId="urn:microsoft.com/office/officeart/2005/8/layout/process2"/>
    <dgm:cxn modelId="{8A5F6CF7-3443-7847-B749-3952D6856881}" srcId="{1204558A-5E17-CC4D-9791-EB02B3298592}" destId="{D70E07E1-849A-FA45-A1AA-7ABF6C92D7D1}" srcOrd="1" destOrd="0" parTransId="{E7B1D36D-4847-AC45-BF9F-6A77CDC9FE20}" sibTransId="{8EAD970E-58FE-BD4A-8B87-DA087CBDDBDB}"/>
    <dgm:cxn modelId="{2EE203C5-EA21-944F-87BD-EA80DB78E2DF}" type="presOf" srcId="{5F798749-5D98-C042-A1B3-881A456D70CF}" destId="{E9E24784-E604-7842-9122-53B7D21A94EE}" srcOrd="1" destOrd="0" presId="urn:microsoft.com/office/officeart/2005/8/layout/process2"/>
    <dgm:cxn modelId="{5F073D7A-8A4C-F34A-A1CD-D2DDFCDC979B}" type="presOf" srcId="{D2283948-AB5D-3C47-8286-768F19EEE9CF}" destId="{596BC3D0-0ACD-1544-917E-2545B452DDCF}" srcOrd="1" destOrd="0" presId="urn:microsoft.com/office/officeart/2005/8/layout/process2"/>
    <dgm:cxn modelId="{7EE0BDB0-7848-4240-AA27-324190A82203}" type="presParOf" srcId="{D4D07E15-4D5F-6B47-AAD9-24CE9A0CCE2E}" destId="{337877AD-04F7-744F-B65D-122667EE8EEF}" srcOrd="0" destOrd="0" presId="urn:microsoft.com/office/officeart/2005/8/layout/process2"/>
    <dgm:cxn modelId="{E38F8F1F-7709-244C-8B79-165A7671FFBD}" type="presParOf" srcId="{D4D07E15-4D5F-6B47-AAD9-24CE9A0CCE2E}" destId="{6E1DE3C9-BCF8-0848-9360-25BAD6C9371A}" srcOrd="1" destOrd="0" presId="urn:microsoft.com/office/officeart/2005/8/layout/process2"/>
    <dgm:cxn modelId="{5E9EDF7F-C1DC-DB47-93E9-A2C67C1624CD}" type="presParOf" srcId="{6E1DE3C9-BCF8-0848-9360-25BAD6C9371A}" destId="{E9E24784-E604-7842-9122-53B7D21A94EE}" srcOrd="0" destOrd="0" presId="urn:microsoft.com/office/officeart/2005/8/layout/process2"/>
    <dgm:cxn modelId="{7BA9DB86-E32B-FE49-BE57-2EE979E322C0}" type="presParOf" srcId="{D4D07E15-4D5F-6B47-AAD9-24CE9A0CCE2E}" destId="{777927DB-B28E-6F4A-BA33-D2D8CCCA9B03}" srcOrd="2" destOrd="0" presId="urn:microsoft.com/office/officeart/2005/8/layout/process2"/>
    <dgm:cxn modelId="{7E5C28E6-578E-C342-A903-5697685D595E}" type="presParOf" srcId="{D4D07E15-4D5F-6B47-AAD9-24CE9A0CCE2E}" destId="{12E84E03-856F-7047-BCA3-1C8B77A4FA24}" srcOrd="3" destOrd="0" presId="urn:microsoft.com/office/officeart/2005/8/layout/process2"/>
    <dgm:cxn modelId="{67DA3021-A65C-AB44-AD6B-F7F00BD1802B}" type="presParOf" srcId="{12E84E03-856F-7047-BCA3-1C8B77A4FA24}" destId="{557B619C-E5E5-5D44-AB50-0D78A085A6F4}" srcOrd="0" destOrd="0" presId="urn:microsoft.com/office/officeart/2005/8/layout/process2"/>
    <dgm:cxn modelId="{EBBE242B-95CB-2E44-9942-3CA270979887}" type="presParOf" srcId="{D4D07E15-4D5F-6B47-AAD9-24CE9A0CCE2E}" destId="{CBA44342-56E2-0B45-B78E-8AA6CE646014}" srcOrd="4" destOrd="0" presId="urn:microsoft.com/office/officeart/2005/8/layout/process2"/>
    <dgm:cxn modelId="{5249DF2A-439B-2A4E-8DE1-54D6B337910A}" type="presParOf" srcId="{D4D07E15-4D5F-6B47-AAD9-24CE9A0CCE2E}" destId="{46CBB2CF-5F30-6041-91BC-D46C09C59CE8}" srcOrd="5" destOrd="0" presId="urn:microsoft.com/office/officeart/2005/8/layout/process2"/>
    <dgm:cxn modelId="{0BA32E36-8851-444D-90C0-0913FCE72F51}" type="presParOf" srcId="{46CBB2CF-5F30-6041-91BC-D46C09C59CE8}" destId="{596BC3D0-0ACD-1544-917E-2545B452DDCF}" srcOrd="0" destOrd="0" presId="urn:microsoft.com/office/officeart/2005/8/layout/process2"/>
    <dgm:cxn modelId="{1F6523F6-51CD-C645-AA45-E39422F3D1AA}" type="presParOf" srcId="{D4D07E15-4D5F-6B47-AAD9-24CE9A0CCE2E}" destId="{E57A743D-9AF7-B242-BAEF-9592151AAEDE}" srcOrd="6" destOrd="0" presId="urn:microsoft.com/office/officeart/2005/8/layout/process2"/>
    <dgm:cxn modelId="{7478715B-EDE7-D14C-9EBA-4B18FB0F519D}" type="presParOf" srcId="{D4D07E15-4D5F-6B47-AAD9-24CE9A0CCE2E}" destId="{47632220-81BE-2241-9803-3CA406FF099D}" srcOrd="7" destOrd="0" presId="urn:microsoft.com/office/officeart/2005/8/layout/process2"/>
    <dgm:cxn modelId="{31C7EB15-3643-AC46-A198-D5F0DC9019EB}" type="presParOf" srcId="{47632220-81BE-2241-9803-3CA406FF099D}" destId="{EB308DE8-ED6F-934E-AF1D-35D54F14218C}" srcOrd="0" destOrd="0" presId="urn:microsoft.com/office/officeart/2005/8/layout/process2"/>
    <dgm:cxn modelId="{40095D6D-BE29-C440-9A80-082685994745}" type="presParOf" srcId="{D4D07E15-4D5F-6B47-AAD9-24CE9A0CCE2E}" destId="{588FEDD9-328C-CA40-836E-F56E286B0356}" srcOrd="8" destOrd="0" presId="urn:microsoft.com/office/officeart/2005/8/layout/process2"/>
    <dgm:cxn modelId="{70871B82-24FC-ED41-91E0-76969963E0E2}" type="presParOf" srcId="{D4D07E15-4D5F-6B47-AAD9-24CE9A0CCE2E}" destId="{4AB88E1A-DBE8-7A48-AC09-EE480C6FF371}" srcOrd="9" destOrd="0" presId="urn:microsoft.com/office/officeart/2005/8/layout/process2"/>
    <dgm:cxn modelId="{5E998F61-58BA-6C49-928C-881BB2E3D636}" type="presParOf" srcId="{4AB88E1A-DBE8-7A48-AC09-EE480C6FF371}" destId="{2AA3352C-41A6-0747-857F-7E287CD7E30C}" srcOrd="0" destOrd="0" presId="urn:microsoft.com/office/officeart/2005/8/layout/process2"/>
    <dgm:cxn modelId="{C1560A9A-EA9A-C143-85C2-AFD280E53E10}" type="presParOf" srcId="{D4D07E15-4D5F-6B47-AAD9-24CE9A0CCE2E}" destId="{CD37B3B0-484B-8B4D-9C26-C32735087890}" srcOrd="10" destOrd="0" presId="urn:microsoft.com/office/officeart/2005/8/layout/process2"/>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B78A51F-C818-4541-9E80-CD665BC6C077}" type="doc">
      <dgm:prSet loTypeId="urn:microsoft.com/office/officeart/2008/layout/RadialCluster" loCatId="" qsTypeId="urn:microsoft.com/office/officeart/2005/8/quickstyle/simple4" qsCatId="simple" csTypeId="urn:microsoft.com/office/officeart/2005/8/colors/accent1_2" csCatId="accent1" phldr="1"/>
      <dgm:spPr/>
      <dgm:t>
        <a:bodyPr/>
        <a:lstStyle/>
        <a:p>
          <a:endParaRPr lang="en-US"/>
        </a:p>
      </dgm:t>
    </dgm:pt>
    <dgm:pt modelId="{5398FFD6-DB2E-DF4B-90E7-C2B2D28869A3}">
      <dgm:prSet phldrT="[Text]"/>
      <dgm:spPr/>
      <dgm:t>
        <a:bodyPr/>
        <a:lstStyle/>
        <a:p>
          <a:r>
            <a:rPr lang="en-US"/>
            <a:t>Lymphoscintigraphy</a:t>
          </a:r>
        </a:p>
      </dgm:t>
    </dgm:pt>
    <dgm:pt modelId="{EC17C25F-9F84-0D4A-A9FD-E3B2FCEBA6A9}" type="parTrans" cxnId="{CC642490-2502-DA4C-A4EC-F611D426A0D7}">
      <dgm:prSet/>
      <dgm:spPr/>
      <dgm:t>
        <a:bodyPr/>
        <a:lstStyle/>
        <a:p>
          <a:endParaRPr lang="en-US"/>
        </a:p>
      </dgm:t>
    </dgm:pt>
    <dgm:pt modelId="{D5AB7154-4BD5-8344-90CC-6FE5C23B8213}" type="sibTrans" cxnId="{CC642490-2502-DA4C-A4EC-F611D426A0D7}">
      <dgm:prSet/>
      <dgm:spPr/>
      <dgm:t>
        <a:bodyPr/>
        <a:lstStyle/>
        <a:p>
          <a:endParaRPr lang="en-US"/>
        </a:p>
      </dgm:t>
    </dgm:pt>
    <dgm:pt modelId="{595F9E98-8C18-CC41-A933-74C3F8FD33E7}">
      <dgm:prSet phldrT="[Text]"/>
      <dgm:spPr/>
      <dgm:t>
        <a:bodyPr/>
        <a:lstStyle/>
        <a:p>
          <a:r>
            <a:rPr lang="en-US"/>
            <a:t>Accurate</a:t>
          </a:r>
        </a:p>
        <a:p>
          <a:r>
            <a:rPr lang="en-US"/>
            <a:t>(all sentinel nodes identified)</a:t>
          </a:r>
        </a:p>
      </dgm:t>
    </dgm:pt>
    <dgm:pt modelId="{C1DB6B87-33AB-E54D-9622-1BF145AFD6CC}" type="parTrans" cxnId="{B4FE707D-29DF-534C-9294-860D9A3F8DDC}">
      <dgm:prSet/>
      <dgm:spPr/>
      <dgm:t>
        <a:bodyPr/>
        <a:lstStyle/>
        <a:p>
          <a:endParaRPr lang="en-US"/>
        </a:p>
      </dgm:t>
    </dgm:pt>
    <dgm:pt modelId="{2D25B03C-E3B9-0744-826A-AF1E6A3F41D4}" type="sibTrans" cxnId="{B4FE707D-29DF-534C-9294-860D9A3F8DDC}">
      <dgm:prSet/>
      <dgm:spPr/>
      <dgm:t>
        <a:bodyPr/>
        <a:lstStyle/>
        <a:p>
          <a:endParaRPr lang="en-US"/>
        </a:p>
      </dgm:t>
    </dgm:pt>
    <dgm:pt modelId="{5A3B5681-460C-6241-82CC-A11BE6768525}">
      <dgm:prSet phldrT="[Text]"/>
      <dgm:spPr/>
      <dgm:t>
        <a:bodyPr/>
        <a:lstStyle/>
        <a:p>
          <a:r>
            <a:rPr lang="en-US"/>
            <a:t>Non-localization (no sentinel node identified)</a:t>
          </a:r>
        </a:p>
      </dgm:t>
    </dgm:pt>
    <dgm:pt modelId="{8F9D8066-3186-3F40-BDA5-5DC2FC78DFEE}" type="parTrans" cxnId="{C9AF1428-B51E-C349-A41D-099E02C60227}">
      <dgm:prSet/>
      <dgm:spPr/>
      <dgm:t>
        <a:bodyPr/>
        <a:lstStyle/>
        <a:p>
          <a:endParaRPr lang="en-US"/>
        </a:p>
      </dgm:t>
    </dgm:pt>
    <dgm:pt modelId="{403908B3-30EF-4F46-835C-509FD33CD2E9}" type="sibTrans" cxnId="{C9AF1428-B51E-C349-A41D-099E02C60227}">
      <dgm:prSet/>
      <dgm:spPr/>
      <dgm:t>
        <a:bodyPr/>
        <a:lstStyle/>
        <a:p>
          <a:endParaRPr lang="en-US"/>
        </a:p>
      </dgm:t>
    </dgm:pt>
    <dgm:pt modelId="{B1318094-69CD-E34C-99E4-FD190F2AF78F}">
      <dgm:prSet phldrT="[Text]"/>
      <dgm:spPr/>
      <dgm:t>
        <a:bodyPr/>
        <a:lstStyle/>
        <a:p>
          <a:r>
            <a:rPr lang="en-US"/>
            <a:t>Inaccurate</a:t>
          </a:r>
        </a:p>
        <a:p>
          <a:r>
            <a:rPr lang="en-US"/>
            <a:t>(only some sentinel nodes +/- non-sentinel nodes identified)</a:t>
          </a:r>
        </a:p>
      </dgm:t>
    </dgm:pt>
    <dgm:pt modelId="{61F38C79-86B9-F64C-A11E-3A2CB833EE76}" type="parTrans" cxnId="{9C08861C-412E-3F43-9E41-7AC7F19D91FB}">
      <dgm:prSet/>
      <dgm:spPr/>
      <dgm:t>
        <a:bodyPr/>
        <a:lstStyle/>
        <a:p>
          <a:endParaRPr lang="en-US"/>
        </a:p>
      </dgm:t>
    </dgm:pt>
    <dgm:pt modelId="{8D4C0808-EEFF-6643-BA9F-3FCEE24E5FC7}" type="sibTrans" cxnId="{9C08861C-412E-3F43-9E41-7AC7F19D91FB}">
      <dgm:prSet/>
      <dgm:spPr/>
      <dgm:t>
        <a:bodyPr/>
        <a:lstStyle/>
        <a:p>
          <a:endParaRPr lang="en-US"/>
        </a:p>
      </dgm:t>
    </dgm:pt>
    <dgm:pt modelId="{80E7ACB8-B621-7044-BA35-8369CE202AAF}" type="pres">
      <dgm:prSet presAssocID="{8B78A51F-C818-4541-9E80-CD665BC6C077}" presName="Name0" presStyleCnt="0">
        <dgm:presLayoutVars>
          <dgm:chMax val="1"/>
          <dgm:chPref val="1"/>
          <dgm:dir/>
          <dgm:animOne val="branch"/>
          <dgm:animLvl val="lvl"/>
        </dgm:presLayoutVars>
      </dgm:prSet>
      <dgm:spPr/>
      <dgm:t>
        <a:bodyPr/>
        <a:lstStyle/>
        <a:p>
          <a:endParaRPr lang="en-US"/>
        </a:p>
      </dgm:t>
    </dgm:pt>
    <dgm:pt modelId="{2DDF77ED-E2C7-814C-A118-109AC9528552}" type="pres">
      <dgm:prSet presAssocID="{5398FFD6-DB2E-DF4B-90E7-C2B2D28869A3}" presName="singleCycle" presStyleCnt="0"/>
      <dgm:spPr/>
    </dgm:pt>
    <dgm:pt modelId="{D51FF7B6-4114-5A43-834B-835B2D92B15B}" type="pres">
      <dgm:prSet presAssocID="{5398FFD6-DB2E-DF4B-90E7-C2B2D28869A3}" presName="singleCenter" presStyleLbl="node1" presStyleIdx="0" presStyleCnt="4">
        <dgm:presLayoutVars>
          <dgm:chMax val="7"/>
          <dgm:chPref val="7"/>
        </dgm:presLayoutVars>
      </dgm:prSet>
      <dgm:spPr/>
      <dgm:t>
        <a:bodyPr/>
        <a:lstStyle/>
        <a:p>
          <a:endParaRPr lang="en-US"/>
        </a:p>
      </dgm:t>
    </dgm:pt>
    <dgm:pt modelId="{5D2B4043-A960-A44E-A05F-22CB375B4C0D}" type="pres">
      <dgm:prSet presAssocID="{C1DB6B87-33AB-E54D-9622-1BF145AFD6CC}" presName="Name56" presStyleLbl="parChTrans1D2" presStyleIdx="0" presStyleCnt="3"/>
      <dgm:spPr/>
      <dgm:t>
        <a:bodyPr/>
        <a:lstStyle/>
        <a:p>
          <a:endParaRPr lang="en-US"/>
        </a:p>
      </dgm:t>
    </dgm:pt>
    <dgm:pt modelId="{D7C51A00-6484-9949-8598-0E35938E31FC}" type="pres">
      <dgm:prSet presAssocID="{595F9E98-8C18-CC41-A933-74C3F8FD33E7}" presName="text0" presStyleLbl="node1" presStyleIdx="1" presStyleCnt="4">
        <dgm:presLayoutVars>
          <dgm:bulletEnabled val="1"/>
        </dgm:presLayoutVars>
      </dgm:prSet>
      <dgm:spPr/>
      <dgm:t>
        <a:bodyPr/>
        <a:lstStyle/>
        <a:p>
          <a:endParaRPr lang="en-US"/>
        </a:p>
      </dgm:t>
    </dgm:pt>
    <dgm:pt modelId="{C76AF8D6-B2C4-9F42-9C4D-26BCBDE7E0C1}" type="pres">
      <dgm:prSet presAssocID="{8F9D8066-3186-3F40-BDA5-5DC2FC78DFEE}" presName="Name56" presStyleLbl="parChTrans1D2" presStyleIdx="1" presStyleCnt="3"/>
      <dgm:spPr/>
      <dgm:t>
        <a:bodyPr/>
        <a:lstStyle/>
        <a:p>
          <a:endParaRPr lang="en-US"/>
        </a:p>
      </dgm:t>
    </dgm:pt>
    <dgm:pt modelId="{86119F64-467E-484A-A67F-7DF439FDF838}" type="pres">
      <dgm:prSet presAssocID="{5A3B5681-460C-6241-82CC-A11BE6768525}" presName="text0" presStyleLbl="node1" presStyleIdx="2" presStyleCnt="4">
        <dgm:presLayoutVars>
          <dgm:bulletEnabled val="1"/>
        </dgm:presLayoutVars>
      </dgm:prSet>
      <dgm:spPr/>
      <dgm:t>
        <a:bodyPr/>
        <a:lstStyle/>
        <a:p>
          <a:endParaRPr lang="en-US"/>
        </a:p>
      </dgm:t>
    </dgm:pt>
    <dgm:pt modelId="{D004A079-914D-A44F-A618-25025839152B}" type="pres">
      <dgm:prSet presAssocID="{61F38C79-86B9-F64C-A11E-3A2CB833EE76}" presName="Name56" presStyleLbl="parChTrans1D2" presStyleIdx="2" presStyleCnt="3"/>
      <dgm:spPr/>
      <dgm:t>
        <a:bodyPr/>
        <a:lstStyle/>
        <a:p>
          <a:endParaRPr lang="en-US"/>
        </a:p>
      </dgm:t>
    </dgm:pt>
    <dgm:pt modelId="{5E037F85-F3B6-4E45-81AC-5AA71DC7706C}" type="pres">
      <dgm:prSet presAssocID="{B1318094-69CD-E34C-99E4-FD190F2AF78F}" presName="text0" presStyleLbl="node1" presStyleIdx="3" presStyleCnt="4">
        <dgm:presLayoutVars>
          <dgm:bulletEnabled val="1"/>
        </dgm:presLayoutVars>
      </dgm:prSet>
      <dgm:spPr/>
      <dgm:t>
        <a:bodyPr/>
        <a:lstStyle/>
        <a:p>
          <a:endParaRPr lang="en-US"/>
        </a:p>
      </dgm:t>
    </dgm:pt>
  </dgm:ptLst>
  <dgm:cxnLst>
    <dgm:cxn modelId="{CC642490-2502-DA4C-A4EC-F611D426A0D7}" srcId="{8B78A51F-C818-4541-9E80-CD665BC6C077}" destId="{5398FFD6-DB2E-DF4B-90E7-C2B2D28869A3}" srcOrd="0" destOrd="0" parTransId="{EC17C25F-9F84-0D4A-A9FD-E3B2FCEBA6A9}" sibTransId="{D5AB7154-4BD5-8344-90CC-6FE5C23B8213}"/>
    <dgm:cxn modelId="{9C08861C-412E-3F43-9E41-7AC7F19D91FB}" srcId="{5398FFD6-DB2E-DF4B-90E7-C2B2D28869A3}" destId="{B1318094-69CD-E34C-99E4-FD190F2AF78F}" srcOrd="2" destOrd="0" parTransId="{61F38C79-86B9-F64C-A11E-3A2CB833EE76}" sibTransId="{8D4C0808-EEFF-6643-BA9F-3FCEE24E5FC7}"/>
    <dgm:cxn modelId="{870593CE-B3FF-9A47-B880-E0CA5D1956FF}" type="presOf" srcId="{5398FFD6-DB2E-DF4B-90E7-C2B2D28869A3}" destId="{D51FF7B6-4114-5A43-834B-835B2D92B15B}" srcOrd="0" destOrd="0" presId="urn:microsoft.com/office/officeart/2008/layout/RadialCluster"/>
    <dgm:cxn modelId="{49BE808C-2E8C-3946-9DB1-7B11A89AFAA8}" type="presOf" srcId="{8F9D8066-3186-3F40-BDA5-5DC2FC78DFEE}" destId="{C76AF8D6-B2C4-9F42-9C4D-26BCBDE7E0C1}" srcOrd="0" destOrd="0" presId="urn:microsoft.com/office/officeart/2008/layout/RadialCluster"/>
    <dgm:cxn modelId="{5CC2A2B2-159B-094F-AEDD-2EE960A5924A}" type="presOf" srcId="{C1DB6B87-33AB-E54D-9622-1BF145AFD6CC}" destId="{5D2B4043-A960-A44E-A05F-22CB375B4C0D}" srcOrd="0" destOrd="0" presId="urn:microsoft.com/office/officeart/2008/layout/RadialCluster"/>
    <dgm:cxn modelId="{94EF4688-CCA9-684B-B3A0-C2F972500497}" type="presOf" srcId="{B1318094-69CD-E34C-99E4-FD190F2AF78F}" destId="{5E037F85-F3B6-4E45-81AC-5AA71DC7706C}" srcOrd="0" destOrd="0" presId="urn:microsoft.com/office/officeart/2008/layout/RadialCluster"/>
    <dgm:cxn modelId="{8BF6A466-5EFB-1649-B741-71A9C6141A00}" type="presOf" srcId="{595F9E98-8C18-CC41-A933-74C3F8FD33E7}" destId="{D7C51A00-6484-9949-8598-0E35938E31FC}" srcOrd="0" destOrd="0" presId="urn:microsoft.com/office/officeart/2008/layout/RadialCluster"/>
    <dgm:cxn modelId="{6FCE091D-80DB-474D-965E-2A69E42E547B}" type="presOf" srcId="{8B78A51F-C818-4541-9E80-CD665BC6C077}" destId="{80E7ACB8-B621-7044-BA35-8369CE202AAF}" srcOrd="0" destOrd="0" presId="urn:microsoft.com/office/officeart/2008/layout/RadialCluster"/>
    <dgm:cxn modelId="{B4FE707D-29DF-534C-9294-860D9A3F8DDC}" srcId="{5398FFD6-DB2E-DF4B-90E7-C2B2D28869A3}" destId="{595F9E98-8C18-CC41-A933-74C3F8FD33E7}" srcOrd="0" destOrd="0" parTransId="{C1DB6B87-33AB-E54D-9622-1BF145AFD6CC}" sibTransId="{2D25B03C-E3B9-0744-826A-AF1E6A3F41D4}"/>
    <dgm:cxn modelId="{FDA9170B-B287-7043-BF73-CF2D91F20274}" type="presOf" srcId="{61F38C79-86B9-F64C-A11E-3A2CB833EE76}" destId="{D004A079-914D-A44F-A618-25025839152B}" srcOrd="0" destOrd="0" presId="urn:microsoft.com/office/officeart/2008/layout/RadialCluster"/>
    <dgm:cxn modelId="{791D91BE-89EB-BC48-8173-AB5E4028CE45}" type="presOf" srcId="{5A3B5681-460C-6241-82CC-A11BE6768525}" destId="{86119F64-467E-484A-A67F-7DF439FDF838}" srcOrd="0" destOrd="0" presId="urn:microsoft.com/office/officeart/2008/layout/RadialCluster"/>
    <dgm:cxn modelId="{C9AF1428-B51E-C349-A41D-099E02C60227}" srcId="{5398FFD6-DB2E-DF4B-90E7-C2B2D28869A3}" destId="{5A3B5681-460C-6241-82CC-A11BE6768525}" srcOrd="1" destOrd="0" parTransId="{8F9D8066-3186-3F40-BDA5-5DC2FC78DFEE}" sibTransId="{403908B3-30EF-4F46-835C-509FD33CD2E9}"/>
    <dgm:cxn modelId="{900F724D-8C1D-F84D-A9F3-FD87C9833AAE}" type="presParOf" srcId="{80E7ACB8-B621-7044-BA35-8369CE202AAF}" destId="{2DDF77ED-E2C7-814C-A118-109AC9528552}" srcOrd="0" destOrd="0" presId="urn:microsoft.com/office/officeart/2008/layout/RadialCluster"/>
    <dgm:cxn modelId="{594CD452-48C4-084D-8E27-5CF58F502D33}" type="presParOf" srcId="{2DDF77ED-E2C7-814C-A118-109AC9528552}" destId="{D51FF7B6-4114-5A43-834B-835B2D92B15B}" srcOrd="0" destOrd="0" presId="urn:microsoft.com/office/officeart/2008/layout/RadialCluster"/>
    <dgm:cxn modelId="{8CD708AF-7E90-C348-8F93-BEF87A126ABA}" type="presParOf" srcId="{2DDF77ED-E2C7-814C-A118-109AC9528552}" destId="{5D2B4043-A960-A44E-A05F-22CB375B4C0D}" srcOrd="1" destOrd="0" presId="urn:microsoft.com/office/officeart/2008/layout/RadialCluster"/>
    <dgm:cxn modelId="{65EC399E-8F75-2148-A748-98F2A6FAF476}" type="presParOf" srcId="{2DDF77ED-E2C7-814C-A118-109AC9528552}" destId="{D7C51A00-6484-9949-8598-0E35938E31FC}" srcOrd="2" destOrd="0" presId="urn:microsoft.com/office/officeart/2008/layout/RadialCluster"/>
    <dgm:cxn modelId="{8596A1C9-CB02-0C4B-BDD1-DCF6F48EE802}" type="presParOf" srcId="{2DDF77ED-E2C7-814C-A118-109AC9528552}" destId="{C76AF8D6-B2C4-9F42-9C4D-26BCBDE7E0C1}" srcOrd="3" destOrd="0" presId="urn:microsoft.com/office/officeart/2008/layout/RadialCluster"/>
    <dgm:cxn modelId="{291BDBE2-E1B8-A043-8AAB-42B0AE47E0CF}" type="presParOf" srcId="{2DDF77ED-E2C7-814C-A118-109AC9528552}" destId="{86119F64-467E-484A-A67F-7DF439FDF838}" srcOrd="4" destOrd="0" presId="urn:microsoft.com/office/officeart/2008/layout/RadialCluster"/>
    <dgm:cxn modelId="{101AD3F2-D32A-A94F-BD64-AFEEA34B607E}" type="presParOf" srcId="{2DDF77ED-E2C7-814C-A118-109AC9528552}" destId="{D004A079-914D-A44F-A618-25025839152B}" srcOrd="5" destOrd="0" presId="urn:microsoft.com/office/officeart/2008/layout/RadialCluster"/>
    <dgm:cxn modelId="{8FDDD0BE-8949-ED4B-8839-491CB9EE4486}" type="presParOf" srcId="{2DDF77ED-E2C7-814C-A118-109AC9528552}" destId="{5E037F85-F3B6-4E45-81AC-5AA71DC7706C}" srcOrd="6" destOrd="0" presId="urn:microsoft.com/office/officeart/2008/layout/RadialCluster"/>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91E60387-FDD3-054D-A6BD-00467F057BAD}" type="doc">
      <dgm:prSet loTypeId="urn:microsoft.com/office/officeart/2005/8/layout/StepDownProcess" loCatId="" qsTypeId="urn:microsoft.com/office/officeart/2005/8/quickstyle/simple5" qsCatId="simple" csTypeId="urn:microsoft.com/office/officeart/2005/8/colors/accent1_2" csCatId="accent1" phldr="1"/>
      <dgm:spPr/>
      <dgm:t>
        <a:bodyPr/>
        <a:lstStyle/>
        <a:p>
          <a:endParaRPr lang="en-US"/>
        </a:p>
      </dgm:t>
    </dgm:pt>
    <dgm:pt modelId="{B99E662F-45FF-5345-8A8A-DB28114A3A52}">
      <dgm:prSet phldrT="[Text]"/>
      <dgm:spPr>
        <a:xfrm>
          <a:off x="560508" y="32749"/>
          <a:ext cx="1035873" cy="725077"/>
        </a:xfr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r>
            <a:rPr lang="en-US">
              <a:solidFill>
                <a:sysClr val="window" lastClr="FFFFFF"/>
              </a:solidFill>
              <a:latin typeface="Cambria"/>
              <a:ea typeface="+mn-ea"/>
              <a:cs typeface="+mn-cs"/>
            </a:rPr>
            <a:t>1. Sentinel node(s) identified on lymphoscintigram?</a:t>
          </a:r>
        </a:p>
      </dgm:t>
    </dgm:pt>
    <dgm:pt modelId="{6E6B2F9A-9D5D-DA44-80E1-6B9F0DDE6FF6}" type="parTrans" cxnId="{99FCDFE0-5176-6748-AC9D-9882C13AED9E}">
      <dgm:prSet/>
      <dgm:spPr/>
      <dgm:t>
        <a:bodyPr/>
        <a:lstStyle/>
        <a:p>
          <a:endParaRPr lang="en-US"/>
        </a:p>
      </dgm:t>
    </dgm:pt>
    <dgm:pt modelId="{B9285C5D-78FC-2845-BDC7-26EE9F78D392}" type="sibTrans" cxnId="{99FCDFE0-5176-6748-AC9D-9882C13AED9E}">
      <dgm:prSet/>
      <dgm:spPr/>
      <dgm:t>
        <a:bodyPr/>
        <a:lstStyle/>
        <a:p>
          <a:endParaRPr lang="en-US"/>
        </a:p>
      </dgm:t>
    </dgm:pt>
    <dgm:pt modelId="{9BB3A0A4-1D7F-3E40-B1F0-47C371D74D9B}" type="asst">
      <dgm:prSet phldrT="[Text]" custT="1"/>
      <dgm:spPr>
        <a:xfrm>
          <a:off x="1723057" y="41698"/>
          <a:ext cx="1964131" cy="586039"/>
        </a:xfrm>
        <a:noFill/>
        <a:ln>
          <a:noFill/>
        </a:ln>
        <a:effectLst/>
      </dgm:spPr>
      <dgm:t>
        <a:bodyPr/>
        <a:lstStyle/>
        <a:p>
          <a:r>
            <a:rPr lang="en-US" sz="800">
              <a:solidFill>
                <a:sysClr val="windowText" lastClr="000000">
                  <a:hueOff val="0"/>
                  <a:satOff val="0"/>
                  <a:lumOff val="0"/>
                  <a:alphaOff val="0"/>
                </a:sysClr>
              </a:solidFill>
              <a:latin typeface="Cambria"/>
              <a:ea typeface="+mn-ea"/>
              <a:cs typeface="+mn-cs"/>
            </a:rPr>
            <a:t>Yes - proceed with sentinel node biopsy.</a:t>
          </a:r>
        </a:p>
      </dgm:t>
    </dgm:pt>
    <dgm:pt modelId="{87EDEEB2-D83C-BF4D-9E69-125EF31BDDDC}" type="parTrans" cxnId="{BFA2D8B4-36A1-EA4A-806D-32C111C77584}">
      <dgm:prSet/>
      <dgm:spPr/>
      <dgm:t>
        <a:bodyPr/>
        <a:lstStyle/>
        <a:p>
          <a:endParaRPr lang="en-US"/>
        </a:p>
      </dgm:t>
    </dgm:pt>
    <dgm:pt modelId="{64666C9E-BD15-F842-A8DE-2D8735AB70BB}" type="sibTrans" cxnId="{BFA2D8B4-36A1-EA4A-806D-32C111C77584}">
      <dgm:prSet/>
      <dgm:spPr/>
      <dgm:t>
        <a:bodyPr/>
        <a:lstStyle/>
        <a:p>
          <a:endParaRPr lang="en-US"/>
        </a:p>
      </dgm:t>
    </dgm:pt>
    <dgm:pt modelId="{95EEE161-F31F-2048-A3F6-FC68903FCFCF}">
      <dgm:prSet/>
      <dgm:spPr>
        <a:xfrm>
          <a:off x="1709934" y="847251"/>
          <a:ext cx="1035873" cy="725077"/>
        </a:xfr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r>
            <a:rPr lang="en-US">
              <a:solidFill>
                <a:sysClr val="window" lastClr="FFFFFF"/>
              </a:solidFill>
              <a:latin typeface="Cambria"/>
              <a:ea typeface="+mn-ea"/>
              <a:cs typeface="+mn-cs"/>
            </a:rPr>
            <a:t>2. Quality of radiocolloid satisfactory?</a:t>
          </a:r>
        </a:p>
      </dgm:t>
    </dgm:pt>
    <dgm:pt modelId="{829CA74D-B4CB-064D-83FE-63D648E8A76E}" type="parTrans" cxnId="{7709EBBA-E0BC-CE40-8834-D4844170BE30}">
      <dgm:prSet/>
      <dgm:spPr/>
      <dgm:t>
        <a:bodyPr/>
        <a:lstStyle/>
        <a:p>
          <a:endParaRPr lang="en-US"/>
        </a:p>
      </dgm:t>
    </dgm:pt>
    <dgm:pt modelId="{8E3C0100-8AA6-9B43-9D1C-9CBB39655790}" type="sibTrans" cxnId="{7709EBBA-E0BC-CE40-8834-D4844170BE30}">
      <dgm:prSet/>
      <dgm:spPr/>
      <dgm:t>
        <a:bodyPr/>
        <a:lstStyle/>
        <a:p>
          <a:endParaRPr lang="en-US"/>
        </a:p>
      </dgm:t>
    </dgm:pt>
    <dgm:pt modelId="{3774B149-8C4D-5F46-8231-669313C0B647}">
      <dgm:prSet/>
      <dgm:spPr>
        <a:xfrm>
          <a:off x="2859359" y="1661752"/>
          <a:ext cx="1035873" cy="725077"/>
        </a:xfr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r>
            <a:rPr lang="en-US">
              <a:solidFill>
                <a:sysClr val="window" lastClr="FFFFFF"/>
              </a:solidFill>
              <a:latin typeface="Cambria"/>
              <a:ea typeface="+mn-ea"/>
              <a:cs typeface="+mn-cs"/>
            </a:rPr>
            <a:t>3. Have all possible nodal fields been included in imaging?</a:t>
          </a:r>
        </a:p>
      </dgm:t>
    </dgm:pt>
    <dgm:pt modelId="{E809D575-9574-6F49-B0EF-E38210C5662E}" type="parTrans" cxnId="{34444404-8287-FE46-816C-E7579B3275A1}">
      <dgm:prSet/>
      <dgm:spPr/>
      <dgm:t>
        <a:bodyPr/>
        <a:lstStyle/>
        <a:p>
          <a:endParaRPr lang="en-US"/>
        </a:p>
      </dgm:t>
    </dgm:pt>
    <dgm:pt modelId="{E9639C38-726E-034B-AD78-C7060234356F}" type="sibTrans" cxnId="{34444404-8287-FE46-816C-E7579B3275A1}">
      <dgm:prSet/>
      <dgm:spPr/>
      <dgm:t>
        <a:bodyPr/>
        <a:lstStyle/>
        <a:p>
          <a:endParaRPr lang="en-US"/>
        </a:p>
      </dgm:t>
    </dgm:pt>
    <dgm:pt modelId="{856FCBB1-127B-AC45-833B-196AE65208EE}">
      <dgm:prSet custT="1"/>
      <dgm:spPr>
        <a:xfrm>
          <a:off x="4019471" y="1731936"/>
          <a:ext cx="2199063" cy="586039"/>
        </a:xfrm>
        <a:noFill/>
        <a:ln>
          <a:noFill/>
        </a:ln>
        <a:effectLst/>
      </dgm:spPr>
      <dgm:t>
        <a:bodyPr/>
        <a:lstStyle/>
        <a:p>
          <a:r>
            <a:rPr lang="en-US" sz="800">
              <a:solidFill>
                <a:sysClr val="windowText" lastClr="000000">
                  <a:hueOff val="0"/>
                  <a:satOff val="0"/>
                  <a:lumOff val="0"/>
                  <a:alphaOff val="0"/>
                </a:sysClr>
              </a:solidFill>
              <a:latin typeface="Cambria"/>
              <a:ea typeface="+mn-ea"/>
              <a:cs typeface="+mn-cs"/>
            </a:rPr>
            <a:t>No - Repeat image aquisition with all fields included.</a:t>
          </a:r>
        </a:p>
      </dgm:t>
    </dgm:pt>
    <dgm:pt modelId="{FB258CC5-D182-8F41-9756-AF4843C0A287}" type="parTrans" cxnId="{1CD3EA9F-18D2-0043-A948-F883D3FBB645}">
      <dgm:prSet/>
      <dgm:spPr/>
      <dgm:t>
        <a:bodyPr/>
        <a:lstStyle/>
        <a:p>
          <a:endParaRPr lang="en-US"/>
        </a:p>
      </dgm:t>
    </dgm:pt>
    <dgm:pt modelId="{42180059-DF7D-6146-A6C8-4035E8A20099}" type="sibTrans" cxnId="{1CD3EA9F-18D2-0043-A948-F883D3FBB645}">
      <dgm:prSet/>
      <dgm:spPr/>
      <dgm:t>
        <a:bodyPr/>
        <a:lstStyle/>
        <a:p>
          <a:endParaRPr lang="en-US"/>
        </a:p>
      </dgm:t>
    </dgm:pt>
    <dgm:pt modelId="{83068E00-D025-894D-B739-38AFC09024F7}">
      <dgm:prSet/>
      <dgm:spPr>
        <a:xfrm>
          <a:off x="4008785" y="2476253"/>
          <a:ext cx="1035873" cy="725077"/>
        </a:xfr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r>
            <a:rPr lang="en-US">
              <a:solidFill>
                <a:sysClr val="window" lastClr="FFFFFF"/>
              </a:solidFill>
              <a:latin typeface="Cambria"/>
              <a:ea typeface="+mn-ea"/>
              <a:cs typeface="+mn-cs"/>
            </a:rPr>
            <a:t>4. Does primary tumour site overlie likely location of sentinel nodes?</a:t>
          </a:r>
        </a:p>
      </dgm:t>
    </dgm:pt>
    <dgm:pt modelId="{B20C4310-38AF-8446-88F0-5B928BF9EDF6}" type="parTrans" cxnId="{29125CF1-A5E0-8B42-A9BB-87D8093A1141}">
      <dgm:prSet/>
      <dgm:spPr/>
      <dgm:t>
        <a:bodyPr/>
        <a:lstStyle/>
        <a:p>
          <a:endParaRPr lang="en-US"/>
        </a:p>
      </dgm:t>
    </dgm:pt>
    <dgm:pt modelId="{A5825E03-443B-8C48-B4D3-40BC38CD6F3C}" type="sibTrans" cxnId="{29125CF1-A5E0-8B42-A9BB-87D8093A1141}">
      <dgm:prSet/>
      <dgm:spPr/>
      <dgm:t>
        <a:bodyPr/>
        <a:lstStyle/>
        <a:p>
          <a:endParaRPr lang="en-US"/>
        </a:p>
      </dgm:t>
    </dgm:pt>
    <dgm:pt modelId="{DC408785-A5DA-C844-909A-5B78D3AC72E8}">
      <dgm:prSet custT="1"/>
      <dgm:spPr>
        <a:xfrm>
          <a:off x="5146050" y="2520546"/>
          <a:ext cx="2378695" cy="586039"/>
        </a:xfrm>
        <a:noFill/>
        <a:ln>
          <a:noFill/>
        </a:ln>
        <a:effectLst/>
      </dgm:spPr>
      <dgm:t>
        <a:bodyPr/>
        <a:lstStyle/>
        <a:p>
          <a:r>
            <a:rPr lang="en-US" sz="800">
              <a:solidFill>
                <a:sysClr val="windowText" lastClr="000000">
                  <a:hueOff val="0"/>
                  <a:satOff val="0"/>
                  <a:lumOff val="0"/>
                  <a:alphaOff val="0"/>
                </a:sysClr>
              </a:solidFill>
              <a:latin typeface="Cambria"/>
              <a:ea typeface="+mn-ea"/>
              <a:cs typeface="+mn-cs"/>
            </a:rPr>
            <a:t>Yes - Consider SPECT CT.  Consider attempting sentinel node biopsy following wide excision.</a:t>
          </a:r>
        </a:p>
      </dgm:t>
    </dgm:pt>
    <dgm:pt modelId="{6A318E56-58E2-1A4E-903C-66A0B8D36F06}" type="parTrans" cxnId="{59495012-BCAB-B74C-8064-A9B22FCB716E}">
      <dgm:prSet/>
      <dgm:spPr/>
      <dgm:t>
        <a:bodyPr/>
        <a:lstStyle/>
        <a:p>
          <a:endParaRPr lang="en-US"/>
        </a:p>
      </dgm:t>
    </dgm:pt>
    <dgm:pt modelId="{9D98B471-A3B3-AC40-BAC9-B6EC0224A36A}" type="sibTrans" cxnId="{59495012-BCAB-B74C-8064-A9B22FCB716E}">
      <dgm:prSet/>
      <dgm:spPr/>
      <dgm:t>
        <a:bodyPr/>
        <a:lstStyle/>
        <a:p>
          <a:endParaRPr lang="en-US"/>
        </a:p>
      </dgm:t>
    </dgm:pt>
    <dgm:pt modelId="{2F7E2186-563A-FB47-AC13-3FBED837843F}">
      <dgm:prSet custT="1"/>
      <dgm:spPr>
        <a:xfrm>
          <a:off x="5146050" y="2520546"/>
          <a:ext cx="2378695" cy="586039"/>
        </a:xfrm>
        <a:noFill/>
        <a:ln>
          <a:noFill/>
        </a:ln>
        <a:effectLst/>
      </dgm:spPr>
      <dgm:t>
        <a:bodyPr/>
        <a:lstStyle/>
        <a:p>
          <a:r>
            <a:rPr lang="en-US" sz="800">
              <a:solidFill>
                <a:sysClr val="windowText" lastClr="000000">
                  <a:hueOff val="0"/>
                  <a:satOff val="0"/>
                  <a:lumOff val="0"/>
                  <a:alphaOff val="0"/>
                </a:sysClr>
              </a:solidFill>
              <a:latin typeface="Cambria"/>
              <a:ea typeface="+mn-ea"/>
              <a:cs typeface="+mn-cs"/>
            </a:rPr>
            <a:t>No - go to question 5.</a:t>
          </a:r>
        </a:p>
      </dgm:t>
    </dgm:pt>
    <dgm:pt modelId="{FA5FE95C-9181-ED42-A1CA-995A5983DB84}" type="parTrans" cxnId="{CAB99C42-5753-5545-BC88-9DFC1F0D4E18}">
      <dgm:prSet/>
      <dgm:spPr/>
      <dgm:t>
        <a:bodyPr/>
        <a:lstStyle/>
        <a:p>
          <a:endParaRPr lang="en-US"/>
        </a:p>
      </dgm:t>
    </dgm:pt>
    <dgm:pt modelId="{7DBB3FBC-FFFD-C142-AE0E-8C3FAD660839}" type="sibTrans" cxnId="{CAB99C42-5753-5545-BC88-9DFC1F0D4E18}">
      <dgm:prSet/>
      <dgm:spPr/>
      <dgm:t>
        <a:bodyPr/>
        <a:lstStyle/>
        <a:p>
          <a:endParaRPr lang="en-US"/>
        </a:p>
      </dgm:t>
    </dgm:pt>
    <dgm:pt modelId="{8D5BE94D-D782-1C41-B121-9FE9D0F2B3CD}">
      <dgm:prSet/>
      <dgm:spPr>
        <a:xfrm>
          <a:off x="5158210" y="3290755"/>
          <a:ext cx="1035873" cy="725077"/>
        </a:xfr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r>
            <a:rPr lang="en-US">
              <a:solidFill>
                <a:sysClr val="window" lastClr="FFFFFF"/>
              </a:solidFill>
              <a:latin typeface="Cambria"/>
              <a:ea typeface="+mn-ea"/>
              <a:cs typeface="+mn-cs"/>
            </a:rPr>
            <a:t>5. Has patient had previous surgery or pathology that could affect lymphatic drainage?</a:t>
          </a:r>
        </a:p>
      </dgm:t>
    </dgm:pt>
    <dgm:pt modelId="{80186430-5221-0442-AACE-EE7EC27C7FC2}" type="parTrans" cxnId="{A4CC04FD-7843-694F-AF9A-D5C8E08490D0}">
      <dgm:prSet/>
      <dgm:spPr/>
      <dgm:t>
        <a:bodyPr/>
        <a:lstStyle/>
        <a:p>
          <a:endParaRPr lang="en-US"/>
        </a:p>
      </dgm:t>
    </dgm:pt>
    <dgm:pt modelId="{0FD3924D-CA4C-3B43-A044-267839073987}" type="sibTrans" cxnId="{A4CC04FD-7843-694F-AF9A-D5C8E08490D0}">
      <dgm:prSet/>
      <dgm:spPr/>
      <dgm:t>
        <a:bodyPr/>
        <a:lstStyle/>
        <a:p>
          <a:endParaRPr lang="en-US"/>
        </a:p>
      </dgm:t>
    </dgm:pt>
    <dgm:pt modelId="{1A5CD501-CAE9-2247-A84D-E4C8FF84448E}">
      <dgm:prSet/>
      <dgm:spPr>
        <a:xfrm>
          <a:off x="6307636" y="4105256"/>
          <a:ext cx="1035873" cy="725077"/>
        </a:xfr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r>
            <a:rPr lang="en-US">
              <a:solidFill>
                <a:sysClr val="window" lastClr="FFFFFF"/>
              </a:solidFill>
              <a:latin typeface="Cambria"/>
              <a:ea typeface="+mn-ea"/>
              <a:cs typeface="+mn-cs"/>
            </a:rPr>
            <a:t>6. Is primary tumour site on the scalp vertex or malar cheek region?</a:t>
          </a:r>
        </a:p>
      </dgm:t>
    </dgm:pt>
    <dgm:pt modelId="{D138798F-0BBE-834D-A059-64B1AA44B724}" type="parTrans" cxnId="{71AB9BCA-2F5F-694A-8814-9D65B4EAD27A}">
      <dgm:prSet/>
      <dgm:spPr/>
      <dgm:t>
        <a:bodyPr/>
        <a:lstStyle/>
        <a:p>
          <a:endParaRPr lang="en-US"/>
        </a:p>
      </dgm:t>
    </dgm:pt>
    <dgm:pt modelId="{A3F9641C-8378-3348-B028-A1219814317E}" type="sibTrans" cxnId="{71AB9BCA-2F5F-694A-8814-9D65B4EAD27A}">
      <dgm:prSet/>
      <dgm:spPr/>
      <dgm:t>
        <a:bodyPr/>
        <a:lstStyle/>
        <a:p>
          <a:endParaRPr lang="en-US"/>
        </a:p>
      </dgm:t>
    </dgm:pt>
    <dgm:pt modelId="{F213BB59-1D7B-8142-8270-BFBB28475382}">
      <dgm:prSet custT="1"/>
      <dgm:spPr>
        <a:xfrm>
          <a:off x="7480902" y="4210415"/>
          <a:ext cx="1497968" cy="586039"/>
        </a:xfrm>
        <a:noFill/>
        <a:ln>
          <a:noFill/>
        </a:ln>
        <a:effectLst/>
      </dgm:spPr>
      <dgm:t>
        <a:bodyPr/>
        <a:lstStyle/>
        <a:p>
          <a:r>
            <a:rPr lang="en-US" sz="800">
              <a:solidFill>
                <a:sysClr val="windowText" lastClr="000000">
                  <a:hueOff val="0"/>
                  <a:satOff val="0"/>
                  <a:lumOff val="0"/>
                  <a:alphaOff val="0"/>
                </a:sysClr>
              </a:solidFill>
              <a:latin typeface="Cambria"/>
              <a:ea typeface="+mn-ea"/>
              <a:cs typeface="+mn-cs"/>
            </a:rPr>
            <a:t>Yes - Possible lymphovenous connection.  Repeat lymphoscintigraphy unlikely to be helpful.  Sentinel node biopsy unlikely to be successful.	</a:t>
          </a:r>
        </a:p>
      </dgm:t>
    </dgm:pt>
    <dgm:pt modelId="{D12CA373-8F02-734B-96B7-C95ECC5B5D5C}" type="parTrans" cxnId="{E4BD5FD7-3FB0-EB47-ADA9-AEC943ECA615}">
      <dgm:prSet/>
      <dgm:spPr/>
      <dgm:t>
        <a:bodyPr/>
        <a:lstStyle/>
        <a:p>
          <a:endParaRPr lang="en-US"/>
        </a:p>
      </dgm:t>
    </dgm:pt>
    <dgm:pt modelId="{24D05EB5-3163-2A47-BBA1-DB19EE8E35D3}" type="sibTrans" cxnId="{E4BD5FD7-3FB0-EB47-ADA9-AEC943ECA615}">
      <dgm:prSet/>
      <dgm:spPr/>
      <dgm:t>
        <a:bodyPr/>
        <a:lstStyle/>
        <a:p>
          <a:endParaRPr lang="en-US"/>
        </a:p>
      </dgm:t>
    </dgm:pt>
    <dgm:pt modelId="{9946D291-4595-CA4C-BB8B-B9FCA0C95342}">
      <dgm:prSet custT="1"/>
      <dgm:spPr>
        <a:xfrm>
          <a:off x="7480902" y="4210415"/>
          <a:ext cx="1497968" cy="586039"/>
        </a:xfrm>
        <a:noFill/>
        <a:ln>
          <a:noFill/>
        </a:ln>
        <a:effectLst/>
      </dgm:spPr>
      <dgm:t>
        <a:bodyPr/>
        <a:lstStyle/>
        <a:p>
          <a:r>
            <a:rPr lang="en-US" sz="800">
              <a:solidFill>
                <a:sysClr val="windowText" lastClr="000000">
                  <a:hueOff val="0"/>
                  <a:satOff val="0"/>
                  <a:lumOff val="0"/>
                  <a:alphaOff val="0"/>
                </a:sysClr>
              </a:solidFill>
              <a:latin typeface="Cambria"/>
              <a:ea typeface="+mn-ea"/>
              <a:cs typeface="+mn-cs"/>
            </a:rPr>
            <a:t>No - Unknown cause for non-localization.</a:t>
          </a:r>
        </a:p>
      </dgm:t>
    </dgm:pt>
    <dgm:pt modelId="{FCB700F4-EDBA-0042-9432-C415B4AE201F}" type="parTrans" cxnId="{D5C1E655-C643-5D45-8871-888103EE07F7}">
      <dgm:prSet/>
      <dgm:spPr/>
      <dgm:t>
        <a:bodyPr/>
        <a:lstStyle/>
        <a:p>
          <a:endParaRPr lang="en-US"/>
        </a:p>
      </dgm:t>
    </dgm:pt>
    <dgm:pt modelId="{279593A0-BA14-FE47-AB32-FC241379B290}" type="sibTrans" cxnId="{D5C1E655-C643-5D45-8871-888103EE07F7}">
      <dgm:prSet/>
      <dgm:spPr/>
      <dgm:t>
        <a:bodyPr/>
        <a:lstStyle/>
        <a:p>
          <a:endParaRPr lang="en-US"/>
        </a:p>
      </dgm:t>
    </dgm:pt>
    <dgm:pt modelId="{33A59D65-3D6E-D844-86D9-295DCFB06B6A}">
      <dgm:prSet custT="1"/>
      <dgm:spPr>
        <a:xfrm>
          <a:off x="2892911" y="943326"/>
          <a:ext cx="1794113" cy="586039"/>
        </a:xfrm>
        <a:noFill/>
        <a:ln>
          <a:noFill/>
        </a:ln>
        <a:effectLst/>
      </dgm:spPr>
      <dgm:t>
        <a:bodyPr/>
        <a:lstStyle/>
        <a:p>
          <a:r>
            <a:rPr lang="en-US" sz="800">
              <a:solidFill>
                <a:sysClr val="windowText" lastClr="000000">
                  <a:hueOff val="0"/>
                  <a:satOff val="0"/>
                  <a:lumOff val="0"/>
                  <a:alphaOff val="0"/>
                </a:sysClr>
              </a:solidFill>
              <a:latin typeface="Cambria"/>
              <a:ea typeface="+mn-ea"/>
              <a:cs typeface="+mn-cs"/>
            </a:rPr>
            <a:t>Yes - Go to question 3.</a:t>
          </a:r>
        </a:p>
      </dgm:t>
    </dgm:pt>
    <dgm:pt modelId="{B56CDC47-1A8A-524E-832E-CC091B806D70}" type="parTrans" cxnId="{9C28FE93-B787-404B-907C-F1807DBD2C03}">
      <dgm:prSet/>
      <dgm:spPr/>
      <dgm:t>
        <a:bodyPr/>
        <a:lstStyle/>
        <a:p>
          <a:endParaRPr lang="en-US"/>
        </a:p>
      </dgm:t>
    </dgm:pt>
    <dgm:pt modelId="{9FB4AC06-E644-8446-991C-DD8C3B5175E1}" type="sibTrans" cxnId="{9C28FE93-B787-404B-907C-F1807DBD2C03}">
      <dgm:prSet/>
      <dgm:spPr/>
      <dgm:t>
        <a:bodyPr/>
        <a:lstStyle/>
        <a:p>
          <a:endParaRPr lang="en-US"/>
        </a:p>
      </dgm:t>
    </dgm:pt>
    <dgm:pt modelId="{90137735-E4DF-8745-874A-4D61144AA236}" type="asst">
      <dgm:prSet custT="1"/>
      <dgm:spPr>
        <a:xfrm>
          <a:off x="1723057" y="41698"/>
          <a:ext cx="1964131" cy="586039"/>
        </a:xfrm>
        <a:noFill/>
        <a:ln>
          <a:noFill/>
        </a:ln>
        <a:effectLst/>
      </dgm:spPr>
      <dgm:t>
        <a:bodyPr/>
        <a:lstStyle/>
        <a:p>
          <a:r>
            <a:rPr lang="en-US" sz="800">
              <a:solidFill>
                <a:sysClr val="windowText" lastClr="000000">
                  <a:hueOff val="0"/>
                  <a:satOff val="0"/>
                  <a:lumOff val="0"/>
                  <a:alphaOff val="0"/>
                </a:sysClr>
              </a:solidFill>
              <a:latin typeface="Cambria"/>
              <a:ea typeface="+mn-ea"/>
              <a:cs typeface="+mn-cs"/>
            </a:rPr>
            <a:t>No- go to question 2.</a:t>
          </a:r>
        </a:p>
      </dgm:t>
    </dgm:pt>
    <dgm:pt modelId="{6E24DD2C-14FD-F740-8174-6593455E5691}" type="sibTrans" cxnId="{1C92B747-7A40-A640-A811-6239DA2E3FE8}">
      <dgm:prSet/>
      <dgm:spPr/>
      <dgm:t>
        <a:bodyPr/>
        <a:lstStyle/>
        <a:p>
          <a:endParaRPr lang="en-US"/>
        </a:p>
      </dgm:t>
    </dgm:pt>
    <dgm:pt modelId="{936D1EDB-6881-BC4E-8B7B-66B18521B11E}" type="parTrans" cxnId="{1C92B747-7A40-A640-A811-6239DA2E3FE8}">
      <dgm:prSet/>
      <dgm:spPr/>
      <dgm:t>
        <a:bodyPr/>
        <a:lstStyle/>
        <a:p>
          <a:endParaRPr lang="en-US"/>
        </a:p>
      </dgm:t>
    </dgm:pt>
    <dgm:pt modelId="{BC6D8AB5-75B8-ED44-8375-EDC8B9F194E7}">
      <dgm:prSet custT="1"/>
      <dgm:spPr>
        <a:xfrm>
          <a:off x="2892911" y="943326"/>
          <a:ext cx="1794113" cy="586039"/>
        </a:xfrm>
        <a:noFill/>
        <a:ln>
          <a:noFill/>
        </a:ln>
        <a:effectLst/>
      </dgm:spPr>
      <dgm:t>
        <a:bodyPr/>
        <a:lstStyle/>
        <a:p>
          <a:r>
            <a:rPr lang="en-US" sz="800">
              <a:solidFill>
                <a:sysClr val="windowText" lastClr="000000">
                  <a:hueOff val="0"/>
                  <a:satOff val="0"/>
                  <a:lumOff val="0"/>
                  <a:alphaOff val="0"/>
                </a:sysClr>
              </a:solidFill>
              <a:latin typeface="Cambria"/>
              <a:ea typeface="+mn-ea"/>
              <a:cs typeface="+mn-cs"/>
            </a:rPr>
            <a:t>No - Repeat lymphoscintigraphy with quality-tested radiocolloid.</a:t>
          </a:r>
        </a:p>
      </dgm:t>
    </dgm:pt>
    <dgm:pt modelId="{C488BD70-F522-5C42-AE37-90FFCF997732}" type="parTrans" cxnId="{B07CECE5-952E-8C4F-B99D-07AC7E5B542B}">
      <dgm:prSet/>
      <dgm:spPr/>
      <dgm:t>
        <a:bodyPr/>
        <a:lstStyle/>
        <a:p>
          <a:endParaRPr lang="en-US"/>
        </a:p>
      </dgm:t>
    </dgm:pt>
    <dgm:pt modelId="{DC62F52B-E201-464F-B396-5124EE4F317C}" type="sibTrans" cxnId="{B07CECE5-952E-8C4F-B99D-07AC7E5B542B}">
      <dgm:prSet/>
      <dgm:spPr/>
      <dgm:t>
        <a:bodyPr/>
        <a:lstStyle/>
        <a:p>
          <a:endParaRPr lang="en-US"/>
        </a:p>
      </dgm:t>
    </dgm:pt>
    <dgm:pt modelId="{02AE5636-CD87-EF4E-A252-027B19036DDD}">
      <dgm:prSet custT="1"/>
      <dgm:spPr>
        <a:xfrm>
          <a:off x="4019471" y="1731936"/>
          <a:ext cx="2199063" cy="586039"/>
        </a:xfrm>
        <a:noFill/>
        <a:ln>
          <a:noFill/>
        </a:ln>
        <a:effectLst/>
      </dgm:spPr>
      <dgm:t>
        <a:bodyPr/>
        <a:lstStyle/>
        <a:p>
          <a:r>
            <a:rPr lang="en-US" sz="800">
              <a:solidFill>
                <a:sysClr val="windowText" lastClr="000000">
                  <a:hueOff val="0"/>
                  <a:satOff val="0"/>
                  <a:lumOff val="0"/>
                  <a:alphaOff val="0"/>
                </a:sysClr>
              </a:solidFill>
              <a:latin typeface="Cambria"/>
              <a:ea typeface="+mn-ea"/>
              <a:cs typeface="+mn-cs"/>
            </a:rPr>
            <a:t>Yes - Go to question 4.</a:t>
          </a:r>
        </a:p>
      </dgm:t>
    </dgm:pt>
    <dgm:pt modelId="{A5332864-77B3-9B46-8D00-54576EF1F2AA}" type="parTrans" cxnId="{D9DCAEB3-E797-8848-AB57-FCF49AF1DF84}">
      <dgm:prSet/>
      <dgm:spPr/>
      <dgm:t>
        <a:bodyPr/>
        <a:lstStyle/>
        <a:p>
          <a:endParaRPr lang="en-US"/>
        </a:p>
      </dgm:t>
    </dgm:pt>
    <dgm:pt modelId="{C70FEC76-F37A-7F46-ABC4-0EDB0227FA17}" type="sibTrans" cxnId="{D9DCAEB3-E797-8848-AB57-FCF49AF1DF84}">
      <dgm:prSet/>
      <dgm:spPr/>
      <dgm:t>
        <a:bodyPr/>
        <a:lstStyle/>
        <a:p>
          <a:endParaRPr lang="en-US"/>
        </a:p>
      </dgm:t>
    </dgm:pt>
    <dgm:pt modelId="{50A6F391-B41B-D145-88EC-BCC3D8B977DE}">
      <dgm:prSet custT="1"/>
      <dgm:spPr>
        <a:xfrm>
          <a:off x="6301973" y="3392116"/>
          <a:ext cx="2232393" cy="586039"/>
        </a:xfrm>
        <a:noFill/>
        <a:ln>
          <a:noFill/>
        </a:ln>
        <a:effectLst/>
      </dgm:spPr>
      <dgm:t>
        <a:bodyPr/>
        <a:lstStyle/>
        <a:p>
          <a:r>
            <a:rPr lang="en-US" sz="800">
              <a:solidFill>
                <a:sysClr val="windowText" lastClr="000000">
                  <a:hueOff val="0"/>
                  <a:satOff val="0"/>
                  <a:lumOff val="0"/>
                  <a:alphaOff val="0"/>
                </a:sysClr>
              </a:solidFill>
              <a:latin typeface="Cambria"/>
              <a:ea typeface="+mn-ea"/>
              <a:cs typeface="+mn-cs"/>
            </a:rPr>
            <a:t>Yes - Sentinel node biopsy unlikely to be successful. Repeating lymphoscintigraphy unlikely to be helpful unless dehisced/inflamed injection site.</a:t>
          </a:r>
        </a:p>
      </dgm:t>
    </dgm:pt>
    <dgm:pt modelId="{CD880ED7-424B-CD4B-B5EB-A8D55E6B5F52}" type="parTrans" cxnId="{D344E37B-562B-DB45-8F99-844F3DFCF56B}">
      <dgm:prSet/>
      <dgm:spPr/>
      <dgm:t>
        <a:bodyPr/>
        <a:lstStyle/>
        <a:p>
          <a:endParaRPr lang="en-US"/>
        </a:p>
      </dgm:t>
    </dgm:pt>
    <dgm:pt modelId="{01AE752B-8A41-FE4F-8555-023F8FD746BC}" type="sibTrans" cxnId="{D344E37B-562B-DB45-8F99-844F3DFCF56B}">
      <dgm:prSet/>
      <dgm:spPr/>
      <dgm:t>
        <a:bodyPr/>
        <a:lstStyle/>
        <a:p>
          <a:endParaRPr lang="en-US"/>
        </a:p>
      </dgm:t>
    </dgm:pt>
    <dgm:pt modelId="{297C64D8-3F4A-294C-87B5-CADFAE267F32}">
      <dgm:prSet custT="1"/>
      <dgm:spPr>
        <a:xfrm>
          <a:off x="6301973" y="3392116"/>
          <a:ext cx="2232393" cy="586039"/>
        </a:xfrm>
        <a:noFill/>
        <a:ln>
          <a:noFill/>
        </a:ln>
        <a:effectLst/>
      </dgm:spPr>
      <dgm:t>
        <a:bodyPr/>
        <a:lstStyle/>
        <a:p>
          <a:r>
            <a:rPr lang="en-US" sz="800">
              <a:solidFill>
                <a:sysClr val="windowText" lastClr="000000">
                  <a:hueOff val="0"/>
                  <a:satOff val="0"/>
                  <a:lumOff val="0"/>
                  <a:alphaOff val="0"/>
                </a:sysClr>
              </a:solidFill>
              <a:latin typeface="Cambria"/>
              <a:ea typeface="+mn-ea"/>
              <a:cs typeface="+mn-cs"/>
            </a:rPr>
            <a:t>No - go to question 6.</a:t>
          </a:r>
        </a:p>
      </dgm:t>
    </dgm:pt>
    <dgm:pt modelId="{0C828CA0-2B01-FB45-B1E2-12958248DA38}" type="parTrans" cxnId="{7E0D57C9-1879-D640-AF90-3CE27393E2B8}">
      <dgm:prSet/>
      <dgm:spPr/>
      <dgm:t>
        <a:bodyPr/>
        <a:lstStyle/>
        <a:p>
          <a:endParaRPr lang="en-US"/>
        </a:p>
      </dgm:t>
    </dgm:pt>
    <dgm:pt modelId="{C2CB0F53-0C15-A249-B3E2-8D7FFD5CE3C9}" type="sibTrans" cxnId="{7E0D57C9-1879-D640-AF90-3CE27393E2B8}">
      <dgm:prSet/>
      <dgm:spPr/>
      <dgm:t>
        <a:bodyPr/>
        <a:lstStyle/>
        <a:p>
          <a:endParaRPr lang="en-US"/>
        </a:p>
      </dgm:t>
    </dgm:pt>
    <dgm:pt modelId="{7573A068-9D20-2F41-A549-476C75FD9C99}" type="pres">
      <dgm:prSet presAssocID="{91E60387-FDD3-054D-A6BD-00467F057BAD}" presName="rootnode" presStyleCnt="0">
        <dgm:presLayoutVars>
          <dgm:chMax/>
          <dgm:chPref/>
          <dgm:dir/>
          <dgm:animLvl val="lvl"/>
        </dgm:presLayoutVars>
      </dgm:prSet>
      <dgm:spPr/>
      <dgm:t>
        <a:bodyPr/>
        <a:lstStyle/>
        <a:p>
          <a:endParaRPr lang="en-US"/>
        </a:p>
      </dgm:t>
    </dgm:pt>
    <dgm:pt modelId="{C4523807-818B-3044-B9B3-1DFBF2BE1506}" type="pres">
      <dgm:prSet presAssocID="{B99E662F-45FF-5345-8A8A-DB28114A3A52}" presName="composite" presStyleCnt="0"/>
      <dgm:spPr/>
    </dgm:pt>
    <dgm:pt modelId="{7C861D39-7C8B-7845-B063-90024A8889DB}" type="pres">
      <dgm:prSet presAssocID="{B99E662F-45FF-5345-8A8A-DB28114A3A52}" presName="bentUpArrow1" presStyleLbl="alignImgPlace1" presStyleIdx="0" presStyleCnt="5"/>
      <dgm:spPr>
        <a:xfrm rot="5400000">
          <a:off x="723536" y="714868"/>
          <a:ext cx="615341" cy="700544"/>
        </a:xfrm>
        <a:prstGeom prst="bentUpArrow">
          <a:avLst>
            <a:gd name="adj1" fmla="val 32840"/>
            <a:gd name="adj2" fmla="val 25000"/>
            <a:gd name="adj3" fmla="val 35780"/>
          </a:avLst>
        </a:prstGeom>
        <a:solidFill>
          <a:srgbClr val="4F81BD">
            <a:tint val="50000"/>
            <a:hueOff val="0"/>
            <a:satOff val="0"/>
            <a:lumOff val="0"/>
            <a:alphaOff val="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pt>
    <dgm:pt modelId="{20CAA361-1F46-D949-8C60-7C041BDB6191}" type="pres">
      <dgm:prSet presAssocID="{B99E662F-45FF-5345-8A8A-DB28114A3A52}" presName="ParentText" presStyleLbl="node1" presStyleIdx="0" presStyleCnt="6">
        <dgm:presLayoutVars>
          <dgm:chMax val="1"/>
          <dgm:chPref val="1"/>
          <dgm:bulletEnabled val="1"/>
        </dgm:presLayoutVars>
      </dgm:prSet>
      <dgm:spPr>
        <a:prstGeom prst="roundRect">
          <a:avLst>
            <a:gd name="adj" fmla="val 16670"/>
          </a:avLst>
        </a:prstGeom>
      </dgm:spPr>
      <dgm:t>
        <a:bodyPr/>
        <a:lstStyle/>
        <a:p>
          <a:endParaRPr lang="en-US"/>
        </a:p>
      </dgm:t>
    </dgm:pt>
    <dgm:pt modelId="{FFF8A28A-1D52-784B-BB6F-B36D9F045E6A}" type="pres">
      <dgm:prSet presAssocID="{B99E662F-45FF-5345-8A8A-DB28114A3A52}" presName="ChildText" presStyleLbl="revTx" presStyleIdx="0" presStyleCnt="6" custScaleX="260704" custLinFactNeighborX="97166" custLinFactNeighborY="-10273">
        <dgm:presLayoutVars>
          <dgm:chMax val="0"/>
          <dgm:chPref val="0"/>
          <dgm:bulletEnabled val="1"/>
        </dgm:presLayoutVars>
      </dgm:prSet>
      <dgm:spPr>
        <a:prstGeom prst="rect">
          <a:avLst/>
        </a:prstGeom>
      </dgm:spPr>
      <dgm:t>
        <a:bodyPr/>
        <a:lstStyle/>
        <a:p>
          <a:endParaRPr lang="en-US"/>
        </a:p>
      </dgm:t>
    </dgm:pt>
    <dgm:pt modelId="{BD6F457E-918C-5B4C-B79D-7425FD815070}" type="pres">
      <dgm:prSet presAssocID="{B9285C5D-78FC-2845-BDC7-26EE9F78D392}" presName="sibTrans" presStyleCnt="0"/>
      <dgm:spPr/>
    </dgm:pt>
    <dgm:pt modelId="{AA0E01F6-D38E-A74E-B3E0-372E882A8613}" type="pres">
      <dgm:prSet presAssocID="{95EEE161-F31F-2048-A3F6-FC68903FCFCF}" presName="composite" presStyleCnt="0"/>
      <dgm:spPr/>
    </dgm:pt>
    <dgm:pt modelId="{EAFE6AAC-7A91-104A-A22B-02E1C37C61AF}" type="pres">
      <dgm:prSet presAssocID="{95EEE161-F31F-2048-A3F6-FC68903FCFCF}" presName="bentUpArrow1" presStyleLbl="alignImgPlace1" presStyleIdx="1" presStyleCnt="5"/>
      <dgm:spPr>
        <a:xfrm rot="5400000">
          <a:off x="1872962" y="1529369"/>
          <a:ext cx="615341" cy="700544"/>
        </a:xfrm>
        <a:prstGeom prst="bentUpArrow">
          <a:avLst>
            <a:gd name="adj1" fmla="val 32840"/>
            <a:gd name="adj2" fmla="val 25000"/>
            <a:gd name="adj3" fmla="val 35780"/>
          </a:avLst>
        </a:prstGeom>
        <a:solidFill>
          <a:srgbClr val="4F81BD">
            <a:tint val="50000"/>
            <a:hueOff val="0"/>
            <a:satOff val="0"/>
            <a:lumOff val="0"/>
            <a:alphaOff val="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pt>
    <dgm:pt modelId="{B4E6E355-7CEE-1842-B799-84FF0740E5E7}" type="pres">
      <dgm:prSet presAssocID="{95EEE161-F31F-2048-A3F6-FC68903FCFCF}" presName="ParentText" presStyleLbl="node1" presStyleIdx="1" presStyleCnt="6">
        <dgm:presLayoutVars>
          <dgm:chMax val="1"/>
          <dgm:chPref val="1"/>
          <dgm:bulletEnabled val="1"/>
        </dgm:presLayoutVars>
      </dgm:prSet>
      <dgm:spPr>
        <a:prstGeom prst="roundRect">
          <a:avLst>
            <a:gd name="adj" fmla="val 16670"/>
          </a:avLst>
        </a:prstGeom>
      </dgm:spPr>
      <dgm:t>
        <a:bodyPr/>
        <a:lstStyle/>
        <a:p>
          <a:endParaRPr lang="en-US"/>
        </a:p>
      </dgm:t>
    </dgm:pt>
    <dgm:pt modelId="{45627EA9-B7DA-514A-9183-0798BD22BF62}" type="pres">
      <dgm:prSet presAssocID="{95EEE161-F31F-2048-A3F6-FC68903FCFCF}" presName="ChildText" presStyleLbl="revTx" presStyleIdx="1" presStyleCnt="6" custScaleX="238137" custLinFactNeighborX="88594" custLinFactNeighborY="4594">
        <dgm:presLayoutVars>
          <dgm:chMax val="0"/>
          <dgm:chPref val="0"/>
          <dgm:bulletEnabled val="1"/>
        </dgm:presLayoutVars>
      </dgm:prSet>
      <dgm:spPr>
        <a:prstGeom prst="rect">
          <a:avLst/>
        </a:prstGeom>
      </dgm:spPr>
      <dgm:t>
        <a:bodyPr/>
        <a:lstStyle/>
        <a:p>
          <a:endParaRPr lang="en-US"/>
        </a:p>
      </dgm:t>
    </dgm:pt>
    <dgm:pt modelId="{50B09CE2-CE4B-0842-AA48-679C40B7ACB4}" type="pres">
      <dgm:prSet presAssocID="{8E3C0100-8AA6-9B43-9D1C-9CBB39655790}" presName="sibTrans" presStyleCnt="0"/>
      <dgm:spPr/>
    </dgm:pt>
    <dgm:pt modelId="{1D4D5E1D-7233-BD48-827A-13737E35C2F0}" type="pres">
      <dgm:prSet presAssocID="{3774B149-8C4D-5F46-8231-669313C0B647}" presName="composite" presStyleCnt="0"/>
      <dgm:spPr/>
    </dgm:pt>
    <dgm:pt modelId="{C5C482B2-7841-B346-AE9A-BEDFC220B2ED}" type="pres">
      <dgm:prSet presAssocID="{3774B149-8C4D-5F46-8231-669313C0B647}" presName="bentUpArrow1" presStyleLbl="alignImgPlace1" presStyleIdx="2" presStyleCnt="5"/>
      <dgm:spPr>
        <a:xfrm rot="5400000">
          <a:off x="3022387" y="2343871"/>
          <a:ext cx="615341" cy="700544"/>
        </a:xfrm>
        <a:prstGeom prst="bentUpArrow">
          <a:avLst>
            <a:gd name="adj1" fmla="val 32840"/>
            <a:gd name="adj2" fmla="val 25000"/>
            <a:gd name="adj3" fmla="val 35780"/>
          </a:avLst>
        </a:prstGeom>
        <a:solidFill>
          <a:srgbClr val="4F81BD">
            <a:tint val="50000"/>
            <a:hueOff val="0"/>
            <a:satOff val="0"/>
            <a:lumOff val="0"/>
            <a:alphaOff val="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pt>
    <dgm:pt modelId="{83C5F54B-4C10-BE4D-8FD3-643AF9D7A863}" type="pres">
      <dgm:prSet presAssocID="{3774B149-8C4D-5F46-8231-669313C0B647}" presName="ParentText" presStyleLbl="node1" presStyleIdx="2" presStyleCnt="6">
        <dgm:presLayoutVars>
          <dgm:chMax val="1"/>
          <dgm:chPref val="1"/>
          <dgm:bulletEnabled val="1"/>
        </dgm:presLayoutVars>
      </dgm:prSet>
      <dgm:spPr>
        <a:prstGeom prst="roundRect">
          <a:avLst>
            <a:gd name="adj" fmla="val 16670"/>
          </a:avLst>
        </a:prstGeom>
      </dgm:spPr>
      <dgm:t>
        <a:bodyPr/>
        <a:lstStyle/>
        <a:p>
          <a:endParaRPr lang="en-US"/>
        </a:p>
      </dgm:t>
    </dgm:pt>
    <dgm:pt modelId="{B719265D-2E9F-0849-A865-E29DB8BB857D}" type="pres">
      <dgm:prSet presAssocID="{3774B149-8C4D-5F46-8231-669313C0B647}" presName="ChildText" presStyleLbl="revTx" presStyleIdx="2" presStyleCnt="6" custScaleX="291887" custLinFactX="12434" custLinFactNeighborX="100000" custLinFactNeighborY="176">
        <dgm:presLayoutVars>
          <dgm:chMax val="0"/>
          <dgm:chPref val="0"/>
          <dgm:bulletEnabled val="1"/>
        </dgm:presLayoutVars>
      </dgm:prSet>
      <dgm:spPr>
        <a:prstGeom prst="rect">
          <a:avLst/>
        </a:prstGeom>
      </dgm:spPr>
      <dgm:t>
        <a:bodyPr/>
        <a:lstStyle/>
        <a:p>
          <a:endParaRPr lang="en-US"/>
        </a:p>
      </dgm:t>
    </dgm:pt>
    <dgm:pt modelId="{F1B45833-EFED-FF45-A6E7-2A07BD9E7E61}" type="pres">
      <dgm:prSet presAssocID="{E9639C38-726E-034B-AD78-C7060234356F}" presName="sibTrans" presStyleCnt="0"/>
      <dgm:spPr/>
    </dgm:pt>
    <dgm:pt modelId="{8978EC1C-4300-094C-A906-E2A82D50EEEA}" type="pres">
      <dgm:prSet presAssocID="{83068E00-D025-894D-B739-38AFC09024F7}" presName="composite" presStyleCnt="0"/>
      <dgm:spPr/>
    </dgm:pt>
    <dgm:pt modelId="{7C1DE07C-4084-F741-976C-B66622EAAEE4}" type="pres">
      <dgm:prSet presAssocID="{83068E00-D025-894D-B739-38AFC09024F7}" presName="bentUpArrow1" presStyleLbl="alignImgPlace1" presStyleIdx="3" presStyleCnt="5"/>
      <dgm:spPr>
        <a:xfrm rot="5400000">
          <a:off x="4171813" y="3158372"/>
          <a:ext cx="615341" cy="700544"/>
        </a:xfrm>
        <a:prstGeom prst="bentUpArrow">
          <a:avLst>
            <a:gd name="adj1" fmla="val 32840"/>
            <a:gd name="adj2" fmla="val 25000"/>
            <a:gd name="adj3" fmla="val 35780"/>
          </a:avLst>
        </a:prstGeom>
        <a:solidFill>
          <a:srgbClr val="4F81BD">
            <a:tint val="50000"/>
            <a:hueOff val="0"/>
            <a:satOff val="0"/>
            <a:lumOff val="0"/>
            <a:alphaOff val="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pt>
    <dgm:pt modelId="{AAB53388-CAB8-C345-946A-B4A7C671B2B0}" type="pres">
      <dgm:prSet presAssocID="{83068E00-D025-894D-B739-38AFC09024F7}" presName="ParentText" presStyleLbl="node1" presStyleIdx="3" presStyleCnt="6">
        <dgm:presLayoutVars>
          <dgm:chMax val="1"/>
          <dgm:chPref val="1"/>
          <dgm:bulletEnabled val="1"/>
        </dgm:presLayoutVars>
      </dgm:prSet>
      <dgm:spPr>
        <a:prstGeom prst="roundRect">
          <a:avLst>
            <a:gd name="adj" fmla="val 16670"/>
          </a:avLst>
        </a:prstGeom>
      </dgm:spPr>
      <dgm:t>
        <a:bodyPr/>
        <a:lstStyle/>
        <a:p>
          <a:endParaRPr lang="en-US"/>
        </a:p>
      </dgm:t>
    </dgm:pt>
    <dgm:pt modelId="{ACC0D73A-9667-A14E-81BF-A7799D38ED84}" type="pres">
      <dgm:prSet presAssocID="{83068E00-D025-894D-B739-38AFC09024F7}" presName="ChildText" presStyleLbl="revTx" presStyleIdx="3" presStyleCnt="6" custScaleX="315730" custLinFactX="21323" custLinFactNeighborX="100000" custLinFactNeighborY="-4242">
        <dgm:presLayoutVars>
          <dgm:chMax val="0"/>
          <dgm:chPref val="0"/>
          <dgm:bulletEnabled val="1"/>
        </dgm:presLayoutVars>
      </dgm:prSet>
      <dgm:spPr>
        <a:prstGeom prst="rect">
          <a:avLst/>
        </a:prstGeom>
      </dgm:spPr>
      <dgm:t>
        <a:bodyPr/>
        <a:lstStyle/>
        <a:p>
          <a:endParaRPr lang="en-US"/>
        </a:p>
      </dgm:t>
    </dgm:pt>
    <dgm:pt modelId="{E0690B95-F514-C04F-965E-B0FE5F91FD00}" type="pres">
      <dgm:prSet presAssocID="{A5825E03-443B-8C48-B4D3-40BC38CD6F3C}" presName="sibTrans" presStyleCnt="0"/>
      <dgm:spPr/>
    </dgm:pt>
    <dgm:pt modelId="{AA3A3ACB-706C-7A4F-91DA-6CA0F0DEB9C9}" type="pres">
      <dgm:prSet presAssocID="{8D5BE94D-D782-1C41-B121-9FE9D0F2B3CD}" presName="composite" presStyleCnt="0"/>
      <dgm:spPr/>
    </dgm:pt>
    <dgm:pt modelId="{284AE62E-A3EC-FA48-AE25-AD61464AED17}" type="pres">
      <dgm:prSet presAssocID="{8D5BE94D-D782-1C41-B121-9FE9D0F2B3CD}" presName="bentUpArrow1" presStyleLbl="alignImgPlace1" presStyleIdx="4" presStyleCnt="5"/>
      <dgm:spPr>
        <a:xfrm rot="5400000">
          <a:off x="5321239" y="3972873"/>
          <a:ext cx="615341" cy="700544"/>
        </a:xfrm>
        <a:prstGeom prst="bentUpArrow">
          <a:avLst>
            <a:gd name="adj1" fmla="val 32840"/>
            <a:gd name="adj2" fmla="val 25000"/>
            <a:gd name="adj3" fmla="val 35780"/>
          </a:avLst>
        </a:prstGeom>
        <a:solidFill>
          <a:srgbClr val="4F81BD">
            <a:tint val="50000"/>
            <a:hueOff val="0"/>
            <a:satOff val="0"/>
            <a:lumOff val="0"/>
            <a:alphaOff val="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pt>
    <dgm:pt modelId="{E1259165-394E-3B40-8976-9B2E970A0224}" type="pres">
      <dgm:prSet presAssocID="{8D5BE94D-D782-1C41-B121-9FE9D0F2B3CD}" presName="ParentText" presStyleLbl="node1" presStyleIdx="4" presStyleCnt="6">
        <dgm:presLayoutVars>
          <dgm:chMax val="1"/>
          <dgm:chPref val="1"/>
          <dgm:bulletEnabled val="1"/>
        </dgm:presLayoutVars>
      </dgm:prSet>
      <dgm:spPr>
        <a:prstGeom prst="roundRect">
          <a:avLst>
            <a:gd name="adj" fmla="val 16670"/>
          </a:avLst>
        </a:prstGeom>
      </dgm:spPr>
      <dgm:t>
        <a:bodyPr/>
        <a:lstStyle/>
        <a:p>
          <a:endParaRPr lang="en-US"/>
        </a:p>
      </dgm:t>
    </dgm:pt>
    <dgm:pt modelId="{084AC598-A36C-8040-858F-CD85C1291ED4}" type="pres">
      <dgm:prSet presAssocID="{8D5BE94D-D782-1C41-B121-9FE9D0F2B3CD}" presName="ChildText" presStyleLbl="revTx" presStyleIdx="4" presStyleCnt="6" custScaleX="296311" custLinFactX="12476" custLinFactNeighborX="100000" custLinFactNeighborY="5496">
        <dgm:presLayoutVars>
          <dgm:chMax val="0"/>
          <dgm:chPref val="0"/>
          <dgm:bulletEnabled val="1"/>
        </dgm:presLayoutVars>
      </dgm:prSet>
      <dgm:spPr>
        <a:prstGeom prst="rect">
          <a:avLst/>
        </a:prstGeom>
      </dgm:spPr>
      <dgm:t>
        <a:bodyPr/>
        <a:lstStyle/>
        <a:p>
          <a:endParaRPr lang="en-US"/>
        </a:p>
      </dgm:t>
    </dgm:pt>
    <dgm:pt modelId="{00E2267D-0F31-324D-A9B7-D61F3253D476}" type="pres">
      <dgm:prSet presAssocID="{0FD3924D-CA4C-3B43-A044-267839073987}" presName="sibTrans" presStyleCnt="0"/>
      <dgm:spPr/>
    </dgm:pt>
    <dgm:pt modelId="{6531A69F-8F75-B147-B7F4-FFD58B3E30A4}" type="pres">
      <dgm:prSet presAssocID="{1A5CD501-CAE9-2247-A84D-E4C8FF84448E}" presName="composite" presStyleCnt="0"/>
      <dgm:spPr/>
    </dgm:pt>
    <dgm:pt modelId="{D39F1AE8-8842-C042-BFFE-C16A69908E3C}" type="pres">
      <dgm:prSet presAssocID="{1A5CD501-CAE9-2247-A84D-E4C8FF84448E}" presName="ParentText" presStyleLbl="node1" presStyleIdx="5" presStyleCnt="6">
        <dgm:presLayoutVars>
          <dgm:chMax val="1"/>
          <dgm:chPref val="1"/>
          <dgm:bulletEnabled val="1"/>
        </dgm:presLayoutVars>
      </dgm:prSet>
      <dgm:spPr>
        <a:prstGeom prst="roundRect">
          <a:avLst>
            <a:gd name="adj" fmla="val 16670"/>
          </a:avLst>
        </a:prstGeom>
      </dgm:spPr>
      <dgm:t>
        <a:bodyPr/>
        <a:lstStyle/>
        <a:p>
          <a:endParaRPr lang="en-US"/>
        </a:p>
      </dgm:t>
    </dgm:pt>
    <dgm:pt modelId="{3D61DEB2-0D36-6E49-A899-85B0D76C7437}" type="pres">
      <dgm:prSet presAssocID="{1A5CD501-CAE9-2247-A84D-E4C8FF84448E}" presName="FinalChildText" presStyleLbl="revTx" presStyleIdx="5" presStyleCnt="6" custScaleX="198829" custLinFactNeighborX="67651" custLinFactNeighborY="6144">
        <dgm:presLayoutVars>
          <dgm:chMax val="0"/>
          <dgm:chPref val="0"/>
          <dgm:bulletEnabled val="1"/>
        </dgm:presLayoutVars>
      </dgm:prSet>
      <dgm:spPr>
        <a:prstGeom prst="rect">
          <a:avLst/>
        </a:prstGeom>
      </dgm:spPr>
      <dgm:t>
        <a:bodyPr/>
        <a:lstStyle/>
        <a:p>
          <a:endParaRPr lang="en-US"/>
        </a:p>
      </dgm:t>
    </dgm:pt>
  </dgm:ptLst>
  <dgm:cxnLst>
    <dgm:cxn modelId="{7E0D57C9-1879-D640-AF90-3CE27393E2B8}" srcId="{8D5BE94D-D782-1C41-B121-9FE9D0F2B3CD}" destId="{297C64D8-3F4A-294C-87B5-CADFAE267F32}" srcOrd="1" destOrd="0" parTransId="{0C828CA0-2B01-FB45-B1E2-12958248DA38}" sibTransId="{C2CB0F53-0C15-A249-B3E2-8D7FFD5CE3C9}"/>
    <dgm:cxn modelId="{6D739659-79A2-B64F-8850-4DE6836F833C}" type="presOf" srcId="{50A6F391-B41B-D145-88EC-BCC3D8B977DE}" destId="{084AC598-A36C-8040-858F-CD85C1291ED4}" srcOrd="0" destOrd="0" presId="urn:microsoft.com/office/officeart/2005/8/layout/StepDownProcess"/>
    <dgm:cxn modelId="{9C28FE93-B787-404B-907C-F1807DBD2C03}" srcId="{95EEE161-F31F-2048-A3F6-FC68903FCFCF}" destId="{33A59D65-3D6E-D844-86D9-295DCFB06B6A}" srcOrd="0" destOrd="0" parTransId="{B56CDC47-1A8A-524E-832E-CC091B806D70}" sibTransId="{9FB4AC06-E644-8446-991C-DD8C3B5175E1}"/>
    <dgm:cxn modelId="{B07CECE5-952E-8C4F-B99D-07AC7E5B542B}" srcId="{95EEE161-F31F-2048-A3F6-FC68903FCFCF}" destId="{BC6D8AB5-75B8-ED44-8375-EDC8B9F194E7}" srcOrd="1" destOrd="0" parTransId="{C488BD70-F522-5C42-AE37-90FFCF997732}" sibTransId="{DC62F52B-E201-464F-B396-5124EE4F317C}"/>
    <dgm:cxn modelId="{A2E88494-74ED-BC48-B28F-0D9C88D3C409}" type="presOf" srcId="{95EEE161-F31F-2048-A3F6-FC68903FCFCF}" destId="{B4E6E355-7CEE-1842-B799-84FF0740E5E7}" srcOrd="0" destOrd="0" presId="urn:microsoft.com/office/officeart/2005/8/layout/StepDownProcess"/>
    <dgm:cxn modelId="{BFA2D8B4-36A1-EA4A-806D-32C111C77584}" srcId="{B99E662F-45FF-5345-8A8A-DB28114A3A52}" destId="{9BB3A0A4-1D7F-3E40-B1F0-47C371D74D9B}" srcOrd="0" destOrd="0" parTransId="{87EDEEB2-D83C-BF4D-9E69-125EF31BDDDC}" sibTransId="{64666C9E-BD15-F842-A8DE-2D8735AB70BB}"/>
    <dgm:cxn modelId="{CAB99C42-5753-5545-BC88-9DFC1F0D4E18}" srcId="{83068E00-D025-894D-B739-38AFC09024F7}" destId="{2F7E2186-563A-FB47-AC13-3FBED837843F}" srcOrd="1" destOrd="0" parTransId="{FA5FE95C-9181-ED42-A1CA-995A5983DB84}" sibTransId="{7DBB3FBC-FFFD-C142-AE0E-8C3FAD660839}"/>
    <dgm:cxn modelId="{0350289B-849E-1545-B5FC-F98B7EE0E97D}" type="presOf" srcId="{DC408785-A5DA-C844-909A-5B78D3AC72E8}" destId="{ACC0D73A-9667-A14E-81BF-A7799D38ED84}" srcOrd="0" destOrd="0" presId="urn:microsoft.com/office/officeart/2005/8/layout/StepDownProcess"/>
    <dgm:cxn modelId="{71AB9BCA-2F5F-694A-8814-9D65B4EAD27A}" srcId="{91E60387-FDD3-054D-A6BD-00467F057BAD}" destId="{1A5CD501-CAE9-2247-A84D-E4C8FF84448E}" srcOrd="5" destOrd="0" parTransId="{D138798F-0BBE-834D-A059-64B1AA44B724}" sibTransId="{A3F9641C-8378-3348-B028-A1219814317E}"/>
    <dgm:cxn modelId="{12F84AE7-70ED-E340-99A1-208E94772B15}" type="presOf" srcId="{33A59D65-3D6E-D844-86D9-295DCFB06B6A}" destId="{45627EA9-B7DA-514A-9183-0798BD22BF62}" srcOrd="0" destOrd="0" presId="urn:microsoft.com/office/officeart/2005/8/layout/StepDownProcess"/>
    <dgm:cxn modelId="{F80880CE-F6CD-D248-9368-C4B75F6BBE7E}" type="presOf" srcId="{2F7E2186-563A-FB47-AC13-3FBED837843F}" destId="{ACC0D73A-9667-A14E-81BF-A7799D38ED84}" srcOrd="0" destOrd="1" presId="urn:microsoft.com/office/officeart/2005/8/layout/StepDownProcess"/>
    <dgm:cxn modelId="{29125CF1-A5E0-8B42-A9BB-87D8093A1141}" srcId="{91E60387-FDD3-054D-A6BD-00467F057BAD}" destId="{83068E00-D025-894D-B739-38AFC09024F7}" srcOrd="3" destOrd="0" parTransId="{B20C4310-38AF-8446-88F0-5B928BF9EDF6}" sibTransId="{A5825E03-443B-8C48-B4D3-40BC38CD6F3C}"/>
    <dgm:cxn modelId="{CEB4A765-290F-9644-8219-073AF34FD0BC}" type="presOf" srcId="{8D5BE94D-D782-1C41-B121-9FE9D0F2B3CD}" destId="{E1259165-394E-3B40-8976-9B2E970A0224}" srcOrd="0" destOrd="0" presId="urn:microsoft.com/office/officeart/2005/8/layout/StepDownProcess"/>
    <dgm:cxn modelId="{D344E37B-562B-DB45-8F99-844F3DFCF56B}" srcId="{8D5BE94D-D782-1C41-B121-9FE9D0F2B3CD}" destId="{50A6F391-B41B-D145-88EC-BCC3D8B977DE}" srcOrd="0" destOrd="0" parTransId="{CD880ED7-424B-CD4B-B5EB-A8D55E6B5F52}" sibTransId="{01AE752B-8A41-FE4F-8555-023F8FD746BC}"/>
    <dgm:cxn modelId="{D9DCAEB3-E797-8848-AB57-FCF49AF1DF84}" srcId="{3774B149-8C4D-5F46-8231-669313C0B647}" destId="{02AE5636-CD87-EF4E-A252-027B19036DDD}" srcOrd="0" destOrd="0" parTransId="{A5332864-77B3-9B46-8D00-54576EF1F2AA}" sibTransId="{C70FEC76-F37A-7F46-ABC4-0EDB0227FA17}"/>
    <dgm:cxn modelId="{59495012-BCAB-B74C-8064-A9B22FCB716E}" srcId="{83068E00-D025-894D-B739-38AFC09024F7}" destId="{DC408785-A5DA-C844-909A-5B78D3AC72E8}" srcOrd="0" destOrd="0" parTransId="{6A318E56-58E2-1A4E-903C-66A0B8D36F06}" sibTransId="{9D98B471-A3B3-AC40-BAC9-B6EC0224A36A}"/>
    <dgm:cxn modelId="{7709EBBA-E0BC-CE40-8834-D4844170BE30}" srcId="{91E60387-FDD3-054D-A6BD-00467F057BAD}" destId="{95EEE161-F31F-2048-A3F6-FC68903FCFCF}" srcOrd="1" destOrd="0" parTransId="{829CA74D-B4CB-064D-83FE-63D648E8A76E}" sibTransId="{8E3C0100-8AA6-9B43-9D1C-9CBB39655790}"/>
    <dgm:cxn modelId="{1B718FDC-5C9F-304B-816C-1D287003879A}" type="presOf" srcId="{1A5CD501-CAE9-2247-A84D-E4C8FF84448E}" destId="{D39F1AE8-8842-C042-BFFE-C16A69908E3C}" srcOrd="0" destOrd="0" presId="urn:microsoft.com/office/officeart/2005/8/layout/StepDownProcess"/>
    <dgm:cxn modelId="{A0D5FED7-7B70-F241-8867-5D9AFE31586C}" type="presOf" srcId="{9BB3A0A4-1D7F-3E40-B1F0-47C371D74D9B}" destId="{FFF8A28A-1D52-784B-BB6F-B36D9F045E6A}" srcOrd="0" destOrd="0" presId="urn:microsoft.com/office/officeart/2005/8/layout/StepDownProcess"/>
    <dgm:cxn modelId="{209E76E9-0CBB-F341-A84F-6F33281D55C1}" type="presOf" srcId="{F213BB59-1D7B-8142-8270-BFBB28475382}" destId="{3D61DEB2-0D36-6E49-A899-85B0D76C7437}" srcOrd="0" destOrd="0" presId="urn:microsoft.com/office/officeart/2005/8/layout/StepDownProcess"/>
    <dgm:cxn modelId="{A4CC04FD-7843-694F-AF9A-D5C8E08490D0}" srcId="{91E60387-FDD3-054D-A6BD-00467F057BAD}" destId="{8D5BE94D-D782-1C41-B121-9FE9D0F2B3CD}" srcOrd="4" destOrd="0" parTransId="{80186430-5221-0442-AACE-EE7EC27C7FC2}" sibTransId="{0FD3924D-CA4C-3B43-A044-267839073987}"/>
    <dgm:cxn modelId="{34444404-8287-FE46-816C-E7579B3275A1}" srcId="{91E60387-FDD3-054D-A6BD-00467F057BAD}" destId="{3774B149-8C4D-5F46-8231-669313C0B647}" srcOrd="2" destOrd="0" parTransId="{E809D575-9574-6F49-B0EF-E38210C5662E}" sibTransId="{E9639C38-726E-034B-AD78-C7060234356F}"/>
    <dgm:cxn modelId="{D5C1E655-C643-5D45-8871-888103EE07F7}" srcId="{1A5CD501-CAE9-2247-A84D-E4C8FF84448E}" destId="{9946D291-4595-CA4C-BB8B-B9FCA0C95342}" srcOrd="1" destOrd="0" parTransId="{FCB700F4-EDBA-0042-9432-C415B4AE201F}" sibTransId="{279593A0-BA14-FE47-AB32-FC241379B290}"/>
    <dgm:cxn modelId="{2808108E-E6C5-304B-A062-2638CCC2E2D8}" type="presOf" srcId="{3774B149-8C4D-5F46-8231-669313C0B647}" destId="{83C5F54B-4C10-BE4D-8FD3-643AF9D7A863}" srcOrd="0" destOrd="0" presId="urn:microsoft.com/office/officeart/2005/8/layout/StepDownProcess"/>
    <dgm:cxn modelId="{1CD3EA9F-18D2-0043-A948-F883D3FBB645}" srcId="{3774B149-8C4D-5F46-8231-669313C0B647}" destId="{856FCBB1-127B-AC45-833B-196AE65208EE}" srcOrd="1" destOrd="0" parTransId="{FB258CC5-D182-8F41-9756-AF4843C0A287}" sibTransId="{42180059-DF7D-6146-A6C8-4035E8A20099}"/>
    <dgm:cxn modelId="{2D736D50-3654-344D-8899-C2660A21020C}" type="presOf" srcId="{B99E662F-45FF-5345-8A8A-DB28114A3A52}" destId="{20CAA361-1F46-D949-8C60-7C041BDB6191}" srcOrd="0" destOrd="0" presId="urn:microsoft.com/office/officeart/2005/8/layout/StepDownProcess"/>
    <dgm:cxn modelId="{E4BD5FD7-3FB0-EB47-ADA9-AEC943ECA615}" srcId="{1A5CD501-CAE9-2247-A84D-E4C8FF84448E}" destId="{F213BB59-1D7B-8142-8270-BFBB28475382}" srcOrd="0" destOrd="0" parTransId="{D12CA373-8F02-734B-96B7-C95ECC5B5D5C}" sibTransId="{24D05EB5-3163-2A47-BBA1-DB19EE8E35D3}"/>
    <dgm:cxn modelId="{62A9EA87-F6FC-0846-BE33-2DD93FA6AB4F}" type="presOf" srcId="{90137735-E4DF-8745-874A-4D61144AA236}" destId="{FFF8A28A-1D52-784B-BB6F-B36D9F045E6A}" srcOrd="0" destOrd="1" presId="urn:microsoft.com/office/officeart/2005/8/layout/StepDownProcess"/>
    <dgm:cxn modelId="{838D3EEB-FB9D-CE4E-8C9B-4590D5D62CFA}" type="presOf" srcId="{BC6D8AB5-75B8-ED44-8375-EDC8B9F194E7}" destId="{45627EA9-B7DA-514A-9183-0798BD22BF62}" srcOrd="0" destOrd="1" presId="urn:microsoft.com/office/officeart/2005/8/layout/StepDownProcess"/>
    <dgm:cxn modelId="{5FA02975-2050-094C-AF9B-6086F0545E4C}" type="presOf" srcId="{9946D291-4595-CA4C-BB8B-B9FCA0C95342}" destId="{3D61DEB2-0D36-6E49-A899-85B0D76C7437}" srcOrd="0" destOrd="1" presId="urn:microsoft.com/office/officeart/2005/8/layout/StepDownProcess"/>
    <dgm:cxn modelId="{99FCDFE0-5176-6748-AC9D-9882C13AED9E}" srcId="{91E60387-FDD3-054D-A6BD-00467F057BAD}" destId="{B99E662F-45FF-5345-8A8A-DB28114A3A52}" srcOrd="0" destOrd="0" parTransId="{6E6B2F9A-9D5D-DA44-80E1-6B9F0DDE6FF6}" sibTransId="{B9285C5D-78FC-2845-BDC7-26EE9F78D392}"/>
    <dgm:cxn modelId="{28E9775A-FEF2-7F41-86FF-D8D804845E0B}" type="presOf" srcId="{02AE5636-CD87-EF4E-A252-027B19036DDD}" destId="{B719265D-2E9F-0849-A865-E29DB8BB857D}" srcOrd="0" destOrd="0" presId="urn:microsoft.com/office/officeart/2005/8/layout/StepDownProcess"/>
    <dgm:cxn modelId="{F1E7E68A-7967-0E4A-AC97-B1A324D4D042}" type="presOf" srcId="{297C64D8-3F4A-294C-87B5-CADFAE267F32}" destId="{084AC598-A36C-8040-858F-CD85C1291ED4}" srcOrd="0" destOrd="1" presId="urn:microsoft.com/office/officeart/2005/8/layout/StepDownProcess"/>
    <dgm:cxn modelId="{1C92B747-7A40-A640-A811-6239DA2E3FE8}" srcId="{B99E662F-45FF-5345-8A8A-DB28114A3A52}" destId="{90137735-E4DF-8745-874A-4D61144AA236}" srcOrd="1" destOrd="0" parTransId="{936D1EDB-6881-BC4E-8B7B-66B18521B11E}" sibTransId="{6E24DD2C-14FD-F740-8174-6593455E5691}"/>
    <dgm:cxn modelId="{5BB0C232-4A1F-9842-A4CB-B65FC07E21A6}" type="presOf" srcId="{856FCBB1-127B-AC45-833B-196AE65208EE}" destId="{B719265D-2E9F-0849-A865-E29DB8BB857D}" srcOrd="0" destOrd="1" presId="urn:microsoft.com/office/officeart/2005/8/layout/StepDownProcess"/>
    <dgm:cxn modelId="{BA57D20D-9FF5-9A4B-AC59-109274AC78D5}" type="presOf" srcId="{91E60387-FDD3-054D-A6BD-00467F057BAD}" destId="{7573A068-9D20-2F41-A549-476C75FD9C99}" srcOrd="0" destOrd="0" presId="urn:microsoft.com/office/officeart/2005/8/layout/StepDownProcess"/>
    <dgm:cxn modelId="{E4071887-522E-0E40-AAD5-BA84C668EBFD}" type="presOf" srcId="{83068E00-D025-894D-B739-38AFC09024F7}" destId="{AAB53388-CAB8-C345-946A-B4A7C671B2B0}" srcOrd="0" destOrd="0" presId="urn:microsoft.com/office/officeart/2005/8/layout/StepDownProcess"/>
    <dgm:cxn modelId="{CFC4FDBA-89A0-0644-8EBB-83A244CBC8A3}" type="presParOf" srcId="{7573A068-9D20-2F41-A549-476C75FD9C99}" destId="{C4523807-818B-3044-B9B3-1DFBF2BE1506}" srcOrd="0" destOrd="0" presId="urn:microsoft.com/office/officeart/2005/8/layout/StepDownProcess"/>
    <dgm:cxn modelId="{E7E392EA-B4D0-0941-9748-F5A47CBB9990}" type="presParOf" srcId="{C4523807-818B-3044-B9B3-1DFBF2BE1506}" destId="{7C861D39-7C8B-7845-B063-90024A8889DB}" srcOrd="0" destOrd="0" presId="urn:microsoft.com/office/officeart/2005/8/layout/StepDownProcess"/>
    <dgm:cxn modelId="{37ECFE48-92AE-0747-A9C3-5D07DB57E2FF}" type="presParOf" srcId="{C4523807-818B-3044-B9B3-1DFBF2BE1506}" destId="{20CAA361-1F46-D949-8C60-7C041BDB6191}" srcOrd="1" destOrd="0" presId="urn:microsoft.com/office/officeart/2005/8/layout/StepDownProcess"/>
    <dgm:cxn modelId="{D8D75487-519C-C44D-B488-B4A48C2E0F5F}" type="presParOf" srcId="{C4523807-818B-3044-B9B3-1DFBF2BE1506}" destId="{FFF8A28A-1D52-784B-BB6F-B36D9F045E6A}" srcOrd="2" destOrd="0" presId="urn:microsoft.com/office/officeart/2005/8/layout/StepDownProcess"/>
    <dgm:cxn modelId="{5C5A9BD1-A3E3-444C-94C0-0EA36FC3863A}" type="presParOf" srcId="{7573A068-9D20-2F41-A549-476C75FD9C99}" destId="{BD6F457E-918C-5B4C-B79D-7425FD815070}" srcOrd="1" destOrd="0" presId="urn:microsoft.com/office/officeart/2005/8/layout/StepDownProcess"/>
    <dgm:cxn modelId="{14725E26-F50C-784D-8FE0-5D1BD170D4EB}" type="presParOf" srcId="{7573A068-9D20-2F41-A549-476C75FD9C99}" destId="{AA0E01F6-D38E-A74E-B3E0-372E882A8613}" srcOrd="2" destOrd="0" presId="urn:microsoft.com/office/officeart/2005/8/layout/StepDownProcess"/>
    <dgm:cxn modelId="{770963BF-F0BB-3447-9301-1B4028439171}" type="presParOf" srcId="{AA0E01F6-D38E-A74E-B3E0-372E882A8613}" destId="{EAFE6AAC-7A91-104A-A22B-02E1C37C61AF}" srcOrd="0" destOrd="0" presId="urn:microsoft.com/office/officeart/2005/8/layout/StepDownProcess"/>
    <dgm:cxn modelId="{762CEB75-B720-684F-A1F9-B3E698F0536C}" type="presParOf" srcId="{AA0E01F6-D38E-A74E-B3E0-372E882A8613}" destId="{B4E6E355-7CEE-1842-B799-84FF0740E5E7}" srcOrd="1" destOrd="0" presId="urn:microsoft.com/office/officeart/2005/8/layout/StepDownProcess"/>
    <dgm:cxn modelId="{19F46975-8558-084B-8988-7BD00FCB1A54}" type="presParOf" srcId="{AA0E01F6-D38E-A74E-B3E0-372E882A8613}" destId="{45627EA9-B7DA-514A-9183-0798BD22BF62}" srcOrd="2" destOrd="0" presId="urn:microsoft.com/office/officeart/2005/8/layout/StepDownProcess"/>
    <dgm:cxn modelId="{C4FB21C5-60F3-8D4F-ABB8-829C45552957}" type="presParOf" srcId="{7573A068-9D20-2F41-A549-476C75FD9C99}" destId="{50B09CE2-CE4B-0842-AA48-679C40B7ACB4}" srcOrd="3" destOrd="0" presId="urn:microsoft.com/office/officeart/2005/8/layout/StepDownProcess"/>
    <dgm:cxn modelId="{0B4DEA58-35AF-7D45-B14A-BA342A2E5666}" type="presParOf" srcId="{7573A068-9D20-2F41-A549-476C75FD9C99}" destId="{1D4D5E1D-7233-BD48-827A-13737E35C2F0}" srcOrd="4" destOrd="0" presId="urn:microsoft.com/office/officeart/2005/8/layout/StepDownProcess"/>
    <dgm:cxn modelId="{4B3F693A-16B8-F74A-B14F-5DDB7FCD13BA}" type="presParOf" srcId="{1D4D5E1D-7233-BD48-827A-13737E35C2F0}" destId="{C5C482B2-7841-B346-AE9A-BEDFC220B2ED}" srcOrd="0" destOrd="0" presId="urn:microsoft.com/office/officeart/2005/8/layout/StepDownProcess"/>
    <dgm:cxn modelId="{7DF515EB-E2B7-A04A-A9E4-517095097BF8}" type="presParOf" srcId="{1D4D5E1D-7233-BD48-827A-13737E35C2F0}" destId="{83C5F54B-4C10-BE4D-8FD3-643AF9D7A863}" srcOrd="1" destOrd="0" presId="urn:microsoft.com/office/officeart/2005/8/layout/StepDownProcess"/>
    <dgm:cxn modelId="{9B6722D3-A00A-7749-8CE7-89BC6F68C364}" type="presParOf" srcId="{1D4D5E1D-7233-BD48-827A-13737E35C2F0}" destId="{B719265D-2E9F-0849-A865-E29DB8BB857D}" srcOrd="2" destOrd="0" presId="urn:microsoft.com/office/officeart/2005/8/layout/StepDownProcess"/>
    <dgm:cxn modelId="{6E9798E4-6040-4441-B2FD-2FEAE3D69E2B}" type="presParOf" srcId="{7573A068-9D20-2F41-A549-476C75FD9C99}" destId="{F1B45833-EFED-FF45-A6E7-2A07BD9E7E61}" srcOrd="5" destOrd="0" presId="urn:microsoft.com/office/officeart/2005/8/layout/StepDownProcess"/>
    <dgm:cxn modelId="{B4EA3F4E-9783-8C4D-B42E-86471765D00A}" type="presParOf" srcId="{7573A068-9D20-2F41-A549-476C75FD9C99}" destId="{8978EC1C-4300-094C-A906-E2A82D50EEEA}" srcOrd="6" destOrd="0" presId="urn:microsoft.com/office/officeart/2005/8/layout/StepDownProcess"/>
    <dgm:cxn modelId="{DC4A8D87-8F47-834D-BA81-3EE165158D6E}" type="presParOf" srcId="{8978EC1C-4300-094C-A906-E2A82D50EEEA}" destId="{7C1DE07C-4084-F741-976C-B66622EAAEE4}" srcOrd="0" destOrd="0" presId="urn:microsoft.com/office/officeart/2005/8/layout/StepDownProcess"/>
    <dgm:cxn modelId="{072CBF7C-38F3-1F49-B2C5-C2DEF5DE414A}" type="presParOf" srcId="{8978EC1C-4300-094C-A906-E2A82D50EEEA}" destId="{AAB53388-CAB8-C345-946A-B4A7C671B2B0}" srcOrd="1" destOrd="0" presId="urn:microsoft.com/office/officeart/2005/8/layout/StepDownProcess"/>
    <dgm:cxn modelId="{915486F3-EC4D-7B4A-974E-D08C0F313CB3}" type="presParOf" srcId="{8978EC1C-4300-094C-A906-E2A82D50EEEA}" destId="{ACC0D73A-9667-A14E-81BF-A7799D38ED84}" srcOrd="2" destOrd="0" presId="urn:microsoft.com/office/officeart/2005/8/layout/StepDownProcess"/>
    <dgm:cxn modelId="{98460B1E-7B5F-7C45-99F8-405AF076EB93}" type="presParOf" srcId="{7573A068-9D20-2F41-A549-476C75FD9C99}" destId="{E0690B95-F514-C04F-965E-B0FE5F91FD00}" srcOrd="7" destOrd="0" presId="urn:microsoft.com/office/officeart/2005/8/layout/StepDownProcess"/>
    <dgm:cxn modelId="{FB1F1C79-3032-204A-95D6-0AEC055FED25}" type="presParOf" srcId="{7573A068-9D20-2F41-A549-476C75FD9C99}" destId="{AA3A3ACB-706C-7A4F-91DA-6CA0F0DEB9C9}" srcOrd="8" destOrd="0" presId="urn:microsoft.com/office/officeart/2005/8/layout/StepDownProcess"/>
    <dgm:cxn modelId="{7DCE055A-EE3B-664D-B327-D23072EC4B71}" type="presParOf" srcId="{AA3A3ACB-706C-7A4F-91DA-6CA0F0DEB9C9}" destId="{284AE62E-A3EC-FA48-AE25-AD61464AED17}" srcOrd="0" destOrd="0" presId="urn:microsoft.com/office/officeart/2005/8/layout/StepDownProcess"/>
    <dgm:cxn modelId="{41096508-C561-7E4D-9176-EA91A481139E}" type="presParOf" srcId="{AA3A3ACB-706C-7A4F-91DA-6CA0F0DEB9C9}" destId="{E1259165-394E-3B40-8976-9B2E970A0224}" srcOrd="1" destOrd="0" presId="urn:microsoft.com/office/officeart/2005/8/layout/StepDownProcess"/>
    <dgm:cxn modelId="{E4AB052E-B07E-5A45-BF62-AC2CC7A31C43}" type="presParOf" srcId="{AA3A3ACB-706C-7A4F-91DA-6CA0F0DEB9C9}" destId="{084AC598-A36C-8040-858F-CD85C1291ED4}" srcOrd="2" destOrd="0" presId="urn:microsoft.com/office/officeart/2005/8/layout/StepDownProcess"/>
    <dgm:cxn modelId="{6425CC89-42C1-144D-92E7-64655ECB09B3}" type="presParOf" srcId="{7573A068-9D20-2F41-A549-476C75FD9C99}" destId="{00E2267D-0F31-324D-A9B7-D61F3253D476}" srcOrd="9" destOrd="0" presId="urn:microsoft.com/office/officeart/2005/8/layout/StepDownProcess"/>
    <dgm:cxn modelId="{7DBFD8E8-94BF-9F4D-A656-5DC1CA3BC502}" type="presParOf" srcId="{7573A068-9D20-2F41-A549-476C75FD9C99}" destId="{6531A69F-8F75-B147-B7F4-FFD58B3E30A4}" srcOrd="10" destOrd="0" presId="urn:microsoft.com/office/officeart/2005/8/layout/StepDownProcess"/>
    <dgm:cxn modelId="{C350DDEC-C51A-844E-B1BB-E3190340E5F2}" type="presParOf" srcId="{6531A69F-8F75-B147-B7F4-FFD58B3E30A4}" destId="{D39F1AE8-8842-C042-BFFE-C16A69908E3C}" srcOrd="0" destOrd="0" presId="urn:microsoft.com/office/officeart/2005/8/layout/StepDownProcess"/>
    <dgm:cxn modelId="{606C134B-8CA2-0B48-8CF7-35A511940999}" type="presParOf" srcId="{6531A69F-8F75-B147-B7F4-FFD58B3E30A4}" destId="{3D61DEB2-0D36-6E49-A899-85B0D76C7437}" srcOrd="1" destOrd="0" presId="urn:microsoft.com/office/officeart/2005/8/layout/StepDownProcess"/>
  </dgm:cxnLst>
  <dgm:bg/>
  <dgm:whole/>
  <dgm:extLst>
    <a:ext uri="http://schemas.microsoft.com/office/drawing/2008/diagram">
      <dsp:dataModelExt xmlns:dsp="http://schemas.microsoft.com/office/drawing/2008/diagram" relId="rId4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37877AD-04F7-744F-B65D-122667EE8EEF}">
      <dsp:nvSpPr>
        <dsp:cNvPr id="0" name=""/>
        <dsp:cNvSpPr/>
      </dsp:nvSpPr>
      <dsp:spPr>
        <a:xfrm>
          <a:off x="342899" y="114936"/>
          <a:ext cx="1976645" cy="654800"/>
        </a:xfrm>
        <a:prstGeom prst="roundRect">
          <a:avLst>
            <a:gd name="adj" fmla="val 1000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t>Patient with clinically localized melanoma</a:t>
          </a:r>
        </a:p>
      </dsp:txBody>
      <dsp:txXfrm>
        <a:off x="362077" y="134114"/>
        <a:ext cx="1938289" cy="616444"/>
      </dsp:txXfrm>
    </dsp:sp>
    <dsp:sp modelId="{6E1DE3C9-BCF8-0848-9360-25BAD6C9371A}">
      <dsp:nvSpPr>
        <dsp:cNvPr id="0" name=""/>
        <dsp:cNvSpPr/>
      </dsp:nvSpPr>
      <dsp:spPr>
        <a:xfrm rot="5476343">
          <a:off x="1241043" y="729743"/>
          <a:ext cx="161044" cy="294660"/>
        </a:xfrm>
        <a:prstGeom prst="rightArrow">
          <a:avLst>
            <a:gd name="adj1" fmla="val 60000"/>
            <a:gd name="adj2" fmla="val 50000"/>
          </a:avLst>
        </a:prstGeom>
        <a:gradFill rotWithShape="0">
          <a:gsLst>
            <a:gs pos="0">
              <a:schemeClr val="accent1">
                <a:tint val="60000"/>
                <a:hueOff val="0"/>
                <a:satOff val="0"/>
                <a:lumOff val="0"/>
                <a:alphaOff val="0"/>
                <a:tint val="100000"/>
                <a:shade val="100000"/>
                <a:satMod val="130000"/>
              </a:schemeClr>
            </a:gs>
            <a:gs pos="100000">
              <a:schemeClr val="accent1">
                <a:tint val="60000"/>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US" sz="800" kern="1200"/>
        </a:p>
      </dsp:txBody>
      <dsp:txXfrm rot="-5400000">
        <a:off x="1233704" y="796556"/>
        <a:ext cx="176796" cy="112731"/>
      </dsp:txXfrm>
    </dsp:sp>
    <dsp:sp modelId="{777927DB-B28E-6F4A-BA33-D2D8CCCA9B03}">
      <dsp:nvSpPr>
        <dsp:cNvPr id="0" name=""/>
        <dsp:cNvSpPr/>
      </dsp:nvSpPr>
      <dsp:spPr>
        <a:xfrm>
          <a:off x="323587" y="984409"/>
          <a:ext cx="1976645" cy="654800"/>
        </a:xfrm>
        <a:prstGeom prst="roundRect">
          <a:avLst>
            <a:gd name="adj" fmla="val 1000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t>Lymphoscintigraphy</a:t>
          </a:r>
        </a:p>
      </dsp:txBody>
      <dsp:txXfrm>
        <a:off x="342765" y="1003587"/>
        <a:ext cx="1938289" cy="616444"/>
      </dsp:txXfrm>
    </dsp:sp>
    <dsp:sp modelId="{12E84E03-856F-7047-BCA3-1C8B77A4FA24}">
      <dsp:nvSpPr>
        <dsp:cNvPr id="0" name=""/>
        <dsp:cNvSpPr/>
      </dsp:nvSpPr>
      <dsp:spPr>
        <a:xfrm rot="5400000">
          <a:off x="1189134" y="1655579"/>
          <a:ext cx="245550" cy="294660"/>
        </a:xfrm>
        <a:prstGeom prst="rightArrow">
          <a:avLst>
            <a:gd name="adj1" fmla="val 60000"/>
            <a:gd name="adj2" fmla="val 50000"/>
          </a:avLst>
        </a:prstGeom>
        <a:gradFill rotWithShape="0">
          <a:gsLst>
            <a:gs pos="0">
              <a:schemeClr val="accent1">
                <a:tint val="60000"/>
                <a:hueOff val="0"/>
                <a:satOff val="0"/>
                <a:lumOff val="0"/>
                <a:alphaOff val="0"/>
                <a:tint val="100000"/>
                <a:shade val="100000"/>
                <a:satMod val="130000"/>
              </a:schemeClr>
            </a:gs>
            <a:gs pos="100000">
              <a:schemeClr val="accent1">
                <a:tint val="60000"/>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en-US" sz="900" kern="1200"/>
        </a:p>
      </dsp:txBody>
      <dsp:txXfrm rot="-5400000">
        <a:off x="1223512" y="1680134"/>
        <a:ext cx="176796" cy="171885"/>
      </dsp:txXfrm>
    </dsp:sp>
    <dsp:sp modelId="{CBA44342-56E2-0B45-B78E-8AA6CE646014}">
      <dsp:nvSpPr>
        <dsp:cNvPr id="0" name=""/>
        <dsp:cNvSpPr/>
      </dsp:nvSpPr>
      <dsp:spPr>
        <a:xfrm>
          <a:off x="323587" y="1966609"/>
          <a:ext cx="1976645" cy="654800"/>
        </a:xfrm>
        <a:prstGeom prst="roundRect">
          <a:avLst>
            <a:gd name="adj" fmla="val 1000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t>Sentinel node biopsy</a:t>
          </a:r>
        </a:p>
      </dsp:txBody>
      <dsp:txXfrm>
        <a:off x="342765" y="1985787"/>
        <a:ext cx="1938289" cy="616444"/>
      </dsp:txXfrm>
    </dsp:sp>
    <dsp:sp modelId="{46CBB2CF-5F30-6041-91BC-D46C09C59CE8}">
      <dsp:nvSpPr>
        <dsp:cNvPr id="0" name=""/>
        <dsp:cNvSpPr/>
      </dsp:nvSpPr>
      <dsp:spPr>
        <a:xfrm rot="5400000">
          <a:off x="1189134" y="2637779"/>
          <a:ext cx="245550" cy="294660"/>
        </a:xfrm>
        <a:prstGeom prst="rightArrow">
          <a:avLst>
            <a:gd name="adj1" fmla="val 60000"/>
            <a:gd name="adj2" fmla="val 50000"/>
          </a:avLst>
        </a:prstGeom>
        <a:gradFill rotWithShape="0">
          <a:gsLst>
            <a:gs pos="0">
              <a:schemeClr val="accent1">
                <a:tint val="60000"/>
                <a:hueOff val="0"/>
                <a:satOff val="0"/>
                <a:lumOff val="0"/>
                <a:alphaOff val="0"/>
                <a:tint val="100000"/>
                <a:shade val="100000"/>
                <a:satMod val="130000"/>
              </a:schemeClr>
            </a:gs>
            <a:gs pos="100000">
              <a:schemeClr val="accent1">
                <a:tint val="60000"/>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en-US" sz="900" kern="1200"/>
        </a:p>
      </dsp:txBody>
      <dsp:txXfrm rot="-5400000">
        <a:off x="1223512" y="2662334"/>
        <a:ext cx="176796" cy="171885"/>
      </dsp:txXfrm>
    </dsp:sp>
    <dsp:sp modelId="{E57A743D-9AF7-B242-BAEF-9592151AAEDE}">
      <dsp:nvSpPr>
        <dsp:cNvPr id="0" name=""/>
        <dsp:cNvSpPr/>
      </dsp:nvSpPr>
      <dsp:spPr>
        <a:xfrm>
          <a:off x="323587" y="2948810"/>
          <a:ext cx="1976645" cy="654800"/>
        </a:xfrm>
        <a:prstGeom prst="roundRect">
          <a:avLst>
            <a:gd name="adj" fmla="val 1000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t>If sentinel node(s) contain melanoma</a:t>
          </a:r>
        </a:p>
      </dsp:txBody>
      <dsp:txXfrm>
        <a:off x="342765" y="2967988"/>
        <a:ext cx="1938289" cy="616444"/>
      </dsp:txXfrm>
    </dsp:sp>
    <dsp:sp modelId="{47632220-81BE-2241-9803-3CA406FF099D}">
      <dsp:nvSpPr>
        <dsp:cNvPr id="0" name=""/>
        <dsp:cNvSpPr/>
      </dsp:nvSpPr>
      <dsp:spPr>
        <a:xfrm rot="5400000">
          <a:off x="1189134" y="3619980"/>
          <a:ext cx="245550" cy="294660"/>
        </a:xfrm>
        <a:prstGeom prst="rightArrow">
          <a:avLst>
            <a:gd name="adj1" fmla="val 60000"/>
            <a:gd name="adj2" fmla="val 50000"/>
          </a:avLst>
        </a:prstGeom>
        <a:gradFill rotWithShape="0">
          <a:gsLst>
            <a:gs pos="0">
              <a:schemeClr val="accent1">
                <a:tint val="60000"/>
                <a:hueOff val="0"/>
                <a:satOff val="0"/>
                <a:lumOff val="0"/>
                <a:alphaOff val="0"/>
                <a:tint val="100000"/>
                <a:shade val="100000"/>
                <a:satMod val="130000"/>
              </a:schemeClr>
            </a:gs>
            <a:gs pos="100000">
              <a:schemeClr val="accent1">
                <a:tint val="60000"/>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en-US" sz="900" kern="1200"/>
        </a:p>
      </dsp:txBody>
      <dsp:txXfrm rot="-5400000">
        <a:off x="1223512" y="3644535"/>
        <a:ext cx="176796" cy="171885"/>
      </dsp:txXfrm>
    </dsp:sp>
    <dsp:sp modelId="{588FEDD9-328C-CA40-836E-F56E286B0356}">
      <dsp:nvSpPr>
        <dsp:cNvPr id="0" name=""/>
        <dsp:cNvSpPr/>
      </dsp:nvSpPr>
      <dsp:spPr>
        <a:xfrm>
          <a:off x="323587" y="3931010"/>
          <a:ext cx="1976645" cy="654800"/>
        </a:xfrm>
        <a:prstGeom prst="roundRect">
          <a:avLst>
            <a:gd name="adj" fmla="val 1000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t>Completion lymph node dissection to assess for non-sentinel node metastases</a:t>
          </a:r>
        </a:p>
      </dsp:txBody>
      <dsp:txXfrm>
        <a:off x="342765" y="3950188"/>
        <a:ext cx="1938289" cy="616444"/>
      </dsp:txXfrm>
    </dsp:sp>
    <dsp:sp modelId="{4AB88E1A-DBE8-7A48-AC09-EE480C6FF371}">
      <dsp:nvSpPr>
        <dsp:cNvPr id="0" name=""/>
        <dsp:cNvSpPr/>
      </dsp:nvSpPr>
      <dsp:spPr>
        <a:xfrm rot="5400000">
          <a:off x="1189134" y="4602180"/>
          <a:ext cx="245550" cy="294660"/>
        </a:xfrm>
        <a:prstGeom prst="rightArrow">
          <a:avLst>
            <a:gd name="adj1" fmla="val 60000"/>
            <a:gd name="adj2" fmla="val 50000"/>
          </a:avLst>
        </a:prstGeom>
        <a:gradFill rotWithShape="0">
          <a:gsLst>
            <a:gs pos="0">
              <a:schemeClr val="accent1">
                <a:tint val="60000"/>
                <a:hueOff val="0"/>
                <a:satOff val="0"/>
                <a:lumOff val="0"/>
                <a:alphaOff val="0"/>
                <a:tint val="100000"/>
                <a:shade val="100000"/>
                <a:satMod val="130000"/>
              </a:schemeClr>
            </a:gs>
            <a:gs pos="100000">
              <a:schemeClr val="accent1">
                <a:tint val="60000"/>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en-US" sz="900" kern="1200"/>
        </a:p>
      </dsp:txBody>
      <dsp:txXfrm rot="-5400000">
        <a:off x="1223512" y="4626735"/>
        <a:ext cx="176796" cy="171885"/>
      </dsp:txXfrm>
    </dsp:sp>
    <dsp:sp modelId="{CD37B3B0-484B-8B4D-9C26-C32735087890}">
      <dsp:nvSpPr>
        <dsp:cNvPr id="0" name=""/>
        <dsp:cNvSpPr/>
      </dsp:nvSpPr>
      <dsp:spPr>
        <a:xfrm>
          <a:off x="323587" y="4913210"/>
          <a:ext cx="1976645" cy="654800"/>
        </a:xfrm>
        <a:prstGeom prst="roundRect">
          <a:avLst>
            <a:gd name="adj" fmla="val 1000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t>Consider prognosis, adjuvant therapy and trial eligibility</a:t>
          </a:r>
        </a:p>
      </dsp:txBody>
      <dsp:txXfrm>
        <a:off x="342765" y="4932388"/>
        <a:ext cx="1938289" cy="61644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51FF7B6-4114-5A43-834B-835B2D92B15B}">
      <dsp:nvSpPr>
        <dsp:cNvPr id="0" name=""/>
        <dsp:cNvSpPr/>
      </dsp:nvSpPr>
      <dsp:spPr>
        <a:xfrm>
          <a:off x="1980056" y="2189681"/>
          <a:ext cx="1411986" cy="1411986"/>
        </a:xfrm>
        <a:prstGeom prst="round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25400" tIns="25400" rIns="25400" bIns="25400" numCol="1" spcCol="1270" anchor="ctr" anchorCtr="0">
          <a:noAutofit/>
        </a:bodyPr>
        <a:lstStyle/>
        <a:p>
          <a:pPr lvl="0" algn="ctr" defTabSz="444500">
            <a:lnSpc>
              <a:spcPct val="90000"/>
            </a:lnSpc>
            <a:spcBef>
              <a:spcPct val="0"/>
            </a:spcBef>
            <a:spcAft>
              <a:spcPct val="35000"/>
            </a:spcAft>
          </a:pPr>
          <a:r>
            <a:rPr lang="en-US" sz="1000" kern="1200"/>
            <a:t>Lymphoscintigraphy</a:t>
          </a:r>
        </a:p>
      </dsp:txBody>
      <dsp:txXfrm>
        <a:off x="2048983" y="2258608"/>
        <a:ext cx="1274132" cy="1274132"/>
      </dsp:txXfrm>
    </dsp:sp>
    <dsp:sp modelId="{5D2B4043-A960-A44E-A05F-22CB375B4C0D}">
      <dsp:nvSpPr>
        <dsp:cNvPr id="0" name=""/>
        <dsp:cNvSpPr/>
      </dsp:nvSpPr>
      <dsp:spPr>
        <a:xfrm rot="16200000">
          <a:off x="2190825" y="1694456"/>
          <a:ext cx="990449" cy="0"/>
        </a:xfrm>
        <a:custGeom>
          <a:avLst/>
          <a:gdLst/>
          <a:ahLst/>
          <a:cxnLst/>
          <a:rect l="0" t="0" r="0" b="0"/>
          <a:pathLst>
            <a:path>
              <a:moveTo>
                <a:pt x="0" y="0"/>
              </a:moveTo>
              <a:lnTo>
                <a:pt x="990449" y="0"/>
              </a:lnTo>
            </a:path>
          </a:pathLst>
        </a:custGeom>
        <a:noFill/>
        <a:ln w="9525" cap="flat" cmpd="sng" algn="ctr">
          <a:solidFill>
            <a:schemeClr val="accent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D7C51A00-6484-9949-8598-0E35938E31FC}">
      <dsp:nvSpPr>
        <dsp:cNvPr id="0" name=""/>
        <dsp:cNvSpPr/>
      </dsp:nvSpPr>
      <dsp:spPr>
        <a:xfrm>
          <a:off x="2213034" y="253201"/>
          <a:ext cx="946030" cy="946030"/>
        </a:xfrm>
        <a:prstGeom prst="round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lvl="0" algn="ctr" defTabSz="533400">
            <a:lnSpc>
              <a:spcPct val="90000"/>
            </a:lnSpc>
            <a:spcBef>
              <a:spcPct val="0"/>
            </a:spcBef>
            <a:spcAft>
              <a:spcPct val="35000"/>
            </a:spcAft>
          </a:pPr>
          <a:r>
            <a:rPr lang="en-US" sz="1200" kern="1200"/>
            <a:t>Accurate</a:t>
          </a:r>
        </a:p>
        <a:p>
          <a:pPr lvl="0" algn="ctr" defTabSz="533400">
            <a:lnSpc>
              <a:spcPct val="90000"/>
            </a:lnSpc>
            <a:spcBef>
              <a:spcPct val="0"/>
            </a:spcBef>
            <a:spcAft>
              <a:spcPct val="35000"/>
            </a:spcAft>
          </a:pPr>
          <a:r>
            <a:rPr lang="en-US" sz="1200" kern="1200"/>
            <a:t>(all sentinel nodes identified)</a:t>
          </a:r>
        </a:p>
      </dsp:txBody>
      <dsp:txXfrm>
        <a:off x="2259215" y="299382"/>
        <a:ext cx="853668" cy="853668"/>
      </dsp:txXfrm>
    </dsp:sp>
    <dsp:sp modelId="{C76AF8D6-B2C4-9F42-9C4D-26BCBDE7E0C1}">
      <dsp:nvSpPr>
        <dsp:cNvPr id="0" name=""/>
        <dsp:cNvSpPr/>
      </dsp:nvSpPr>
      <dsp:spPr>
        <a:xfrm rot="1800000">
          <a:off x="3337913" y="3505293"/>
          <a:ext cx="808056" cy="0"/>
        </a:xfrm>
        <a:custGeom>
          <a:avLst/>
          <a:gdLst/>
          <a:ahLst/>
          <a:cxnLst/>
          <a:rect l="0" t="0" r="0" b="0"/>
          <a:pathLst>
            <a:path>
              <a:moveTo>
                <a:pt x="0" y="0"/>
              </a:moveTo>
              <a:lnTo>
                <a:pt x="808056" y="0"/>
              </a:lnTo>
            </a:path>
          </a:pathLst>
        </a:custGeom>
        <a:noFill/>
        <a:ln w="9525" cap="flat" cmpd="sng" algn="ctr">
          <a:solidFill>
            <a:schemeClr val="accent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86119F64-467E-484A-A67F-7DF439FDF838}">
      <dsp:nvSpPr>
        <dsp:cNvPr id="0" name=""/>
        <dsp:cNvSpPr/>
      </dsp:nvSpPr>
      <dsp:spPr>
        <a:xfrm>
          <a:off x="4091840" y="3507387"/>
          <a:ext cx="946030" cy="946030"/>
        </a:xfrm>
        <a:prstGeom prst="round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27940" tIns="27940" rIns="27940" bIns="27940" numCol="1" spcCol="1270" anchor="ctr" anchorCtr="0">
          <a:noAutofit/>
        </a:bodyPr>
        <a:lstStyle/>
        <a:p>
          <a:pPr lvl="0" algn="ctr" defTabSz="488950">
            <a:lnSpc>
              <a:spcPct val="90000"/>
            </a:lnSpc>
            <a:spcBef>
              <a:spcPct val="0"/>
            </a:spcBef>
            <a:spcAft>
              <a:spcPct val="35000"/>
            </a:spcAft>
          </a:pPr>
          <a:r>
            <a:rPr lang="en-US" sz="1100" kern="1200"/>
            <a:t>Non-localization (no sentinel node identified)</a:t>
          </a:r>
        </a:p>
      </dsp:txBody>
      <dsp:txXfrm>
        <a:off x="4138021" y="3553568"/>
        <a:ext cx="853668" cy="853668"/>
      </dsp:txXfrm>
    </dsp:sp>
    <dsp:sp modelId="{D004A079-914D-A44F-A618-25025839152B}">
      <dsp:nvSpPr>
        <dsp:cNvPr id="0" name=""/>
        <dsp:cNvSpPr/>
      </dsp:nvSpPr>
      <dsp:spPr>
        <a:xfrm rot="9000000">
          <a:off x="1226130" y="3505293"/>
          <a:ext cx="808056" cy="0"/>
        </a:xfrm>
        <a:custGeom>
          <a:avLst/>
          <a:gdLst/>
          <a:ahLst/>
          <a:cxnLst/>
          <a:rect l="0" t="0" r="0" b="0"/>
          <a:pathLst>
            <a:path>
              <a:moveTo>
                <a:pt x="0" y="0"/>
              </a:moveTo>
              <a:lnTo>
                <a:pt x="808056" y="0"/>
              </a:lnTo>
            </a:path>
          </a:pathLst>
        </a:custGeom>
        <a:noFill/>
        <a:ln w="9525" cap="flat" cmpd="sng" algn="ctr">
          <a:solidFill>
            <a:schemeClr val="accent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5E037F85-F3B6-4E45-81AC-5AA71DC7706C}">
      <dsp:nvSpPr>
        <dsp:cNvPr id="0" name=""/>
        <dsp:cNvSpPr/>
      </dsp:nvSpPr>
      <dsp:spPr>
        <a:xfrm>
          <a:off x="334229" y="3507387"/>
          <a:ext cx="946030" cy="946030"/>
        </a:xfrm>
        <a:prstGeom prst="round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22860" tIns="22860" rIns="22860" bIns="22860" numCol="1" spcCol="1270" anchor="ctr" anchorCtr="0">
          <a:noAutofit/>
        </a:bodyPr>
        <a:lstStyle/>
        <a:p>
          <a:pPr lvl="0" algn="ctr" defTabSz="400050">
            <a:lnSpc>
              <a:spcPct val="90000"/>
            </a:lnSpc>
            <a:spcBef>
              <a:spcPct val="0"/>
            </a:spcBef>
            <a:spcAft>
              <a:spcPct val="35000"/>
            </a:spcAft>
          </a:pPr>
          <a:r>
            <a:rPr lang="en-US" sz="900" kern="1200"/>
            <a:t>Inaccurate</a:t>
          </a:r>
        </a:p>
        <a:p>
          <a:pPr lvl="0" algn="ctr" defTabSz="400050">
            <a:lnSpc>
              <a:spcPct val="90000"/>
            </a:lnSpc>
            <a:spcBef>
              <a:spcPct val="0"/>
            </a:spcBef>
            <a:spcAft>
              <a:spcPct val="35000"/>
            </a:spcAft>
          </a:pPr>
          <a:r>
            <a:rPr lang="en-US" sz="900" kern="1200"/>
            <a:t>(only some sentinel nodes +/- non-sentinel nodes identified)</a:t>
          </a:r>
        </a:p>
      </dsp:txBody>
      <dsp:txXfrm>
        <a:off x="380410" y="3553568"/>
        <a:ext cx="853668" cy="85366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861D39-7C8B-7845-B063-90024A8889DB}">
      <dsp:nvSpPr>
        <dsp:cNvPr id="0" name=""/>
        <dsp:cNvSpPr/>
      </dsp:nvSpPr>
      <dsp:spPr>
        <a:xfrm rot="5400000">
          <a:off x="716954" y="715391"/>
          <a:ext cx="615791" cy="701056"/>
        </a:xfrm>
        <a:prstGeom prst="bentUpArrow">
          <a:avLst>
            <a:gd name="adj1" fmla="val 32840"/>
            <a:gd name="adj2" fmla="val 25000"/>
            <a:gd name="adj3" fmla="val 35780"/>
          </a:avLst>
        </a:prstGeom>
        <a:solidFill>
          <a:srgbClr val="4F81BD">
            <a:tint val="50000"/>
            <a:hueOff val="0"/>
            <a:satOff val="0"/>
            <a:lumOff val="0"/>
            <a:alphaOff val="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1">
          <a:scrgbClr r="0" g="0" b="0"/>
        </a:fillRef>
        <a:effectRef idx="3">
          <a:scrgbClr r="0" g="0" b="0"/>
        </a:effectRef>
        <a:fontRef idx="minor"/>
      </dsp:style>
    </dsp:sp>
    <dsp:sp modelId="{20CAA361-1F46-D949-8C60-7C041BDB6191}">
      <dsp:nvSpPr>
        <dsp:cNvPr id="0" name=""/>
        <dsp:cNvSpPr/>
      </dsp:nvSpPr>
      <dsp:spPr>
        <a:xfrm>
          <a:off x="553807" y="32773"/>
          <a:ext cx="1036630" cy="725607"/>
        </a:xfrm>
        <a:prstGeom prst="roundRect">
          <a:avLst>
            <a:gd name="adj" fmla="val 1667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US" sz="800" kern="1200">
              <a:solidFill>
                <a:sysClr val="window" lastClr="FFFFFF"/>
              </a:solidFill>
              <a:latin typeface="Cambria"/>
              <a:ea typeface="+mn-ea"/>
              <a:cs typeface="+mn-cs"/>
            </a:rPr>
            <a:t>1. Sentinel node(s) identified on lymphoscintigram?</a:t>
          </a:r>
        </a:p>
      </dsp:txBody>
      <dsp:txXfrm>
        <a:off x="589235" y="68201"/>
        <a:ext cx="965774" cy="654751"/>
      </dsp:txXfrm>
    </dsp:sp>
    <dsp:sp modelId="{FFF8A28A-1D52-784B-BB6F-B36D9F045E6A}">
      <dsp:nvSpPr>
        <dsp:cNvPr id="0" name=""/>
        <dsp:cNvSpPr/>
      </dsp:nvSpPr>
      <dsp:spPr>
        <a:xfrm>
          <a:off x="1717206" y="41729"/>
          <a:ext cx="1965567" cy="58646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ctr" anchorCtr="0">
          <a:noAutofit/>
        </a:bodyPr>
        <a:lstStyle/>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Cambria"/>
              <a:ea typeface="+mn-ea"/>
              <a:cs typeface="+mn-cs"/>
            </a:rPr>
            <a:t>Yes - proceed with sentinel node biopsy.</a:t>
          </a: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Cambria"/>
              <a:ea typeface="+mn-ea"/>
              <a:cs typeface="+mn-cs"/>
            </a:rPr>
            <a:t>No- go to question 2.</a:t>
          </a:r>
        </a:p>
      </dsp:txBody>
      <dsp:txXfrm>
        <a:off x="1717206" y="41729"/>
        <a:ext cx="1965567" cy="586468"/>
      </dsp:txXfrm>
    </dsp:sp>
    <dsp:sp modelId="{EAFE6AAC-7A91-104A-A22B-02E1C37C61AF}">
      <dsp:nvSpPr>
        <dsp:cNvPr id="0" name=""/>
        <dsp:cNvSpPr/>
      </dsp:nvSpPr>
      <dsp:spPr>
        <a:xfrm rot="5400000">
          <a:off x="1867220" y="1530488"/>
          <a:ext cx="615791" cy="701056"/>
        </a:xfrm>
        <a:prstGeom prst="bentUpArrow">
          <a:avLst>
            <a:gd name="adj1" fmla="val 32840"/>
            <a:gd name="adj2" fmla="val 25000"/>
            <a:gd name="adj3" fmla="val 35780"/>
          </a:avLst>
        </a:prstGeom>
        <a:solidFill>
          <a:srgbClr val="4F81BD">
            <a:tint val="50000"/>
            <a:hueOff val="0"/>
            <a:satOff val="0"/>
            <a:lumOff val="0"/>
            <a:alphaOff val="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1">
          <a:scrgbClr r="0" g="0" b="0"/>
        </a:fillRef>
        <a:effectRef idx="3">
          <a:scrgbClr r="0" g="0" b="0"/>
        </a:effectRef>
        <a:fontRef idx="minor"/>
      </dsp:style>
    </dsp:sp>
    <dsp:sp modelId="{B4E6E355-7CEE-1842-B799-84FF0740E5E7}">
      <dsp:nvSpPr>
        <dsp:cNvPr id="0" name=""/>
        <dsp:cNvSpPr/>
      </dsp:nvSpPr>
      <dsp:spPr>
        <a:xfrm>
          <a:off x="1704073" y="847870"/>
          <a:ext cx="1036630" cy="725607"/>
        </a:xfrm>
        <a:prstGeom prst="roundRect">
          <a:avLst>
            <a:gd name="adj" fmla="val 1667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US" sz="800" kern="1200">
              <a:solidFill>
                <a:sysClr val="window" lastClr="FFFFFF"/>
              </a:solidFill>
              <a:latin typeface="Cambria"/>
              <a:ea typeface="+mn-ea"/>
              <a:cs typeface="+mn-cs"/>
            </a:rPr>
            <a:t>2. Quality of radiocolloid satisfactory?</a:t>
          </a:r>
        </a:p>
      </dsp:txBody>
      <dsp:txXfrm>
        <a:off x="1739501" y="883298"/>
        <a:ext cx="965774" cy="654751"/>
      </dsp:txXfrm>
    </dsp:sp>
    <dsp:sp modelId="{45627EA9-B7DA-514A-9183-0798BD22BF62}">
      <dsp:nvSpPr>
        <dsp:cNvPr id="0" name=""/>
        <dsp:cNvSpPr/>
      </dsp:nvSpPr>
      <dsp:spPr>
        <a:xfrm>
          <a:off x="2887915" y="944016"/>
          <a:ext cx="1795424" cy="58646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ctr" anchorCtr="0">
          <a:noAutofit/>
        </a:bodyPr>
        <a:lstStyle/>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Cambria"/>
              <a:ea typeface="+mn-ea"/>
              <a:cs typeface="+mn-cs"/>
            </a:rPr>
            <a:t>Yes - Go to question 3.</a:t>
          </a: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Cambria"/>
              <a:ea typeface="+mn-ea"/>
              <a:cs typeface="+mn-cs"/>
            </a:rPr>
            <a:t>No - Repeat lymphoscintigraphy with quality-tested radiocolloid.</a:t>
          </a:r>
        </a:p>
      </dsp:txBody>
      <dsp:txXfrm>
        <a:off x="2887915" y="944016"/>
        <a:ext cx="1795424" cy="586468"/>
      </dsp:txXfrm>
    </dsp:sp>
    <dsp:sp modelId="{C5C482B2-7841-B346-AE9A-BEDFC220B2ED}">
      <dsp:nvSpPr>
        <dsp:cNvPr id="0" name=""/>
        <dsp:cNvSpPr/>
      </dsp:nvSpPr>
      <dsp:spPr>
        <a:xfrm rot="5400000">
          <a:off x="3017486" y="2345584"/>
          <a:ext cx="615791" cy="701056"/>
        </a:xfrm>
        <a:prstGeom prst="bentUpArrow">
          <a:avLst>
            <a:gd name="adj1" fmla="val 32840"/>
            <a:gd name="adj2" fmla="val 25000"/>
            <a:gd name="adj3" fmla="val 35780"/>
          </a:avLst>
        </a:prstGeom>
        <a:solidFill>
          <a:srgbClr val="4F81BD">
            <a:tint val="50000"/>
            <a:hueOff val="0"/>
            <a:satOff val="0"/>
            <a:lumOff val="0"/>
            <a:alphaOff val="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1">
          <a:scrgbClr r="0" g="0" b="0"/>
        </a:fillRef>
        <a:effectRef idx="3">
          <a:scrgbClr r="0" g="0" b="0"/>
        </a:effectRef>
        <a:fontRef idx="minor"/>
      </dsp:style>
    </dsp:sp>
    <dsp:sp modelId="{83C5F54B-4C10-BE4D-8FD3-643AF9D7A863}">
      <dsp:nvSpPr>
        <dsp:cNvPr id="0" name=""/>
        <dsp:cNvSpPr/>
      </dsp:nvSpPr>
      <dsp:spPr>
        <a:xfrm>
          <a:off x="2854339" y="1662967"/>
          <a:ext cx="1036630" cy="725607"/>
        </a:xfrm>
        <a:prstGeom prst="roundRect">
          <a:avLst>
            <a:gd name="adj" fmla="val 1667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US" sz="800" kern="1200">
              <a:solidFill>
                <a:sysClr val="window" lastClr="FFFFFF"/>
              </a:solidFill>
              <a:latin typeface="Cambria"/>
              <a:ea typeface="+mn-ea"/>
              <a:cs typeface="+mn-cs"/>
            </a:rPr>
            <a:t>3. Have all possible nodal fields been included in imaging?</a:t>
          </a:r>
        </a:p>
      </dsp:txBody>
      <dsp:txXfrm>
        <a:off x="2889767" y="1698395"/>
        <a:ext cx="965774" cy="654751"/>
      </dsp:txXfrm>
    </dsp:sp>
    <dsp:sp modelId="{B719265D-2E9F-0849-A865-E29DB8BB857D}">
      <dsp:nvSpPr>
        <dsp:cNvPr id="0" name=""/>
        <dsp:cNvSpPr/>
      </dsp:nvSpPr>
      <dsp:spPr>
        <a:xfrm>
          <a:off x="4015299" y="1733203"/>
          <a:ext cx="2200671" cy="58646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ctr" anchorCtr="0">
          <a:noAutofit/>
        </a:bodyPr>
        <a:lstStyle/>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Cambria"/>
              <a:ea typeface="+mn-ea"/>
              <a:cs typeface="+mn-cs"/>
            </a:rPr>
            <a:t>Yes - Go to question 4.</a:t>
          </a: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Cambria"/>
              <a:ea typeface="+mn-ea"/>
              <a:cs typeface="+mn-cs"/>
            </a:rPr>
            <a:t>No - Repeat image aquisition with all fields included.</a:t>
          </a:r>
        </a:p>
      </dsp:txBody>
      <dsp:txXfrm>
        <a:off x="4015299" y="1733203"/>
        <a:ext cx="2200671" cy="586468"/>
      </dsp:txXfrm>
    </dsp:sp>
    <dsp:sp modelId="{7C1DE07C-4084-F741-976C-B66622EAAEE4}">
      <dsp:nvSpPr>
        <dsp:cNvPr id="0" name=""/>
        <dsp:cNvSpPr/>
      </dsp:nvSpPr>
      <dsp:spPr>
        <a:xfrm rot="5400000">
          <a:off x="4167752" y="3160681"/>
          <a:ext cx="615791" cy="701056"/>
        </a:xfrm>
        <a:prstGeom prst="bentUpArrow">
          <a:avLst>
            <a:gd name="adj1" fmla="val 32840"/>
            <a:gd name="adj2" fmla="val 25000"/>
            <a:gd name="adj3" fmla="val 35780"/>
          </a:avLst>
        </a:prstGeom>
        <a:solidFill>
          <a:srgbClr val="4F81BD">
            <a:tint val="50000"/>
            <a:hueOff val="0"/>
            <a:satOff val="0"/>
            <a:lumOff val="0"/>
            <a:alphaOff val="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1">
          <a:scrgbClr r="0" g="0" b="0"/>
        </a:fillRef>
        <a:effectRef idx="3">
          <a:scrgbClr r="0" g="0" b="0"/>
        </a:effectRef>
        <a:fontRef idx="minor"/>
      </dsp:style>
    </dsp:sp>
    <dsp:sp modelId="{AAB53388-CAB8-C345-946A-B4A7C671B2B0}">
      <dsp:nvSpPr>
        <dsp:cNvPr id="0" name=""/>
        <dsp:cNvSpPr/>
      </dsp:nvSpPr>
      <dsp:spPr>
        <a:xfrm>
          <a:off x="4004605" y="2478064"/>
          <a:ext cx="1036630" cy="725607"/>
        </a:xfrm>
        <a:prstGeom prst="roundRect">
          <a:avLst>
            <a:gd name="adj" fmla="val 1667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US" sz="800" kern="1200">
              <a:solidFill>
                <a:sysClr val="window" lastClr="FFFFFF"/>
              </a:solidFill>
              <a:latin typeface="Cambria"/>
              <a:ea typeface="+mn-ea"/>
              <a:cs typeface="+mn-cs"/>
            </a:rPr>
            <a:t>4. Does primary tumour site overlie likely location of sentinel nodes?</a:t>
          </a:r>
        </a:p>
      </dsp:txBody>
      <dsp:txXfrm>
        <a:off x="4040033" y="2513492"/>
        <a:ext cx="965774" cy="654751"/>
      </dsp:txXfrm>
    </dsp:sp>
    <dsp:sp modelId="{ACC0D73A-9667-A14E-81BF-A7799D38ED84}">
      <dsp:nvSpPr>
        <dsp:cNvPr id="0" name=""/>
        <dsp:cNvSpPr/>
      </dsp:nvSpPr>
      <dsp:spPr>
        <a:xfrm>
          <a:off x="5142701" y="2522389"/>
          <a:ext cx="2380434" cy="58646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ctr" anchorCtr="0">
          <a:noAutofit/>
        </a:bodyPr>
        <a:lstStyle/>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Cambria"/>
              <a:ea typeface="+mn-ea"/>
              <a:cs typeface="+mn-cs"/>
            </a:rPr>
            <a:t>Yes - Consider SPECT CT.  Consider attempting sentinel node biopsy following wide excision.</a:t>
          </a: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Cambria"/>
              <a:ea typeface="+mn-ea"/>
              <a:cs typeface="+mn-cs"/>
            </a:rPr>
            <a:t>No - go to question 5.</a:t>
          </a:r>
        </a:p>
      </dsp:txBody>
      <dsp:txXfrm>
        <a:off x="5142701" y="2522389"/>
        <a:ext cx="2380434" cy="586468"/>
      </dsp:txXfrm>
    </dsp:sp>
    <dsp:sp modelId="{284AE62E-A3EC-FA48-AE25-AD61464AED17}">
      <dsp:nvSpPr>
        <dsp:cNvPr id="0" name=""/>
        <dsp:cNvSpPr/>
      </dsp:nvSpPr>
      <dsp:spPr>
        <a:xfrm rot="5400000">
          <a:off x="5318018" y="3975778"/>
          <a:ext cx="615791" cy="701056"/>
        </a:xfrm>
        <a:prstGeom prst="bentUpArrow">
          <a:avLst>
            <a:gd name="adj1" fmla="val 32840"/>
            <a:gd name="adj2" fmla="val 25000"/>
            <a:gd name="adj3" fmla="val 35780"/>
          </a:avLst>
        </a:prstGeom>
        <a:solidFill>
          <a:srgbClr val="4F81BD">
            <a:tint val="50000"/>
            <a:hueOff val="0"/>
            <a:satOff val="0"/>
            <a:lumOff val="0"/>
            <a:alphaOff val="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1">
          <a:scrgbClr r="0" g="0" b="0"/>
        </a:fillRef>
        <a:effectRef idx="3">
          <a:scrgbClr r="0" g="0" b="0"/>
        </a:effectRef>
        <a:fontRef idx="minor"/>
      </dsp:style>
    </dsp:sp>
    <dsp:sp modelId="{E1259165-394E-3B40-8976-9B2E970A0224}">
      <dsp:nvSpPr>
        <dsp:cNvPr id="0" name=""/>
        <dsp:cNvSpPr/>
      </dsp:nvSpPr>
      <dsp:spPr>
        <a:xfrm>
          <a:off x="5154871" y="3293161"/>
          <a:ext cx="1036630" cy="725607"/>
        </a:xfrm>
        <a:prstGeom prst="roundRect">
          <a:avLst>
            <a:gd name="adj" fmla="val 1667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US" sz="800" kern="1200">
              <a:solidFill>
                <a:sysClr val="window" lastClr="FFFFFF"/>
              </a:solidFill>
              <a:latin typeface="Cambria"/>
              <a:ea typeface="+mn-ea"/>
              <a:cs typeface="+mn-cs"/>
            </a:rPr>
            <a:t>5. Has patient had previous surgery or pathology that could affect lymphatic drainage?</a:t>
          </a:r>
        </a:p>
      </dsp:txBody>
      <dsp:txXfrm>
        <a:off x="5190299" y="3328589"/>
        <a:ext cx="965774" cy="654751"/>
      </dsp:txXfrm>
    </dsp:sp>
    <dsp:sp modelId="{084AC598-A36C-8040-858F-CD85C1291ED4}">
      <dsp:nvSpPr>
        <dsp:cNvPr id="0" name=""/>
        <dsp:cNvSpPr/>
      </dsp:nvSpPr>
      <dsp:spPr>
        <a:xfrm>
          <a:off x="6299470" y="3394596"/>
          <a:ext cx="2234025" cy="58646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ctr" anchorCtr="0">
          <a:noAutofit/>
        </a:bodyPr>
        <a:lstStyle/>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Cambria"/>
              <a:ea typeface="+mn-ea"/>
              <a:cs typeface="+mn-cs"/>
            </a:rPr>
            <a:t>Yes - Sentinel node biopsy unlikely to be successful. Repeating lymphoscintigraphy unlikely to be helpful unless dehisced/inflamed injection site.</a:t>
          </a: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Cambria"/>
              <a:ea typeface="+mn-ea"/>
              <a:cs typeface="+mn-cs"/>
            </a:rPr>
            <a:t>No - go to question 6.</a:t>
          </a:r>
        </a:p>
      </dsp:txBody>
      <dsp:txXfrm>
        <a:off x="6299470" y="3394596"/>
        <a:ext cx="2234025" cy="586468"/>
      </dsp:txXfrm>
    </dsp:sp>
    <dsp:sp modelId="{D39F1AE8-8842-C042-BFFE-C16A69908E3C}">
      <dsp:nvSpPr>
        <dsp:cNvPr id="0" name=""/>
        <dsp:cNvSpPr/>
      </dsp:nvSpPr>
      <dsp:spPr>
        <a:xfrm>
          <a:off x="6305137" y="4108258"/>
          <a:ext cx="1036630" cy="725607"/>
        </a:xfrm>
        <a:prstGeom prst="roundRect">
          <a:avLst>
            <a:gd name="adj" fmla="val 1667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US" sz="800" kern="1200">
              <a:solidFill>
                <a:sysClr val="window" lastClr="FFFFFF"/>
              </a:solidFill>
              <a:latin typeface="Cambria"/>
              <a:ea typeface="+mn-ea"/>
              <a:cs typeface="+mn-cs"/>
            </a:rPr>
            <a:t>6. Is primary tumour site on the scalp vertex or malar cheek region?</a:t>
          </a:r>
        </a:p>
      </dsp:txBody>
      <dsp:txXfrm>
        <a:off x="6340565" y="4143686"/>
        <a:ext cx="965774" cy="654751"/>
      </dsp:txXfrm>
    </dsp:sp>
    <dsp:sp modelId="{3D61DEB2-0D36-6E49-A899-85B0D76C7437}">
      <dsp:nvSpPr>
        <dsp:cNvPr id="0" name=""/>
        <dsp:cNvSpPr/>
      </dsp:nvSpPr>
      <dsp:spPr>
        <a:xfrm>
          <a:off x="7479261" y="4213494"/>
          <a:ext cx="1499063" cy="58646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ctr" anchorCtr="0">
          <a:noAutofit/>
        </a:bodyPr>
        <a:lstStyle/>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Cambria"/>
              <a:ea typeface="+mn-ea"/>
              <a:cs typeface="+mn-cs"/>
            </a:rPr>
            <a:t>Yes - Possible lymphovenous connection.  Repeat lymphoscintigraphy unlikely to be helpful.  Sentinel node biopsy unlikely to be successful.	</a:t>
          </a: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Cambria"/>
              <a:ea typeface="+mn-ea"/>
              <a:cs typeface="+mn-cs"/>
            </a:rPr>
            <a:t>No - Unknown cause for non-localization.</a:t>
          </a:r>
        </a:p>
      </dsp:txBody>
      <dsp:txXfrm>
        <a:off x="7479261" y="4213494"/>
        <a:ext cx="1499063" cy="586468"/>
      </dsp:txXfrm>
    </dsp:sp>
  </dsp:spTree>
</dsp:drawing>
</file>

<file path=word/diagrams/layout1.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RadialCluster">
  <dgm:title val=""/>
  <dgm:desc val=""/>
  <dgm:catLst>
    <dgm:cat type="relationship" pri="19500"/>
    <dgm:cat type="cycle" pri="15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useDef="1">
    <dgm:dataModel>
      <dgm:ptLst/>
      <dgm:bg/>
      <dgm:whole/>
    </dgm:dataModel>
  </dgm:styleData>
  <dgm:clrData useDef="1">
    <dgm:dataModel>
      <dgm:ptLst/>
      <dgm:bg/>
      <dgm:whole/>
    </dgm:dataModel>
  </dgm:clrData>
  <dgm:layoutNode name="Name0">
    <dgm:varLst>
      <dgm:chMax val="1"/>
      <dgm:chPref val="1"/>
      <dgm:dir/>
      <dgm:animOne val="branch"/>
      <dgm:animLvl val="lvl"/>
    </dgm:varLst>
    <dgm:alg type="composite">
      <dgm:param type="ar" val="1.00"/>
    </dgm:alg>
    <dgm:shape xmlns:r="http://schemas.openxmlformats.org/officeDocument/2006/relationships" r:blip="">
      <dgm:adjLst/>
    </dgm:shape>
    <dgm:choose name="Name1">
      <dgm:if name="Name2" func="var" arg="dir" op="equ" val="norm">
        <dgm:choose name="Name3">
          <dgm:if name="Name4" axis="ch ch" ptType="node node" cnt="1 0" func="cnt" op="equ" val="1">
            <dgm:constrLst>
              <dgm:constr type="l" for="ch" forName="textCenter"/>
              <dgm:constr type="ctrY" for="ch" forName="textCenter" refType="h" fact="0.5"/>
              <dgm:constr type="w" for="ch" forName="textCenter" refType="w" fact="0.32"/>
              <dgm:constr type="h" for="ch" forName="textCenter" refType="w" refFor="ch" refForName="textCenter"/>
              <dgm:constr type="r" for="ch" forName="cycle_1" refType="w"/>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5" axis="ch ch" ptType="node node" cnt="1 0"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6" axis="ch ch" ptType="node node" cnt="1 0" func="cnt" op="equ" val="3">
            <dgm:choose name="Name7">
              <dgm:if name="Name8" axis="ch ch ch" ptType="node node node" st="1 2 0" cnt="1 1 0" func="cnt" op="equ" val="1">
                <dgm:choose name="Name9">
                  <dgm:if name="Name10"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12">
                <dgm:choose name="Name13">
                  <dgm:if name="Name14"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5">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16" axis="ch ch" ptType="node node" cnt="1 0"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r" for="ch" forName="cycle_2" refType="w"/>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l" for="ch" forName="cycle_4"/>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17" axis="ch ch" ptType="node node" cnt="1 0"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24"/>
              <dgm:constr type="w" for="ch" forName="cycle_2" refType="w" fact="0.33"/>
              <dgm:constr type="h" for="ch" forName="cycle_2" refType="w" refFor="ch" refForName="cycle_2"/>
              <dgm:constr type="r" for="ch" forName="cycle_3" refType="w" fact="0.89"/>
              <dgm:constr type="b" for="ch" forName="cycle_3" refType="h"/>
              <dgm:constr type="w" for="ch" forName="cycle_3" refType="w" fact="0.33"/>
              <dgm:constr type="h" for="ch" forName="cycle_3" refType="w" refFor="ch" refForName="cycle_3"/>
              <dgm:constr type="l" for="ch" forName="cycle_4" refType="w" fact="0.11"/>
              <dgm:constr type="b" for="ch" forName="cycle_4" refType="h"/>
              <dgm:constr type="w" for="ch" forName="cycle_4" refType="w" fact="0.33"/>
              <dgm:constr type="h" for="ch" forName="cycle_4" refType="w" refFor="ch" refForName="cycle_4"/>
              <dgm:constr type="l" for="ch" forName="cycle_5"/>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18" axis="ch ch" ptType="node node" cnt="1 0"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17"/>
              <dgm:constr type="w" for="ch" forName="cycle_2" refType="w" fact="0.33"/>
              <dgm:constr type="h" for="ch" forName="cycle_2" refType="w" refFor="ch" refForName="cycle_2"/>
              <dgm:constr type="r" for="ch" forName="cycle_3" refType="w"/>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l" for="ch" forName="cycle_5"/>
              <dgm:constr type="b" for="ch" forName="cycle_5" refType="h" fact="0.83"/>
              <dgm:constr type="w" for="ch" forName="cycle_5" refType="w" fact="0.33"/>
              <dgm:constr type="h" for="ch" forName="cycle_5" refType="w" refFor="ch" refForName="cycle_5"/>
              <dgm:constr type="l" for="ch" forName="cycle_6"/>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19">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r" for="ch" forName="cycle_2" refType="w" fact="0.938"/>
              <dgm:constr type="t" for="ch" forName="cycle_2" refType="h" fact="0.141"/>
              <dgm:constr type="w" for="ch" forName="cycle_2" refType="w" fact="0.263"/>
              <dgm:constr type="h" for="ch" forName="cycle_2" refType="w" refFor="ch" refForName="cycle_2"/>
              <dgm:constr type="r" for="ch" forName="cycle_3" refType="w"/>
              <dgm:constr type="b" for="ch" forName="cycle_3" refType="h" fact="0.74"/>
              <dgm:constr type="w" for="ch" forName="cycle_3" refType="w" fact="0.263"/>
              <dgm:constr type="h" for="ch" forName="cycle_3" refType="w" refFor="ch" refForName="cycle_3"/>
              <dgm:constr type="r" for="ch" forName="cycle_4" refType="w" fact="0.8"/>
              <dgm:constr type="b" for="ch" forName="cycle_4" refType="h"/>
              <dgm:constr type="w" for="ch" forName="cycle_4" refType="w" fact="0.263"/>
              <dgm:constr type="h" for="ch" forName="cycle_4" refType="w" refFor="ch" refForName="cycle_4"/>
              <dgm:constr type="l" for="ch" forName="cycle_5" refType="w" fact="0.2"/>
              <dgm:constr type="b" for="ch" forName="cycle_5" refType="h"/>
              <dgm:constr type="w" for="ch" forName="cycle_5" refType="w" fact="0.263"/>
              <dgm:constr type="h" for="ch" forName="cycle_5" refType="w" refFor="ch" refForName="cycle_5"/>
              <dgm:constr type="l" for="ch" forName="cycle_6"/>
              <dgm:constr type="b" for="ch" forName="cycle_6" refType="h" fact="0.74"/>
              <dgm:constr type="w" for="ch" forName="cycle_6" refType="w" fact="0.263"/>
              <dgm:constr type="h" for="ch" forName="cycle_6" refType="w" refFor="ch" refForName="cycle_6"/>
              <dgm:constr type="l" for="ch" forName="cycle_7" refType="w" fact="0.062"/>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if>
      <dgm:else name="Name20">
        <dgm:choose name="Name21">
          <dgm:if name="Name22" axis="ch ch" ptType="node node" func="cnt" op="equ" val="1">
            <dgm:constrLst>
              <dgm:constr type="r" for="ch" forName="textCenter" refType="w"/>
              <dgm:constr type="ctrY" for="ch" forName="textCenter" refType="h" fact="0.5"/>
              <dgm:constr type="w" for="ch" forName="textCenter" refType="w" fact="0.32"/>
              <dgm:constr type="h" for="ch" forName="textCenter" refType="w" refFor="ch" refForName="textCenter"/>
              <dgm:constr type="l" for="ch" forName="cycle_1"/>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23" axis="ch ch" ptType="node node"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24" axis="ch ch" ptType="node node" func="cnt" op="equ" val="3">
            <dgm:choose name="Name25">
              <dgm:if name="Name26" axis="ch ch ch" ptType="node node node" st="1 2 0" cnt="1 1 0" func="cnt" op="equ" val="1">
                <dgm:choose name="Name27">
                  <dgm:if name="Name28"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29">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30">
                <dgm:choose name="Name31">
                  <dgm:if name="Name32"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33">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34" axis="ch ch" ptType="node node"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l" for="ch" forName="cycle_2"/>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r" for="ch" forName="cycle_4" refType="w"/>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35" axis="ch ch" ptType="node node"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24"/>
              <dgm:constr type="w" for="ch" forName="cycle_2" refType="w" fact="0.33"/>
              <dgm:constr type="h" for="ch" forName="cycle_2" refType="w" refFor="ch" refForName="cycle_2"/>
              <dgm:constr type="l" for="ch" forName="cycle_3" refType="w" fact="0.11"/>
              <dgm:constr type="b" for="ch" forName="cycle_3" refType="h"/>
              <dgm:constr type="w" for="ch" forName="cycle_3" refType="w" fact="0.33"/>
              <dgm:constr type="h" for="ch" forName="cycle_3" refType="w" refFor="ch" refForName="cycle_3"/>
              <dgm:constr type="r" for="ch" forName="cycle_4" refType="w" fact="0.89"/>
              <dgm:constr type="b" for="ch" forName="cycle_4" refType="h"/>
              <dgm:constr type="w" for="ch" forName="cycle_4" refType="w" fact="0.33"/>
              <dgm:constr type="h" for="ch" forName="cycle_4" refType="w" refFor="ch" refForName="cycle_4"/>
              <dgm:constr type="r" for="ch" forName="cycle_5" refType="w"/>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36" axis="ch ch" ptType="node node"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17"/>
              <dgm:constr type="w" for="ch" forName="cycle_2" refType="w" fact="0.33"/>
              <dgm:constr type="h" for="ch" forName="cycle_2" refType="w" refFor="ch" refForName="cycle_2"/>
              <dgm:constr type="l" for="ch" forName="cycle_3"/>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r" for="ch" forName="cycle_5" refType="w"/>
              <dgm:constr type="b" for="ch" forName="cycle_5" refType="h" fact="0.83"/>
              <dgm:constr type="w" for="ch" forName="cycle_5" refType="w" fact="0.33"/>
              <dgm:constr type="h" for="ch" forName="cycle_5" refType="w" refFor="ch" refForName="cycle_5"/>
              <dgm:constr type="r" for="ch" forName="cycle_6" refType="w"/>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37">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l" for="ch" forName="cycle_2" refType="w" fact="0.062"/>
              <dgm:constr type="t" for="ch" forName="cycle_2" refType="h" fact="0.141"/>
              <dgm:constr type="w" for="ch" forName="cycle_2" refType="w" fact="0.263"/>
              <dgm:constr type="h" for="ch" forName="cycle_2" refType="w" refFor="ch" refForName="cycle_2"/>
              <dgm:constr type="l" for="ch" forName="cycle_3"/>
              <dgm:constr type="b" for="ch" forName="cycle_3" refType="h" fact="0.74"/>
              <dgm:constr type="w" for="ch" forName="cycle_3" refType="w" fact="0.263"/>
              <dgm:constr type="h" for="ch" forName="cycle_3" refType="w" refFor="ch" refForName="cycle_3"/>
              <dgm:constr type="l" for="ch" forName="cycle_4" refType="w" fact="0.2"/>
              <dgm:constr type="b" for="ch" forName="cycle_4" refType="h"/>
              <dgm:constr type="w" for="ch" forName="cycle_4" refType="w" fact="0.263"/>
              <dgm:constr type="h" for="ch" forName="cycle_4" refType="w" refFor="ch" refForName="cycle_4"/>
              <dgm:constr type="r" for="ch" forName="cycle_5" refType="w" fact="0.8"/>
              <dgm:constr type="b" for="ch" forName="cycle_5" refType="h"/>
              <dgm:constr type="w" for="ch" forName="cycle_5" refType="w" fact="0.263"/>
              <dgm:constr type="h" for="ch" forName="cycle_5" refType="w" refFor="ch" refForName="cycle_5"/>
              <dgm:constr type="r" for="ch" forName="cycle_6" refType="w"/>
              <dgm:constr type="b" for="ch" forName="cycle_6" refType="h" fact="0.74"/>
              <dgm:constr type="w" for="ch" forName="cycle_6" refType="w" fact="0.263"/>
              <dgm:constr type="h" for="ch" forName="cycle_6" refType="w" refFor="ch" refForName="cycle_6"/>
              <dgm:constr type="r" for="ch" forName="cycle_7" refType="w" fact="0.938"/>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else>
    </dgm:choose>
    <dgm:forEach name="Name38" axis="ch" ptType="node" cnt="1">
      <dgm:choose name="Name39">
        <dgm:if name="Name40" axis="des" func="maxDepth" op="lte" val="1">
          <dgm:layoutNode name="singleCycle">
            <dgm:choose name="Name41">
              <dgm:if name="Name42" axis="ch" ptType="node" func="cnt" op="equ" val="1">
                <dgm:choose name="Name43">
                  <dgm:if name="Name44" func="var" arg="dir" op="equ" val="norm">
                    <dgm:alg type="cycle">
                      <dgm:param type="stAng" val="90"/>
                      <dgm:param type="ctrShpMap" val="fNode"/>
                    </dgm:alg>
                  </dgm:if>
                  <dgm:else name="Name45">
                    <dgm:alg type="cycle">
                      <dgm:param type="stAng" val="-90"/>
                      <dgm:param type="spanAng" val="-360"/>
                      <dgm:param type="ctrShpMap" val="fNode"/>
                    </dgm:alg>
                  </dgm:else>
                </dgm:choose>
              </dgm:if>
              <dgm:else name="Name46">
                <dgm:choose name="Name47">
                  <dgm:if name="Name48" func="var" arg="dir" op="equ" val="norm">
                    <dgm:alg type="cycle">
                      <dgm:param type="ctrShpMap" val="fNode"/>
                    </dgm:alg>
                  </dgm:if>
                  <dgm:else name="Name49">
                    <dgm:alg type="cycle">
                      <dgm:param type="spanAng" val="-360"/>
                      <dgm:param type="ctrShpMap" val="fNode"/>
                    </dgm:alg>
                  </dgm:else>
                </dgm:choose>
              </dgm:else>
            </dgm:choose>
            <dgm:shape xmlns:r="http://schemas.openxmlformats.org/officeDocument/2006/relationships" r:blip="">
              <dgm:adjLst/>
            </dgm:shape>
            <dgm:presOf/>
            <dgm:choose name="Name50">
              <dgm:if name="Name51" axis="ch" ptType="node" func="cnt" op="equ" val="0">
                <dgm:constrLst>
                  <dgm:constr type="w" for="ch" forName="singleCenter" refType="w"/>
                  <dgm:constr type="h" for="ch" forName="singleCenter" refType="w" refFor="ch" refForName="singleCenter"/>
                </dgm:constrLst>
              </dgm:if>
              <dgm:if name="Name52" axis="ch" ptType="node" func="cnt" op="equ" val="1">
                <dgm:constrLst>
                  <dgm:constr type="w" for="ch" forName="singleCenter" refType="w" fact="0.5"/>
                  <dgm:constr type="h" for="ch" forName="singleCenter" refType="w" refFor="ch" refForName="singleCenter"/>
                  <dgm:constr type="userS" for="ch" ptType="node" refType="w" refFor="ch" refForName="singleCenter" fact="0.67"/>
                </dgm:constrLst>
              </dgm:if>
              <dgm:else name="Name53">
                <dgm:constrLst>
                  <dgm:constr type="w" for="ch" forName="singleCenter" refType="w" fact="0.3"/>
                  <dgm:constr type="h" for="ch" forName="singleCenter" refType="w" refFor="ch" refForName="singleCenter"/>
                  <dgm:constr type="userS" for="ch" ptType="node" refType="w" refFor="ch" refForName="singleCenter" fact="0.67"/>
                </dgm:constrLst>
              </dgm:else>
            </dgm:choose>
            <dgm:layoutNode name="singleCenter" styleLbl="node1">
              <dgm:varLst>
                <dgm:chMax val="7"/>
                <dgm:chPref val="7"/>
              </dgm:varLst>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54" axis="ch" cnt="21">
              <dgm:forEach name="Name55" axis="self" ptType="parTrans">
                <dgm:layoutNode name="Name5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57" axis="self" ptType="node">
                <dgm:layoutNode name="text0"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layoutNode>
        </dgm:if>
        <dgm:else name="Name58">
          <dgm:layoutNode name="textCenter" styleLbl="node1">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choose name="Name59">
            <dgm:if name="Name60" axis="ch" ptType="node" func="cnt" op="gte" val="1">
              <dgm:layoutNode name="cycle_1">
                <dgm:choose name="Name61">
                  <dgm:if name="Name62" func="var" arg="dir" op="equ" val="norm">
                    <dgm:choose name="Name63">
                      <dgm:if name="Name64" axis="ch" ptType="node" func="cnt" op="equ" val="1">
                        <dgm:choose name="Name65">
                          <dgm:if name="Name66" axis="ch ch" ptType="node node" st="1 1" cnt="1 0" func="cnt" op="equ" val="1">
                            <dgm:alg type="cycle">
                              <dgm:param type="ctrShpMap" val="fNode"/>
                              <dgm:param type="stAng" val="90"/>
                            </dgm:alg>
                          </dgm:if>
                          <dgm:if name="Name67" axis="ch ch" ptType="node node" st="1 1" cnt="1 0" func="cnt" op="equ" val="2">
                            <dgm:alg type="cycle">
                              <dgm:param type="ctrShpMap" val="fNode"/>
                              <dgm:param type="stAng" val="45"/>
                              <dgm:param type="spanAng" val="90"/>
                            </dgm:alg>
                          </dgm:if>
                          <dgm:else name="Name68">
                            <dgm:alg type="cycle">
                              <dgm:param type="ctrShpMap" val="fNode"/>
                              <dgm:param type="stAng" val="0"/>
                              <dgm:param type="spanAng" val="180"/>
                            </dgm:alg>
                          </dgm:else>
                        </dgm:choose>
                      </dgm:if>
                      <dgm:if name="Name69" axis="ch" ptType="node" func="cnt" op="equ" val="2">
                        <dgm:choose name="Name70">
                          <dgm:if name="Name71" axis="ch ch" ptType="node node" st="1 1" cnt="1 0" func="cnt" op="equ" val="1">
                            <dgm:alg type="cycle">
                              <dgm:param type="ctrShpMap" val="fNode"/>
                              <dgm:param type="stAng" val="0"/>
                            </dgm:alg>
                          </dgm:if>
                          <dgm:if name="Name72" axis="ch ch" ptType="node node" st="1 1" cnt="1 0" func="cnt" op="equ" val="2">
                            <dgm:alg type="cycle">
                              <dgm:param type="ctrShpMap" val="fNode"/>
                              <dgm:param type="stAng" val="315"/>
                              <dgm:param type="spanAng" val="90"/>
                            </dgm:alg>
                          </dgm:if>
                          <dgm:else name="Name73">
                            <dgm:alg type="cycle">
                              <dgm:param type="ctrShpMap" val="fNode"/>
                              <dgm:param type="stAng" val="270"/>
                              <dgm:param type="spanAng" val="180"/>
                            </dgm:alg>
                          </dgm:else>
                        </dgm:choose>
                      </dgm:if>
                      <dgm:if name="Name74" axis="ch" ptType="node" func="cnt" op="equ" val="3">
                        <dgm:choose name="Name75">
                          <dgm:if name="Name76" axis="ch ch" ptType="node node" st="1 1" cnt="1 0" func="cnt" op="equ" val="1">
                            <dgm:alg type="cycle">
                              <dgm:param type="ctrShpMap" val="fNode"/>
                              <dgm:param type="stAng" val="0"/>
                            </dgm:alg>
                          </dgm:if>
                          <dgm:if name="Name77" axis="ch ch" ptType="node node" st="1 1" cnt="1 0" func="cnt" op="equ" val="2">
                            <dgm:alg type="cycle">
                              <dgm:param type="ctrShpMap" val="fNode"/>
                              <dgm:param type="stAng" val="315"/>
                              <dgm:param type="spanAng" val="90"/>
                            </dgm:alg>
                          </dgm:if>
                          <dgm:else name="Name78">
                            <dgm:alg type="cycle">
                              <dgm:param type="ctrShpMap" val="fNode"/>
                              <dgm:param type="stAng" val="270"/>
                              <dgm:param type="spanAng" val="180"/>
                            </dgm:alg>
                          </dgm:else>
                        </dgm:choose>
                      </dgm:if>
                      <dgm:if name="Name79" axis="ch" ptType="node" func="cnt" op="equ" val="4">
                        <dgm:choose name="Name80">
                          <dgm:if name="Name81" axis="ch ch" ptType="node node" st="1 1" cnt="1 0" func="cnt" op="equ" val="1">
                            <dgm:alg type="cycle">
                              <dgm:param type="ctrShpMap" val="fNode"/>
                              <dgm:param type="stAng" val="0"/>
                            </dgm:alg>
                          </dgm:if>
                          <dgm:if name="Name82" axis="ch ch" ptType="node node" st="1 1" cnt="1 0" func="cnt" op="equ" val="2">
                            <dgm:alg type="cycle">
                              <dgm:param type="ctrShpMap" val="fNode"/>
                              <dgm:param type="stAng" val="315"/>
                              <dgm:param type="spanAng" val="90"/>
                            </dgm:alg>
                          </dgm:if>
                          <dgm:else name="Name83">
                            <dgm:alg type="cycle">
                              <dgm:param type="ctrShpMap" val="fNode"/>
                              <dgm:param type="stAng" val="292.5"/>
                              <dgm:param type="spanAng" val="135"/>
                            </dgm:alg>
                          </dgm:else>
                        </dgm:choose>
                      </dgm:if>
                      <dgm:if name="Name84" axis="ch" ptType="node" func="cnt" op="equ" val="5">
                        <dgm:choose name="Name85">
                          <dgm:if name="Name86" axis="ch ch" ptType="node node" st="1 1" cnt="1 0" func="cnt" op="equ" val="1">
                            <dgm:alg type="cycle">
                              <dgm:param type="ctrShpMap" val="fNode"/>
                              <dgm:param type="stAng" val="0"/>
                            </dgm:alg>
                          </dgm:if>
                          <dgm:if name="Name87" axis="ch ch" ptType="node node" st="1 1" cnt="1 0" func="cnt" op="equ" val="2">
                            <dgm:alg type="cycle">
                              <dgm:param type="ctrShpMap" val="fNode"/>
                              <dgm:param type="stAng" val="315"/>
                              <dgm:param type="spanAng" val="90"/>
                            </dgm:alg>
                          </dgm:if>
                          <dgm:else name="Name88">
                            <dgm:alg type="cycle">
                              <dgm:param type="ctrShpMap" val="fNode"/>
                              <dgm:param type="stAng" val="0"/>
                              <dgm:param type="spanAng" val="360"/>
                            </dgm:alg>
                          </dgm:else>
                        </dgm:choose>
                      </dgm:if>
                      <dgm:if name="Name89" axis="ch" ptType="node" func="cnt" op="equ" val="6">
                        <dgm:choose name="Name90">
                          <dgm:if name="Name91" axis="ch ch" ptType="node node" st="1 1" cnt="1 0" func="cnt" op="equ" val="1">
                            <dgm:alg type="cycle">
                              <dgm:param type="ctrShpMap" val="fNode"/>
                              <dgm:param type="stAng" val="0"/>
                            </dgm:alg>
                          </dgm:if>
                          <dgm:if name="Name92" axis="ch ch" ptType="node node" st="1 1" cnt="1 0" func="cnt" op="equ" val="2">
                            <dgm:alg type="cycle">
                              <dgm:param type="ctrShpMap" val="fNode"/>
                              <dgm:param type="stAng" val="315"/>
                              <dgm:param type="spanAng" val="90"/>
                            </dgm:alg>
                          </dgm:if>
                          <dgm:else name="Name93">
                            <dgm:alg type="cycle">
                              <dgm:param type="ctrShpMap" val="fNode"/>
                              <dgm:param type="stAng" val="0"/>
                              <dgm:param type="spanAng" val="360"/>
                            </dgm:alg>
                          </dgm:else>
                        </dgm:choose>
                      </dgm:if>
                      <dgm:if name="Name94" axis="ch" ptType="node" func="cnt" op="gte" val="7">
                        <dgm:choose name="Name95">
                          <dgm:if name="Name96" axis="ch ch" ptType="node node" st="1 1" cnt="1 0" func="cnt" op="equ" val="1">
                            <dgm:alg type="cycle">
                              <dgm:param type="ctrShpMap" val="fNode"/>
                              <dgm:param type="stAng" val="0"/>
                            </dgm:alg>
                          </dgm:if>
                          <dgm:if name="Name97" axis="ch ch" ptType="node node" st="1 1" cnt="1 0" func="cnt" op="equ" val="2">
                            <dgm:alg type="cycle">
                              <dgm:param type="ctrShpMap" val="fNode"/>
                              <dgm:param type="stAng" val="315"/>
                              <dgm:param type="spanAng" val="90"/>
                            </dgm:alg>
                          </dgm:if>
                          <dgm:else name="Name98">
                            <dgm:alg type="cycle">
                              <dgm:param type="ctrShpMap" val="fNode"/>
                              <dgm:param type="stAng" val="0"/>
                              <dgm:param type="spanAng" val="360"/>
                            </dgm:alg>
                          </dgm:else>
                        </dgm:choose>
                      </dgm:if>
                      <dgm:else name="Name99"/>
                    </dgm:choose>
                  </dgm:if>
                  <dgm:else name="Name100">
                    <dgm:choose name="Name101">
                      <dgm:if name="Name102" axis="ch" ptType="node" func="cnt" op="equ" val="1">
                        <dgm:choose name="Name103">
                          <dgm:if name="Name104" axis="ch ch" ptType="node node" st="1 1" cnt="1 0" func="cnt" op="equ" val="1">
                            <dgm:alg type="cycle">
                              <dgm:param type="ctrShpMap" val="fNode"/>
                              <dgm:param type="stAng" val="270"/>
                            </dgm:alg>
                          </dgm:if>
                          <dgm:if name="Name105" axis="ch ch" ptType="node node" st="1 1" cnt="1 0" func="cnt" op="equ" val="2">
                            <dgm:alg type="cycle">
                              <dgm:param type="ctrShpMap" val="fNode"/>
                              <dgm:param type="stAng" val="315"/>
                              <dgm:param type="spanAng" val="-90"/>
                            </dgm:alg>
                          </dgm:if>
                          <dgm:else name="Name106">
                            <dgm:alg type="cycle">
                              <dgm:param type="ctrShpMap" val="fNode"/>
                              <dgm:param type="stAng" val="0"/>
                              <dgm:param type="spanAng" val="-180"/>
                            </dgm:alg>
                          </dgm:else>
                        </dgm:choose>
                      </dgm:if>
                      <dgm:if name="Name107" axis="ch" ptType="node" func="cnt" op="equ" val="2">
                        <dgm:choose name="Name108">
                          <dgm:if name="Name109" axis="ch ch" ptType="node node" st="1 1" cnt="1 0" func="cnt" op="equ" val="1">
                            <dgm:alg type="cycle">
                              <dgm:param type="ctrShpMap" val="fNode"/>
                              <dgm:param type="stAng" val="0"/>
                            </dgm:alg>
                          </dgm:if>
                          <dgm:if name="Name110" axis="ch ch" ptType="node node" st="1 1" cnt="1 0" func="cnt" op="equ" val="2">
                            <dgm:alg type="cycle">
                              <dgm:param type="ctrShpMap" val="fNode"/>
                              <dgm:param type="stAng" val="45"/>
                              <dgm:param type="spanAng" val="-90"/>
                            </dgm:alg>
                          </dgm:if>
                          <dgm:else name="Name111">
                            <dgm:alg type="cycle">
                              <dgm:param type="ctrShpMap" val="fNode"/>
                              <dgm:param type="stAng" val="90"/>
                              <dgm:param type="spanAng" val="-180"/>
                            </dgm:alg>
                          </dgm:else>
                        </dgm:choose>
                      </dgm:if>
                      <dgm:if name="Name112" axis="ch" ptType="node" func="cnt" op="equ" val="3">
                        <dgm:choose name="Name113">
                          <dgm:if name="Name114" axis="ch ch" ptType="node node" st="1 1" cnt="1 0" func="cnt" op="equ" val="1">
                            <dgm:alg type="cycle">
                              <dgm:param type="ctrShpMap" val="fNode"/>
                              <dgm:param type="stAng" val="0"/>
                            </dgm:alg>
                          </dgm:if>
                          <dgm:if name="Name115" axis="ch ch" ptType="node node" st="1 1" cnt="1 0" func="cnt" op="equ" val="2">
                            <dgm:alg type="cycle">
                              <dgm:param type="ctrShpMap" val="fNode"/>
                              <dgm:param type="stAng" val="45"/>
                              <dgm:param type="spanAng" val="-90"/>
                            </dgm:alg>
                          </dgm:if>
                          <dgm:else name="Name116">
                            <dgm:alg type="cycle">
                              <dgm:param type="ctrShpMap" val="fNode"/>
                              <dgm:param type="stAng" val="90"/>
                              <dgm:param type="spanAng" val="-180"/>
                            </dgm:alg>
                          </dgm:else>
                        </dgm:choose>
                      </dgm:if>
                      <dgm:if name="Name117" axis="ch" ptType="node" func="cnt" op="equ" val="4">
                        <dgm:choose name="Name118">
                          <dgm:if name="Name119" axis="ch ch" ptType="node node" st="1 1" cnt="1 0" func="cnt" op="equ" val="1">
                            <dgm:alg type="cycle">
                              <dgm:param type="ctrShpMap" val="fNode"/>
                              <dgm:param type="stAng" val="0"/>
                            </dgm:alg>
                          </dgm:if>
                          <dgm:if name="Name120" axis="ch ch" ptType="node node" st="1 1" cnt="1 0" func="cnt" op="equ" val="2">
                            <dgm:alg type="cycle">
                              <dgm:param type="ctrShpMap" val="fNode"/>
                              <dgm:param type="stAng" val="45"/>
                              <dgm:param type="spanAng" val="-90"/>
                            </dgm:alg>
                          </dgm:if>
                          <dgm:else name="Name121">
                            <dgm:alg type="cycle">
                              <dgm:param type="ctrShpMap" val="fNode"/>
                              <dgm:param type="stAng" val="67.5"/>
                              <dgm:param type="spanAng" val="-135"/>
                            </dgm:alg>
                          </dgm:else>
                        </dgm:choose>
                      </dgm:if>
                      <dgm:if name="Name122" axis="ch" ptType="node" func="cnt" op="equ" val="5">
                        <dgm:choose name="Name123">
                          <dgm:if name="Name124" axis="ch ch" ptType="node node" st="1 1" cnt="1 0" func="cnt" op="equ" val="1">
                            <dgm:alg type="cycle">
                              <dgm:param type="ctrShpMap" val="fNode"/>
                              <dgm:param type="stAng" val="0"/>
                            </dgm:alg>
                          </dgm:if>
                          <dgm:if name="Name125" axis="ch ch" ptType="node node" st="1 1" cnt="1 0" func="cnt" op="equ" val="2">
                            <dgm:alg type="cycle">
                              <dgm:param type="ctrShpMap" val="fNode"/>
                              <dgm:param type="stAng" val="45"/>
                              <dgm:param type="spanAng" val="-90"/>
                            </dgm:alg>
                          </dgm:if>
                          <dgm:else name="Name126">
                            <dgm:alg type="cycle">
                              <dgm:param type="ctrShpMap" val="fNode"/>
                              <dgm:param type="stAng" val="0"/>
                              <dgm:param type="spanAng" val="-360"/>
                            </dgm:alg>
                          </dgm:else>
                        </dgm:choose>
                      </dgm:if>
                      <dgm:if name="Name127" axis="ch" ptType="node" func="cnt" op="equ" val="6">
                        <dgm:choose name="Name128">
                          <dgm:if name="Name129" axis="ch ch" ptType="node node" st="1 1" cnt="1 0" func="cnt" op="equ" val="1">
                            <dgm:alg type="cycle">
                              <dgm:param type="ctrShpMap" val="fNode"/>
                              <dgm:param type="stAng" val="0"/>
                            </dgm:alg>
                          </dgm:if>
                          <dgm:if name="Name130" axis="ch ch" ptType="node node" st="1 1" cnt="1 0" func="cnt" op="equ" val="2">
                            <dgm:alg type="cycle">
                              <dgm:param type="ctrShpMap" val="fNode"/>
                              <dgm:param type="stAng" val="45"/>
                              <dgm:param type="spanAng" val="-90"/>
                            </dgm:alg>
                          </dgm:if>
                          <dgm:else name="Name131">
                            <dgm:alg type="cycle">
                              <dgm:param type="ctrShpMap" val="fNode"/>
                              <dgm:param type="stAng" val="0"/>
                              <dgm:param type="spanAng" val="-360"/>
                            </dgm:alg>
                          </dgm:else>
                        </dgm:choose>
                      </dgm:if>
                      <dgm:if name="Name132" axis="ch" ptType="node" func="cnt" op="gte" val="7">
                        <dgm:choose name="Name133">
                          <dgm:if name="Name134" axis="ch ch" ptType="node node" st="1 1" cnt="1 0" func="cnt" op="equ" val="1">
                            <dgm:alg type="cycle">
                              <dgm:param type="ctrShpMap" val="fNode"/>
                              <dgm:param type="stAng" val="0"/>
                            </dgm:alg>
                          </dgm:if>
                          <dgm:if name="Name135" axis="ch ch" ptType="node node" st="1 1" cnt="1 0" func="cnt" op="equ" val="2">
                            <dgm:alg type="cycle">
                              <dgm:param type="ctrShpMap" val="fNode"/>
                              <dgm:param type="stAng" val="45"/>
                              <dgm:param type="spanAng" val="-90"/>
                            </dgm:alg>
                          </dgm:if>
                          <dgm:else name="Name136">
                            <dgm:alg type="cycle">
                              <dgm:param type="ctrShpMap" val="fNode"/>
                              <dgm:param type="stAng" val="0"/>
                              <dgm:param type="spanAng" val="-360"/>
                            </dgm:alg>
                          </dgm:else>
                        </dgm:choose>
                      </dgm:if>
                      <dgm:else name="Name137"/>
                    </dgm:choose>
                  </dgm:else>
                </dgm:choose>
                <dgm:shape xmlns:r="http://schemas.openxmlformats.org/officeDocument/2006/relationships" r:blip="">
                  <dgm:adjLst/>
                </dgm:shape>
                <dgm:presOf/>
                <dgm:constrLst>
                  <dgm:constr type="sp" refType="w" fact="0.1"/>
                  <dgm:constr type="sibSp" refType="w" fact="0.1"/>
                </dgm:constrLst>
                <dgm:forEach name="Name138" axis="ch" ptType="node" cnt="1">
                  <dgm:layoutNode name="childCenter1"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139" axis="ch">
                    <dgm:forEach name="Name140" axis="self" ptType="parTrans">
                      <dgm:layoutNode name="Name141">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142" axis="self" ptType="node">
                      <dgm:layoutNode name="text1"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143" axis="ch" ptType="parTrans" cnt="1">
                <dgm:layoutNode name="Name144">
                  <dgm:alg type="conn">
                    <dgm:param type="dim" val="1D"/>
                    <dgm:param type="begPts" val="auto"/>
                    <dgm:param type="endPts" val="auto"/>
                    <dgm:param type="endSty" val="noArr"/>
                    <dgm:param type="srcNode" val="textCenter"/>
                    <dgm:param type="dstNode" val="childCenter1"/>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145"/>
          </dgm:choose>
          <dgm:choose name="Name146">
            <dgm:if name="Name147" axis="ch" ptType="node" func="cnt" op="gte" val="2">
              <dgm:layoutNode name="cycle_2">
                <dgm:choose name="Name148">
                  <dgm:if name="Name149" func="var" arg="dir" op="equ" val="norm">
                    <dgm:choose name="Name150">
                      <dgm:if name="Name151" axis="ch" ptType="node" func="cnt" op="equ" val="2">
                        <dgm:choose name="Name152">
                          <dgm:if name="Name153" axis="ch ch" ptType="node node" st="2 1" cnt="1 0" func="cnt" op="equ" val="1">
                            <dgm:alg type="cycle">
                              <dgm:param type="ctrShpMap" val="fNode"/>
                              <dgm:param type="stAng" val="180"/>
                            </dgm:alg>
                          </dgm:if>
                          <dgm:if name="Name154" axis="ch ch" ptType="node node" st="2 1" cnt="1 0" func="cnt" op="equ" val="2">
                            <dgm:alg type="cycle">
                              <dgm:param type="ctrShpMap" val="fNode"/>
                              <dgm:param type="stAng" val="135"/>
                              <dgm:param type="spanAng" val="90"/>
                            </dgm:alg>
                          </dgm:if>
                          <dgm:else name="Name155">
                            <dgm:alg type="cycle">
                              <dgm:param type="ctrShpMap" val="fNode"/>
                              <dgm:param type="stAng" val="90"/>
                              <dgm:param type="spanAng" val="180"/>
                            </dgm:alg>
                          </dgm:else>
                        </dgm:choose>
                      </dgm:if>
                      <dgm:if name="Name156" axis="ch" ptType="node" func="cnt" op="equ" val="3">
                        <dgm:choose name="Name157">
                          <dgm:if name="Name158" axis="ch ch" ptType="node node" st="2 1" cnt="1 0" func="cnt" op="equ" val="1">
                            <dgm:alg type="cycle">
                              <dgm:param type="ctrShpMap" val="fNode"/>
                              <dgm:param type="stAng" val="120"/>
                              <dgm:param type="horzAlign" val="r"/>
                              <dgm:param type="vertAlign" val="b"/>
                            </dgm:alg>
                          </dgm:if>
                          <dgm:if name="Name159" axis="ch ch" ptType="node node" st="2 1" cnt="1 0" func="cnt" op="equ" val="2">
                            <dgm:alg type="cycle">
                              <dgm:param type="ctrShpMap" val="fNode"/>
                              <dgm:param type="stAng" val="75"/>
                              <dgm:param type="spanAng" val="90"/>
                              <dgm:param type="horzAlign" val="r"/>
                              <dgm:param type="vertAlign" val="b"/>
                            </dgm:alg>
                          </dgm:if>
                          <dgm:else name="Name160">
                            <dgm:alg type="cycle">
                              <dgm:param type="ctrShpMap" val="fNode"/>
                              <dgm:param type="stAng" val="30"/>
                              <dgm:param type="spanAng" val="180"/>
                            </dgm:alg>
                          </dgm:else>
                        </dgm:choose>
                      </dgm:if>
                      <dgm:if name="Name161" axis="ch" ptType="node" func="cnt" op="equ" val="4">
                        <dgm:choose name="Name162">
                          <dgm:if name="Name163" axis="ch ch" ptType="node node" st="2 1" cnt="1 0" func="cnt" op="equ" val="1">
                            <dgm:alg type="cycle">
                              <dgm:param type="ctrShpMap" val="fNode"/>
                              <dgm:param type="stAng" val="90"/>
                            </dgm:alg>
                          </dgm:if>
                          <dgm:if name="Name164" axis="ch ch" ptType="node node" st="2 1" cnt="1 0" func="cnt" op="equ" val="2">
                            <dgm:alg type="cycle">
                              <dgm:param type="ctrShpMap" val="fNode"/>
                              <dgm:param type="stAng" val="45"/>
                              <dgm:param type="spanAng" val="90"/>
                            </dgm:alg>
                          </dgm:if>
                          <dgm:else name="Name165">
                            <dgm:alg type="cycle">
                              <dgm:param type="ctrShpMap" val="fNode"/>
                              <dgm:param type="stAng" val="22.5"/>
                              <dgm:param type="spanAng" val="135"/>
                            </dgm:alg>
                          </dgm:else>
                        </dgm:choose>
                      </dgm:if>
                      <dgm:if name="Name166" axis="ch" ptType="node" func="cnt" op="equ" val="5">
                        <dgm:choose name="Name167">
                          <dgm:if name="Name168" axis="ch ch" ptType="node node" st="2 1" cnt="1 0" func="cnt" op="equ" val="1">
                            <dgm:alg type="cycle">
                              <dgm:param type="ctrShpMap" val="fNode"/>
                              <dgm:param type="stAng" val="72"/>
                            </dgm:alg>
                          </dgm:if>
                          <dgm:if name="Name169" axis="ch ch" ptType="node node" st="2 1" cnt="1 0" func="cnt" op="equ" val="2">
                            <dgm:alg type="cycle">
                              <dgm:param type="ctrShpMap" val="fNode"/>
                              <dgm:param type="stAng" val="27"/>
                              <dgm:param type="spanAng" val="90"/>
                            </dgm:alg>
                          </dgm:if>
                          <dgm:else name="Name170">
                            <dgm:alg type="cycle">
                              <dgm:param type="ctrShpMap" val="fNode"/>
                              <dgm:param type="stAng" val="0"/>
                              <dgm:param type="spanAng" val="360"/>
                            </dgm:alg>
                          </dgm:else>
                        </dgm:choose>
                      </dgm:if>
                      <dgm:if name="Name171" axis="ch" ptType="node" func="cnt" op="equ" val="6">
                        <dgm:choose name="Name172">
                          <dgm:if name="Name173" axis="ch ch" ptType="node node" st="2 1" cnt="1 0" func="cnt" op="equ" val="1">
                            <dgm:alg type="cycle">
                              <dgm:param type="ctrShpMap" val="fNode"/>
                              <dgm:param type="stAng" val="60"/>
                            </dgm:alg>
                          </dgm:if>
                          <dgm:if name="Name174" axis="ch ch" ptType="node node" st="2 1" cnt="1 0" func="cnt" op="equ" val="2">
                            <dgm:alg type="cycle">
                              <dgm:param type="ctrShpMap" val="fNode"/>
                              <dgm:param type="stAng" val="15"/>
                              <dgm:param type="spanAng" val="90"/>
                            </dgm:alg>
                          </dgm:if>
                          <dgm:else name="Name175">
                            <dgm:alg type="cycle">
                              <dgm:param type="ctrShpMap" val="fNode"/>
                              <dgm:param type="stAng" val="0"/>
                              <dgm:param type="spanAng" val="360"/>
                            </dgm:alg>
                          </dgm:else>
                        </dgm:choose>
                      </dgm:if>
                      <dgm:if name="Name176" axis="ch" ptType="node" func="cnt" op="gte" val="7">
                        <dgm:choose name="Name177">
                          <dgm:if name="Name178" axis="ch ch" ptType="node node" st="2 1" cnt="1 0" func="cnt" op="equ" val="1">
                            <dgm:alg type="cycle">
                              <dgm:param type="ctrShpMap" val="fNode"/>
                              <dgm:param type="stAng" val="51"/>
                            </dgm:alg>
                          </dgm:if>
                          <dgm:if name="Name179" axis="ch ch" ptType="node node" st="2 1" cnt="1 0" func="cnt" op="equ" val="2">
                            <dgm:alg type="cycle">
                              <dgm:param type="ctrShpMap" val="fNode"/>
                              <dgm:param type="stAng" val="6"/>
                              <dgm:param type="spanAng" val="90"/>
                            </dgm:alg>
                          </dgm:if>
                          <dgm:else name="Name180">
                            <dgm:alg type="cycle">
                              <dgm:param type="ctrShpMap" val="fNode"/>
                              <dgm:param type="stAng" val="0"/>
                              <dgm:param type="spanAng" val="360"/>
                            </dgm:alg>
                          </dgm:else>
                        </dgm:choose>
                      </dgm:if>
                      <dgm:else name="Name181"/>
                    </dgm:choose>
                  </dgm:if>
                  <dgm:else name="Name182">
                    <dgm:choose name="Name183">
                      <dgm:if name="Name184" axis="ch" ptType="node" func="cnt" op="equ" val="2">
                        <dgm:choose name="Name185">
                          <dgm:if name="Name186" axis="ch ch" ptType="node node" st="2 1" cnt="1 0" func="cnt" op="equ" val="1">
                            <dgm:alg type="cycle">
                              <dgm:param type="ctrShpMap" val="fNode"/>
                              <dgm:param type="stAng" val="180"/>
                            </dgm:alg>
                          </dgm:if>
                          <dgm:if name="Name187" axis="ch ch" ptType="node node" st="2 1" cnt="1 0" func="cnt" op="equ" val="2">
                            <dgm:alg type="cycle">
                              <dgm:param type="ctrShpMap" val="fNode"/>
                              <dgm:param type="stAng" val="225"/>
                              <dgm:param type="spanAng" val="-90"/>
                            </dgm:alg>
                          </dgm:if>
                          <dgm:else name="Name188">
                            <dgm:alg type="cycle">
                              <dgm:param type="ctrShpMap" val="fNode"/>
                              <dgm:param type="stAng" val="270"/>
                              <dgm:param type="spanAng" val="-180"/>
                            </dgm:alg>
                          </dgm:else>
                        </dgm:choose>
                      </dgm:if>
                      <dgm:if name="Name189" axis="ch" ptType="node" func="cnt" op="equ" val="3">
                        <dgm:choose name="Name190">
                          <dgm:if name="Name191" axis="ch ch" ptType="node node" st="2 1" cnt="1 0" func="cnt" op="equ" val="1">
                            <dgm:alg type="cycle">
                              <dgm:param type="ctrShpMap" val="fNode"/>
                              <dgm:param type="stAng" val="240"/>
                              <dgm:param type="horzAlign" val="l"/>
                              <dgm:param type="vertAlign" val="b"/>
                            </dgm:alg>
                          </dgm:if>
                          <dgm:if name="Name192" axis="ch ch" ptType="node node" st="2 1" cnt="1 0" func="cnt" op="equ" val="2">
                            <dgm:alg type="cycle">
                              <dgm:param type="ctrShpMap" val="fNode"/>
                              <dgm:param type="stAng" val="285"/>
                              <dgm:param type="spanAng" val="-90"/>
                              <dgm:param type="horzAlign" val="l"/>
                              <dgm:param type="vertAlign" val="b"/>
                            </dgm:alg>
                          </dgm:if>
                          <dgm:else name="Name193">
                            <dgm:alg type="cycle">
                              <dgm:param type="ctrShpMap" val="fNode"/>
                              <dgm:param type="stAng" val="330"/>
                              <dgm:param type="spanAng" val="-180"/>
                            </dgm:alg>
                          </dgm:else>
                        </dgm:choose>
                      </dgm:if>
                      <dgm:if name="Name194" axis="ch" ptType="node" func="cnt" op="equ" val="4">
                        <dgm:choose name="Name195">
                          <dgm:if name="Name196" axis="ch ch" ptType="node node" st="2 1" cnt="1 0" func="cnt" op="equ" val="1">
                            <dgm:alg type="cycle">
                              <dgm:param type="ctrShpMap" val="fNode"/>
                              <dgm:param type="stAng" val="270"/>
                            </dgm:alg>
                          </dgm:if>
                          <dgm:if name="Name197" axis="ch ch" ptType="node node" st="2 1" cnt="1 0" func="cnt" op="equ" val="2">
                            <dgm:alg type="cycle">
                              <dgm:param type="ctrShpMap" val="fNode"/>
                              <dgm:param type="stAng" val="315"/>
                              <dgm:param type="spanAng" val="-90"/>
                            </dgm:alg>
                          </dgm:if>
                          <dgm:else name="Name198">
                            <dgm:alg type="cycle">
                              <dgm:param type="ctrShpMap" val="fNode"/>
                              <dgm:param type="stAng" val="337.5"/>
                              <dgm:param type="spanAng" val="-135"/>
                            </dgm:alg>
                          </dgm:else>
                        </dgm:choose>
                      </dgm:if>
                      <dgm:if name="Name199" axis="ch" ptType="node" func="cnt" op="equ" val="5">
                        <dgm:choose name="Name200">
                          <dgm:if name="Name201" axis="ch ch" ptType="node node" st="2 1" cnt="1 0" func="cnt" op="equ" val="1">
                            <dgm:alg type="cycle">
                              <dgm:param type="ctrShpMap" val="fNode"/>
                              <dgm:param type="stAng" val="288"/>
                            </dgm:alg>
                          </dgm:if>
                          <dgm:if name="Name202" axis="ch ch" ptType="node node" st="2 1" cnt="1 0" func="cnt" op="equ" val="2">
                            <dgm:alg type="cycle">
                              <dgm:param type="ctrShpMap" val="fNode"/>
                              <dgm:param type="stAng" val="333"/>
                              <dgm:param type="spanAng" val="-90"/>
                            </dgm:alg>
                          </dgm:if>
                          <dgm:else name="Name203">
                            <dgm:alg type="cycle">
                              <dgm:param type="ctrShpMap" val="fNode"/>
                              <dgm:param type="stAng" val="0"/>
                              <dgm:param type="spanAng" val="-360"/>
                            </dgm:alg>
                          </dgm:else>
                        </dgm:choose>
                      </dgm:if>
                      <dgm:if name="Name204" axis="ch" ptType="node" func="cnt" op="equ" val="6">
                        <dgm:choose name="Name205">
                          <dgm:if name="Name206" axis="ch ch" ptType="node node" st="2 1" cnt="1 0" func="cnt" op="equ" val="1">
                            <dgm:alg type="cycle">
                              <dgm:param type="ctrShpMap" val="fNode"/>
                              <dgm:param type="stAng" val="300"/>
                            </dgm:alg>
                          </dgm:if>
                          <dgm:if name="Name207" axis="ch ch" ptType="node node" st="2 1" cnt="1 0" func="cnt" op="equ" val="2">
                            <dgm:alg type="cycle">
                              <dgm:param type="ctrShpMap" val="fNode"/>
                              <dgm:param type="stAng" val="345"/>
                              <dgm:param type="spanAng" val="-90"/>
                            </dgm:alg>
                          </dgm:if>
                          <dgm:else name="Name208">
                            <dgm:alg type="cycle">
                              <dgm:param type="ctrShpMap" val="fNode"/>
                              <dgm:param type="stAng" val="0"/>
                              <dgm:param type="spanAng" val="-360"/>
                            </dgm:alg>
                          </dgm:else>
                        </dgm:choose>
                      </dgm:if>
                      <dgm:if name="Name209" axis="ch" ptType="node" func="cnt" op="gte" val="7">
                        <dgm:choose name="Name210">
                          <dgm:if name="Name211" axis="ch ch" ptType="node node" st="2 1" cnt="1 0" func="cnt" op="equ" val="1">
                            <dgm:alg type="cycle">
                              <dgm:param type="ctrShpMap" val="fNode"/>
                              <dgm:param type="stAng" val="308"/>
                            </dgm:alg>
                          </dgm:if>
                          <dgm:if name="Name212" axis="ch ch" ptType="node node" st="2 1" cnt="1 0" func="cnt" op="equ" val="2">
                            <dgm:alg type="cycle">
                              <dgm:param type="ctrShpMap" val="fNode"/>
                              <dgm:param type="stAng" val="353"/>
                              <dgm:param type="spanAng" val="-90"/>
                            </dgm:alg>
                          </dgm:if>
                          <dgm:else name="Name213">
                            <dgm:alg type="cycle">
                              <dgm:param type="ctrShpMap" val="fNode"/>
                              <dgm:param type="stAng" val="0"/>
                              <dgm:param type="spanAng" val="-360"/>
                            </dgm:alg>
                          </dgm:else>
                        </dgm:choose>
                      </dgm:if>
                      <dgm:else name="Name214"/>
                    </dgm:choose>
                  </dgm:else>
                </dgm:choose>
                <dgm:shape xmlns:r="http://schemas.openxmlformats.org/officeDocument/2006/relationships" r:blip="">
                  <dgm:adjLst/>
                </dgm:shape>
                <dgm:presOf/>
                <dgm:constrLst>
                  <dgm:constr type="sp" refType="w" fact="0.1"/>
                  <dgm:constr type="sibSp" refType="w" fact="0.1"/>
                </dgm:constrLst>
                <dgm:forEach name="Name215" axis="ch" ptType="node" st="2" cnt="1">
                  <dgm:layoutNode name="childCenter2"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16" axis="ch">
                    <dgm:forEach name="Name217" axis="self" ptType="parTrans">
                      <dgm:layoutNode name="Name218">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19" axis="self" ptType="node">
                      <dgm:layoutNode name="text2"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20" axis="ch" ptType="parTrans" st="2" cnt="1">
                <dgm:layoutNode name="Name221">
                  <dgm:alg type="conn">
                    <dgm:param type="dim" val="1D"/>
                    <dgm:param type="begPts" val="auto"/>
                    <dgm:param type="endPts" val="auto"/>
                    <dgm:param type="endSty" val="noArr"/>
                    <dgm:param type="srcNode" val="textCenter"/>
                    <dgm:param type="dstNode" val="childCenter2"/>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22"/>
          </dgm:choose>
          <dgm:choose name="Name223">
            <dgm:if name="Name224" axis="ch" ptType="node" func="cnt" op="gte" val="3">
              <dgm:layoutNode name="cycle_3">
                <dgm:choose name="Name225">
                  <dgm:if name="Name226" func="var" arg="dir" op="equ" val="norm">
                    <dgm:choose name="Name227">
                      <dgm:if name="Name228" axis="ch" ptType="node" func="cnt" op="equ" val="3">
                        <dgm:choose name="Name229">
                          <dgm:if name="Name230" axis="ch ch" ptType="node node" st="3 1" cnt="1 0" func="cnt" op="equ" val="1">
                            <dgm:alg type="cycle">
                              <dgm:param type="ctrShpMap" val="fNode"/>
                              <dgm:param type="stAng" val="240"/>
                              <dgm:param type="horzAlign" val="l"/>
                              <dgm:param type="vertAlign" val="b"/>
                            </dgm:alg>
                          </dgm:if>
                          <dgm:if name="Name231" axis="ch ch" ptType="node node" st="3 1" cnt="1 0" func="cnt" op="equ" val="2">
                            <dgm:alg type="cycle">
                              <dgm:param type="ctrShpMap" val="fNode"/>
                              <dgm:param type="stAng" val="195"/>
                              <dgm:param type="spanAng" val="90"/>
                              <dgm:param type="horzAlign" val="l"/>
                              <dgm:param type="vertAlign" val="b"/>
                            </dgm:alg>
                          </dgm:if>
                          <dgm:else name="Name232">
                            <dgm:alg type="cycle">
                              <dgm:param type="ctrShpMap" val="fNode"/>
                              <dgm:param type="stAng" val="150"/>
                              <dgm:param type="spanAng" val="180"/>
                            </dgm:alg>
                          </dgm:else>
                        </dgm:choose>
                      </dgm:if>
                      <dgm:if name="Name233" axis="ch" ptType="node" func="cnt" op="equ" val="4">
                        <dgm:choose name="Name234">
                          <dgm:if name="Name235" axis="ch ch" ptType="node node" st="3 1" cnt="1 0" func="cnt" op="equ" val="1">
                            <dgm:alg type="cycle">
                              <dgm:param type="ctrShpMap" val="fNode"/>
                              <dgm:param type="stAng" val="180"/>
                            </dgm:alg>
                          </dgm:if>
                          <dgm:if name="Name236" axis="ch ch" ptType="node node" st="3 1" cnt="1 0" func="cnt" op="equ" val="2">
                            <dgm:alg type="cycle">
                              <dgm:param type="ctrShpMap" val="fNode"/>
                              <dgm:param type="stAng" val="135"/>
                              <dgm:param type="spanAng" val="90"/>
                            </dgm:alg>
                          </dgm:if>
                          <dgm:else name="Name237">
                            <dgm:alg type="cycle">
                              <dgm:param type="ctrShpMap" val="fNode"/>
                              <dgm:param type="stAng" val="112.5"/>
                              <dgm:param type="spanAng" val="135"/>
                            </dgm:alg>
                          </dgm:else>
                        </dgm:choose>
                      </dgm:if>
                      <dgm:if name="Name238" axis="ch" ptType="node" func="cnt" op="equ" val="5">
                        <dgm:choose name="Name239">
                          <dgm:if name="Name240" axis="ch ch" ptType="node node" st="3 1" cnt="1 0" func="cnt" op="equ" val="1">
                            <dgm:alg type="cycle">
                              <dgm:param type="ctrShpMap" val="fNode"/>
                              <dgm:param type="stAng" val="144"/>
                            </dgm:alg>
                          </dgm:if>
                          <dgm:if name="Name241" axis="ch ch" ptType="node node" st="3 1" cnt="1 0" func="cnt" op="equ" val="2">
                            <dgm:alg type="cycle">
                              <dgm:param type="ctrShpMap" val="fNode"/>
                              <dgm:param type="stAng" val="99"/>
                              <dgm:param type="spanAng" val="90"/>
                            </dgm:alg>
                          </dgm:if>
                          <dgm:else name="Name242">
                            <dgm:alg type="cycle">
                              <dgm:param type="ctrShpMap" val="fNode"/>
                              <dgm:param type="stAng" val="0"/>
                              <dgm:param type="spanAng" val="360"/>
                            </dgm:alg>
                          </dgm:else>
                        </dgm:choose>
                      </dgm:if>
                      <dgm:if name="Name243" axis="ch" ptType="node" func="cnt" op="equ" val="6">
                        <dgm:choose name="Name244">
                          <dgm:if name="Name245" axis="ch ch" ptType="node node" st="3 1" cnt="1 0" func="cnt" op="equ" val="1">
                            <dgm:alg type="cycle">
                              <dgm:param type="ctrShpMap" val="fNode"/>
                              <dgm:param type="stAng" val="120"/>
                            </dgm:alg>
                          </dgm:if>
                          <dgm:if name="Name246" axis="ch ch" ptType="node node" st="3 1" cnt="1 0" func="cnt" op="equ" val="2">
                            <dgm:alg type="cycle">
                              <dgm:param type="ctrShpMap" val="fNode"/>
                              <dgm:param type="stAng" val="75"/>
                              <dgm:param type="spanAng" val="90"/>
                            </dgm:alg>
                          </dgm:if>
                          <dgm:else name="Name247">
                            <dgm:alg type="cycle">
                              <dgm:param type="ctrShpMap" val="fNode"/>
                              <dgm:param type="stAng" val="0"/>
                              <dgm:param type="spanAng" val="360"/>
                            </dgm:alg>
                          </dgm:else>
                        </dgm:choose>
                      </dgm:if>
                      <dgm:if name="Name248" axis="ch" ptType="node" func="cnt" op="gte" val="7">
                        <dgm:choose name="Name249">
                          <dgm:if name="Name250" axis="ch ch" ptType="node node" st="3 1" cnt="1 0" func="cnt" op="equ" val="1">
                            <dgm:alg type="cycle">
                              <dgm:param type="ctrShpMap" val="fNode"/>
                              <dgm:param type="stAng" val="102"/>
                            </dgm:alg>
                          </dgm:if>
                          <dgm:if name="Name251" axis="ch ch" ptType="node node" st="3 1" cnt="1 0" func="cnt" op="equ" val="2">
                            <dgm:alg type="cycle">
                              <dgm:param type="ctrShpMap" val="fNode"/>
                              <dgm:param type="stAng" val="57"/>
                              <dgm:param type="spanAng" val="90"/>
                            </dgm:alg>
                          </dgm:if>
                          <dgm:else name="Name252">
                            <dgm:alg type="cycle">
                              <dgm:param type="ctrShpMap" val="fNode"/>
                              <dgm:param type="stAng" val="0"/>
                              <dgm:param type="spanAng" val="360"/>
                            </dgm:alg>
                          </dgm:else>
                        </dgm:choose>
                      </dgm:if>
                      <dgm:else name="Name253"/>
                    </dgm:choose>
                  </dgm:if>
                  <dgm:else name="Name254">
                    <dgm:choose name="Name255">
                      <dgm:if name="Name256" axis="ch" ptType="node" func="cnt" op="equ" val="3">
                        <dgm:choose name="Name257">
                          <dgm:if name="Name258" axis="ch ch" ptType="node node" st="3 1" cnt="1 0" func="cnt" op="equ" val="1">
                            <dgm:alg type="cycle">
                              <dgm:param type="ctrShpMap" val="fNode"/>
                              <dgm:param type="stAng" val="120"/>
                              <dgm:param type="horzAlign" val="r"/>
                              <dgm:param type="vertAlign" val="b"/>
                            </dgm:alg>
                          </dgm:if>
                          <dgm:if name="Name259" axis="ch ch" ptType="node node" st="3 1" cnt="1 0" func="cnt" op="equ" val="2">
                            <dgm:alg type="cycle">
                              <dgm:param type="ctrShpMap" val="fNode"/>
                              <dgm:param type="stAng" val="165"/>
                              <dgm:param type="spanAng" val="-90"/>
                              <dgm:param type="horzAlign" val="r"/>
                              <dgm:param type="vertAlign" val="b"/>
                            </dgm:alg>
                          </dgm:if>
                          <dgm:else name="Name260">
                            <dgm:alg type="cycle">
                              <dgm:param type="ctrShpMap" val="fNode"/>
                              <dgm:param type="stAng" val="210"/>
                              <dgm:param type="spanAng" val="-180"/>
                            </dgm:alg>
                          </dgm:else>
                        </dgm:choose>
                      </dgm:if>
                      <dgm:if name="Name261" axis="ch" ptType="node" func="cnt" op="equ" val="4">
                        <dgm:choose name="Name262">
                          <dgm:if name="Name263" axis="ch ch" ptType="node node" st="3 1" cnt="1 0" func="cnt" op="equ" val="1">
                            <dgm:alg type="cycle">
                              <dgm:param type="ctrShpMap" val="fNode"/>
                              <dgm:param type="stAng" val="180"/>
                            </dgm:alg>
                          </dgm:if>
                          <dgm:if name="Name264" axis="ch ch" ptType="node node" st="3 1" cnt="1 0" func="cnt" op="equ" val="2">
                            <dgm:alg type="cycle">
                              <dgm:param type="ctrShpMap" val="fNode"/>
                              <dgm:param type="stAng" val="225"/>
                              <dgm:param type="spanAng" val="-90"/>
                            </dgm:alg>
                          </dgm:if>
                          <dgm:else name="Name265">
                            <dgm:alg type="cycle">
                              <dgm:param type="ctrShpMap" val="fNode"/>
                              <dgm:param type="stAng" val="247.5"/>
                              <dgm:param type="spanAng" val="-135"/>
                            </dgm:alg>
                          </dgm:else>
                        </dgm:choose>
                      </dgm:if>
                      <dgm:if name="Name266" axis="ch" ptType="node" func="cnt" op="equ" val="5">
                        <dgm:choose name="Name267">
                          <dgm:if name="Name268" axis="ch ch" ptType="node node" st="3 1" cnt="1 0" func="cnt" op="equ" val="1">
                            <dgm:alg type="cycle">
                              <dgm:param type="ctrShpMap" val="fNode"/>
                              <dgm:param type="stAng" val="216"/>
                            </dgm:alg>
                          </dgm:if>
                          <dgm:if name="Name269" axis="ch ch" ptType="node node" st="3 1" cnt="1 0" func="cnt" op="equ" val="2">
                            <dgm:alg type="cycle">
                              <dgm:param type="ctrShpMap" val="fNode"/>
                              <dgm:param type="stAng" val="261"/>
                              <dgm:param type="spanAng" val="-90"/>
                            </dgm:alg>
                          </dgm:if>
                          <dgm:else name="Name270">
                            <dgm:alg type="cycle">
                              <dgm:param type="ctrShpMap" val="fNode"/>
                              <dgm:param type="stAng" val="0"/>
                              <dgm:param type="spanAng" val="-360"/>
                            </dgm:alg>
                          </dgm:else>
                        </dgm:choose>
                      </dgm:if>
                      <dgm:if name="Name271" axis="ch" ptType="node" func="cnt" op="equ" val="6">
                        <dgm:choose name="Name272">
                          <dgm:if name="Name273" axis="ch ch" ptType="node node" st="3 1" cnt="1 0" func="cnt" op="equ" val="1">
                            <dgm:alg type="cycle">
                              <dgm:param type="ctrShpMap" val="fNode"/>
                              <dgm:param type="stAng" val="240"/>
                            </dgm:alg>
                          </dgm:if>
                          <dgm:if name="Name274" axis="ch ch" ptType="node node" st="3 1" cnt="1 0" func="cnt" op="equ" val="2">
                            <dgm:alg type="cycle">
                              <dgm:param type="ctrShpMap" val="fNode"/>
                              <dgm:param type="stAng" val="285"/>
                              <dgm:param type="spanAng" val="-90"/>
                            </dgm:alg>
                          </dgm:if>
                          <dgm:else name="Name275">
                            <dgm:alg type="cycle">
                              <dgm:param type="ctrShpMap" val="fNode"/>
                              <dgm:param type="stAng" val="0"/>
                              <dgm:param type="spanAng" val="-360"/>
                            </dgm:alg>
                          </dgm:else>
                        </dgm:choose>
                      </dgm:if>
                      <dgm:if name="Name276" axis="ch" ptType="node" func="cnt" op="gte" val="7">
                        <dgm:choose name="Name277">
                          <dgm:if name="Name278" axis="ch ch" ptType="node node" st="3 1" cnt="1 0" func="cnt" op="equ" val="1">
                            <dgm:alg type="cycle">
                              <dgm:param type="ctrShpMap" val="fNode"/>
                              <dgm:param type="stAng" val="257"/>
                            </dgm:alg>
                          </dgm:if>
                          <dgm:if name="Name279" axis="ch ch" ptType="node node" st="3 1" cnt="1 0" func="cnt" op="equ" val="2">
                            <dgm:alg type="cycle">
                              <dgm:param type="ctrShpMap" val="fNode"/>
                              <dgm:param type="stAng" val="302"/>
                              <dgm:param type="spanAng" val="-90"/>
                            </dgm:alg>
                          </dgm:if>
                          <dgm:else name="Name280">
                            <dgm:alg type="cycle">
                              <dgm:param type="ctrShpMap" val="fNode"/>
                              <dgm:param type="stAng" val="0"/>
                              <dgm:param type="spanAng" val="-360"/>
                            </dgm:alg>
                          </dgm:else>
                        </dgm:choose>
                      </dgm:if>
                      <dgm:else name="Name281"/>
                    </dgm:choose>
                  </dgm:else>
                </dgm:choose>
                <dgm:shape xmlns:r="http://schemas.openxmlformats.org/officeDocument/2006/relationships" r:blip="">
                  <dgm:adjLst/>
                </dgm:shape>
                <dgm:presOf/>
                <dgm:constrLst>
                  <dgm:constr type="sp" refType="w" fact="0.1"/>
                  <dgm:constr type="sibSp" refType="w" fact="0.1"/>
                </dgm:constrLst>
                <dgm:forEach name="Name282" axis="ch" ptType="node" st="3" cnt="1">
                  <dgm:layoutNode name="childCenter3"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83" axis="ch">
                    <dgm:forEach name="Name284" axis="self" ptType="parTrans">
                      <dgm:layoutNode name="Name285">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86" axis="self" ptType="node">
                      <dgm:layoutNode name="text3"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87" axis="ch" ptType="parTrans" st="3" cnt="1">
                <dgm:layoutNode name="Name288">
                  <dgm:alg type="conn">
                    <dgm:param type="dim" val="1D"/>
                    <dgm:param type="begPts" val="auto"/>
                    <dgm:param type="endPts" val="auto"/>
                    <dgm:param type="endSty" val="noArr"/>
                    <dgm:param type="srcNode" val="textCenter"/>
                    <dgm:param type="dstNode" val="childCenter3"/>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89"/>
          </dgm:choose>
          <dgm:choose name="Name290">
            <dgm:if name="Name291" axis="ch" ptType="node" func="cnt" op="gte" val="4">
              <dgm:layoutNode name="cycle_4">
                <dgm:choose name="Name292">
                  <dgm:if name="Name293" func="var" arg="dir" op="equ" val="norm">
                    <dgm:choose name="Name294">
                      <dgm:if name="Name295" axis="ch" ptType="node" func="cnt" op="equ" val="4">
                        <dgm:choose name="Name296">
                          <dgm:if name="Name297" axis="ch ch" ptType="node node" st="4 1" cnt="1 0" func="cnt" op="equ" val="1">
                            <dgm:alg type="cycle">
                              <dgm:param type="ctrShpMap" val="fNode"/>
                              <dgm:param type="stAng" val="270"/>
                            </dgm:alg>
                          </dgm:if>
                          <dgm:if name="Name298" axis="ch ch" ptType="node node" st="4 1" cnt="1 0" func="cnt" op="equ" val="2">
                            <dgm:alg type="cycle">
                              <dgm:param type="ctrShpMap" val="fNode"/>
                              <dgm:param type="stAng" val="225"/>
                              <dgm:param type="spanAng" val="90"/>
                            </dgm:alg>
                          </dgm:if>
                          <dgm:else name="Name299">
                            <dgm:alg type="cycle">
                              <dgm:param type="ctrShpMap" val="fNode"/>
                              <dgm:param type="stAng" val="202.5"/>
                              <dgm:param type="spanAng" val="135"/>
                            </dgm:alg>
                          </dgm:else>
                        </dgm:choose>
                      </dgm:if>
                      <dgm:if name="Name300" axis="ch" ptType="node" func="cnt" op="equ" val="5">
                        <dgm:choose name="Name301">
                          <dgm:if name="Name302" axis="ch ch" ptType="node node" st="4 1" cnt="1 0" func="cnt" op="equ" val="1">
                            <dgm:alg type="cycle">
                              <dgm:param type="ctrShpMap" val="fNode"/>
                              <dgm:param type="stAng" val="216"/>
                            </dgm:alg>
                          </dgm:if>
                          <dgm:if name="Name303" axis="ch ch" ptType="node node" st="4 1" cnt="1 0" func="cnt" op="equ" val="2">
                            <dgm:alg type="cycle">
                              <dgm:param type="ctrShpMap" val="fNode"/>
                              <dgm:param type="stAng" val="171"/>
                              <dgm:param type="spanAng" val="90"/>
                            </dgm:alg>
                          </dgm:if>
                          <dgm:else name="Name304">
                            <dgm:alg type="cycle">
                              <dgm:param type="ctrShpMap" val="fNode"/>
                              <dgm:param type="stAng" val="0"/>
                              <dgm:param type="spanAng" val="360"/>
                            </dgm:alg>
                          </dgm:else>
                        </dgm:choose>
                      </dgm:if>
                      <dgm:if name="Name305" axis="ch" ptType="node" func="cnt" op="equ" val="6">
                        <dgm:choose name="Name306">
                          <dgm:if name="Name307" axis="ch ch" ptType="node node" st="4 1" cnt="1 0" func="cnt" op="equ" val="1">
                            <dgm:alg type="cycle">
                              <dgm:param type="ctrShpMap" val="fNode"/>
                              <dgm:param type="stAng" val="180"/>
                            </dgm:alg>
                          </dgm:if>
                          <dgm:if name="Name308" axis="ch ch" ptType="node node" st="4 1" cnt="1 0" func="cnt" op="equ" val="2">
                            <dgm:alg type="cycle">
                              <dgm:param type="ctrShpMap" val="fNode"/>
                              <dgm:param type="stAng" val="135"/>
                              <dgm:param type="spanAng" val="90"/>
                            </dgm:alg>
                          </dgm:if>
                          <dgm:else name="Name309">
                            <dgm:alg type="cycle">
                              <dgm:param type="ctrShpMap" val="fNode"/>
                              <dgm:param type="stAng" val="0"/>
                              <dgm:param type="spanAng" val="360"/>
                            </dgm:alg>
                          </dgm:else>
                        </dgm:choose>
                      </dgm:if>
                      <dgm:if name="Name310" axis="ch" ptType="node" func="cnt" op="gte" val="7">
                        <dgm:choose name="Name311">
                          <dgm:if name="Name312" axis="ch ch" ptType="node node" st="4 1" cnt="1 0" func="cnt" op="equ" val="1">
                            <dgm:alg type="cycle">
                              <dgm:param type="ctrShpMap" val="fNode"/>
                              <dgm:param type="stAng" val="154"/>
                            </dgm:alg>
                          </dgm:if>
                          <dgm:if name="Name313" axis="ch ch" ptType="node node" st="4 1" cnt="1 0" func="cnt" op="equ" val="2">
                            <dgm:alg type="cycle">
                              <dgm:param type="ctrShpMap" val="fNode"/>
                              <dgm:param type="stAng" val="109"/>
                              <dgm:param type="spanAng" val="90"/>
                            </dgm:alg>
                          </dgm:if>
                          <dgm:else name="Name314">
                            <dgm:alg type="cycle">
                              <dgm:param type="ctrShpMap" val="fNode"/>
                              <dgm:param type="stAng" val="0"/>
                              <dgm:param type="spanAng" val="360"/>
                            </dgm:alg>
                          </dgm:else>
                        </dgm:choose>
                      </dgm:if>
                      <dgm:else name="Name315"/>
                    </dgm:choose>
                  </dgm:if>
                  <dgm:else name="Name316">
                    <dgm:choose name="Name317">
                      <dgm:if name="Name318" axis="ch" ptType="node" func="cnt" op="equ" val="4">
                        <dgm:choose name="Name319">
                          <dgm:if name="Name320" axis="ch ch" ptType="node node" st="4 1" cnt="1 0" func="cnt" op="equ" val="1">
                            <dgm:alg type="cycle">
                              <dgm:param type="ctrShpMap" val="fNode"/>
                              <dgm:param type="stAng" val="90"/>
                            </dgm:alg>
                          </dgm:if>
                          <dgm:if name="Name321" axis="ch ch" ptType="node node" st="4 1" cnt="1 0" func="cnt" op="equ" val="2">
                            <dgm:alg type="cycle">
                              <dgm:param type="ctrShpMap" val="fNode"/>
                              <dgm:param type="stAng" val="135"/>
                              <dgm:param type="spanAng" val="-90"/>
                            </dgm:alg>
                          </dgm:if>
                          <dgm:else name="Name322">
                            <dgm:alg type="cycle">
                              <dgm:param type="ctrShpMap" val="fNode"/>
                              <dgm:param type="stAng" val="157.5"/>
                              <dgm:param type="spanAng" val="-135"/>
                            </dgm:alg>
                          </dgm:else>
                        </dgm:choose>
                      </dgm:if>
                      <dgm:if name="Name323" axis="ch" ptType="node" func="cnt" op="equ" val="5">
                        <dgm:choose name="Name324">
                          <dgm:if name="Name325" axis="ch ch" ptType="node node" st="4 1" cnt="1 0" func="cnt" op="equ" val="1">
                            <dgm:alg type="cycle">
                              <dgm:param type="ctrShpMap" val="fNode"/>
                              <dgm:param type="stAng" val="144"/>
                            </dgm:alg>
                          </dgm:if>
                          <dgm:if name="Name326" axis="ch ch" ptType="node node" st="4 1" cnt="1 0" func="cnt" op="equ" val="2">
                            <dgm:alg type="cycle">
                              <dgm:param type="ctrShpMap" val="fNode"/>
                              <dgm:param type="stAng" val="189"/>
                              <dgm:param type="spanAng" val="-90"/>
                            </dgm:alg>
                          </dgm:if>
                          <dgm:else name="Name327">
                            <dgm:alg type="cycle">
                              <dgm:param type="ctrShpMap" val="fNode"/>
                              <dgm:param type="stAng" val="0"/>
                              <dgm:param type="spanAng" val="-360"/>
                            </dgm:alg>
                          </dgm:else>
                        </dgm:choose>
                      </dgm:if>
                      <dgm:if name="Name328" axis="ch" ptType="node" func="cnt" op="equ" val="6">
                        <dgm:choose name="Name329">
                          <dgm:if name="Name330" axis="ch ch" ptType="node node" st="4 1" cnt="1 0" func="cnt" op="equ" val="1">
                            <dgm:alg type="cycle">
                              <dgm:param type="ctrShpMap" val="fNode"/>
                              <dgm:param type="stAng" val="180"/>
                            </dgm:alg>
                          </dgm:if>
                          <dgm:if name="Name331" axis="ch ch" ptType="node node" st="4 1" cnt="1 0" func="cnt" op="equ" val="2">
                            <dgm:alg type="cycle">
                              <dgm:param type="ctrShpMap" val="fNode"/>
                              <dgm:param type="stAng" val="225"/>
                              <dgm:param type="spanAng" val="-90"/>
                            </dgm:alg>
                          </dgm:if>
                          <dgm:else name="Name332">
                            <dgm:alg type="cycle">
                              <dgm:param type="ctrShpMap" val="fNode"/>
                              <dgm:param type="stAng" val="0"/>
                              <dgm:param type="spanAng" val="-360"/>
                            </dgm:alg>
                          </dgm:else>
                        </dgm:choose>
                      </dgm:if>
                      <dgm:if name="Name333" axis="ch" ptType="node" func="cnt" op="gte" val="7">
                        <dgm:choose name="Name334">
                          <dgm:if name="Name335" axis="ch ch" ptType="node node" st="4 1" cnt="1 0" func="cnt" op="equ" val="1">
                            <dgm:alg type="cycle">
                              <dgm:param type="ctrShpMap" val="fNode"/>
                              <dgm:param type="stAng" val="205"/>
                            </dgm:alg>
                          </dgm:if>
                          <dgm:if name="Name336" axis="ch ch" ptType="node node" st="4 1" cnt="1 0" func="cnt" op="equ" val="2">
                            <dgm:alg type="cycle">
                              <dgm:param type="ctrShpMap" val="fNode"/>
                              <dgm:param type="stAng" val="250"/>
                              <dgm:param type="spanAng" val="-90"/>
                            </dgm:alg>
                          </dgm:if>
                          <dgm:else name="Name337">
                            <dgm:alg type="cycle">
                              <dgm:param type="ctrShpMap" val="fNode"/>
                              <dgm:param type="stAng" val="0"/>
                              <dgm:param type="spanAng" val="-360"/>
                            </dgm:alg>
                          </dgm:else>
                        </dgm:choose>
                      </dgm:if>
                      <dgm:else name="Name338"/>
                    </dgm:choose>
                  </dgm:else>
                </dgm:choose>
                <dgm:shape xmlns:r="http://schemas.openxmlformats.org/officeDocument/2006/relationships" r:blip="">
                  <dgm:adjLst/>
                </dgm:shape>
                <dgm:presOf/>
                <dgm:constrLst>
                  <dgm:constr type="sp" refType="w" fact="0.1"/>
                  <dgm:constr type="sibSp" refType="w" fact="0.1"/>
                </dgm:constrLst>
                <dgm:forEach name="Name339" axis="ch" ptType="node" st="4" cnt="1">
                  <dgm:layoutNode name="childCenter4"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40" axis="ch">
                    <dgm:forEach name="Name341" axis="self" ptType="parTrans">
                      <dgm:layoutNode name="Name342">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43" axis="self" ptType="node">
                      <dgm:layoutNode name="text4"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44" axis="ch" ptType="parTrans" st="4" cnt="1">
                <dgm:layoutNode name="Name345">
                  <dgm:alg type="conn">
                    <dgm:param type="dim" val="1D"/>
                    <dgm:param type="begPts" val="auto"/>
                    <dgm:param type="endPts" val="auto"/>
                    <dgm:param type="endSty" val="noArr"/>
                    <dgm:param type="srcNode" val="textCenter"/>
                    <dgm:param type="dstNode" val="childCenter4"/>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46"/>
          </dgm:choose>
          <dgm:choose name="Name347">
            <dgm:if name="Name348" axis="ch" ptType="node" func="cnt" op="gte" val="5">
              <dgm:layoutNode name="cycle_5">
                <dgm:choose name="Name349">
                  <dgm:if name="Name350" func="var" arg="dir" op="equ" val="norm">
                    <dgm:choose name="Name351">
                      <dgm:if name="Name352" axis="ch" ptType="node" func="cnt" op="equ" val="5">
                        <dgm:choose name="Name353">
                          <dgm:if name="Name354" axis="ch ch" ptType="node node" st="5 1" cnt="1 0" func="cnt" op="equ" val="1">
                            <dgm:alg type="cycle">
                              <dgm:param type="ctrShpMap" val="fNode"/>
                              <dgm:param type="stAng" val="288"/>
                            </dgm:alg>
                          </dgm:if>
                          <dgm:if name="Name355" axis="ch ch" ptType="node node" st="5 1" cnt="1 0" func="cnt" op="equ" val="2">
                            <dgm:alg type="cycle">
                              <dgm:param type="ctrShpMap" val="fNode"/>
                              <dgm:param type="stAng" val="243"/>
                              <dgm:param type="spanAng" val="90"/>
                            </dgm:alg>
                          </dgm:if>
                          <dgm:else name="Name356">
                            <dgm:alg type="cycle">
                              <dgm:param type="ctrShpMap" val="fNode"/>
                              <dgm:param type="stAng" val="0"/>
                              <dgm:param type="spanAng" val="360"/>
                            </dgm:alg>
                          </dgm:else>
                        </dgm:choose>
                      </dgm:if>
                      <dgm:if name="Name357" axis="ch" ptType="node" func="cnt" op="equ" val="6">
                        <dgm:choose name="Name358">
                          <dgm:if name="Name359" axis="ch ch" ptType="node node" st="5 1" cnt="1 0" func="cnt" op="equ" val="1">
                            <dgm:alg type="cycle">
                              <dgm:param type="ctrShpMap" val="fNode"/>
                              <dgm:param type="stAng" val="240"/>
                            </dgm:alg>
                          </dgm:if>
                          <dgm:if name="Name360" axis="ch ch" ptType="node node" st="5 1" cnt="1 0" func="cnt" op="equ" val="2">
                            <dgm:alg type="cycle">
                              <dgm:param type="ctrShpMap" val="fNode"/>
                              <dgm:param type="stAng" val="195"/>
                              <dgm:param type="spanAng" val="90"/>
                            </dgm:alg>
                          </dgm:if>
                          <dgm:else name="Name361">
                            <dgm:alg type="cycle">
                              <dgm:param type="ctrShpMap" val="fNode"/>
                              <dgm:param type="stAng" val="0"/>
                              <dgm:param type="spanAng" val="360"/>
                            </dgm:alg>
                          </dgm:else>
                        </dgm:choose>
                      </dgm:if>
                      <dgm:if name="Name362" axis="ch" ptType="node" func="cnt" op="gte" val="7">
                        <dgm:choose name="Name363">
                          <dgm:if name="Name364" axis="ch ch" ptType="node node" st="5 1" cnt="1 0" func="cnt" op="equ" val="1">
                            <dgm:alg type="cycle">
                              <dgm:param type="ctrShpMap" val="fNode"/>
                              <dgm:param type="stAng" val="205"/>
                            </dgm:alg>
                          </dgm:if>
                          <dgm:if name="Name365" axis="ch ch" ptType="node node" st="5 1" cnt="1 0" func="cnt" op="equ" val="2">
                            <dgm:alg type="cycle">
                              <dgm:param type="ctrShpMap" val="fNode"/>
                              <dgm:param type="stAng" val="160"/>
                              <dgm:param type="spanAng" val="90"/>
                            </dgm:alg>
                          </dgm:if>
                          <dgm:else name="Name366">
                            <dgm:alg type="cycle">
                              <dgm:param type="ctrShpMap" val="fNode"/>
                              <dgm:param type="stAng" val="0"/>
                              <dgm:param type="spanAng" val="360"/>
                            </dgm:alg>
                          </dgm:else>
                        </dgm:choose>
                      </dgm:if>
                      <dgm:else name="Name367"/>
                    </dgm:choose>
                  </dgm:if>
                  <dgm:else name="Name368">
                    <dgm:choose name="Name369">
                      <dgm:if name="Name370" axis="ch" ptType="node" func="cnt" op="equ" val="5">
                        <dgm:choose name="Name371">
                          <dgm:if name="Name372" axis="ch ch" ptType="node node" st="5 1" cnt="1 0" func="cnt" op="equ" val="1">
                            <dgm:alg type="cycle">
                              <dgm:param type="ctrShpMap" val="fNode"/>
                              <dgm:param type="stAng" val="72"/>
                            </dgm:alg>
                          </dgm:if>
                          <dgm:if name="Name373" axis="ch ch" ptType="node node" st="5 1" cnt="1 0" func="cnt" op="equ" val="2">
                            <dgm:alg type="cycle">
                              <dgm:param type="ctrShpMap" val="fNode"/>
                              <dgm:param type="stAng" val="117"/>
                              <dgm:param type="spanAng" val="-90"/>
                            </dgm:alg>
                          </dgm:if>
                          <dgm:else name="Name374">
                            <dgm:alg type="cycle">
                              <dgm:param type="ctrShpMap" val="fNode"/>
                              <dgm:param type="stAng" val="0"/>
                              <dgm:param type="spanAng" val="-360"/>
                            </dgm:alg>
                          </dgm:else>
                        </dgm:choose>
                      </dgm:if>
                      <dgm:if name="Name375" axis="ch" ptType="node" func="cnt" op="equ" val="6">
                        <dgm:choose name="Name376">
                          <dgm:if name="Name377" axis="ch ch" ptType="node node" st="5 1" cnt="1 0" func="cnt" op="equ" val="1">
                            <dgm:alg type="cycle">
                              <dgm:param type="ctrShpMap" val="fNode"/>
                              <dgm:param type="stAng" val="120"/>
                            </dgm:alg>
                          </dgm:if>
                          <dgm:if name="Name378" axis="ch ch" ptType="node node" st="5 1" cnt="1 0" func="cnt" op="equ" val="2">
                            <dgm:alg type="cycle">
                              <dgm:param type="ctrShpMap" val="fNode"/>
                              <dgm:param type="stAng" val="165"/>
                              <dgm:param type="spanAng" val="-90"/>
                            </dgm:alg>
                          </dgm:if>
                          <dgm:else name="Name379">
                            <dgm:alg type="cycle">
                              <dgm:param type="ctrShpMap" val="fNode"/>
                              <dgm:param type="stAng" val="0"/>
                              <dgm:param type="spanAng" val="-360"/>
                            </dgm:alg>
                          </dgm:else>
                        </dgm:choose>
                      </dgm:if>
                      <dgm:if name="Name380" axis="ch" ptType="node" func="cnt" op="gte" val="7">
                        <dgm:choose name="Name381">
                          <dgm:if name="Name382" axis="ch ch" ptType="node node" st="5 1" cnt="1 0" func="cnt" op="equ" val="1">
                            <dgm:alg type="cycle">
                              <dgm:param type="ctrShpMap" val="fNode"/>
                              <dgm:param type="stAng" val="154"/>
                            </dgm:alg>
                          </dgm:if>
                          <dgm:if name="Name383" axis="ch ch" ptType="node node" st="5 1" cnt="1 0" func="cnt" op="equ" val="2">
                            <dgm:alg type="cycle">
                              <dgm:param type="ctrShpMap" val="fNode"/>
                              <dgm:param type="stAng" val="199"/>
                              <dgm:param type="spanAng" val="-90"/>
                            </dgm:alg>
                          </dgm:if>
                          <dgm:else name="Name384">
                            <dgm:alg type="cycle">
                              <dgm:param type="ctrShpMap" val="fNode"/>
                              <dgm:param type="stAng" val="0"/>
                              <dgm:param type="spanAng" val="-360"/>
                            </dgm:alg>
                          </dgm:else>
                        </dgm:choose>
                      </dgm:if>
                      <dgm:else name="Name385"/>
                    </dgm:choose>
                  </dgm:else>
                </dgm:choose>
                <dgm:shape xmlns:r="http://schemas.openxmlformats.org/officeDocument/2006/relationships" r:blip="">
                  <dgm:adjLst/>
                </dgm:shape>
                <dgm:presOf/>
                <dgm:constrLst>
                  <dgm:constr type="sp" refType="w" fact="0.1"/>
                  <dgm:constr type="sibSp" refType="w" fact="0.1"/>
                </dgm:constrLst>
                <dgm:forEach name="Name386" axis="ch" ptType="node" st="5" cnt="1">
                  <dgm:layoutNode name="childCenter5"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87" axis="ch">
                    <dgm:forEach name="Name388" axis="self" ptType="parTrans">
                      <dgm:layoutNode name="Name38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90" axis="self" ptType="node">
                      <dgm:layoutNode name="text5"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91" axis="ch" ptType="parTrans" st="5" cnt="1">
                <dgm:layoutNode name="Name392">
                  <dgm:alg type="conn">
                    <dgm:param type="dim" val="1D"/>
                    <dgm:param type="begPts" val="auto"/>
                    <dgm:param type="endPts" val="auto"/>
                    <dgm:param type="endSty" val="noArr"/>
                    <dgm:param type="srcNode" val="textCenter"/>
                    <dgm:param type="dstNode" val="childCenter5"/>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93"/>
          </dgm:choose>
          <dgm:choose name="Name394">
            <dgm:if name="Name395" axis="ch" ptType="node" func="cnt" op="gte" val="6">
              <dgm:layoutNode name="cycle_6">
                <dgm:choose name="Name396">
                  <dgm:if name="Name397" func="var" arg="dir" op="equ" val="norm">
                    <dgm:choose name="Name398">
                      <dgm:if name="Name399" axis="ch" ptType="node" func="cnt" op="equ" val="6">
                        <dgm:choose name="Name400">
                          <dgm:if name="Name401" axis="ch ch" ptType="node node" st="6 1" cnt="1 0" func="cnt" op="equ" val="1">
                            <dgm:alg type="cycle">
                              <dgm:param type="ctrShpMap" val="fNode"/>
                              <dgm:param type="stAng" val="300"/>
                            </dgm:alg>
                          </dgm:if>
                          <dgm:if name="Name402" axis="ch ch" ptType="node node" st="6 1" cnt="1 0" func="cnt" op="equ" val="2">
                            <dgm:alg type="cycle">
                              <dgm:param type="ctrShpMap" val="fNode"/>
                              <dgm:param type="stAng" val="255"/>
                              <dgm:param type="spanAng" val="90"/>
                            </dgm:alg>
                          </dgm:if>
                          <dgm:else name="Name403">
                            <dgm:alg type="cycle">
                              <dgm:param type="ctrShpMap" val="fNode"/>
                              <dgm:param type="stAng" val="0"/>
                              <dgm:param type="spanAng" val="360"/>
                            </dgm:alg>
                          </dgm:else>
                        </dgm:choose>
                      </dgm:if>
                      <dgm:if name="Name404" axis="ch" ptType="node" func="cnt" op="gte" val="7">
                        <dgm:choose name="Name405">
                          <dgm:if name="Name406" axis="ch ch" ptType="node node" st="6 1" cnt="1 0" func="cnt" op="equ" val="1">
                            <dgm:alg type="cycle">
                              <dgm:param type="ctrShpMap" val="fNode"/>
                              <dgm:param type="stAng" val="257"/>
                            </dgm:alg>
                          </dgm:if>
                          <dgm:if name="Name407" axis="ch ch" ptType="node node" st="6 1" cnt="1 0" func="cnt" op="equ" val="2">
                            <dgm:alg type="cycle">
                              <dgm:param type="ctrShpMap" val="fNode"/>
                              <dgm:param type="stAng" val="212"/>
                              <dgm:param type="spanAng" val="90"/>
                            </dgm:alg>
                          </dgm:if>
                          <dgm:else name="Name408">
                            <dgm:alg type="cycle">
                              <dgm:param type="ctrShpMap" val="fNode"/>
                              <dgm:param type="stAng" val="0"/>
                              <dgm:param type="spanAng" val="360"/>
                            </dgm:alg>
                          </dgm:else>
                        </dgm:choose>
                      </dgm:if>
                      <dgm:else name="Name409"/>
                    </dgm:choose>
                  </dgm:if>
                  <dgm:else name="Name410">
                    <dgm:choose name="Name411">
                      <dgm:if name="Name412" axis="ch" ptType="node" func="cnt" op="equ" val="6">
                        <dgm:choose name="Name413">
                          <dgm:if name="Name414" axis="ch ch" ptType="node node" st="6 1" cnt="1 0" func="cnt" op="equ" val="1">
                            <dgm:alg type="cycle">
                              <dgm:param type="ctrShpMap" val="fNode"/>
                              <dgm:param type="stAng" val="60"/>
                            </dgm:alg>
                          </dgm:if>
                          <dgm:if name="Name415" axis="ch ch" ptType="node node" st="6 1" cnt="1 0" func="cnt" op="equ" val="2">
                            <dgm:alg type="cycle">
                              <dgm:param type="ctrShpMap" val="fNode"/>
                              <dgm:param type="stAng" val="105"/>
                              <dgm:param type="spanAng" val="-90"/>
                            </dgm:alg>
                          </dgm:if>
                          <dgm:else name="Name416">
                            <dgm:alg type="cycle">
                              <dgm:param type="ctrShpMap" val="fNode"/>
                              <dgm:param type="stAng" val="0"/>
                              <dgm:param type="spanAng" val="-360"/>
                            </dgm:alg>
                          </dgm:else>
                        </dgm:choose>
                      </dgm:if>
                      <dgm:if name="Name417" axis="ch" ptType="node" func="cnt" op="gte" val="7">
                        <dgm:choose name="Name418">
                          <dgm:if name="Name419" axis="ch ch" ptType="node node" st="6 1" cnt="1 0" func="cnt" op="equ" val="1">
                            <dgm:alg type="cycle">
                              <dgm:param type="ctrShpMap" val="fNode"/>
                              <dgm:param type="stAng" val="102"/>
                            </dgm:alg>
                          </dgm:if>
                          <dgm:if name="Name420" axis="ch ch" ptType="node node" st="6 1" cnt="1 0" func="cnt" op="equ" val="2">
                            <dgm:alg type="cycle">
                              <dgm:param type="ctrShpMap" val="fNode"/>
                              <dgm:param type="stAng" val="147"/>
                              <dgm:param type="spanAng" val="-90"/>
                            </dgm:alg>
                          </dgm:if>
                          <dgm:else name="Name421">
                            <dgm:alg type="cycle">
                              <dgm:param type="ctrShpMap" val="fNode"/>
                              <dgm:param type="stAng" val="0"/>
                              <dgm:param type="spanAng" val="-360"/>
                            </dgm:alg>
                          </dgm:else>
                        </dgm:choose>
                      </dgm:if>
                      <dgm:else name="Name422"/>
                    </dgm:choose>
                  </dgm:else>
                </dgm:choose>
                <dgm:shape xmlns:r="http://schemas.openxmlformats.org/officeDocument/2006/relationships" r:blip="">
                  <dgm:adjLst/>
                </dgm:shape>
                <dgm:presOf/>
                <dgm:constrLst>
                  <dgm:constr type="sp" refType="w" fact="0.1"/>
                  <dgm:constr type="sibSp" refType="w" fact="0.1"/>
                </dgm:constrLst>
                <dgm:forEach name="Name423" axis="ch" ptType="node" st="6" cnt="1">
                  <dgm:layoutNode name="childCenter6"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24" axis="ch">
                    <dgm:forEach name="Name425" axis="self" ptType="parTrans">
                      <dgm:layoutNode name="Name42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27" axis="self" ptType="node">
                      <dgm:layoutNode name="text6"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28" axis="ch" ptType="parTrans" st="6" cnt="1">
                <dgm:layoutNode name="Name429">
                  <dgm:alg type="conn">
                    <dgm:param type="dim" val="1D"/>
                    <dgm:param type="begPts" val="auto"/>
                    <dgm:param type="endPts" val="auto"/>
                    <dgm:param type="endSty" val="noArr"/>
                    <dgm:param type="srcNode" val="textCenter"/>
                    <dgm:param type="dstNode" val="childCenter6"/>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30"/>
          </dgm:choose>
          <dgm:choose name="Name431">
            <dgm:if name="Name432" axis="ch" ptType="node" func="cnt" op="gte" val="7">
              <dgm:layoutNode name="cycle_7">
                <dgm:choose name="Name433">
                  <dgm:if name="Name434" func="var" arg="dir" op="equ" val="norm">
                    <dgm:choose name="Name435">
                      <dgm:if name="Name436" axis="ch" ptType="node" func="cnt" op="gte" val="7">
                        <dgm:choose name="Name437">
                          <dgm:if name="Name438" axis="ch ch" ptType="node node" st="7 1" cnt="1 0" func="cnt" op="equ" val="1">
                            <dgm:alg type="cycle">
                              <dgm:param type="ctrShpMap" val="fNode"/>
                              <dgm:param type="stAng" val="308"/>
                            </dgm:alg>
                          </dgm:if>
                          <dgm:if name="Name439" axis="ch ch" ptType="node node" st="7 1" cnt="1 0" func="cnt" op="equ" val="2">
                            <dgm:alg type="cycle">
                              <dgm:param type="ctrShpMap" val="fNode"/>
                              <dgm:param type="stAng" val="263"/>
                              <dgm:param type="spanAng" val="90"/>
                            </dgm:alg>
                          </dgm:if>
                          <dgm:else name="Name440">
                            <dgm:alg type="cycle">
                              <dgm:param type="ctrShpMap" val="fNode"/>
                              <dgm:param type="stAng" val="0"/>
                              <dgm:param type="spanAng" val="360"/>
                            </dgm:alg>
                          </dgm:else>
                        </dgm:choose>
                      </dgm:if>
                      <dgm:else name="Name441"/>
                    </dgm:choose>
                  </dgm:if>
                  <dgm:else name="Name442">
                    <dgm:choose name="Name443">
                      <dgm:if name="Name444" axis="ch" ptType="node" func="cnt" op="gte" val="7">
                        <dgm:choose name="Name445">
                          <dgm:if name="Name446" axis="ch ch" ptType="node node" st="7 1" cnt="1 0" func="cnt" op="equ" val="1">
                            <dgm:alg type="cycle">
                              <dgm:param type="ctrShpMap" val="fNode"/>
                              <dgm:param type="stAng" val="51"/>
                            </dgm:alg>
                          </dgm:if>
                          <dgm:if name="Name447" axis="ch ch" ptType="node node" st="7 1" cnt="1 0" func="cnt" op="equ" val="2">
                            <dgm:alg type="cycle">
                              <dgm:param type="ctrShpMap" val="fNode"/>
                              <dgm:param type="stAng" val="96"/>
                              <dgm:param type="spanAng" val="-90"/>
                            </dgm:alg>
                          </dgm:if>
                          <dgm:else name="Name448">
                            <dgm:alg type="cycle">
                              <dgm:param type="ctrShpMap" val="fNode"/>
                              <dgm:param type="stAng" val="0"/>
                              <dgm:param type="spanAng" val="-360"/>
                            </dgm:alg>
                          </dgm:else>
                        </dgm:choose>
                      </dgm:if>
                      <dgm:else name="Name449"/>
                    </dgm:choose>
                  </dgm:else>
                </dgm:choose>
                <dgm:shape xmlns:r="http://schemas.openxmlformats.org/officeDocument/2006/relationships" r:blip="">
                  <dgm:adjLst/>
                </dgm:shape>
                <dgm:presOf/>
                <dgm:constrLst>
                  <dgm:constr type="sp" refType="w" fact="0.1"/>
                  <dgm:constr type="sibSp" refType="w" fact="0.1"/>
                </dgm:constrLst>
                <dgm:forEach name="Name450" axis="ch" ptType="node" st="7" cnt="1">
                  <dgm:layoutNode name="childCenter7"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51" axis="ch">
                    <dgm:forEach name="Name452" axis="self" ptType="parTrans">
                      <dgm:layoutNode name="Name453">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54" axis="self" ptType="node">
                      <dgm:layoutNode name="text7"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55" axis="ch" ptType="parTrans" st="7" cnt="1">
                <dgm:layoutNode name="Name456">
                  <dgm:alg type="conn">
                    <dgm:param type="dim" val="1D"/>
                    <dgm:param type="begPts" val="auto"/>
                    <dgm:param type="endPts" val="auto"/>
                    <dgm:param type="endSty" val="noArr"/>
                    <dgm:param type="srcNode" val="textCenter"/>
                    <dgm:param type="dstNode" val="childCenter7"/>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57"/>
          </dgm:choose>
        </dgm:else>
      </dgm:choose>
    </dgm:forEach>
  </dgm:layoutNode>
</dgm:layoutDef>
</file>

<file path=word/diagrams/layout3.xml><?xml version="1.0" encoding="utf-8"?>
<dgm:layoutDef xmlns:dgm="http://schemas.openxmlformats.org/drawingml/2006/diagram" xmlns:a="http://schemas.openxmlformats.org/drawingml/2006/main" uniqueId="urn:microsoft.com/office/officeart/2005/8/layout/StepDownProcess">
  <dgm:title val=""/>
  <dgm:desc val=""/>
  <dgm:catLst>
    <dgm:cat type="process" pri="16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tL"/>
          <dgm:param type="flowDir" val="row"/>
          <dgm:param type="off" val="off"/>
          <dgm:param type="bkpt" val="fixed"/>
          <dgm:param type="bkPtFixedVal" val="1"/>
        </dgm:alg>
      </dgm:if>
      <dgm:else name="Name2">
        <dgm:alg type="snake">
          <dgm:param type="grDir" val="tR"/>
          <dgm:param type="flowDir" val="row"/>
          <dgm:param type="off" val="off"/>
          <dgm:param type="bkpt" val="fixed"/>
          <dgm:param type="bkPtFixedVal" val="1"/>
        </dgm:alg>
      </dgm:else>
    </dgm:choose>
    <dgm:shape xmlns:r="http://schemas.openxmlformats.org/officeDocument/2006/relationships" r:blip="">
      <dgm:adjLst/>
    </dgm:shape>
    <dgm:choose name="Name3">
      <dgm:if name="Name4" func="var" arg="dir" op="equ" val="norm">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if>
      <dgm:else name="Name5">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else>
    </dgm:choose>
    <dgm:forEach name="nodesForEach" axis="ch" ptType="node">
      <dgm:layoutNode name="composite">
        <dgm:alg type="composite">
          <dgm:param type="ar" val="1.2439"/>
        </dgm:alg>
        <dgm:shape xmlns:r="http://schemas.openxmlformats.org/officeDocument/2006/relationships" r:blip="">
          <dgm:adjLst/>
        </dgm:shape>
        <dgm:choose name="Name6">
          <dgm:if name="Name7" func="var" arg="dir" op="equ" val="norm">
            <dgm:constrLst>
              <dgm:constr type="l" for="ch" forName="bentUpArrow1" refType="w" fact="0.07"/>
              <dgm:constr type="t" for="ch" forName="bentUpArrow1" refType="h" fact="0.524"/>
              <dgm:constr type="w" for="ch" forName="bentUpArrow1" refType="w" fact="0.3844"/>
              <dgm:constr type="h" for="ch" forName="bentUpArrow1" refType="h" fact="0.42"/>
              <dgm:constr type="l" for="ch" forName="ParentText" refType="w" fact="0"/>
              <dgm:constr type="t" for="ch" forName="ParentText" refType="h" fact="0"/>
              <dgm:constr type="w" for="ch" forName="ParentText" refType="w" fact="0.5684"/>
              <dgm:constr type="h" for="ch" forName="ParentText" refType="h" fact="0.4949"/>
              <dgm:constr type="l" for="ch" forName="ChildText" refType="w" refFor="ch" refForName="ParentText"/>
              <dgm:constr type="t" for="ch" forName="ChildText" refType="h" fact="0.05"/>
              <dgm:constr type="w" for="ch" forName="ChildText" refType="w" fact="0.4134"/>
              <dgm:constr type="h" for="ch" forName="ChildText" refType="h" fact="0.4"/>
              <dgm:constr type="l" for="ch" forName="FinalChildText" refType="w" refFor="ch" refForName="ParentText"/>
              <dgm:constr type="t" for="ch" forName="FinalChildText" refType="h" fact="0.05"/>
              <dgm:constr type="w" for="ch" forName="FinalChildText" refType="w" fact="0.4134"/>
              <dgm:constr type="h" for="ch" forName="FinalChildText" refType="h" fact="0.4"/>
            </dgm:constrLst>
          </dgm:if>
          <dgm:else name="Name8">
            <dgm:constrLst>
              <dgm:constr type="r" for="ch" forName="bentUpArrow1" refType="w" fact="0.97"/>
              <dgm:constr type="t" for="ch" forName="bentUpArrow1" refType="h" fact="0.524"/>
              <dgm:constr type="w" for="ch" forName="bentUpArrow1" refType="w" fact="0.3844"/>
              <dgm:constr type="h" for="ch" forName="bentUpArrow1" refType="h" fact="0.42"/>
              <dgm:constr type="l" for="ch" forName="ParentText" refType="w" fact="0.4316"/>
              <dgm:constr type="t" for="ch" forName="ParentText" refType="h" fact="0"/>
              <dgm:constr type="w" for="ch" forName="ParentText" refType="w" fact="0.5684"/>
              <dgm:constr type="h" for="ch" forName="ParentText" refType="h" fact="0.4949"/>
              <dgm:constr type="l" for="ch" forName="ChildText" refType="w" fact="0"/>
              <dgm:constr type="t" for="ch" forName="ChildText" refType="h" fact="0.05"/>
              <dgm:constr type="w" for="ch" forName="ChildText" refType="w" fact="0.4134"/>
              <dgm:constr type="h" for="ch" forName="ChildText" refType="h" fact="0.4"/>
              <dgm:constr type="l" for="ch" forName="FinalChildText" refType="w" fact="0"/>
              <dgm:constr type="t" for="ch" forName="FinalChildText" refType="h" fact="0.05"/>
              <dgm:constr type="w" for="ch" forName="FinalChildText" refType="w" fact="0.4134"/>
              <dgm:constr type="h" for="ch" forName="FinalChildText" refType="h" fact="0.4"/>
            </dgm:constrLst>
          </dgm:else>
        </dgm:choose>
        <dgm:choose name="Name9">
          <dgm:if name="Name10" axis="followSib" ptType="node" func="cnt" op="gte" val="1">
            <dgm:layoutNode name="bentUpArrow1" styleLbl="alignImgPlace1">
              <dgm:alg type="sp"/>
              <dgm:choose name="Name11">
                <dgm:if name="Name12" func="var" arg="dir" op="equ" val="norm">
                  <dgm:shape xmlns:r="http://schemas.openxmlformats.org/officeDocument/2006/relationships" rot="90" type="bentUpArrow" r:blip="">
                    <dgm:adjLst>
                      <dgm:adj idx="1" val="0.3284"/>
                      <dgm:adj idx="2" val="0.25"/>
                      <dgm:adj idx="3" val="0.3578"/>
                    </dgm:adjLst>
                  </dgm:shape>
                </dgm:if>
                <dgm:else name="Name13">
                  <dgm:shape xmlns:r="http://schemas.openxmlformats.org/officeDocument/2006/relationships" rot="180" type="bentArrow" r:blip="">
                    <dgm:adjLst>
                      <dgm:adj idx="1" val="0.3284"/>
                      <dgm:adj idx="2" val="0.25"/>
                      <dgm:adj idx="3" val="0.3578"/>
                      <dgm:adj idx="4" val="0"/>
                    </dgm:adjLst>
                  </dgm:shape>
                </dgm:else>
              </dgm:choose>
              <dgm:presOf/>
            </dgm:layoutNode>
          </dgm:if>
          <dgm:else name="Name14"/>
        </dgm:choose>
        <dgm:layoutNode name="ParentText" styleLbl="node1">
          <dgm:varLst>
            <dgm:chMax val="1"/>
            <dgm:chPref val="1"/>
            <dgm:bulletEnabled val="1"/>
          </dgm:varLst>
          <dgm:alg type="tx"/>
          <dgm:shape xmlns:r="http://schemas.openxmlformats.org/officeDocument/2006/relationships" type="roundRect" r:blip="">
            <dgm:adjLst>
              <dgm:adj idx="1" val="0.166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15">
          <dgm:if name="Name16" axis="followSib" ptType="node" func="cnt" op="equ" val="0">
            <dgm:choose name="Name17">
              <dgm:if name="Name18" axis="ch" ptType="node" func="cnt" op="gte" val="1">
                <dgm:layoutNode name="Final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9"/>
            </dgm:choose>
          </dgm:if>
          <dgm:else name="Name20">
            <dgm:layoutNode name="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FEEEC7-CD2A-574F-81A5-E66AFFB957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219</Pages>
  <Words>361483</Words>
  <Characters>2060453</Characters>
  <Application>Microsoft Macintosh Word</Application>
  <DocSecurity>0</DocSecurity>
  <Lines>17170</Lines>
  <Paragraphs>4834</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2417102</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dc:creator>
  <cp:keywords/>
  <dc:description/>
  <cp:lastModifiedBy>M</cp:lastModifiedBy>
  <cp:revision>2</cp:revision>
  <cp:lastPrinted>2016-07-16T13:48:00Z</cp:lastPrinted>
  <dcterms:created xsi:type="dcterms:W3CDTF">2016-07-16T15:13:00Z</dcterms:created>
  <dcterms:modified xsi:type="dcterms:W3CDTF">2016-07-16T15:13:00Z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martinwiener@hotmail.co.uk@www.mendeley.com</vt:lpwstr>
  </property>
  <property fmtid="{D5CDD505-2E9C-101B-9397-08002B2CF9AE}" pid="4" name="Mendeley Citation Style_1">
    <vt:lpwstr>http://www.zotero.org/styles/nature</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