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0.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D1052" w:rsidRPr="00C12394" w:rsidRDefault="005D1052" w:rsidP="005D1052">
      <w:pPr>
        <w:pBdr>
          <w:top w:val="single" w:sz="18" w:space="1" w:color="auto"/>
          <w:bottom w:val="single" w:sz="18" w:space="1" w:color="auto"/>
        </w:pBdr>
        <w:spacing w:line="240" w:lineRule="auto"/>
        <w:ind w:firstLine="0"/>
        <w:jc w:val="center"/>
        <w:rPr>
          <w:rFonts w:ascii="Times New Roman" w:hAnsi="Times New Roman" w:cs="Aharoni"/>
          <w:color w:val="000000" w:themeColor="text1"/>
        </w:rPr>
      </w:pPr>
    </w:p>
    <w:p w:rsidR="005D1052" w:rsidRDefault="005D1052" w:rsidP="005D1052">
      <w:pPr>
        <w:pBdr>
          <w:top w:val="single" w:sz="18" w:space="1" w:color="auto"/>
          <w:bottom w:val="single" w:sz="18" w:space="1" w:color="auto"/>
        </w:pBdr>
        <w:spacing w:line="240" w:lineRule="auto"/>
        <w:ind w:firstLine="0"/>
        <w:jc w:val="center"/>
        <w:rPr>
          <w:rFonts w:ascii="Times New Roman" w:hAnsi="Times New Roman" w:cs="Aharoni"/>
          <w:color w:val="000000" w:themeColor="text1"/>
          <w:sz w:val="56"/>
        </w:rPr>
      </w:pPr>
      <w:r w:rsidRPr="00131A4B">
        <w:rPr>
          <w:rFonts w:ascii="Times New Roman" w:hAnsi="Times New Roman" w:cs="Aharoni"/>
          <w:color w:val="000000" w:themeColor="text1"/>
          <w:sz w:val="56"/>
        </w:rPr>
        <w:t xml:space="preserve">In silico study of </w:t>
      </w:r>
      <w:r>
        <w:rPr>
          <w:rFonts w:ascii="Times New Roman" w:hAnsi="Times New Roman" w:cs="Aharoni"/>
          <w:color w:val="000000" w:themeColor="text1"/>
          <w:sz w:val="56"/>
        </w:rPr>
        <w:t>the mechanisms of cell deposition into 3D r</w:t>
      </w:r>
      <w:r w:rsidRPr="00131A4B">
        <w:rPr>
          <w:rFonts w:ascii="Times New Roman" w:hAnsi="Times New Roman" w:cs="Aharoni"/>
          <w:color w:val="000000" w:themeColor="text1"/>
          <w:sz w:val="56"/>
        </w:rPr>
        <w:t xml:space="preserve">apid </w:t>
      </w:r>
      <w:r>
        <w:rPr>
          <w:rFonts w:ascii="Times New Roman" w:hAnsi="Times New Roman" w:cs="Aharoni"/>
          <w:color w:val="000000" w:themeColor="text1"/>
          <w:sz w:val="56"/>
        </w:rPr>
        <w:t>prototyping</w:t>
      </w:r>
      <w:r w:rsidRPr="00131A4B">
        <w:rPr>
          <w:rFonts w:ascii="Times New Roman" w:hAnsi="Times New Roman" w:cs="Aharoni"/>
          <w:color w:val="000000" w:themeColor="text1"/>
          <w:sz w:val="56"/>
        </w:rPr>
        <w:t xml:space="preserve"> scaffold</w:t>
      </w:r>
      <w:r>
        <w:rPr>
          <w:rFonts w:ascii="Times New Roman" w:hAnsi="Times New Roman" w:cs="Aharoni"/>
          <w:color w:val="000000" w:themeColor="text1"/>
          <w:sz w:val="56"/>
        </w:rPr>
        <w:t>s und</w:t>
      </w:r>
      <w:bookmarkStart w:id="0" w:name="_GoBack"/>
      <w:bookmarkEnd w:id="0"/>
      <w:r>
        <w:rPr>
          <w:rFonts w:ascii="Times New Roman" w:hAnsi="Times New Roman" w:cs="Aharoni"/>
          <w:color w:val="000000" w:themeColor="text1"/>
          <w:sz w:val="56"/>
        </w:rPr>
        <w:t>er in vitro hydrodynamic conditions</w:t>
      </w:r>
    </w:p>
    <w:p w:rsidR="005D1052" w:rsidRPr="00131A4B" w:rsidRDefault="005D1052" w:rsidP="005D1052">
      <w:pPr>
        <w:pBdr>
          <w:top w:val="single" w:sz="18" w:space="1" w:color="auto"/>
          <w:bottom w:val="single" w:sz="18" w:space="1" w:color="auto"/>
        </w:pBdr>
        <w:spacing w:line="240" w:lineRule="auto"/>
        <w:ind w:firstLine="0"/>
        <w:jc w:val="center"/>
        <w:rPr>
          <w:rFonts w:ascii="Times New Roman" w:hAnsi="Times New Roman" w:cs="Aharoni"/>
          <w:color w:val="000000" w:themeColor="text1"/>
        </w:rPr>
      </w:pPr>
    </w:p>
    <w:p w:rsidR="005D1052" w:rsidRPr="00C12394" w:rsidRDefault="005D1052" w:rsidP="005D1052">
      <w:pPr>
        <w:spacing w:line="240" w:lineRule="auto"/>
        <w:ind w:firstLine="0"/>
        <w:jc w:val="center"/>
        <w:rPr>
          <w:rFonts w:ascii="Times New Roman" w:hAnsi="Times New Roman" w:cs="Times New Roman"/>
          <w:color w:val="000000" w:themeColor="text1"/>
          <w:sz w:val="40"/>
        </w:rPr>
      </w:pPr>
    </w:p>
    <w:p w:rsidR="005D1052" w:rsidRDefault="005D1052" w:rsidP="005D1052">
      <w:pPr>
        <w:ind w:firstLine="0"/>
        <w:jc w:val="center"/>
        <w:rPr>
          <w:rFonts w:ascii="Times New Roman" w:hAnsi="Times New Roman" w:cs="Times New Roman"/>
        </w:rPr>
      </w:pPr>
      <w:r>
        <w:rPr>
          <w:rFonts w:ascii="Times New Roman" w:hAnsi="Times New Roman" w:cs="Times New Roman"/>
        </w:rPr>
        <w:t>DOCTOR OF</w:t>
      </w:r>
      <w:r w:rsidRPr="007B3BD4">
        <w:rPr>
          <w:rFonts w:ascii="Times New Roman" w:hAnsi="Times New Roman" w:cs="Times New Roman"/>
        </w:rPr>
        <w:t xml:space="preserve"> PHILOSOPHY</w:t>
      </w:r>
    </w:p>
    <w:p w:rsidR="005D1052" w:rsidRDefault="005D1052" w:rsidP="005D1052">
      <w:pPr>
        <w:ind w:firstLine="0"/>
        <w:jc w:val="center"/>
        <w:rPr>
          <w:rFonts w:ascii="Times New Roman" w:hAnsi="Times New Roman" w:cs="Times New Roman"/>
        </w:rPr>
      </w:pPr>
    </w:p>
    <w:p w:rsidR="005D1052" w:rsidRDefault="005D1052" w:rsidP="005D1052">
      <w:pPr>
        <w:spacing w:after="0" w:line="276" w:lineRule="auto"/>
        <w:ind w:firstLine="0"/>
        <w:jc w:val="center"/>
        <w:rPr>
          <w:rFonts w:ascii="Times New Roman" w:hAnsi="Times New Roman" w:cs="Times New Roman"/>
        </w:rPr>
      </w:pPr>
      <w:r>
        <w:rPr>
          <w:rFonts w:ascii="Times New Roman" w:hAnsi="Times New Roman" w:cs="Times New Roman"/>
        </w:rPr>
        <w:t xml:space="preserve">DEPARTMENT OF MECHANICAL ENGINEERING </w:t>
      </w:r>
    </w:p>
    <w:p w:rsidR="005D1052" w:rsidRDefault="005D1052" w:rsidP="005D1052">
      <w:pPr>
        <w:spacing w:after="240" w:line="276" w:lineRule="auto"/>
        <w:ind w:firstLine="0"/>
        <w:jc w:val="center"/>
        <w:rPr>
          <w:rFonts w:ascii="Times New Roman" w:hAnsi="Times New Roman" w:cs="Times New Roman"/>
        </w:rPr>
      </w:pPr>
      <w:r>
        <w:rPr>
          <w:rFonts w:ascii="Times New Roman" w:hAnsi="Times New Roman" w:cs="Times New Roman"/>
        </w:rPr>
        <w:t>UNIVERSITY OF SHEFFIELD</w:t>
      </w:r>
    </w:p>
    <w:p w:rsidR="005D1052" w:rsidRPr="007B3BD4" w:rsidRDefault="005D1052" w:rsidP="005D1052">
      <w:pPr>
        <w:spacing w:line="276" w:lineRule="auto"/>
        <w:ind w:firstLine="0"/>
        <w:jc w:val="center"/>
        <w:rPr>
          <w:rFonts w:ascii="Times New Roman" w:hAnsi="Times New Roman" w:cs="Times New Roman"/>
        </w:rPr>
      </w:pPr>
      <w:r>
        <w:rPr>
          <w:rFonts w:ascii="Times New Roman" w:hAnsi="Times New Roman" w:cs="Times New Roman"/>
        </w:rPr>
        <w:t>JANUARY 2016</w:t>
      </w:r>
    </w:p>
    <w:p w:rsidR="005D1052" w:rsidRPr="002B4529" w:rsidRDefault="005D1052" w:rsidP="005D1052">
      <w:pPr>
        <w:ind w:firstLine="0"/>
        <w:jc w:val="center"/>
        <w:rPr>
          <w:rFonts w:ascii="Times New Roman" w:hAnsi="Times New Roman" w:cs="Times New Roman"/>
        </w:rPr>
      </w:pPr>
    </w:p>
    <w:p w:rsidR="005D1052" w:rsidRPr="00306A4F" w:rsidRDefault="005D1052" w:rsidP="005D1052">
      <w:pPr>
        <w:spacing w:line="240" w:lineRule="auto"/>
        <w:ind w:firstLine="0"/>
        <w:jc w:val="center"/>
        <w:rPr>
          <w:rFonts w:ascii="Times New Roman" w:hAnsi="Times New Roman" w:cs="Times New Roman"/>
          <w:color w:val="000000" w:themeColor="text1"/>
          <w:szCs w:val="36"/>
        </w:rPr>
      </w:pPr>
      <w:r w:rsidRPr="00306A4F">
        <w:rPr>
          <w:rFonts w:ascii="Times New Roman" w:hAnsi="Times New Roman" w:cs="Times New Roman"/>
          <w:color w:val="000000" w:themeColor="text1"/>
          <w:szCs w:val="36"/>
        </w:rPr>
        <w:t>ANA MERCEDES CAMPOS MARIN</w:t>
      </w:r>
    </w:p>
    <w:p w:rsidR="005D1052" w:rsidRPr="00306A4F" w:rsidRDefault="005D1052" w:rsidP="005D1052">
      <w:pPr>
        <w:spacing w:line="240" w:lineRule="auto"/>
        <w:ind w:firstLine="0"/>
        <w:jc w:val="center"/>
        <w:rPr>
          <w:rFonts w:ascii="Times New Roman" w:hAnsi="Times New Roman" w:cs="Times New Roman"/>
          <w:color w:val="000000" w:themeColor="text1"/>
          <w:sz w:val="32"/>
          <w:szCs w:val="36"/>
        </w:rPr>
      </w:pPr>
    </w:p>
    <w:p w:rsidR="005D1052" w:rsidRPr="00306A4F" w:rsidRDefault="005D1052" w:rsidP="005D1052">
      <w:pPr>
        <w:spacing w:line="240" w:lineRule="auto"/>
        <w:ind w:firstLine="0"/>
        <w:jc w:val="center"/>
        <w:rPr>
          <w:rFonts w:ascii="Times New Roman" w:hAnsi="Times New Roman" w:cs="Times New Roman"/>
          <w:color w:val="000000" w:themeColor="text1"/>
          <w:szCs w:val="28"/>
        </w:rPr>
      </w:pPr>
      <w:r w:rsidRPr="00306A4F">
        <w:rPr>
          <w:rFonts w:ascii="Times New Roman" w:hAnsi="Times New Roman" w:cs="Times New Roman"/>
          <w:color w:val="000000" w:themeColor="text1"/>
          <w:szCs w:val="28"/>
        </w:rPr>
        <w:t>SUPERVISOR</w:t>
      </w:r>
    </w:p>
    <w:p w:rsidR="005D1052" w:rsidRDefault="005D1052" w:rsidP="005D1052">
      <w:pPr>
        <w:spacing w:line="240" w:lineRule="auto"/>
        <w:ind w:firstLine="0"/>
        <w:jc w:val="center"/>
        <w:rPr>
          <w:rFonts w:ascii="Times New Roman" w:hAnsi="Times New Roman" w:cs="Times New Roman"/>
          <w:color w:val="000000" w:themeColor="text1"/>
          <w:szCs w:val="28"/>
        </w:rPr>
      </w:pPr>
      <w:r w:rsidRPr="00306A4F">
        <w:rPr>
          <w:rFonts w:ascii="Times New Roman" w:hAnsi="Times New Roman" w:cs="Times New Roman"/>
          <w:color w:val="000000" w:themeColor="text1"/>
          <w:szCs w:val="28"/>
        </w:rPr>
        <w:t xml:space="preserve">PROF. </w:t>
      </w:r>
      <w:r w:rsidRPr="00F96843">
        <w:rPr>
          <w:rFonts w:ascii="Times New Roman" w:hAnsi="Times New Roman" w:cs="Times New Roman"/>
          <w:color w:val="000000" w:themeColor="text1"/>
          <w:szCs w:val="28"/>
        </w:rPr>
        <w:t>DAMIEN LACROIX</w:t>
      </w:r>
    </w:p>
    <w:p w:rsidR="005D1052" w:rsidRPr="00F96843" w:rsidRDefault="005D1052" w:rsidP="005D1052">
      <w:pPr>
        <w:spacing w:line="240" w:lineRule="auto"/>
        <w:ind w:firstLine="0"/>
        <w:jc w:val="center"/>
        <w:rPr>
          <w:rFonts w:ascii="Times New Roman" w:hAnsi="Times New Roman" w:cs="Times New Roman"/>
          <w:color w:val="000000" w:themeColor="text1"/>
          <w:szCs w:val="28"/>
        </w:rPr>
      </w:pPr>
    </w:p>
    <w:p w:rsidR="005D1052" w:rsidRPr="0009644A" w:rsidRDefault="0009644A" w:rsidP="005D1052">
      <w:pPr>
        <w:shd w:val="clear" w:color="auto" w:fill="FFFFFF"/>
        <w:spacing w:line="240" w:lineRule="auto"/>
        <w:ind w:firstLine="0"/>
        <w:jc w:val="center"/>
        <w:rPr>
          <w:rFonts w:ascii="Times New Roman" w:hAnsi="Times New Roman" w:cs="Times New Roman"/>
          <w:color w:val="000000" w:themeColor="text1"/>
          <w:szCs w:val="28"/>
        </w:rPr>
      </w:pPr>
      <w:r w:rsidRPr="0009644A">
        <w:rPr>
          <w:rFonts w:ascii="Times New Roman" w:hAnsi="Times New Roman" w:cs="Times New Roman"/>
          <w:color w:val="000000" w:themeColor="text1"/>
          <w:szCs w:val="28"/>
        </w:rPr>
        <w:t>INTERNAL EXAMINER: DR. ALBERTO MARZO</w:t>
      </w:r>
    </w:p>
    <w:p w:rsidR="005D1052" w:rsidRPr="0009644A" w:rsidRDefault="0009644A" w:rsidP="005D1052">
      <w:pPr>
        <w:shd w:val="clear" w:color="auto" w:fill="FFFFFF"/>
        <w:spacing w:line="240" w:lineRule="auto"/>
        <w:ind w:firstLine="0"/>
        <w:jc w:val="center"/>
        <w:rPr>
          <w:rFonts w:ascii="Times New Roman" w:hAnsi="Times New Roman" w:cs="Times New Roman"/>
          <w:color w:val="000000" w:themeColor="text1"/>
          <w:szCs w:val="28"/>
        </w:rPr>
      </w:pPr>
      <w:r w:rsidRPr="0009644A">
        <w:rPr>
          <w:rFonts w:ascii="Times New Roman" w:hAnsi="Times New Roman" w:cs="Times New Roman"/>
          <w:color w:val="000000" w:themeColor="text1"/>
          <w:szCs w:val="28"/>
        </w:rPr>
        <w:t>EXTERNAL EXAMINER: PROF. HANS VAN OOSTERWYCK</w:t>
      </w:r>
    </w:p>
    <w:p w:rsidR="005D1052" w:rsidRPr="00C12394" w:rsidRDefault="005D1052" w:rsidP="005D1052">
      <w:pPr>
        <w:shd w:val="clear" w:color="auto" w:fill="FFFFFF"/>
        <w:spacing w:line="240" w:lineRule="auto"/>
        <w:ind w:firstLine="0"/>
        <w:jc w:val="center"/>
        <w:rPr>
          <w:rFonts w:ascii="Times New Roman" w:hAnsi="Times New Roman" w:cs="Times New Roman"/>
          <w:color w:val="000000" w:themeColor="text1"/>
          <w:szCs w:val="28"/>
        </w:rPr>
      </w:pPr>
    </w:p>
    <w:p w:rsidR="005D1052" w:rsidRDefault="005D1052" w:rsidP="005D1052">
      <w:pPr>
        <w:spacing w:line="240" w:lineRule="auto"/>
        <w:ind w:firstLine="0"/>
        <w:rPr>
          <w:rFonts w:ascii="Times New Roman" w:hAnsi="Times New Roman" w:cs="Times New Roman"/>
          <w:color w:val="000000" w:themeColor="text1"/>
          <w:sz w:val="36"/>
        </w:rPr>
      </w:pPr>
      <w:r>
        <w:rPr>
          <w:b/>
          <w:noProof/>
          <w:lang w:eastAsia="en-GB"/>
        </w:rPr>
        <w:drawing>
          <wp:inline distT="0" distB="0" distL="0" distR="0" wp14:anchorId="6723AC36" wp14:editId="5E9274CC">
            <wp:extent cx="2146319" cy="802793"/>
            <wp:effectExtent l="0" t="0" r="6350" b="0"/>
            <wp:docPr id="8205" name="Picture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slogo_key_cmyk_med.jpg"/>
                    <pic:cNvPicPr/>
                  </pic:nvPicPr>
                  <pic:blipFill rotWithShape="1">
                    <a:blip r:embed="rId8">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rcRect l="3186" t="4427" r="4071" b="8848"/>
                    <a:stretch/>
                  </pic:blipFill>
                  <pic:spPr bwMode="auto">
                    <a:xfrm>
                      <a:off x="0" y="0"/>
                      <a:ext cx="2148481" cy="80360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themeColor="text1"/>
          <w:sz w:val="36"/>
        </w:rPr>
        <w:t xml:space="preserve">         </w:t>
      </w:r>
      <w:r>
        <w:rPr>
          <w:b/>
          <w:noProof/>
          <w:lang w:eastAsia="en-GB"/>
        </w:rPr>
        <w:drawing>
          <wp:inline distT="0" distB="0" distL="0" distR="0" wp14:anchorId="3397A681" wp14:editId="5BDB6805">
            <wp:extent cx="2490952" cy="329685"/>
            <wp:effectExtent l="0" t="0" r="508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igneo_banne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98746" cy="330717"/>
                    </a:xfrm>
                    <a:prstGeom prst="rect">
                      <a:avLst/>
                    </a:prstGeom>
                  </pic:spPr>
                </pic:pic>
              </a:graphicData>
            </a:graphic>
          </wp:inline>
        </w:drawing>
      </w:r>
    </w:p>
    <w:p w:rsidR="005D1052" w:rsidRDefault="005D1052" w:rsidP="005D1052">
      <w:pPr>
        <w:spacing w:line="240" w:lineRule="auto"/>
        <w:ind w:firstLine="0"/>
        <w:jc w:val="center"/>
        <w:rPr>
          <w:rStyle w:val="CommentReference"/>
          <w:rFonts w:ascii="Cambria" w:eastAsia="Cambria" w:hAnsi="Cambria" w:cs="Cambria"/>
          <w:color w:val="000000"/>
        </w:rPr>
        <w:sectPr w:rsidR="005D1052" w:rsidSect="00EB11EA">
          <w:footerReference w:type="even" r:id="rId11"/>
          <w:pgSz w:w="11900" w:h="16840" w:code="9"/>
          <w:pgMar w:top="2268" w:right="1134" w:bottom="851" w:left="2268" w:header="284" w:footer="454" w:gutter="0"/>
          <w:pgNumType w:fmt="lowerRoman" w:start="1" w:chapSep="emDash"/>
          <w:cols w:space="708"/>
          <w:docGrid w:linePitch="360"/>
        </w:sectPr>
      </w:pPr>
    </w:p>
    <w:p w:rsidR="005D1052" w:rsidRDefault="005D1052" w:rsidP="005D1052">
      <w:pPr>
        <w:spacing w:line="240" w:lineRule="auto"/>
        <w:ind w:firstLine="0"/>
        <w:jc w:val="center"/>
        <w:rPr>
          <w:rStyle w:val="CommentReference"/>
          <w:rFonts w:ascii="Cambria" w:eastAsia="Cambria" w:hAnsi="Cambria" w:cs="Cambria"/>
          <w:color w:val="000000"/>
        </w:rPr>
      </w:pPr>
    </w:p>
    <w:p w:rsidR="005D1052" w:rsidRPr="009269AD" w:rsidRDefault="005D1052" w:rsidP="005D1052">
      <w:pPr>
        <w:spacing w:line="276" w:lineRule="auto"/>
        <w:ind w:firstLine="0"/>
        <w:jc w:val="left"/>
        <w:rPr>
          <w:rFonts w:ascii="Cambria" w:eastAsia="Cambria" w:hAnsi="Cambria" w:cs="Cambria"/>
          <w:color w:val="000000"/>
          <w:sz w:val="18"/>
          <w:szCs w:val="18"/>
        </w:rPr>
        <w:sectPr w:rsidR="005D1052" w:rsidRPr="009269AD" w:rsidSect="00EB11EA">
          <w:type w:val="continuous"/>
          <w:pgSz w:w="11900" w:h="16840" w:code="9"/>
          <w:pgMar w:top="2268" w:right="1134" w:bottom="1701" w:left="2268" w:header="284" w:footer="454" w:gutter="0"/>
          <w:pgNumType w:fmt="lowerRoman" w:start="1" w:chapSep="emDash"/>
          <w:cols w:space="708"/>
          <w:docGrid w:linePitch="360"/>
        </w:sectPr>
      </w:pPr>
      <w:r>
        <w:rPr>
          <w:rStyle w:val="CommentReference"/>
          <w:rFonts w:ascii="Cambria" w:eastAsia="Cambria" w:hAnsi="Cambria" w:cs="Cambria"/>
          <w:color w:val="000000"/>
        </w:rPr>
        <w:lastRenderedPageBreak/>
        <w:br w:type="page"/>
      </w:r>
    </w:p>
    <w:p w:rsidR="005D1052" w:rsidRPr="00214434" w:rsidRDefault="005D1052" w:rsidP="005D1052">
      <w:pPr>
        <w:rPr>
          <w:rFonts w:ascii="Cambria" w:hAnsi="Cambria"/>
          <w:b/>
          <w:sz w:val="32"/>
        </w:rPr>
      </w:pPr>
      <w:r w:rsidRPr="00214434">
        <w:rPr>
          <w:rFonts w:ascii="Cambria" w:hAnsi="Cambria"/>
          <w:b/>
          <w:sz w:val="32"/>
        </w:rPr>
        <w:lastRenderedPageBreak/>
        <w:t>Acknowledgements</w:t>
      </w:r>
    </w:p>
    <w:p w:rsidR="005D1052" w:rsidRDefault="005D1052" w:rsidP="005D1052">
      <w:r>
        <w:t xml:space="preserve">Foremost, I would like to express my gratitude to my supervisor Professor Damien Lacroix who trusted and gave me the opportunity to take part in this PhD program. I am grateful for his continuous guidance and dedication. Moreover, I would like to thank his encouragement for attending conferences, workshops and summer schools. Also, I would like to thank his support to organise and carry out a research stay abroad during my PhD which allowed me to gain scientific skills and enhance my research outcomes. </w:t>
      </w:r>
    </w:p>
    <w:p w:rsidR="005D1052" w:rsidRPr="00C2500E" w:rsidRDefault="005D1052" w:rsidP="005D1052">
      <w:r>
        <w:t xml:space="preserve">I would like to thank Professor Gabriele Dubini and Dr. Elena Bianchi for hosting me during my research stay in Politecnico di Milano. I appreciate their advice and the research discussions we had as well as their efforts to facilitate my quick adaption to the new laboratory and research colleagues. My gratitude to Dr. Gabriele Candiani for offering me the opportunity to work in his research facilities and </w:t>
      </w:r>
      <w:r w:rsidRPr="00B801DD">
        <w:t>Chiara Diletta Malloggi</w:t>
      </w:r>
      <w:r>
        <w:t xml:space="preserve">  and Tommaso Grossi for their technical support.</w:t>
      </w:r>
    </w:p>
    <w:p w:rsidR="005D1052" w:rsidRDefault="005D1052" w:rsidP="005D1052">
      <w:r>
        <w:t>I am grateful to all INSIGNEO members, academics, research associates, PhD students and administrative staff. Especially, I am thankful to Marzia Brunelli for her cooperation in my research. Working and collaborating with her has been a fulfilling experience. A special thank to my colleagues Jafar A</w:t>
      </w:r>
      <w:r w:rsidRPr="00335CB1">
        <w:t>lsayednoor</w:t>
      </w:r>
      <w:r>
        <w:t xml:space="preserve"> and Sofia Ferreira for their kind help and encouragement during my last year of the PhD. </w:t>
      </w:r>
    </w:p>
    <w:p w:rsidR="005D1052" w:rsidRPr="00335CB1" w:rsidRDefault="005D1052" w:rsidP="005D1052">
      <w:r>
        <w:t xml:space="preserve">I gratefully acknowledge the </w:t>
      </w:r>
      <w:r w:rsidRPr="00335CB1">
        <w:t xml:space="preserve">European Research Council (258321) that has funded </w:t>
      </w:r>
      <w:r>
        <w:t>this</w:t>
      </w:r>
      <w:r w:rsidRPr="00335CB1">
        <w:t xml:space="preserve"> PhD and the European Society of Biomechanics Mobility Award for young researchers that funded my research stay in Politecnico di Milano.</w:t>
      </w:r>
    </w:p>
    <w:p w:rsidR="005D1052" w:rsidRDefault="005D1052" w:rsidP="005D1052">
      <w:r>
        <w:t>Finally, I would like to thank my family and friends for their unconditional support and love during these three years.</w:t>
      </w:r>
    </w:p>
    <w:p w:rsidR="005D1052" w:rsidRDefault="005D1052" w:rsidP="005D1052"/>
    <w:p w:rsidR="005D1052" w:rsidRDefault="005D1052" w:rsidP="005D1052"/>
    <w:p w:rsidR="005D1052" w:rsidRDefault="005D1052" w:rsidP="005D1052"/>
    <w:p w:rsidR="005D1052" w:rsidRDefault="005D1052" w:rsidP="005D1052"/>
    <w:p w:rsidR="005D1052" w:rsidRDefault="005D1052" w:rsidP="005D1052"/>
    <w:p w:rsidR="005D1052" w:rsidRDefault="005D1052" w:rsidP="005D1052"/>
    <w:p w:rsidR="005D1052" w:rsidRDefault="005D1052" w:rsidP="005D1052"/>
    <w:p w:rsidR="005D1052" w:rsidRPr="00E316C9" w:rsidRDefault="005D1052" w:rsidP="005D1052">
      <w:pPr>
        <w:spacing w:line="240" w:lineRule="auto"/>
        <w:jc w:val="center"/>
        <w:rPr>
          <w:rFonts w:ascii="Times New Roman" w:hAnsi="Times New Roman" w:cs="Times New Roman"/>
          <w:lang w:val="es-ES_tradnl"/>
        </w:rPr>
      </w:pPr>
      <w:r>
        <w:rPr>
          <w:rFonts w:ascii="Times New Roman" w:hAnsi="Times New Roman" w:cs="Times New Roman"/>
          <w:i/>
          <w:lang w:val="es-ES_tradnl"/>
        </w:rPr>
        <w:t>“</w:t>
      </w:r>
      <w:r w:rsidRPr="00E316C9">
        <w:rPr>
          <w:rFonts w:ascii="Times New Roman" w:hAnsi="Times New Roman" w:cs="Times New Roman"/>
          <w:i/>
          <w:lang w:val="es-ES_tradnl"/>
        </w:rPr>
        <w:t>A mi gran compañero Miguel</w:t>
      </w:r>
    </w:p>
    <w:p w:rsidR="005D1052" w:rsidRPr="00E316C9" w:rsidRDefault="005D1052" w:rsidP="005D1052">
      <w:pPr>
        <w:spacing w:line="240" w:lineRule="auto"/>
        <w:jc w:val="center"/>
        <w:rPr>
          <w:rFonts w:ascii="Times New Roman" w:hAnsi="Times New Roman" w:cs="Times New Roman"/>
          <w:i/>
          <w:lang w:val="es-ES_tradnl"/>
        </w:rPr>
      </w:pPr>
      <w:r w:rsidRPr="00E316C9">
        <w:rPr>
          <w:rFonts w:ascii="Times New Roman" w:hAnsi="Times New Roman" w:cs="Times New Roman"/>
          <w:i/>
          <w:lang w:val="es-ES_tradnl"/>
        </w:rPr>
        <w:t>A mis padres y mejores amigos</w:t>
      </w:r>
    </w:p>
    <w:p w:rsidR="005D1052" w:rsidRPr="00E316C9" w:rsidRDefault="005D1052" w:rsidP="005D1052">
      <w:pPr>
        <w:spacing w:line="240" w:lineRule="auto"/>
        <w:jc w:val="center"/>
        <w:rPr>
          <w:rFonts w:ascii="Times New Roman" w:hAnsi="Times New Roman" w:cs="Times New Roman"/>
          <w:i/>
          <w:lang w:val="es-ES_tradnl"/>
        </w:rPr>
      </w:pPr>
      <w:r w:rsidRPr="00E316C9">
        <w:rPr>
          <w:rFonts w:ascii="Times New Roman" w:hAnsi="Times New Roman" w:cs="Times New Roman"/>
          <w:i/>
          <w:lang w:val="es-ES_tradnl"/>
        </w:rPr>
        <w:t>A mi abuela, hermano y Candela</w:t>
      </w:r>
    </w:p>
    <w:p w:rsidR="005D1052" w:rsidRPr="00E316C9" w:rsidRDefault="005D1052" w:rsidP="005D1052">
      <w:pPr>
        <w:spacing w:line="276" w:lineRule="auto"/>
        <w:jc w:val="center"/>
        <w:rPr>
          <w:rFonts w:ascii="Times New Roman" w:hAnsi="Times New Roman" w:cs="Times New Roman"/>
          <w:i/>
          <w:lang w:val="es-ES_tradnl"/>
        </w:rPr>
      </w:pPr>
      <w:r w:rsidRPr="00E316C9">
        <w:rPr>
          <w:rFonts w:ascii="Times New Roman" w:hAnsi="Times New Roman" w:cs="Times New Roman"/>
          <w:i/>
          <w:lang w:val="es-ES_tradnl"/>
        </w:rPr>
        <w:t>A mi segunda familia durante estos tres años: Panos, Ángela, Aza, Iván</w:t>
      </w:r>
      <w:r>
        <w:rPr>
          <w:rFonts w:ascii="Times New Roman" w:hAnsi="Times New Roman" w:cs="Times New Roman"/>
          <w:i/>
          <w:lang w:val="es-ES_tradnl"/>
        </w:rPr>
        <w:t>, Ailin, Carmen, Burbuleta, Inja y Marzia</w:t>
      </w:r>
    </w:p>
    <w:p w:rsidR="005D1052" w:rsidRDefault="005D1052" w:rsidP="005D1052">
      <w:pPr>
        <w:jc w:val="center"/>
        <w:rPr>
          <w:rFonts w:ascii="Times New Roman" w:hAnsi="Times New Roman" w:cs="Times New Roman"/>
          <w:i/>
          <w:lang w:val="es-ES_tradnl"/>
        </w:rPr>
      </w:pPr>
      <w:r w:rsidRPr="00E316C9">
        <w:rPr>
          <w:rFonts w:ascii="Times New Roman" w:hAnsi="Times New Roman" w:cs="Times New Roman"/>
          <w:i/>
          <w:lang w:val="es-ES_tradnl"/>
        </w:rPr>
        <w:t xml:space="preserve">A </w:t>
      </w:r>
      <w:r>
        <w:rPr>
          <w:rFonts w:ascii="Times New Roman" w:hAnsi="Times New Roman" w:cs="Times New Roman"/>
          <w:i/>
          <w:lang w:val="es-ES_tradnl"/>
        </w:rPr>
        <w:t>Coco, Paco y Triana”</w:t>
      </w:r>
    </w:p>
    <w:p w:rsidR="005D1052" w:rsidRPr="00214434" w:rsidRDefault="005D1052" w:rsidP="005D1052">
      <w:pPr>
        <w:spacing w:line="276" w:lineRule="auto"/>
        <w:ind w:firstLine="0"/>
        <w:jc w:val="left"/>
        <w:rPr>
          <w:rFonts w:ascii="Cambria" w:hAnsi="Cambria"/>
          <w:b/>
          <w:sz w:val="32"/>
        </w:rPr>
      </w:pPr>
      <w:r w:rsidRPr="00214434">
        <w:rPr>
          <w:rFonts w:ascii="Cambria" w:hAnsi="Cambria" w:cs="Times New Roman"/>
          <w:i/>
        </w:rPr>
        <w:br w:type="page"/>
      </w:r>
      <w:r w:rsidRPr="00214434">
        <w:rPr>
          <w:rFonts w:ascii="Cambria" w:hAnsi="Cambria"/>
          <w:b/>
          <w:sz w:val="32"/>
        </w:rPr>
        <w:lastRenderedPageBreak/>
        <w:t>Publications and presentations from this thesis</w:t>
      </w:r>
    </w:p>
    <w:p w:rsidR="005D1052" w:rsidRPr="006B598B" w:rsidRDefault="005D1052" w:rsidP="005D1052">
      <w:pPr>
        <w:spacing w:before="360" w:after="0"/>
        <w:ind w:firstLine="0"/>
        <w:rPr>
          <w:b/>
          <w:sz w:val="28"/>
        </w:rPr>
      </w:pPr>
      <w:r w:rsidRPr="006B598B">
        <w:rPr>
          <w:b/>
          <w:sz w:val="28"/>
        </w:rPr>
        <w:t>Publications in scientific journals</w:t>
      </w:r>
    </w:p>
    <w:p w:rsidR="005D1052" w:rsidRPr="00232D43" w:rsidRDefault="005D1052" w:rsidP="005D1052">
      <w:pPr>
        <w:ind w:firstLine="0"/>
        <w:jc w:val="left"/>
      </w:pPr>
      <w:r w:rsidRPr="00232D43">
        <w:t xml:space="preserve">Anderson DD, Thomas TP, Marin AC, Elkins JM, Lack WD, Lacroix D. </w:t>
      </w:r>
      <w:r>
        <w:t>“</w:t>
      </w:r>
      <w:r w:rsidRPr="00232D43">
        <w:t xml:space="preserve">Computational techniques for the assessment of fracture repair”. </w:t>
      </w:r>
      <w:r w:rsidRPr="00232D43">
        <w:rPr>
          <w:i/>
        </w:rPr>
        <w:t>Injury</w:t>
      </w:r>
      <w:r w:rsidRPr="00232D43">
        <w:t>, 45, pp.S23-S31</w:t>
      </w:r>
      <w:r>
        <w:t>,</w:t>
      </w:r>
      <w:r w:rsidRPr="00232D43">
        <w:t xml:space="preserve"> 2014.</w:t>
      </w:r>
    </w:p>
    <w:p w:rsidR="005D1052" w:rsidRDefault="005D1052" w:rsidP="005D1052">
      <w:pPr>
        <w:ind w:firstLine="0"/>
      </w:pPr>
      <w:r w:rsidRPr="00232D43">
        <w:t xml:space="preserve">A. Campos Marin and D. Lacroix, “The inter-sample structural variability of regular tissue-engineered scaffolds significantly affects the micromechanical local cell environment,” </w:t>
      </w:r>
      <w:r w:rsidRPr="00232D43">
        <w:rPr>
          <w:i/>
          <w:iCs/>
        </w:rPr>
        <w:t>Interface Focus</w:t>
      </w:r>
      <w:r w:rsidRPr="00232D43">
        <w:t>, vol. 5, pp. 20140097–20140097, 2015.</w:t>
      </w:r>
    </w:p>
    <w:p w:rsidR="005D1052" w:rsidRDefault="005D1052" w:rsidP="005D1052">
      <w:pPr>
        <w:spacing w:before="360" w:after="0"/>
        <w:ind w:firstLine="0"/>
        <w:rPr>
          <w:b/>
          <w:sz w:val="28"/>
        </w:rPr>
      </w:pPr>
      <w:r w:rsidRPr="006B598B">
        <w:rPr>
          <w:b/>
          <w:sz w:val="28"/>
        </w:rPr>
        <w:t>Book chapters</w:t>
      </w:r>
    </w:p>
    <w:p w:rsidR="005D1052" w:rsidRPr="007D65FD" w:rsidRDefault="005D1052" w:rsidP="005D1052">
      <w:pPr>
        <w:ind w:firstLine="0"/>
        <w:rPr>
          <w:b/>
          <w:sz w:val="28"/>
        </w:rPr>
      </w:pPr>
      <w:r>
        <w:t xml:space="preserve">A. Campos Marin and D. Lacroix. </w:t>
      </w:r>
      <w:r w:rsidRPr="007D65FD">
        <w:t>Towards a new approach to analyse quality control and morphometric variability in a scaffold</w:t>
      </w:r>
      <w:r>
        <w:t xml:space="preserve">. Book ‘Multiscale Mechanobiology in Tissue Engineering’ published by Springer. </w:t>
      </w:r>
      <w:r w:rsidRPr="00044A61">
        <w:rPr>
          <w:i/>
        </w:rPr>
        <w:t>Under review</w:t>
      </w:r>
      <w:r>
        <w:t>.</w:t>
      </w:r>
    </w:p>
    <w:p w:rsidR="005D1052" w:rsidRPr="007D65FD" w:rsidRDefault="005D1052" w:rsidP="005D1052">
      <w:pPr>
        <w:ind w:firstLine="0"/>
        <w:rPr>
          <w:b/>
          <w:sz w:val="28"/>
        </w:rPr>
      </w:pPr>
      <w:r w:rsidRPr="00044A61">
        <w:t>A. Campos</w:t>
      </w:r>
      <w:r>
        <w:t xml:space="preserve"> Marin</w:t>
      </w:r>
      <w:r w:rsidRPr="00044A61">
        <w:t>, T. Grossi, E. Bianchi, G. Dubini, D. Lacroix. µ-Particle image velocimetry and computational fluid dynamics s</w:t>
      </w:r>
      <w:r>
        <w:t>tudy of cell seeding within a 3D</w:t>
      </w:r>
      <w:r w:rsidRPr="00044A61">
        <w:t xml:space="preserve"> porous scaffold. Book ‘Multiscale Mechanobiology in Tissue Engineering’ published by Springer. </w:t>
      </w:r>
      <w:r w:rsidRPr="00044A61">
        <w:rPr>
          <w:i/>
        </w:rPr>
        <w:t>Under review</w:t>
      </w:r>
      <w:r>
        <w:t>.</w:t>
      </w:r>
    </w:p>
    <w:p w:rsidR="005D1052" w:rsidRPr="006B598B" w:rsidRDefault="005D1052" w:rsidP="005D1052">
      <w:pPr>
        <w:spacing w:before="360" w:after="0"/>
        <w:ind w:firstLine="0"/>
        <w:rPr>
          <w:b/>
          <w:sz w:val="28"/>
        </w:rPr>
      </w:pPr>
      <w:r>
        <w:rPr>
          <w:b/>
          <w:sz w:val="28"/>
        </w:rPr>
        <w:t>Oral presentations in conferences</w:t>
      </w:r>
    </w:p>
    <w:p w:rsidR="005D1052" w:rsidRDefault="005D1052" w:rsidP="005D1052">
      <w:pPr>
        <w:ind w:firstLine="0"/>
        <w:jc w:val="left"/>
      </w:pPr>
      <w:r w:rsidRPr="005E0378">
        <w:t xml:space="preserve">A. Campos, A. Olivares, D. Lacroix. </w:t>
      </w:r>
      <w:r>
        <w:t>Computational fluid dynamics analysis to quantify the variability of rapid-prototyping scaffolds. 19th Congress of the European Society of Biomechanics (ESB2013), Patras, Greece. 25-28 August 2013.</w:t>
      </w:r>
    </w:p>
    <w:p w:rsidR="005D1052" w:rsidRPr="00535B99" w:rsidRDefault="005D1052" w:rsidP="005D1052">
      <w:pPr>
        <w:ind w:firstLine="0"/>
        <w:jc w:val="left"/>
      </w:pPr>
      <w:r>
        <w:t>A. Baldit,</w:t>
      </w:r>
      <w:r w:rsidRPr="00535B99">
        <w:t xml:space="preserve"> A. Campos, </w:t>
      </w:r>
      <w:r>
        <w:t>M. Brunelli, C. Perrault</w:t>
      </w:r>
      <w:r w:rsidRPr="00535B99">
        <w:t xml:space="preserve">, D. Lacroix. Mutlti-scale modeling in tissue engineering: a Virtual Physiological approach. </w:t>
      </w:r>
      <w:r>
        <w:t xml:space="preserve">Virtual Physiological Human Conference (VPH 2014), Trondheim, Norway. September 9-12. </w:t>
      </w:r>
    </w:p>
    <w:p w:rsidR="005D1052" w:rsidRPr="00535B99" w:rsidRDefault="005D1052" w:rsidP="005D1052">
      <w:pPr>
        <w:ind w:firstLine="0"/>
        <w:jc w:val="left"/>
      </w:pPr>
      <w:r w:rsidRPr="00535B99">
        <w:t>A. Campos</w:t>
      </w:r>
      <w:r>
        <w:t xml:space="preserve">, D. Lacroix. A structural and fluid dynamics analysis to assess the variability of rapid prototyping scaffolds. 12th international symposium on Computer Methods in Biomechanics and Biomedical engineering (CMBBE 2014) </w:t>
      </w:r>
      <w:r w:rsidRPr="00535B99">
        <w:t>Amsterdam</w:t>
      </w:r>
      <w:r>
        <w:t>, October 13 - 15.</w:t>
      </w:r>
    </w:p>
    <w:p w:rsidR="005D1052" w:rsidRPr="006F6F62" w:rsidRDefault="005D1052" w:rsidP="005D1052">
      <w:pPr>
        <w:ind w:firstLine="0"/>
        <w:jc w:val="left"/>
      </w:pPr>
      <w:r w:rsidRPr="00D41F8B">
        <w:rPr>
          <w:lang w:val="es-ES_tradnl"/>
        </w:rPr>
        <w:lastRenderedPageBreak/>
        <w:t xml:space="preserve">A. Campos, T. Grossi, E. Bianchi, G. Dubini, D. Lacroix. </w:t>
      </w:r>
      <w:r>
        <w:t>µ</w:t>
      </w:r>
      <w:r w:rsidRPr="006279F0">
        <w:t>-Particle image</w:t>
      </w:r>
      <w:r>
        <w:t xml:space="preserve"> velocimetry and</w:t>
      </w:r>
      <w:r w:rsidRPr="006279F0">
        <w:t xml:space="preserve"> c</w:t>
      </w:r>
      <w:r>
        <w:t>omputational</w:t>
      </w:r>
      <w:r w:rsidRPr="006279F0">
        <w:t xml:space="preserve"> f</w:t>
      </w:r>
      <w:r>
        <w:t>luid</w:t>
      </w:r>
      <w:r w:rsidRPr="006279F0">
        <w:t xml:space="preserve"> d</w:t>
      </w:r>
      <w:r>
        <w:t>ynamics</w:t>
      </w:r>
      <w:r w:rsidRPr="006279F0">
        <w:t xml:space="preserve"> study of cell seeding within a 3d porous scaffold</w:t>
      </w:r>
      <w:r>
        <w:t xml:space="preserve">. </w:t>
      </w:r>
      <w:r w:rsidRPr="006F6F62">
        <w:t>21st Congress of the European Society of Biomechanics</w:t>
      </w:r>
      <w:r>
        <w:t>, Prague, Czech Republic, July 5 - 8 2015.</w:t>
      </w:r>
    </w:p>
    <w:p w:rsidR="00F03735" w:rsidRDefault="005D1052" w:rsidP="005D1052">
      <w:pPr>
        <w:ind w:firstLine="0"/>
        <w:jc w:val="left"/>
      </w:pPr>
      <w:r w:rsidRPr="00D41F8B">
        <w:rPr>
          <w:lang w:val="es-ES_tradnl"/>
        </w:rPr>
        <w:t xml:space="preserve">A. Campos, T. Grossi, E. Bianchi, G. Dubini, D. Lacroix. </w:t>
      </w:r>
      <w:r>
        <w:t>µ</w:t>
      </w:r>
      <w:r w:rsidRPr="006279F0">
        <w:t>-Particle image</w:t>
      </w:r>
      <w:r>
        <w:t xml:space="preserve"> velocimetry and</w:t>
      </w:r>
      <w:r w:rsidRPr="006279F0">
        <w:t xml:space="preserve"> </w:t>
      </w:r>
    </w:p>
    <w:p w:rsidR="005D1052" w:rsidRDefault="005D1052" w:rsidP="005D1052">
      <w:pPr>
        <w:ind w:firstLine="0"/>
        <w:jc w:val="left"/>
      </w:pPr>
      <w:r w:rsidRPr="006279F0">
        <w:t>c</w:t>
      </w:r>
      <w:r>
        <w:t>omputational</w:t>
      </w:r>
      <w:r w:rsidRPr="006279F0">
        <w:t xml:space="preserve"> f</w:t>
      </w:r>
      <w:r>
        <w:t>luid</w:t>
      </w:r>
      <w:r w:rsidRPr="006279F0">
        <w:t xml:space="preserve"> d</w:t>
      </w:r>
      <w:r>
        <w:t>ynamics</w:t>
      </w:r>
      <w:r w:rsidRPr="006279F0">
        <w:t xml:space="preserve"> s</w:t>
      </w:r>
      <w:r>
        <w:t>tudy of cell seeding within a 3D</w:t>
      </w:r>
      <w:r w:rsidRPr="006279F0">
        <w:t xml:space="preserve"> porous scaffold</w:t>
      </w:r>
      <w:r>
        <w:t>. MEIbioeng15, Leeds, UK, 7</w:t>
      </w:r>
      <w:r w:rsidRPr="00535B99">
        <w:t>th</w:t>
      </w:r>
      <w:r>
        <w:t>-8</w:t>
      </w:r>
      <w:r w:rsidRPr="00535B99">
        <w:t>th</w:t>
      </w:r>
      <w:r>
        <w:t xml:space="preserve"> Sept 2015.</w:t>
      </w:r>
    </w:p>
    <w:p w:rsidR="005D1052" w:rsidRDefault="005D1052" w:rsidP="005D1052">
      <w:pPr>
        <w:tabs>
          <w:tab w:val="left" w:pos="1057"/>
        </w:tabs>
        <w:ind w:firstLine="0"/>
        <w:jc w:val="left"/>
      </w:pPr>
      <w:r w:rsidRPr="00535B99">
        <w:t>A. Campos, T. Grossi, E. Bianchi, G. Dubini, D. Lacroix</w:t>
      </w:r>
      <w:r>
        <w:t xml:space="preserve">, </w:t>
      </w:r>
      <w:r w:rsidRPr="00793D7F">
        <w:t>µ-Particle Image Velocimetry and Computational Fluid Dynamic Study of Cell Seeding within a 3D Porous Scaffold</w:t>
      </w:r>
      <w:r>
        <w:t xml:space="preserve">, </w:t>
      </w:r>
      <w:r w:rsidRPr="00793D7F">
        <w:t>5th Micro and Nano Flows Conference</w:t>
      </w:r>
      <w:r>
        <w:t xml:space="preserve"> (MNF2016), Milano, Italy, 11-14 September,</w:t>
      </w:r>
      <w:r w:rsidRPr="00793D7F">
        <w:t xml:space="preserve"> 2016</w:t>
      </w:r>
      <w:r>
        <w:t xml:space="preserve">. </w:t>
      </w:r>
      <w:r w:rsidRPr="00044A61">
        <w:rPr>
          <w:i/>
        </w:rPr>
        <w:t>Accepted</w:t>
      </w:r>
      <w:r>
        <w:t>.</w:t>
      </w:r>
    </w:p>
    <w:p w:rsidR="005D1052" w:rsidRPr="006B598B" w:rsidRDefault="005D1052" w:rsidP="005D1052">
      <w:pPr>
        <w:spacing w:before="360" w:after="0"/>
        <w:ind w:firstLine="0"/>
        <w:rPr>
          <w:b/>
          <w:sz w:val="28"/>
        </w:rPr>
      </w:pPr>
      <w:r>
        <w:rPr>
          <w:b/>
          <w:sz w:val="28"/>
        </w:rPr>
        <w:t>Poster presentations in conferences</w:t>
      </w:r>
    </w:p>
    <w:p w:rsidR="005D1052" w:rsidRDefault="005D1052" w:rsidP="005D1052">
      <w:pPr>
        <w:ind w:firstLine="0"/>
        <w:jc w:val="left"/>
      </w:pPr>
      <w:r w:rsidRPr="00535B99">
        <w:t>A. Campos</w:t>
      </w:r>
      <w:r>
        <w:t>, D. Lacroix. The inter-sample structural variability of regular tissue-engineered scaffolds affects significantly the local cell environment. 7th World Congress of Biomechanics WCB 2014), Boston, USA. July 6-11 2014.</w:t>
      </w:r>
    </w:p>
    <w:p w:rsidR="005D1052" w:rsidRDefault="005D1052" w:rsidP="005D1052">
      <w:pPr>
        <w:ind w:firstLine="0"/>
        <w:jc w:val="left"/>
      </w:pPr>
      <w:r w:rsidRPr="00535B99">
        <w:t xml:space="preserve">A. Campos, </w:t>
      </w:r>
      <w:r>
        <w:t>D. Lacroix</w:t>
      </w:r>
      <w:r w:rsidRPr="00535B99">
        <w:t xml:space="preserve"> </w:t>
      </w:r>
      <w:r>
        <w:t>The inter-sample structural variability of regular tissue-engineered scaffolds affects significantly the local cell environment. Virtual Physiological Human Conference (VPH 2014), Trondheim, Norway. September 9-12.</w:t>
      </w:r>
    </w:p>
    <w:p w:rsidR="005D1052" w:rsidRDefault="005D1052" w:rsidP="005D1052">
      <w:pPr>
        <w:ind w:firstLine="0"/>
        <w:jc w:val="left"/>
      </w:pPr>
    </w:p>
    <w:p w:rsidR="005D1052" w:rsidRDefault="005D1052" w:rsidP="005D1052">
      <w:pPr>
        <w:ind w:firstLine="0"/>
        <w:jc w:val="left"/>
        <w:sectPr w:rsidR="005D1052" w:rsidSect="00F03735">
          <w:type w:val="continuous"/>
          <w:pgSz w:w="11900" w:h="16840" w:code="9"/>
          <w:pgMar w:top="2268" w:right="1134" w:bottom="1701" w:left="2268" w:header="284" w:footer="454" w:gutter="0"/>
          <w:pgNumType w:fmt="lowerRoman" w:start="1" w:chapSep="emDash"/>
          <w:cols w:space="708"/>
          <w:docGrid w:linePitch="360"/>
        </w:sectPr>
      </w:pPr>
    </w:p>
    <w:p w:rsidR="005D1052" w:rsidRPr="00214434" w:rsidRDefault="005D1052" w:rsidP="005D1052">
      <w:pPr>
        <w:rPr>
          <w:rFonts w:ascii="Cambria" w:hAnsi="Cambria"/>
          <w:b/>
          <w:sz w:val="32"/>
        </w:rPr>
      </w:pPr>
      <w:r w:rsidRPr="00214434">
        <w:rPr>
          <w:rFonts w:ascii="Cambria" w:hAnsi="Cambria"/>
          <w:b/>
          <w:sz w:val="32"/>
        </w:rPr>
        <w:lastRenderedPageBreak/>
        <w:t>Abstract</w:t>
      </w:r>
    </w:p>
    <w:p w:rsidR="005D1052" w:rsidRDefault="005D1052" w:rsidP="005D1052">
      <w:r w:rsidRPr="003E4A23">
        <w:t xml:space="preserve">Tissue engineering scaffolds are potential candidates to develop bone grafts with autologous properties. Scaffolds mimic the bone extracellular matrix playing an active role in tissue formation. Scaffold architecture must be controlled to deliver the adequate mechanical stimuli onto cells. Rapid prototyping methods have been widely used to fabricate scaffolds with controlled regular internal microstructure. However, inaccuracies in the fabrication process could deviate the actual scaffold from its intended design leading to variations in the micromechanical cell environment and thereby </w:t>
      </w:r>
      <w:r>
        <w:t xml:space="preserve">final </w:t>
      </w:r>
      <w:r w:rsidRPr="003E4A23">
        <w:t xml:space="preserve">tissue properties. </w:t>
      </w:r>
      <w:r>
        <w:t>In this thesis, a</w:t>
      </w:r>
      <w:r w:rsidRPr="003E4A23">
        <w:t xml:space="preserve"> computational inspection protocol was developed to evaluate the quality and the reproducibility of rapid prototyping scaffolds. A commercially available scaffold with three-dimensional regular microstructure was selected and none of the inspected samples replicated the intended design. In addition, variability among samples </w:t>
      </w:r>
      <w:r>
        <w:t>at</w:t>
      </w:r>
      <w:r w:rsidRPr="003E4A23">
        <w:t xml:space="preserve"> the pore level in terms of wall shear stress and fluid velocities was found</w:t>
      </w:r>
      <w:r>
        <w:t>.</w:t>
      </w:r>
      <w:r w:rsidRPr="003E4A23">
        <w:t xml:space="preserve"> </w:t>
      </w:r>
      <w:r>
        <w:t>This</w:t>
      </w:r>
      <w:r w:rsidRPr="003E4A23">
        <w:t xml:space="preserve"> could </w:t>
      </w:r>
      <w:r>
        <w:t xml:space="preserve">potentially </w:t>
      </w:r>
      <w:r w:rsidRPr="003E4A23">
        <w:t>lead to perturbations in cell activity and affect the transport of cells during cell seeding. Scaffold cell seeding determines the initial conditions for tissue growth and the control of this process is essential towards the automatization and translation of scaffold-based therapies into clinical treatments. Micro-particle image velocimetry and cell tracking experiments were performed to characterise cell motion during hydrodynamic seeding. These experimental data were employed for the development of a computational model to predict cell transport and cell deposition onto 3D</w:t>
      </w:r>
      <w:r>
        <w:t xml:space="preserve"> scaffolds under fluid flow. This</w:t>
      </w:r>
      <w:r w:rsidRPr="003E4A23">
        <w:t xml:space="preserve"> computational m</w:t>
      </w:r>
      <w:r>
        <w:t>odel was applied to explore</w:t>
      </w:r>
      <w:r w:rsidRPr="003E4A23">
        <w:t xml:space="preserve"> in vitro cell seeding experiments. It was found that cells tend to follow the fluid streamlines reducing the probability of cell interception with scaffold substrate and therefore cell adhesion. Force due to gravity and secondary flows were identified as the main mechanisms of cell deposition during</w:t>
      </w:r>
      <w:r>
        <w:t xml:space="preserve"> cell seeding. Flow rate and geometry of the scaffold </w:t>
      </w:r>
      <w:r w:rsidRPr="003E4A23">
        <w:t xml:space="preserve">and </w:t>
      </w:r>
      <w:r>
        <w:t xml:space="preserve">the </w:t>
      </w:r>
      <w:r w:rsidRPr="003E4A23">
        <w:t>microfluidic chamber are key factors to control these mechanisms of cell deposition and enhance cell seeding efficiency.</w:t>
      </w:r>
    </w:p>
    <w:p w:rsidR="005D1052" w:rsidRDefault="005D1052" w:rsidP="005D1052">
      <w:pPr>
        <w:sectPr w:rsidR="005D1052" w:rsidSect="00EB11EA">
          <w:footerReference w:type="even" r:id="rId12"/>
          <w:footerReference w:type="default" r:id="rId13"/>
          <w:pgSz w:w="11900" w:h="16840" w:code="9"/>
          <w:pgMar w:top="2268" w:right="1134" w:bottom="1701" w:left="2268" w:header="284" w:footer="454" w:gutter="0"/>
          <w:pgNumType w:fmt="lowerRoman" w:start="1" w:chapSep="emDash"/>
          <w:cols w:space="708"/>
          <w:titlePg/>
          <w:docGrid w:linePitch="360"/>
        </w:sectPr>
      </w:pPr>
      <w:r w:rsidRPr="003E4A23">
        <w:t xml:space="preserve"> </w:t>
      </w:r>
      <w:r>
        <w:br w:type="page"/>
      </w:r>
    </w:p>
    <w:p w:rsidR="005D1052" w:rsidRDefault="005D1052" w:rsidP="00214434">
      <w:pPr>
        <w:ind w:firstLine="0"/>
        <w:rPr>
          <w:rFonts w:asciiTheme="majorHAnsi" w:hAnsiTheme="majorHAnsi"/>
          <w:b/>
          <w:sz w:val="32"/>
        </w:rPr>
      </w:pPr>
      <w:r>
        <w:lastRenderedPageBreak/>
        <w:t xml:space="preserve"> </w:t>
      </w:r>
      <w:r w:rsidRPr="00214434">
        <w:rPr>
          <w:rFonts w:ascii="Cambria" w:hAnsi="Cambria"/>
          <w:b/>
          <w:sz w:val="32"/>
        </w:rPr>
        <w:t>Index of contents</w:t>
      </w:r>
    </w:p>
    <w:p w:rsidR="005D1052" w:rsidRPr="00C74CA3" w:rsidRDefault="005D1052" w:rsidP="005D1052">
      <w:pPr>
        <w:spacing w:line="276" w:lineRule="auto"/>
        <w:ind w:firstLine="0"/>
        <w:jc w:val="left"/>
        <w:rPr>
          <w:rFonts w:asciiTheme="majorHAnsi" w:hAnsiTheme="majorHAnsi"/>
          <w:b/>
        </w:rPr>
      </w:pPr>
    </w:p>
    <w:p w:rsidR="005D1052" w:rsidRPr="00D41F8B" w:rsidRDefault="005D1052" w:rsidP="005D1052">
      <w:pPr>
        <w:spacing w:line="276" w:lineRule="auto"/>
        <w:ind w:firstLine="0"/>
        <w:jc w:val="left"/>
        <w:rPr>
          <w:rFonts w:cs="Times New Roman"/>
          <w:b/>
          <w:szCs w:val="24"/>
        </w:rPr>
      </w:pPr>
      <w:r w:rsidRPr="00D41F8B">
        <w:rPr>
          <w:rFonts w:cs="Times New Roman"/>
          <w:b/>
          <w:szCs w:val="24"/>
        </w:rPr>
        <w:t>L</w:t>
      </w:r>
      <w:r>
        <w:rPr>
          <w:rFonts w:cs="Times New Roman"/>
          <w:b/>
          <w:szCs w:val="24"/>
        </w:rPr>
        <w:t>ist of f</w:t>
      </w:r>
      <w:r w:rsidRPr="00D41F8B">
        <w:rPr>
          <w:rFonts w:cs="Times New Roman"/>
          <w:b/>
          <w:szCs w:val="24"/>
        </w:rPr>
        <w:t>igures</w:t>
      </w:r>
      <w:r w:rsidRPr="00D41F8B">
        <w:rPr>
          <w:rFonts w:cs="Times New Roman"/>
          <w:b/>
          <w:noProof/>
          <w:szCs w:val="24"/>
        </w:rPr>
        <w:t>…………………………………………………………..…………………</w:t>
      </w:r>
      <w:r>
        <w:rPr>
          <w:rFonts w:cs="Times New Roman"/>
          <w:b/>
          <w:noProof/>
          <w:szCs w:val="24"/>
        </w:rPr>
        <w:t>.</w:t>
      </w:r>
      <w:r w:rsidRPr="00D41F8B">
        <w:rPr>
          <w:rFonts w:cs="Times New Roman"/>
          <w:b/>
          <w:noProof/>
          <w:szCs w:val="24"/>
        </w:rPr>
        <w:t>……….…………………..i</w:t>
      </w:r>
    </w:p>
    <w:p w:rsidR="005D1052" w:rsidRPr="00D41F8B" w:rsidRDefault="005D1052" w:rsidP="005D1052">
      <w:pPr>
        <w:spacing w:line="276" w:lineRule="auto"/>
        <w:ind w:firstLine="0"/>
        <w:jc w:val="left"/>
        <w:rPr>
          <w:rFonts w:cs="Times New Roman"/>
          <w:b/>
          <w:szCs w:val="24"/>
        </w:rPr>
      </w:pPr>
      <w:r w:rsidRPr="00D41F8B">
        <w:rPr>
          <w:rFonts w:cs="Times New Roman"/>
          <w:b/>
          <w:szCs w:val="24"/>
        </w:rPr>
        <w:t>List of table</w:t>
      </w:r>
      <w:r>
        <w:rPr>
          <w:rFonts w:cs="Times New Roman"/>
          <w:b/>
          <w:szCs w:val="24"/>
        </w:rPr>
        <w:t>s</w:t>
      </w:r>
      <w:r>
        <w:rPr>
          <w:rFonts w:cs="Times New Roman"/>
          <w:b/>
          <w:noProof/>
          <w:szCs w:val="24"/>
        </w:rPr>
        <w:t>………………………….…</w:t>
      </w:r>
      <w:r w:rsidRPr="00D41F8B">
        <w:rPr>
          <w:rFonts w:cs="Times New Roman"/>
          <w:b/>
          <w:noProof/>
          <w:szCs w:val="24"/>
        </w:rPr>
        <w:t>……………………………………………….</w:t>
      </w:r>
      <w:r>
        <w:rPr>
          <w:rFonts w:cs="Times New Roman"/>
          <w:b/>
          <w:noProof/>
          <w:szCs w:val="24"/>
        </w:rPr>
        <w:t>.</w:t>
      </w:r>
      <w:r w:rsidRPr="00D41F8B">
        <w:rPr>
          <w:rFonts w:cs="Times New Roman"/>
          <w:b/>
          <w:noProof/>
          <w:szCs w:val="24"/>
        </w:rPr>
        <w:t>..…...………………...</w:t>
      </w:r>
      <w:r>
        <w:rPr>
          <w:rFonts w:cs="Times New Roman"/>
          <w:b/>
          <w:noProof/>
          <w:szCs w:val="24"/>
        </w:rPr>
        <w:t>..</w:t>
      </w:r>
      <w:r w:rsidRPr="00D41F8B">
        <w:rPr>
          <w:rFonts w:cs="Times New Roman"/>
          <w:b/>
          <w:szCs w:val="24"/>
        </w:rPr>
        <w:t>x</w:t>
      </w:r>
      <w:r>
        <w:rPr>
          <w:rFonts w:cs="Times New Roman"/>
          <w:b/>
          <w:szCs w:val="24"/>
        </w:rPr>
        <w:t>ii</w:t>
      </w:r>
    </w:p>
    <w:p w:rsidR="005D1052" w:rsidRPr="00D41F8B" w:rsidRDefault="005D1052" w:rsidP="005D1052">
      <w:pPr>
        <w:spacing w:line="276" w:lineRule="auto"/>
        <w:ind w:firstLine="0"/>
        <w:jc w:val="left"/>
        <w:rPr>
          <w:rFonts w:cs="Times New Roman"/>
          <w:b/>
          <w:szCs w:val="24"/>
        </w:rPr>
      </w:pPr>
      <w:r w:rsidRPr="00D41F8B">
        <w:rPr>
          <w:rFonts w:cs="Times New Roman"/>
          <w:b/>
          <w:szCs w:val="24"/>
        </w:rPr>
        <w:t>Abbreviations</w:t>
      </w:r>
      <w:r>
        <w:rPr>
          <w:rFonts w:cs="Times New Roman"/>
          <w:b/>
          <w:szCs w:val="24"/>
        </w:rPr>
        <w:t>…….………………</w:t>
      </w:r>
      <w:r w:rsidRPr="00D41F8B">
        <w:rPr>
          <w:rFonts w:cs="Times New Roman"/>
          <w:b/>
          <w:szCs w:val="24"/>
        </w:rPr>
        <w:t>…………………………………..…………………………………………....x</w:t>
      </w:r>
      <w:r>
        <w:rPr>
          <w:rFonts w:cs="Times New Roman"/>
          <w:b/>
          <w:szCs w:val="24"/>
        </w:rPr>
        <w:t>iii</w:t>
      </w:r>
    </w:p>
    <w:p w:rsidR="005D1052" w:rsidRPr="00D41F8B" w:rsidRDefault="005D1052" w:rsidP="005D1052">
      <w:pPr>
        <w:spacing w:line="276" w:lineRule="auto"/>
        <w:ind w:firstLine="0"/>
        <w:jc w:val="left"/>
        <w:rPr>
          <w:rFonts w:cs="Times New Roman"/>
          <w:szCs w:val="24"/>
        </w:rPr>
      </w:pPr>
    </w:p>
    <w:p w:rsidR="005D1052" w:rsidRDefault="005D1052" w:rsidP="005D1052">
      <w:pPr>
        <w:pStyle w:val="TOC1"/>
        <w:rPr>
          <w:rFonts w:eastAsiaTheme="minorEastAsia"/>
          <w:b w:val="0"/>
          <w:bCs w:val="0"/>
          <w:caps w:val="0"/>
          <w:noProof/>
          <w:sz w:val="22"/>
          <w:szCs w:val="22"/>
          <w:lang w:eastAsia="en-GB"/>
        </w:rPr>
      </w:pPr>
      <w:r>
        <w:rPr>
          <w:noProof/>
        </w:rPr>
        <w:fldChar w:fldCharType="begin"/>
      </w:r>
      <w:r>
        <w:rPr>
          <w:noProof/>
        </w:rPr>
        <w:instrText xml:space="preserve"> TOC \o "1-5" </w:instrText>
      </w:r>
      <w:r>
        <w:rPr>
          <w:noProof/>
        </w:rPr>
        <w:fldChar w:fldCharType="separate"/>
      </w:r>
      <w:r>
        <w:rPr>
          <w:noProof/>
        </w:rPr>
        <w:t>Chapter 1:</w:t>
      </w:r>
      <w:r>
        <w:rPr>
          <w:rFonts w:eastAsiaTheme="minorEastAsia"/>
          <w:b w:val="0"/>
          <w:bCs w:val="0"/>
          <w:caps w:val="0"/>
          <w:noProof/>
          <w:sz w:val="22"/>
          <w:szCs w:val="22"/>
          <w:lang w:eastAsia="en-GB"/>
        </w:rPr>
        <w:tab/>
      </w:r>
      <w:r>
        <w:rPr>
          <w:noProof/>
        </w:rPr>
        <w:t>Introduction</w:t>
      </w:r>
      <w:r>
        <w:rPr>
          <w:noProof/>
        </w:rPr>
        <w:tab/>
      </w:r>
      <w:r>
        <w:rPr>
          <w:noProof/>
        </w:rPr>
        <w:fldChar w:fldCharType="begin"/>
      </w:r>
      <w:r>
        <w:rPr>
          <w:noProof/>
        </w:rPr>
        <w:instrText xml:space="preserve"> PAGEREF _Toc440823165 \h </w:instrText>
      </w:r>
      <w:r>
        <w:rPr>
          <w:noProof/>
        </w:rPr>
      </w:r>
      <w:r>
        <w:rPr>
          <w:noProof/>
        </w:rPr>
        <w:fldChar w:fldCharType="separate"/>
      </w:r>
      <w:r w:rsidR="008F032F">
        <w:rPr>
          <w:noProof/>
        </w:rPr>
        <w:t>1</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1.1</w:t>
      </w:r>
      <w:r>
        <w:rPr>
          <w:rFonts w:eastAsiaTheme="minorEastAsia"/>
          <w:b w:val="0"/>
          <w:bCs w:val="0"/>
          <w:noProof/>
          <w:sz w:val="22"/>
          <w:szCs w:val="22"/>
          <w:lang w:eastAsia="en-GB"/>
        </w:rPr>
        <w:tab/>
      </w:r>
      <w:r>
        <w:rPr>
          <w:noProof/>
        </w:rPr>
        <w:t>Tissue engineering</w:t>
      </w:r>
      <w:r>
        <w:rPr>
          <w:noProof/>
        </w:rPr>
        <w:tab/>
      </w:r>
      <w:r>
        <w:rPr>
          <w:noProof/>
        </w:rPr>
        <w:fldChar w:fldCharType="begin"/>
      </w:r>
      <w:r>
        <w:rPr>
          <w:noProof/>
        </w:rPr>
        <w:instrText xml:space="preserve"> PAGEREF _Toc440823166 \h </w:instrText>
      </w:r>
      <w:r>
        <w:rPr>
          <w:noProof/>
        </w:rPr>
      </w:r>
      <w:r>
        <w:rPr>
          <w:noProof/>
        </w:rPr>
        <w:fldChar w:fldCharType="separate"/>
      </w:r>
      <w:r w:rsidR="008F032F">
        <w:rPr>
          <w:noProof/>
        </w:rPr>
        <w:t>1</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1.2</w:t>
      </w:r>
      <w:r>
        <w:rPr>
          <w:rFonts w:eastAsiaTheme="minorEastAsia"/>
          <w:b w:val="0"/>
          <w:bCs w:val="0"/>
          <w:noProof/>
          <w:sz w:val="22"/>
          <w:szCs w:val="22"/>
          <w:lang w:eastAsia="en-GB"/>
        </w:rPr>
        <w:tab/>
      </w:r>
      <w:r>
        <w:rPr>
          <w:noProof/>
        </w:rPr>
        <w:t>In silico tissue engineering</w:t>
      </w:r>
      <w:r>
        <w:rPr>
          <w:noProof/>
        </w:rPr>
        <w:tab/>
      </w:r>
      <w:r>
        <w:rPr>
          <w:noProof/>
        </w:rPr>
        <w:fldChar w:fldCharType="begin"/>
      </w:r>
      <w:r>
        <w:rPr>
          <w:noProof/>
        </w:rPr>
        <w:instrText xml:space="preserve"> PAGEREF _Toc440823167 \h </w:instrText>
      </w:r>
      <w:r>
        <w:rPr>
          <w:noProof/>
        </w:rPr>
      </w:r>
      <w:r>
        <w:rPr>
          <w:noProof/>
        </w:rPr>
        <w:fldChar w:fldCharType="separate"/>
      </w:r>
      <w:r w:rsidR="008F032F">
        <w:rPr>
          <w:noProof/>
        </w:rPr>
        <w:t>4</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1.3</w:t>
      </w:r>
      <w:r>
        <w:rPr>
          <w:rFonts w:eastAsiaTheme="minorEastAsia"/>
          <w:b w:val="0"/>
          <w:bCs w:val="0"/>
          <w:noProof/>
          <w:sz w:val="22"/>
          <w:szCs w:val="22"/>
          <w:lang w:eastAsia="en-GB"/>
        </w:rPr>
        <w:tab/>
      </w:r>
      <w:r>
        <w:rPr>
          <w:noProof/>
        </w:rPr>
        <w:t>Thesis proposal</w:t>
      </w:r>
      <w:r>
        <w:rPr>
          <w:noProof/>
        </w:rPr>
        <w:tab/>
      </w:r>
      <w:r>
        <w:rPr>
          <w:noProof/>
        </w:rPr>
        <w:fldChar w:fldCharType="begin"/>
      </w:r>
      <w:r>
        <w:rPr>
          <w:noProof/>
        </w:rPr>
        <w:instrText xml:space="preserve"> PAGEREF _Toc440823168 \h </w:instrText>
      </w:r>
      <w:r>
        <w:rPr>
          <w:noProof/>
        </w:rPr>
      </w:r>
      <w:r>
        <w:rPr>
          <w:noProof/>
        </w:rPr>
        <w:fldChar w:fldCharType="separate"/>
      </w:r>
      <w:r w:rsidR="008F032F">
        <w:rPr>
          <w:noProof/>
        </w:rPr>
        <w:t>5</w:t>
      </w:r>
      <w:r>
        <w:rPr>
          <w:noProof/>
        </w:rPr>
        <w:fldChar w:fldCharType="end"/>
      </w:r>
    </w:p>
    <w:p w:rsidR="005D1052" w:rsidRDefault="005D1052" w:rsidP="005D1052">
      <w:pPr>
        <w:pStyle w:val="TOC1"/>
        <w:rPr>
          <w:rFonts w:eastAsiaTheme="minorEastAsia"/>
          <w:b w:val="0"/>
          <w:bCs w:val="0"/>
          <w:caps w:val="0"/>
          <w:noProof/>
          <w:sz w:val="22"/>
          <w:szCs w:val="22"/>
          <w:lang w:eastAsia="en-GB"/>
        </w:rPr>
      </w:pPr>
      <w:r>
        <w:rPr>
          <w:noProof/>
        </w:rPr>
        <w:t>Chapter 2:</w:t>
      </w:r>
      <w:r>
        <w:rPr>
          <w:rFonts w:eastAsiaTheme="minorEastAsia"/>
          <w:b w:val="0"/>
          <w:bCs w:val="0"/>
          <w:caps w:val="0"/>
          <w:noProof/>
          <w:sz w:val="22"/>
          <w:szCs w:val="22"/>
          <w:lang w:eastAsia="en-GB"/>
        </w:rPr>
        <w:tab/>
      </w:r>
      <w:r>
        <w:rPr>
          <w:noProof/>
        </w:rPr>
        <w:t>Literature review</w:t>
      </w:r>
      <w:r>
        <w:rPr>
          <w:noProof/>
        </w:rPr>
        <w:tab/>
      </w:r>
      <w:r>
        <w:rPr>
          <w:noProof/>
        </w:rPr>
        <w:fldChar w:fldCharType="begin"/>
      </w:r>
      <w:r>
        <w:rPr>
          <w:noProof/>
        </w:rPr>
        <w:instrText xml:space="preserve"> PAGEREF _Toc440823169 \h </w:instrText>
      </w:r>
      <w:r>
        <w:rPr>
          <w:noProof/>
        </w:rPr>
      </w:r>
      <w:r>
        <w:rPr>
          <w:noProof/>
        </w:rPr>
        <w:fldChar w:fldCharType="separate"/>
      </w:r>
      <w:r w:rsidR="008F032F">
        <w:rPr>
          <w:noProof/>
        </w:rPr>
        <w:t>9</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2.1</w:t>
      </w:r>
      <w:r>
        <w:rPr>
          <w:rFonts w:eastAsiaTheme="minorEastAsia"/>
          <w:b w:val="0"/>
          <w:bCs w:val="0"/>
          <w:noProof/>
          <w:sz w:val="22"/>
          <w:szCs w:val="22"/>
          <w:lang w:eastAsia="en-GB"/>
        </w:rPr>
        <w:tab/>
      </w:r>
      <w:r>
        <w:rPr>
          <w:noProof/>
        </w:rPr>
        <w:t>Introduction</w:t>
      </w:r>
      <w:r>
        <w:rPr>
          <w:noProof/>
        </w:rPr>
        <w:tab/>
      </w:r>
      <w:r>
        <w:rPr>
          <w:noProof/>
        </w:rPr>
        <w:fldChar w:fldCharType="begin"/>
      </w:r>
      <w:r>
        <w:rPr>
          <w:noProof/>
        </w:rPr>
        <w:instrText xml:space="preserve"> PAGEREF _Toc440823170 \h </w:instrText>
      </w:r>
      <w:r>
        <w:rPr>
          <w:noProof/>
        </w:rPr>
      </w:r>
      <w:r>
        <w:rPr>
          <w:noProof/>
        </w:rPr>
        <w:fldChar w:fldCharType="separate"/>
      </w:r>
      <w:r w:rsidR="008F032F">
        <w:rPr>
          <w:noProof/>
        </w:rPr>
        <w:t>9</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2.1.1</w:t>
      </w:r>
      <w:r>
        <w:rPr>
          <w:rFonts w:eastAsiaTheme="minorEastAsia"/>
          <w:noProof/>
          <w:sz w:val="22"/>
          <w:szCs w:val="22"/>
          <w:lang w:eastAsia="en-GB"/>
        </w:rPr>
        <w:tab/>
      </w:r>
      <w:r>
        <w:rPr>
          <w:noProof/>
        </w:rPr>
        <w:t>Bone structure and functionality</w:t>
      </w:r>
      <w:r>
        <w:rPr>
          <w:noProof/>
        </w:rPr>
        <w:tab/>
      </w:r>
      <w:r>
        <w:rPr>
          <w:noProof/>
        </w:rPr>
        <w:fldChar w:fldCharType="begin"/>
      </w:r>
      <w:r>
        <w:rPr>
          <w:noProof/>
        </w:rPr>
        <w:instrText xml:space="preserve"> PAGEREF _Toc440823171 \h </w:instrText>
      </w:r>
      <w:r>
        <w:rPr>
          <w:noProof/>
        </w:rPr>
      </w:r>
      <w:r>
        <w:rPr>
          <w:noProof/>
        </w:rPr>
        <w:fldChar w:fldCharType="separate"/>
      </w:r>
      <w:r w:rsidR="008F032F">
        <w:rPr>
          <w:noProof/>
        </w:rPr>
        <w:t>9</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2.1.2</w:t>
      </w:r>
      <w:r>
        <w:rPr>
          <w:rFonts w:eastAsiaTheme="minorEastAsia"/>
          <w:noProof/>
          <w:sz w:val="22"/>
          <w:szCs w:val="22"/>
          <w:lang w:eastAsia="en-GB"/>
        </w:rPr>
        <w:tab/>
      </w:r>
      <w:r>
        <w:rPr>
          <w:noProof/>
        </w:rPr>
        <w:t>Bone healing</w:t>
      </w:r>
      <w:r>
        <w:rPr>
          <w:noProof/>
        </w:rPr>
        <w:tab/>
      </w:r>
      <w:r>
        <w:rPr>
          <w:noProof/>
        </w:rPr>
        <w:fldChar w:fldCharType="begin"/>
      </w:r>
      <w:r>
        <w:rPr>
          <w:noProof/>
        </w:rPr>
        <w:instrText xml:space="preserve"> PAGEREF _Toc440823172 \h </w:instrText>
      </w:r>
      <w:r>
        <w:rPr>
          <w:noProof/>
        </w:rPr>
      </w:r>
      <w:r>
        <w:rPr>
          <w:noProof/>
        </w:rPr>
        <w:fldChar w:fldCharType="separate"/>
      </w:r>
      <w:r w:rsidR="008F032F">
        <w:rPr>
          <w:noProof/>
        </w:rPr>
        <w:t>11</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2.1.3</w:t>
      </w:r>
      <w:r>
        <w:rPr>
          <w:rFonts w:eastAsiaTheme="minorEastAsia"/>
          <w:noProof/>
          <w:sz w:val="22"/>
          <w:szCs w:val="22"/>
          <w:lang w:eastAsia="en-GB"/>
        </w:rPr>
        <w:tab/>
      </w:r>
      <w:r>
        <w:rPr>
          <w:noProof/>
        </w:rPr>
        <w:t>The role of tissue engineering in bone fracture repair</w:t>
      </w:r>
      <w:r>
        <w:rPr>
          <w:noProof/>
        </w:rPr>
        <w:tab/>
      </w:r>
      <w:r>
        <w:rPr>
          <w:noProof/>
        </w:rPr>
        <w:fldChar w:fldCharType="begin"/>
      </w:r>
      <w:r>
        <w:rPr>
          <w:noProof/>
        </w:rPr>
        <w:instrText xml:space="preserve"> PAGEREF _Toc440823173 \h </w:instrText>
      </w:r>
      <w:r>
        <w:rPr>
          <w:noProof/>
        </w:rPr>
      </w:r>
      <w:r>
        <w:rPr>
          <w:noProof/>
        </w:rPr>
        <w:fldChar w:fldCharType="separate"/>
      </w:r>
      <w:r w:rsidR="008F032F">
        <w:rPr>
          <w:noProof/>
        </w:rPr>
        <w:t>12</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2.2</w:t>
      </w:r>
      <w:r>
        <w:rPr>
          <w:rFonts w:eastAsiaTheme="minorEastAsia"/>
          <w:b w:val="0"/>
          <w:bCs w:val="0"/>
          <w:noProof/>
          <w:sz w:val="22"/>
          <w:szCs w:val="22"/>
          <w:lang w:eastAsia="en-GB"/>
        </w:rPr>
        <w:tab/>
      </w:r>
      <w:r>
        <w:rPr>
          <w:noProof/>
        </w:rPr>
        <w:t>Scaffolds</w:t>
      </w:r>
      <w:r>
        <w:rPr>
          <w:noProof/>
        </w:rPr>
        <w:tab/>
      </w:r>
      <w:r>
        <w:rPr>
          <w:noProof/>
        </w:rPr>
        <w:fldChar w:fldCharType="begin"/>
      </w:r>
      <w:r>
        <w:rPr>
          <w:noProof/>
        </w:rPr>
        <w:instrText xml:space="preserve"> PAGEREF _Toc440823174 \h </w:instrText>
      </w:r>
      <w:r>
        <w:rPr>
          <w:noProof/>
        </w:rPr>
      </w:r>
      <w:r>
        <w:rPr>
          <w:noProof/>
        </w:rPr>
        <w:fldChar w:fldCharType="separate"/>
      </w:r>
      <w:r w:rsidR="008F032F">
        <w:rPr>
          <w:noProof/>
        </w:rPr>
        <w:t>13</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2.2.1</w:t>
      </w:r>
      <w:r>
        <w:rPr>
          <w:rFonts w:eastAsiaTheme="minorEastAsia"/>
          <w:noProof/>
          <w:sz w:val="22"/>
          <w:szCs w:val="22"/>
          <w:lang w:eastAsia="en-GB"/>
        </w:rPr>
        <w:tab/>
      </w:r>
      <w:r>
        <w:rPr>
          <w:noProof/>
        </w:rPr>
        <w:t>Scaffold architecture</w:t>
      </w:r>
      <w:r>
        <w:rPr>
          <w:noProof/>
        </w:rPr>
        <w:tab/>
      </w:r>
      <w:r>
        <w:rPr>
          <w:noProof/>
        </w:rPr>
        <w:fldChar w:fldCharType="begin"/>
      </w:r>
      <w:r>
        <w:rPr>
          <w:noProof/>
        </w:rPr>
        <w:instrText xml:space="preserve"> PAGEREF _Toc440823175 \h </w:instrText>
      </w:r>
      <w:r>
        <w:rPr>
          <w:noProof/>
        </w:rPr>
      </w:r>
      <w:r>
        <w:rPr>
          <w:noProof/>
        </w:rPr>
        <w:fldChar w:fldCharType="separate"/>
      </w:r>
      <w:r w:rsidR="008F032F">
        <w:rPr>
          <w:noProof/>
        </w:rPr>
        <w:t>14</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2.2.2</w:t>
      </w:r>
      <w:r>
        <w:rPr>
          <w:rFonts w:eastAsiaTheme="minorEastAsia"/>
          <w:noProof/>
          <w:sz w:val="22"/>
          <w:szCs w:val="22"/>
          <w:lang w:eastAsia="en-GB"/>
        </w:rPr>
        <w:tab/>
      </w:r>
      <w:r>
        <w:rPr>
          <w:noProof/>
        </w:rPr>
        <w:t>Scaffold material</w:t>
      </w:r>
      <w:r>
        <w:rPr>
          <w:noProof/>
        </w:rPr>
        <w:tab/>
      </w:r>
      <w:r>
        <w:rPr>
          <w:noProof/>
        </w:rPr>
        <w:fldChar w:fldCharType="begin"/>
      </w:r>
      <w:r>
        <w:rPr>
          <w:noProof/>
        </w:rPr>
        <w:instrText xml:space="preserve"> PAGEREF _Toc440823176 \h </w:instrText>
      </w:r>
      <w:r>
        <w:rPr>
          <w:noProof/>
        </w:rPr>
      </w:r>
      <w:r>
        <w:rPr>
          <w:noProof/>
        </w:rPr>
        <w:fldChar w:fldCharType="separate"/>
      </w:r>
      <w:r w:rsidR="008F032F">
        <w:rPr>
          <w:noProof/>
        </w:rPr>
        <w:t>17</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2.2.3</w:t>
      </w:r>
      <w:r>
        <w:rPr>
          <w:rFonts w:eastAsiaTheme="minorEastAsia"/>
          <w:noProof/>
          <w:sz w:val="22"/>
          <w:szCs w:val="22"/>
          <w:lang w:eastAsia="en-GB"/>
        </w:rPr>
        <w:tab/>
      </w:r>
      <w:r w:rsidRPr="00BE5377">
        <w:rPr>
          <w:noProof/>
        </w:rPr>
        <w:t xml:space="preserve">Scaffold </w:t>
      </w:r>
      <w:r>
        <w:rPr>
          <w:noProof/>
        </w:rPr>
        <w:t>manufacturing</w:t>
      </w:r>
      <w:r>
        <w:rPr>
          <w:noProof/>
        </w:rPr>
        <w:tab/>
      </w:r>
      <w:r>
        <w:rPr>
          <w:noProof/>
        </w:rPr>
        <w:fldChar w:fldCharType="begin"/>
      </w:r>
      <w:r>
        <w:rPr>
          <w:noProof/>
        </w:rPr>
        <w:instrText xml:space="preserve"> PAGEREF _Toc440823177 \h </w:instrText>
      </w:r>
      <w:r>
        <w:rPr>
          <w:noProof/>
        </w:rPr>
      </w:r>
      <w:r>
        <w:rPr>
          <w:noProof/>
        </w:rPr>
        <w:fldChar w:fldCharType="separate"/>
      </w:r>
      <w:r w:rsidR="008F032F">
        <w:rPr>
          <w:noProof/>
        </w:rPr>
        <w:t>20</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2.2.4</w:t>
      </w:r>
      <w:r>
        <w:rPr>
          <w:rFonts w:eastAsiaTheme="minorEastAsia"/>
          <w:noProof/>
          <w:sz w:val="22"/>
          <w:szCs w:val="22"/>
          <w:lang w:eastAsia="en-GB"/>
        </w:rPr>
        <w:tab/>
      </w:r>
      <w:r>
        <w:rPr>
          <w:noProof/>
        </w:rPr>
        <w:t>Scaffold characterization</w:t>
      </w:r>
      <w:r>
        <w:rPr>
          <w:noProof/>
        </w:rPr>
        <w:tab/>
      </w:r>
      <w:r>
        <w:rPr>
          <w:noProof/>
        </w:rPr>
        <w:fldChar w:fldCharType="begin"/>
      </w:r>
      <w:r>
        <w:rPr>
          <w:noProof/>
        </w:rPr>
        <w:instrText xml:space="preserve"> PAGEREF _Toc440823178 \h </w:instrText>
      </w:r>
      <w:r>
        <w:rPr>
          <w:noProof/>
        </w:rPr>
      </w:r>
      <w:r>
        <w:rPr>
          <w:noProof/>
        </w:rPr>
        <w:fldChar w:fldCharType="separate"/>
      </w:r>
      <w:r w:rsidR="008F032F">
        <w:rPr>
          <w:noProof/>
        </w:rPr>
        <w:t>24</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2.2.4.1 Scaffold architecture</w:t>
      </w:r>
      <w:r>
        <w:rPr>
          <w:noProof/>
        </w:rPr>
        <w:tab/>
      </w:r>
      <w:r>
        <w:rPr>
          <w:noProof/>
        </w:rPr>
        <w:fldChar w:fldCharType="begin"/>
      </w:r>
      <w:r>
        <w:rPr>
          <w:noProof/>
        </w:rPr>
        <w:instrText xml:space="preserve"> PAGEREF _Toc440823179 \h </w:instrText>
      </w:r>
      <w:r>
        <w:rPr>
          <w:noProof/>
        </w:rPr>
      </w:r>
      <w:r>
        <w:rPr>
          <w:noProof/>
        </w:rPr>
        <w:fldChar w:fldCharType="separate"/>
      </w:r>
      <w:r w:rsidR="008F032F">
        <w:rPr>
          <w:noProof/>
        </w:rPr>
        <w:t>24</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2.2.4.2 Scaffold performance</w:t>
      </w:r>
      <w:r>
        <w:rPr>
          <w:noProof/>
        </w:rPr>
        <w:tab/>
      </w:r>
      <w:r>
        <w:rPr>
          <w:noProof/>
        </w:rPr>
        <w:fldChar w:fldCharType="begin"/>
      </w:r>
      <w:r>
        <w:rPr>
          <w:noProof/>
        </w:rPr>
        <w:instrText xml:space="preserve"> PAGEREF _Toc440823180 \h </w:instrText>
      </w:r>
      <w:r>
        <w:rPr>
          <w:noProof/>
        </w:rPr>
      </w:r>
      <w:r>
        <w:rPr>
          <w:noProof/>
        </w:rPr>
        <w:fldChar w:fldCharType="separate"/>
      </w:r>
      <w:r w:rsidR="008F032F">
        <w:rPr>
          <w:noProof/>
        </w:rPr>
        <w:t>26</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2.2.5</w:t>
      </w:r>
      <w:r>
        <w:rPr>
          <w:rFonts w:eastAsiaTheme="minorEastAsia"/>
          <w:noProof/>
          <w:sz w:val="22"/>
          <w:szCs w:val="22"/>
          <w:lang w:eastAsia="en-GB"/>
        </w:rPr>
        <w:tab/>
      </w:r>
      <w:r>
        <w:rPr>
          <w:noProof/>
        </w:rPr>
        <w:t>Scaffold production standardization and inspection protocols</w:t>
      </w:r>
      <w:r>
        <w:rPr>
          <w:noProof/>
        </w:rPr>
        <w:tab/>
      </w:r>
      <w:r>
        <w:rPr>
          <w:noProof/>
        </w:rPr>
        <w:fldChar w:fldCharType="begin"/>
      </w:r>
      <w:r>
        <w:rPr>
          <w:noProof/>
        </w:rPr>
        <w:instrText xml:space="preserve"> PAGEREF _Toc440823181 \h </w:instrText>
      </w:r>
      <w:r>
        <w:rPr>
          <w:noProof/>
        </w:rPr>
      </w:r>
      <w:r>
        <w:rPr>
          <w:noProof/>
        </w:rPr>
        <w:fldChar w:fldCharType="separate"/>
      </w:r>
      <w:r w:rsidR="008F032F">
        <w:rPr>
          <w:noProof/>
        </w:rPr>
        <w:t>28</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lastRenderedPageBreak/>
        <w:t>2.3</w:t>
      </w:r>
      <w:r>
        <w:rPr>
          <w:rFonts w:eastAsiaTheme="minorEastAsia"/>
          <w:b w:val="0"/>
          <w:bCs w:val="0"/>
          <w:noProof/>
          <w:sz w:val="22"/>
          <w:szCs w:val="22"/>
          <w:lang w:eastAsia="en-GB"/>
        </w:rPr>
        <w:tab/>
      </w:r>
      <w:r>
        <w:rPr>
          <w:noProof/>
        </w:rPr>
        <w:t>Bioreactors</w:t>
      </w:r>
      <w:r>
        <w:rPr>
          <w:noProof/>
        </w:rPr>
        <w:tab/>
      </w:r>
      <w:r>
        <w:rPr>
          <w:noProof/>
        </w:rPr>
        <w:fldChar w:fldCharType="begin"/>
      </w:r>
      <w:r>
        <w:rPr>
          <w:noProof/>
        </w:rPr>
        <w:instrText xml:space="preserve"> PAGEREF _Toc440823182 \h </w:instrText>
      </w:r>
      <w:r>
        <w:rPr>
          <w:noProof/>
        </w:rPr>
      </w:r>
      <w:r>
        <w:rPr>
          <w:noProof/>
        </w:rPr>
        <w:fldChar w:fldCharType="separate"/>
      </w:r>
      <w:r w:rsidR="008F032F">
        <w:rPr>
          <w:noProof/>
        </w:rPr>
        <w:t>29</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2.3.1</w:t>
      </w:r>
      <w:r>
        <w:rPr>
          <w:rFonts w:eastAsiaTheme="minorEastAsia"/>
          <w:noProof/>
          <w:sz w:val="22"/>
          <w:szCs w:val="22"/>
          <w:lang w:eastAsia="en-GB"/>
        </w:rPr>
        <w:tab/>
      </w:r>
      <w:r>
        <w:rPr>
          <w:noProof/>
        </w:rPr>
        <w:t>Bioreactor fluid flow modelling</w:t>
      </w:r>
      <w:r>
        <w:rPr>
          <w:noProof/>
        </w:rPr>
        <w:tab/>
      </w:r>
      <w:r>
        <w:rPr>
          <w:noProof/>
        </w:rPr>
        <w:fldChar w:fldCharType="begin"/>
      </w:r>
      <w:r>
        <w:rPr>
          <w:noProof/>
        </w:rPr>
        <w:instrText xml:space="preserve"> PAGEREF _Toc440823183 \h </w:instrText>
      </w:r>
      <w:r>
        <w:rPr>
          <w:noProof/>
        </w:rPr>
      </w:r>
      <w:r>
        <w:rPr>
          <w:noProof/>
        </w:rPr>
        <w:fldChar w:fldCharType="separate"/>
      </w:r>
      <w:r w:rsidR="008F032F">
        <w:rPr>
          <w:noProof/>
        </w:rPr>
        <w:t>30</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2.3.2</w:t>
      </w:r>
      <w:r>
        <w:rPr>
          <w:rFonts w:eastAsiaTheme="minorEastAsia"/>
          <w:noProof/>
          <w:sz w:val="22"/>
          <w:szCs w:val="22"/>
          <w:lang w:eastAsia="en-GB"/>
        </w:rPr>
        <w:tab/>
      </w:r>
      <w:r>
        <w:rPr>
          <w:noProof/>
        </w:rPr>
        <w:t>Cell seeding modelling</w:t>
      </w:r>
      <w:r>
        <w:rPr>
          <w:noProof/>
        </w:rPr>
        <w:tab/>
      </w:r>
      <w:r>
        <w:rPr>
          <w:noProof/>
        </w:rPr>
        <w:fldChar w:fldCharType="begin"/>
      </w:r>
      <w:r>
        <w:rPr>
          <w:noProof/>
        </w:rPr>
        <w:instrText xml:space="preserve"> PAGEREF _Toc440823184 \h </w:instrText>
      </w:r>
      <w:r>
        <w:rPr>
          <w:noProof/>
        </w:rPr>
      </w:r>
      <w:r>
        <w:rPr>
          <w:noProof/>
        </w:rPr>
        <w:fldChar w:fldCharType="separate"/>
      </w:r>
      <w:r w:rsidR="008F032F">
        <w:rPr>
          <w:noProof/>
        </w:rPr>
        <w:t>32</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2.3.3</w:t>
      </w:r>
      <w:r>
        <w:rPr>
          <w:rFonts w:eastAsiaTheme="minorEastAsia"/>
          <w:noProof/>
          <w:sz w:val="22"/>
          <w:szCs w:val="22"/>
          <w:lang w:eastAsia="en-GB"/>
        </w:rPr>
        <w:tab/>
      </w:r>
      <w:r>
        <w:rPr>
          <w:noProof/>
        </w:rPr>
        <w:t>Experimental techniques for model formulation and validation</w:t>
      </w:r>
      <w:r>
        <w:rPr>
          <w:noProof/>
        </w:rPr>
        <w:tab/>
      </w:r>
      <w:r>
        <w:rPr>
          <w:noProof/>
        </w:rPr>
        <w:fldChar w:fldCharType="begin"/>
      </w:r>
      <w:r>
        <w:rPr>
          <w:noProof/>
        </w:rPr>
        <w:instrText xml:space="preserve"> PAGEREF _Toc440823185 \h </w:instrText>
      </w:r>
      <w:r>
        <w:rPr>
          <w:noProof/>
        </w:rPr>
      </w:r>
      <w:r>
        <w:rPr>
          <w:noProof/>
        </w:rPr>
        <w:fldChar w:fldCharType="separate"/>
      </w:r>
      <w:r w:rsidR="008F032F">
        <w:rPr>
          <w:noProof/>
        </w:rPr>
        <w:t>34</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2.3.3.1 µ-Particle Image Velocimetry</w:t>
      </w:r>
      <w:r>
        <w:rPr>
          <w:noProof/>
        </w:rPr>
        <w:tab/>
      </w:r>
      <w:r>
        <w:rPr>
          <w:noProof/>
        </w:rPr>
        <w:fldChar w:fldCharType="begin"/>
      </w:r>
      <w:r>
        <w:rPr>
          <w:noProof/>
        </w:rPr>
        <w:instrText xml:space="preserve"> PAGEREF _Toc440823186 \h </w:instrText>
      </w:r>
      <w:r>
        <w:rPr>
          <w:noProof/>
        </w:rPr>
      </w:r>
      <w:r>
        <w:rPr>
          <w:noProof/>
        </w:rPr>
        <w:fldChar w:fldCharType="separate"/>
      </w:r>
      <w:r w:rsidR="008F032F">
        <w:rPr>
          <w:noProof/>
        </w:rPr>
        <w:t>35</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2.3.3.2 Particle Tracking Velocimetry</w:t>
      </w:r>
      <w:r>
        <w:rPr>
          <w:noProof/>
        </w:rPr>
        <w:tab/>
      </w:r>
      <w:r>
        <w:rPr>
          <w:noProof/>
        </w:rPr>
        <w:fldChar w:fldCharType="begin"/>
      </w:r>
      <w:r>
        <w:rPr>
          <w:noProof/>
        </w:rPr>
        <w:instrText xml:space="preserve"> PAGEREF _Toc440823187 \h </w:instrText>
      </w:r>
      <w:r>
        <w:rPr>
          <w:noProof/>
        </w:rPr>
      </w:r>
      <w:r>
        <w:rPr>
          <w:noProof/>
        </w:rPr>
        <w:fldChar w:fldCharType="separate"/>
      </w:r>
      <w:r w:rsidR="008F032F">
        <w:rPr>
          <w:noProof/>
        </w:rPr>
        <w:t>36</w:t>
      </w:r>
      <w:r>
        <w:rPr>
          <w:noProof/>
        </w:rPr>
        <w:fldChar w:fldCharType="end"/>
      </w:r>
    </w:p>
    <w:p w:rsidR="005D1052" w:rsidRDefault="005D1052" w:rsidP="005D1052">
      <w:pPr>
        <w:pStyle w:val="TOC1"/>
        <w:rPr>
          <w:rFonts w:eastAsiaTheme="minorEastAsia"/>
          <w:b w:val="0"/>
          <w:bCs w:val="0"/>
          <w:caps w:val="0"/>
          <w:noProof/>
          <w:sz w:val="22"/>
          <w:szCs w:val="22"/>
          <w:lang w:eastAsia="en-GB"/>
        </w:rPr>
      </w:pPr>
      <w:r>
        <w:rPr>
          <w:noProof/>
        </w:rPr>
        <w:t>Chapter 3:</w:t>
      </w:r>
      <w:r>
        <w:rPr>
          <w:rFonts w:eastAsiaTheme="minorEastAsia"/>
          <w:b w:val="0"/>
          <w:bCs w:val="0"/>
          <w:caps w:val="0"/>
          <w:noProof/>
          <w:sz w:val="22"/>
          <w:szCs w:val="22"/>
          <w:lang w:eastAsia="en-GB"/>
        </w:rPr>
        <w:tab/>
      </w:r>
      <w:r w:rsidRPr="00D30D74">
        <w:rPr>
          <w:noProof/>
          <w:lang w:val="nl-NL"/>
        </w:rPr>
        <w:t>Towards a new approach to analyse quality control and morphometric variability in a scaffold</w:t>
      </w:r>
      <w:r>
        <w:rPr>
          <w:noProof/>
        </w:rPr>
        <w:tab/>
      </w:r>
      <w:r>
        <w:rPr>
          <w:noProof/>
        </w:rPr>
        <w:fldChar w:fldCharType="begin"/>
      </w:r>
      <w:r>
        <w:rPr>
          <w:noProof/>
        </w:rPr>
        <w:instrText xml:space="preserve"> PAGEREF _Toc440823188 \h </w:instrText>
      </w:r>
      <w:r>
        <w:rPr>
          <w:noProof/>
        </w:rPr>
      </w:r>
      <w:r>
        <w:rPr>
          <w:noProof/>
        </w:rPr>
        <w:fldChar w:fldCharType="separate"/>
      </w:r>
      <w:r w:rsidR="008F032F">
        <w:rPr>
          <w:noProof/>
        </w:rPr>
        <w:t>39</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3.1</w:t>
      </w:r>
      <w:r>
        <w:rPr>
          <w:rFonts w:eastAsiaTheme="minorEastAsia"/>
          <w:b w:val="0"/>
          <w:bCs w:val="0"/>
          <w:noProof/>
          <w:sz w:val="22"/>
          <w:szCs w:val="22"/>
          <w:lang w:eastAsia="en-GB"/>
        </w:rPr>
        <w:tab/>
      </w:r>
      <w:r>
        <w:rPr>
          <w:noProof/>
        </w:rPr>
        <w:t>Introduction</w:t>
      </w:r>
      <w:r>
        <w:rPr>
          <w:noProof/>
        </w:rPr>
        <w:tab/>
      </w:r>
      <w:r>
        <w:rPr>
          <w:noProof/>
        </w:rPr>
        <w:fldChar w:fldCharType="begin"/>
      </w:r>
      <w:r>
        <w:rPr>
          <w:noProof/>
        </w:rPr>
        <w:instrText xml:space="preserve"> PAGEREF _Toc440823189 \h </w:instrText>
      </w:r>
      <w:r>
        <w:rPr>
          <w:noProof/>
        </w:rPr>
      </w:r>
      <w:r>
        <w:rPr>
          <w:noProof/>
        </w:rPr>
        <w:fldChar w:fldCharType="separate"/>
      </w:r>
      <w:r w:rsidR="008F032F">
        <w:rPr>
          <w:noProof/>
        </w:rPr>
        <w:t>39</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3.1.1</w:t>
      </w:r>
      <w:r>
        <w:rPr>
          <w:rFonts w:eastAsiaTheme="minorEastAsia"/>
          <w:noProof/>
          <w:sz w:val="22"/>
          <w:szCs w:val="22"/>
          <w:lang w:eastAsia="en-GB"/>
        </w:rPr>
        <w:tab/>
      </w:r>
      <w:r>
        <w:rPr>
          <w:noProof/>
        </w:rPr>
        <w:t>Good manufacturing practice of scaffolds</w:t>
      </w:r>
      <w:r>
        <w:rPr>
          <w:noProof/>
        </w:rPr>
        <w:tab/>
      </w:r>
      <w:r>
        <w:rPr>
          <w:noProof/>
        </w:rPr>
        <w:fldChar w:fldCharType="begin"/>
      </w:r>
      <w:r>
        <w:rPr>
          <w:noProof/>
        </w:rPr>
        <w:instrText xml:space="preserve"> PAGEREF _Toc440823190 \h </w:instrText>
      </w:r>
      <w:r>
        <w:rPr>
          <w:noProof/>
        </w:rPr>
      </w:r>
      <w:r>
        <w:rPr>
          <w:noProof/>
        </w:rPr>
        <w:fldChar w:fldCharType="separate"/>
      </w:r>
      <w:r w:rsidR="008F032F">
        <w:rPr>
          <w:noProof/>
        </w:rPr>
        <w:t>39</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3.1.2</w:t>
      </w:r>
      <w:r>
        <w:rPr>
          <w:rFonts w:eastAsiaTheme="minorEastAsia"/>
          <w:noProof/>
          <w:sz w:val="22"/>
          <w:szCs w:val="22"/>
          <w:lang w:eastAsia="en-GB"/>
        </w:rPr>
        <w:tab/>
      </w:r>
      <w:r>
        <w:rPr>
          <w:noProof/>
        </w:rPr>
        <w:t>Comparing designed structure with real scaffold</w:t>
      </w:r>
      <w:r>
        <w:rPr>
          <w:noProof/>
        </w:rPr>
        <w:tab/>
      </w:r>
      <w:r>
        <w:rPr>
          <w:noProof/>
        </w:rPr>
        <w:fldChar w:fldCharType="begin"/>
      </w:r>
      <w:r>
        <w:rPr>
          <w:noProof/>
        </w:rPr>
        <w:instrText xml:space="preserve"> PAGEREF _Toc440823191 \h </w:instrText>
      </w:r>
      <w:r>
        <w:rPr>
          <w:noProof/>
        </w:rPr>
      </w:r>
      <w:r>
        <w:rPr>
          <w:noProof/>
        </w:rPr>
        <w:fldChar w:fldCharType="separate"/>
      </w:r>
      <w:r w:rsidR="008F032F">
        <w:rPr>
          <w:noProof/>
        </w:rPr>
        <w:t>41</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3.2</w:t>
      </w:r>
      <w:r>
        <w:rPr>
          <w:rFonts w:eastAsiaTheme="minorEastAsia"/>
          <w:b w:val="0"/>
          <w:bCs w:val="0"/>
          <w:noProof/>
          <w:sz w:val="22"/>
          <w:szCs w:val="22"/>
          <w:lang w:eastAsia="en-GB"/>
        </w:rPr>
        <w:tab/>
      </w:r>
      <w:r>
        <w:rPr>
          <w:noProof/>
        </w:rPr>
        <w:t>Materials and Methods</w:t>
      </w:r>
      <w:r>
        <w:rPr>
          <w:noProof/>
        </w:rPr>
        <w:tab/>
      </w:r>
      <w:r>
        <w:rPr>
          <w:noProof/>
        </w:rPr>
        <w:fldChar w:fldCharType="begin"/>
      </w:r>
      <w:r>
        <w:rPr>
          <w:noProof/>
        </w:rPr>
        <w:instrText xml:space="preserve"> PAGEREF _Toc440823192 \h </w:instrText>
      </w:r>
      <w:r>
        <w:rPr>
          <w:noProof/>
        </w:rPr>
      </w:r>
      <w:r>
        <w:rPr>
          <w:noProof/>
        </w:rPr>
        <w:fldChar w:fldCharType="separate"/>
      </w:r>
      <w:r w:rsidR="008F032F">
        <w:rPr>
          <w:noProof/>
        </w:rPr>
        <w:t>43</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3.2.1</w:t>
      </w:r>
      <w:r>
        <w:rPr>
          <w:rFonts w:eastAsiaTheme="minorEastAsia"/>
          <w:noProof/>
          <w:sz w:val="22"/>
          <w:szCs w:val="22"/>
          <w:lang w:eastAsia="en-GB"/>
        </w:rPr>
        <w:tab/>
      </w:r>
      <w:r>
        <w:rPr>
          <w:noProof/>
        </w:rPr>
        <w:t>Scaffold</w:t>
      </w:r>
      <w:r>
        <w:rPr>
          <w:noProof/>
        </w:rPr>
        <w:tab/>
      </w:r>
      <w:r>
        <w:rPr>
          <w:noProof/>
        </w:rPr>
        <w:fldChar w:fldCharType="begin"/>
      </w:r>
      <w:r>
        <w:rPr>
          <w:noProof/>
        </w:rPr>
        <w:instrText xml:space="preserve"> PAGEREF _Toc440823193 \h </w:instrText>
      </w:r>
      <w:r>
        <w:rPr>
          <w:noProof/>
        </w:rPr>
      </w:r>
      <w:r>
        <w:rPr>
          <w:noProof/>
        </w:rPr>
        <w:fldChar w:fldCharType="separate"/>
      </w:r>
      <w:r w:rsidR="008F032F">
        <w:rPr>
          <w:noProof/>
        </w:rPr>
        <w:t>43</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3.2.1.1 µCT scanning of fabricated samples</w:t>
      </w:r>
      <w:r>
        <w:rPr>
          <w:noProof/>
        </w:rPr>
        <w:tab/>
      </w:r>
      <w:r>
        <w:rPr>
          <w:noProof/>
        </w:rPr>
        <w:fldChar w:fldCharType="begin"/>
      </w:r>
      <w:r>
        <w:rPr>
          <w:noProof/>
        </w:rPr>
        <w:instrText xml:space="preserve"> PAGEREF _Toc440823194 \h </w:instrText>
      </w:r>
      <w:r>
        <w:rPr>
          <w:noProof/>
        </w:rPr>
      </w:r>
      <w:r>
        <w:rPr>
          <w:noProof/>
        </w:rPr>
        <w:fldChar w:fldCharType="separate"/>
      </w:r>
      <w:r w:rsidR="008F032F">
        <w:rPr>
          <w:noProof/>
        </w:rPr>
        <w:t>43</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3.2.1.2 µCT-images reconstruction</w:t>
      </w:r>
      <w:r>
        <w:rPr>
          <w:noProof/>
        </w:rPr>
        <w:tab/>
      </w:r>
      <w:r>
        <w:rPr>
          <w:noProof/>
        </w:rPr>
        <w:fldChar w:fldCharType="begin"/>
      </w:r>
      <w:r>
        <w:rPr>
          <w:noProof/>
        </w:rPr>
        <w:instrText xml:space="preserve"> PAGEREF _Toc440823195 \h </w:instrText>
      </w:r>
      <w:r>
        <w:rPr>
          <w:noProof/>
        </w:rPr>
      </w:r>
      <w:r>
        <w:rPr>
          <w:noProof/>
        </w:rPr>
        <w:fldChar w:fldCharType="separate"/>
      </w:r>
      <w:r w:rsidR="008F032F">
        <w:rPr>
          <w:noProof/>
        </w:rPr>
        <w:t>44</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3.2.1.3 CAD scaffold</w:t>
      </w:r>
      <w:r>
        <w:rPr>
          <w:noProof/>
        </w:rPr>
        <w:tab/>
      </w:r>
      <w:r>
        <w:rPr>
          <w:noProof/>
        </w:rPr>
        <w:fldChar w:fldCharType="begin"/>
      </w:r>
      <w:r>
        <w:rPr>
          <w:noProof/>
        </w:rPr>
        <w:instrText xml:space="preserve"> PAGEREF _Toc440823196 \h </w:instrText>
      </w:r>
      <w:r>
        <w:rPr>
          <w:noProof/>
        </w:rPr>
      </w:r>
      <w:r>
        <w:rPr>
          <w:noProof/>
        </w:rPr>
        <w:fldChar w:fldCharType="separate"/>
      </w:r>
      <w:r w:rsidR="008F032F">
        <w:rPr>
          <w:noProof/>
        </w:rPr>
        <w:t>45</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3.2.1.4 Structural analysis</w:t>
      </w:r>
      <w:r>
        <w:rPr>
          <w:noProof/>
        </w:rPr>
        <w:tab/>
      </w:r>
      <w:r>
        <w:rPr>
          <w:noProof/>
        </w:rPr>
        <w:fldChar w:fldCharType="begin"/>
      </w:r>
      <w:r>
        <w:rPr>
          <w:noProof/>
        </w:rPr>
        <w:instrText xml:space="preserve"> PAGEREF _Toc440823197 \h </w:instrText>
      </w:r>
      <w:r>
        <w:rPr>
          <w:noProof/>
        </w:rPr>
      </w:r>
      <w:r>
        <w:rPr>
          <w:noProof/>
        </w:rPr>
        <w:fldChar w:fldCharType="separate"/>
      </w:r>
      <w:r w:rsidR="008F032F">
        <w:rPr>
          <w:noProof/>
        </w:rPr>
        <w:t>45</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3.2.1.5 Meshing the fluid domain</w:t>
      </w:r>
      <w:r>
        <w:rPr>
          <w:noProof/>
        </w:rPr>
        <w:tab/>
      </w:r>
      <w:r>
        <w:rPr>
          <w:noProof/>
        </w:rPr>
        <w:fldChar w:fldCharType="begin"/>
      </w:r>
      <w:r>
        <w:rPr>
          <w:noProof/>
        </w:rPr>
        <w:instrText xml:space="preserve"> PAGEREF _Toc440823198 \h </w:instrText>
      </w:r>
      <w:r>
        <w:rPr>
          <w:noProof/>
        </w:rPr>
      </w:r>
      <w:r>
        <w:rPr>
          <w:noProof/>
        </w:rPr>
        <w:fldChar w:fldCharType="separate"/>
      </w:r>
      <w:r w:rsidR="008F032F">
        <w:rPr>
          <w:noProof/>
        </w:rPr>
        <w:t>45</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3.2.2</w:t>
      </w:r>
      <w:r>
        <w:rPr>
          <w:rFonts w:eastAsiaTheme="minorEastAsia"/>
          <w:noProof/>
          <w:sz w:val="22"/>
          <w:szCs w:val="22"/>
          <w:lang w:eastAsia="en-GB"/>
        </w:rPr>
        <w:tab/>
      </w:r>
      <w:r>
        <w:rPr>
          <w:noProof/>
        </w:rPr>
        <w:t>CFD model setup and simulations</w:t>
      </w:r>
      <w:r>
        <w:rPr>
          <w:noProof/>
        </w:rPr>
        <w:tab/>
      </w:r>
      <w:r>
        <w:rPr>
          <w:noProof/>
        </w:rPr>
        <w:fldChar w:fldCharType="begin"/>
      </w:r>
      <w:r>
        <w:rPr>
          <w:noProof/>
        </w:rPr>
        <w:instrText xml:space="preserve"> PAGEREF _Toc440823199 \h </w:instrText>
      </w:r>
      <w:r>
        <w:rPr>
          <w:noProof/>
        </w:rPr>
      </w:r>
      <w:r>
        <w:rPr>
          <w:noProof/>
        </w:rPr>
        <w:fldChar w:fldCharType="separate"/>
      </w:r>
      <w:r w:rsidR="008F032F">
        <w:rPr>
          <w:noProof/>
        </w:rPr>
        <w:t>47</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3.2.2.1 CFD post-processing</w:t>
      </w:r>
      <w:r>
        <w:rPr>
          <w:noProof/>
        </w:rPr>
        <w:tab/>
      </w:r>
      <w:r>
        <w:rPr>
          <w:noProof/>
        </w:rPr>
        <w:fldChar w:fldCharType="begin"/>
      </w:r>
      <w:r>
        <w:rPr>
          <w:noProof/>
        </w:rPr>
        <w:instrText xml:space="preserve"> PAGEREF _Toc440823200 \h </w:instrText>
      </w:r>
      <w:r>
        <w:rPr>
          <w:noProof/>
        </w:rPr>
      </w:r>
      <w:r>
        <w:rPr>
          <w:noProof/>
        </w:rPr>
        <w:fldChar w:fldCharType="separate"/>
      </w:r>
      <w:r w:rsidR="008F032F">
        <w:rPr>
          <w:noProof/>
        </w:rPr>
        <w:t>48</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3.3</w:t>
      </w:r>
      <w:r>
        <w:rPr>
          <w:rFonts w:eastAsiaTheme="minorEastAsia"/>
          <w:b w:val="0"/>
          <w:bCs w:val="0"/>
          <w:noProof/>
          <w:sz w:val="22"/>
          <w:szCs w:val="22"/>
          <w:lang w:eastAsia="en-GB"/>
        </w:rPr>
        <w:tab/>
      </w:r>
      <w:r>
        <w:rPr>
          <w:noProof/>
        </w:rPr>
        <w:t>Results</w:t>
      </w:r>
      <w:r>
        <w:rPr>
          <w:noProof/>
        </w:rPr>
        <w:tab/>
      </w:r>
      <w:r>
        <w:rPr>
          <w:noProof/>
        </w:rPr>
        <w:fldChar w:fldCharType="begin"/>
      </w:r>
      <w:r>
        <w:rPr>
          <w:noProof/>
        </w:rPr>
        <w:instrText xml:space="preserve"> PAGEREF _Toc440823201 \h </w:instrText>
      </w:r>
      <w:r>
        <w:rPr>
          <w:noProof/>
        </w:rPr>
      </w:r>
      <w:r>
        <w:rPr>
          <w:noProof/>
        </w:rPr>
        <w:fldChar w:fldCharType="separate"/>
      </w:r>
      <w:r w:rsidR="008F032F">
        <w:rPr>
          <w:noProof/>
        </w:rPr>
        <w:t>50</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3.3.1</w:t>
      </w:r>
      <w:r>
        <w:rPr>
          <w:rFonts w:eastAsiaTheme="minorEastAsia"/>
          <w:noProof/>
          <w:sz w:val="22"/>
          <w:szCs w:val="22"/>
          <w:lang w:eastAsia="en-GB"/>
        </w:rPr>
        <w:tab/>
      </w:r>
      <w:r w:rsidRPr="00D30D74">
        <w:rPr>
          <w:rFonts w:cs="Times New Roman"/>
          <w:noProof/>
        </w:rPr>
        <w:t>µ</w:t>
      </w:r>
      <w:r>
        <w:rPr>
          <w:noProof/>
        </w:rPr>
        <w:t>CT sensitivity analysis</w:t>
      </w:r>
      <w:r>
        <w:rPr>
          <w:noProof/>
        </w:rPr>
        <w:tab/>
      </w:r>
      <w:r>
        <w:rPr>
          <w:noProof/>
        </w:rPr>
        <w:fldChar w:fldCharType="begin"/>
      </w:r>
      <w:r>
        <w:rPr>
          <w:noProof/>
        </w:rPr>
        <w:instrText xml:space="preserve"> PAGEREF _Toc440823202 \h </w:instrText>
      </w:r>
      <w:r>
        <w:rPr>
          <w:noProof/>
        </w:rPr>
      </w:r>
      <w:r>
        <w:rPr>
          <w:noProof/>
        </w:rPr>
        <w:fldChar w:fldCharType="separate"/>
      </w:r>
      <w:r w:rsidR="008F032F">
        <w:rPr>
          <w:noProof/>
        </w:rPr>
        <w:t>50</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3.3.2</w:t>
      </w:r>
      <w:r>
        <w:rPr>
          <w:rFonts w:eastAsiaTheme="minorEastAsia"/>
          <w:noProof/>
          <w:sz w:val="22"/>
          <w:szCs w:val="22"/>
          <w:lang w:eastAsia="en-GB"/>
        </w:rPr>
        <w:tab/>
      </w:r>
      <w:r>
        <w:rPr>
          <w:noProof/>
        </w:rPr>
        <w:t>Structural analysis</w:t>
      </w:r>
      <w:r>
        <w:rPr>
          <w:noProof/>
        </w:rPr>
        <w:tab/>
      </w:r>
      <w:r>
        <w:rPr>
          <w:noProof/>
        </w:rPr>
        <w:fldChar w:fldCharType="begin"/>
      </w:r>
      <w:r>
        <w:rPr>
          <w:noProof/>
        </w:rPr>
        <w:instrText xml:space="preserve"> PAGEREF _Toc440823203 \h </w:instrText>
      </w:r>
      <w:r>
        <w:rPr>
          <w:noProof/>
        </w:rPr>
      </w:r>
      <w:r>
        <w:rPr>
          <w:noProof/>
        </w:rPr>
        <w:fldChar w:fldCharType="separate"/>
      </w:r>
      <w:r w:rsidR="008F032F">
        <w:rPr>
          <w:noProof/>
        </w:rPr>
        <w:t>51</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3.3.3</w:t>
      </w:r>
      <w:r>
        <w:rPr>
          <w:rFonts w:eastAsiaTheme="minorEastAsia"/>
          <w:noProof/>
          <w:sz w:val="22"/>
          <w:szCs w:val="22"/>
          <w:lang w:eastAsia="en-GB"/>
        </w:rPr>
        <w:tab/>
      </w:r>
      <w:r>
        <w:rPr>
          <w:noProof/>
        </w:rPr>
        <w:t>Mesh independence test</w:t>
      </w:r>
      <w:r>
        <w:rPr>
          <w:noProof/>
        </w:rPr>
        <w:tab/>
      </w:r>
      <w:r>
        <w:rPr>
          <w:noProof/>
        </w:rPr>
        <w:fldChar w:fldCharType="begin"/>
      </w:r>
      <w:r>
        <w:rPr>
          <w:noProof/>
        </w:rPr>
        <w:instrText xml:space="preserve"> PAGEREF _Toc440823204 \h </w:instrText>
      </w:r>
      <w:r>
        <w:rPr>
          <w:noProof/>
        </w:rPr>
      </w:r>
      <w:r>
        <w:rPr>
          <w:noProof/>
        </w:rPr>
        <w:fldChar w:fldCharType="separate"/>
      </w:r>
      <w:r w:rsidR="008F032F">
        <w:rPr>
          <w:noProof/>
        </w:rPr>
        <w:t>54</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3.3.4</w:t>
      </w:r>
      <w:r>
        <w:rPr>
          <w:rFonts w:eastAsiaTheme="minorEastAsia"/>
          <w:noProof/>
          <w:sz w:val="22"/>
          <w:szCs w:val="22"/>
          <w:lang w:eastAsia="en-GB"/>
        </w:rPr>
        <w:tab/>
      </w:r>
      <w:r>
        <w:rPr>
          <w:noProof/>
        </w:rPr>
        <w:t>Computational model benchmark</w:t>
      </w:r>
      <w:r>
        <w:rPr>
          <w:noProof/>
        </w:rPr>
        <w:tab/>
      </w:r>
      <w:r>
        <w:rPr>
          <w:noProof/>
        </w:rPr>
        <w:fldChar w:fldCharType="begin"/>
      </w:r>
      <w:r>
        <w:rPr>
          <w:noProof/>
        </w:rPr>
        <w:instrText xml:space="preserve"> PAGEREF _Toc440823205 \h </w:instrText>
      </w:r>
      <w:r>
        <w:rPr>
          <w:noProof/>
        </w:rPr>
      </w:r>
      <w:r>
        <w:rPr>
          <w:noProof/>
        </w:rPr>
        <w:fldChar w:fldCharType="separate"/>
      </w:r>
      <w:r w:rsidR="008F032F">
        <w:rPr>
          <w:noProof/>
        </w:rPr>
        <w:t>58</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3.3.5</w:t>
      </w:r>
      <w:r>
        <w:rPr>
          <w:rFonts w:eastAsiaTheme="minorEastAsia"/>
          <w:noProof/>
          <w:sz w:val="22"/>
          <w:szCs w:val="22"/>
          <w:lang w:eastAsia="en-GB"/>
        </w:rPr>
        <w:tab/>
      </w:r>
      <w:r>
        <w:rPr>
          <w:noProof/>
        </w:rPr>
        <w:t>Local fluid dynamics analysis</w:t>
      </w:r>
      <w:r>
        <w:rPr>
          <w:noProof/>
        </w:rPr>
        <w:tab/>
      </w:r>
      <w:r>
        <w:rPr>
          <w:noProof/>
        </w:rPr>
        <w:fldChar w:fldCharType="begin"/>
      </w:r>
      <w:r>
        <w:rPr>
          <w:noProof/>
        </w:rPr>
        <w:instrText xml:space="preserve"> PAGEREF _Toc440823206 \h </w:instrText>
      </w:r>
      <w:r>
        <w:rPr>
          <w:noProof/>
        </w:rPr>
      </w:r>
      <w:r>
        <w:rPr>
          <w:noProof/>
        </w:rPr>
        <w:fldChar w:fldCharType="separate"/>
      </w:r>
      <w:r w:rsidR="008F032F">
        <w:rPr>
          <w:noProof/>
        </w:rPr>
        <w:t>59</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3.3.5.1 Fluid flow velocities (CFD)</w:t>
      </w:r>
      <w:r>
        <w:rPr>
          <w:noProof/>
        </w:rPr>
        <w:tab/>
      </w:r>
      <w:r>
        <w:rPr>
          <w:noProof/>
        </w:rPr>
        <w:fldChar w:fldCharType="begin"/>
      </w:r>
      <w:r>
        <w:rPr>
          <w:noProof/>
        </w:rPr>
        <w:instrText xml:space="preserve"> PAGEREF _Toc440823207 \h </w:instrText>
      </w:r>
      <w:r>
        <w:rPr>
          <w:noProof/>
        </w:rPr>
      </w:r>
      <w:r>
        <w:rPr>
          <w:noProof/>
        </w:rPr>
        <w:fldChar w:fldCharType="separate"/>
      </w:r>
      <w:r w:rsidR="008F032F">
        <w:rPr>
          <w:noProof/>
        </w:rPr>
        <w:t>59</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lastRenderedPageBreak/>
        <w:t>3.3.5.2 WSS (CFD)</w:t>
      </w:r>
      <w:r>
        <w:rPr>
          <w:noProof/>
        </w:rPr>
        <w:tab/>
      </w:r>
      <w:r>
        <w:rPr>
          <w:noProof/>
        </w:rPr>
        <w:fldChar w:fldCharType="begin"/>
      </w:r>
      <w:r>
        <w:rPr>
          <w:noProof/>
        </w:rPr>
        <w:instrText xml:space="preserve"> PAGEREF _Toc440823208 \h </w:instrText>
      </w:r>
      <w:r>
        <w:rPr>
          <w:noProof/>
        </w:rPr>
      </w:r>
      <w:r>
        <w:rPr>
          <w:noProof/>
        </w:rPr>
        <w:fldChar w:fldCharType="separate"/>
      </w:r>
      <w:r w:rsidR="008F032F">
        <w:rPr>
          <w:noProof/>
        </w:rPr>
        <w:t>60</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3.3.5.3 Statistical analysis</w:t>
      </w:r>
      <w:r>
        <w:rPr>
          <w:noProof/>
        </w:rPr>
        <w:tab/>
      </w:r>
      <w:r>
        <w:rPr>
          <w:noProof/>
        </w:rPr>
        <w:fldChar w:fldCharType="begin"/>
      </w:r>
      <w:r>
        <w:rPr>
          <w:noProof/>
        </w:rPr>
        <w:instrText xml:space="preserve"> PAGEREF _Toc440823209 \h </w:instrText>
      </w:r>
      <w:r>
        <w:rPr>
          <w:noProof/>
        </w:rPr>
      </w:r>
      <w:r>
        <w:rPr>
          <w:noProof/>
        </w:rPr>
        <w:fldChar w:fldCharType="separate"/>
      </w:r>
      <w:r w:rsidR="008F032F">
        <w:rPr>
          <w:noProof/>
        </w:rPr>
        <w:t>61</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3.3.6</w:t>
      </w:r>
      <w:r>
        <w:rPr>
          <w:rFonts w:eastAsiaTheme="minorEastAsia"/>
          <w:noProof/>
          <w:sz w:val="22"/>
          <w:szCs w:val="22"/>
          <w:lang w:eastAsia="en-GB"/>
        </w:rPr>
        <w:tab/>
      </w:r>
      <w:r>
        <w:rPr>
          <w:noProof/>
        </w:rPr>
        <w:t>Sensitivity analysis for the methodology applied</w:t>
      </w:r>
      <w:r>
        <w:rPr>
          <w:noProof/>
        </w:rPr>
        <w:tab/>
      </w:r>
      <w:r>
        <w:rPr>
          <w:noProof/>
        </w:rPr>
        <w:fldChar w:fldCharType="begin"/>
      </w:r>
      <w:r>
        <w:rPr>
          <w:noProof/>
        </w:rPr>
        <w:instrText xml:space="preserve"> PAGEREF _Toc440823210 \h </w:instrText>
      </w:r>
      <w:r>
        <w:rPr>
          <w:noProof/>
        </w:rPr>
      </w:r>
      <w:r>
        <w:rPr>
          <w:noProof/>
        </w:rPr>
        <w:fldChar w:fldCharType="separate"/>
      </w:r>
      <w:r w:rsidR="008F032F">
        <w:rPr>
          <w:noProof/>
        </w:rPr>
        <w:t>61</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3.3.6.1 Structural analysis</w:t>
      </w:r>
      <w:r>
        <w:rPr>
          <w:noProof/>
        </w:rPr>
        <w:tab/>
      </w:r>
      <w:r>
        <w:rPr>
          <w:noProof/>
        </w:rPr>
        <w:fldChar w:fldCharType="begin"/>
      </w:r>
      <w:r>
        <w:rPr>
          <w:noProof/>
        </w:rPr>
        <w:instrText xml:space="preserve"> PAGEREF _Toc440823211 \h </w:instrText>
      </w:r>
      <w:r>
        <w:rPr>
          <w:noProof/>
        </w:rPr>
      </w:r>
      <w:r>
        <w:rPr>
          <w:noProof/>
        </w:rPr>
        <w:fldChar w:fldCharType="separate"/>
      </w:r>
      <w:r w:rsidR="008F032F">
        <w:rPr>
          <w:noProof/>
        </w:rPr>
        <w:t>61</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3.3.6.2 Local fluid velocities (CFD)</w:t>
      </w:r>
      <w:r>
        <w:rPr>
          <w:noProof/>
        </w:rPr>
        <w:tab/>
      </w:r>
      <w:r>
        <w:rPr>
          <w:noProof/>
        </w:rPr>
        <w:fldChar w:fldCharType="begin"/>
      </w:r>
      <w:r>
        <w:rPr>
          <w:noProof/>
        </w:rPr>
        <w:instrText xml:space="preserve"> PAGEREF _Toc440823212 \h </w:instrText>
      </w:r>
      <w:r>
        <w:rPr>
          <w:noProof/>
        </w:rPr>
      </w:r>
      <w:r>
        <w:rPr>
          <w:noProof/>
        </w:rPr>
        <w:fldChar w:fldCharType="separate"/>
      </w:r>
      <w:r w:rsidR="008F032F">
        <w:rPr>
          <w:noProof/>
        </w:rPr>
        <w:t>62</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3.3.6.3 WSS (CFD)</w:t>
      </w:r>
      <w:r>
        <w:rPr>
          <w:noProof/>
        </w:rPr>
        <w:tab/>
      </w:r>
      <w:r>
        <w:rPr>
          <w:noProof/>
        </w:rPr>
        <w:fldChar w:fldCharType="begin"/>
      </w:r>
      <w:r>
        <w:rPr>
          <w:noProof/>
        </w:rPr>
        <w:instrText xml:space="preserve"> PAGEREF _Toc440823213 \h </w:instrText>
      </w:r>
      <w:r>
        <w:rPr>
          <w:noProof/>
        </w:rPr>
      </w:r>
      <w:r>
        <w:rPr>
          <w:noProof/>
        </w:rPr>
        <w:fldChar w:fldCharType="separate"/>
      </w:r>
      <w:r w:rsidR="008F032F">
        <w:rPr>
          <w:noProof/>
        </w:rPr>
        <w:t>62</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3.3.6.4 Statistical analysis</w:t>
      </w:r>
      <w:r>
        <w:rPr>
          <w:noProof/>
        </w:rPr>
        <w:tab/>
      </w:r>
      <w:r>
        <w:rPr>
          <w:noProof/>
        </w:rPr>
        <w:fldChar w:fldCharType="begin"/>
      </w:r>
      <w:r>
        <w:rPr>
          <w:noProof/>
        </w:rPr>
        <w:instrText xml:space="preserve"> PAGEREF _Toc440823214 \h </w:instrText>
      </w:r>
      <w:r>
        <w:rPr>
          <w:noProof/>
        </w:rPr>
      </w:r>
      <w:r>
        <w:rPr>
          <w:noProof/>
        </w:rPr>
        <w:fldChar w:fldCharType="separate"/>
      </w:r>
      <w:r w:rsidR="008F032F">
        <w:rPr>
          <w:noProof/>
        </w:rPr>
        <w:t>63</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3.4</w:t>
      </w:r>
      <w:r>
        <w:rPr>
          <w:rFonts w:eastAsiaTheme="minorEastAsia"/>
          <w:b w:val="0"/>
          <w:bCs w:val="0"/>
          <w:noProof/>
          <w:sz w:val="22"/>
          <w:szCs w:val="22"/>
          <w:lang w:eastAsia="en-GB"/>
        </w:rPr>
        <w:tab/>
      </w:r>
      <w:r>
        <w:rPr>
          <w:noProof/>
        </w:rPr>
        <w:t>Discussion</w:t>
      </w:r>
      <w:r>
        <w:rPr>
          <w:noProof/>
        </w:rPr>
        <w:tab/>
      </w:r>
      <w:r>
        <w:rPr>
          <w:noProof/>
        </w:rPr>
        <w:fldChar w:fldCharType="begin"/>
      </w:r>
      <w:r>
        <w:rPr>
          <w:noProof/>
        </w:rPr>
        <w:instrText xml:space="preserve"> PAGEREF _Toc440823215 \h </w:instrText>
      </w:r>
      <w:r>
        <w:rPr>
          <w:noProof/>
        </w:rPr>
      </w:r>
      <w:r>
        <w:rPr>
          <w:noProof/>
        </w:rPr>
        <w:fldChar w:fldCharType="separate"/>
      </w:r>
      <w:r w:rsidR="008F032F">
        <w:rPr>
          <w:noProof/>
        </w:rPr>
        <w:t>68</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3.4.1</w:t>
      </w:r>
      <w:r>
        <w:rPr>
          <w:rFonts w:eastAsiaTheme="minorEastAsia"/>
          <w:noProof/>
          <w:sz w:val="22"/>
          <w:szCs w:val="22"/>
          <w:lang w:eastAsia="en-GB"/>
        </w:rPr>
        <w:tab/>
      </w:r>
      <w:r>
        <w:rPr>
          <w:noProof/>
        </w:rPr>
        <w:t>Structural analysis</w:t>
      </w:r>
      <w:r>
        <w:rPr>
          <w:noProof/>
        </w:rPr>
        <w:tab/>
      </w:r>
      <w:r>
        <w:rPr>
          <w:noProof/>
        </w:rPr>
        <w:fldChar w:fldCharType="begin"/>
      </w:r>
      <w:r>
        <w:rPr>
          <w:noProof/>
        </w:rPr>
        <w:instrText xml:space="preserve"> PAGEREF _Toc440823216 \h </w:instrText>
      </w:r>
      <w:r>
        <w:rPr>
          <w:noProof/>
        </w:rPr>
      </w:r>
      <w:r>
        <w:rPr>
          <w:noProof/>
        </w:rPr>
        <w:fldChar w:fldCharType="separate"/>
      </w:r>
      <w:r w:rsidR="008F032F">
        <w:rPr>
          <w:noProof/>
        </w:rPr>
        <w:t>68</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3.4.2</w:t>
      </w:r>
      <w:r>
        <w:rPr>
          <w:rFonts w:eastAsiaTheme="minorEastAsia"/>
          <w:noProof/>
          <w:sz w:val="22"/>
          <w:szCs w:val="22"/>
          <w:lang w:eastAsia="en-GB"/>
        </w:rPr>
        <w:tab/>
      </w:r>
      <w:r>
        <w:rPr>
          <w:noProof/>
        </w:rPr>
        <w:t>CFD study</w:t>
      </w:r>
      <w:r>
        <w:rPr>
          <w:noProof/>
        </w:rPr>
        <w:tab/>
      </w:r>
      <w:r>
        <w:rPr>
          <w:noProof/>
        </w:rPr>
        <w:fldChar w:fldCharType="begin"/>
      </w:r>
      <w:r>
        <w:rPr>
          <w:noProof/>
        </w:rPr>
        <w:instrText xml:space="preserve"> PAGEREF _Toc440823217 \h </w:instrText>
      </w:r>
      <w:r>
        <w:rPr>
          <w:noProof/>
        </w:rPr>
      </w:r>
      <w:r>
        <w:rPr>
          <w:noProof/>
        </w:rPr>
        <w:fldChar w:fldCharType="separate"/>
      </w:r>
      <w:r w:rsidR="008F032F">
        <w:rPr>
          <w:noProof/>
        </w:rPr>
        <w:t>69</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3.4.3</w:t>
      </w:r>
      <w:r>
        <w:rPr>
          <w:rFonts w:eastAsiaTheme="minorEastAsia"/>
          <w:noProof/>
          <w:sz w:val="22"/>
          <w:szCs w:val="22"/>
          <w:lang w:eastAsia="en-GB"/>
        </w:rPr>
        <w:tab/>
      </w:r>
      <w:r>
        <w:rPr>
          <w:noProof/>
        </w:rPr>
        <w:t>Sensitivity analysis of the methodology presented</w:t>
      </w:r>
      <w:r>
        <w:rPr>
          <w:noProof/>
        </w:rPr>
        <w:tab/>
      </w:r>
      <w:r>
        <w:rPr>
          <w:noProof/>
        </w:rPr>
        <w:fldChar w:fldCharType="begin"/>
      </w:r>
      <w:r>
        <w:rPr>
          <w:noProof/>
        </w:rPr>
        <w:instrText xml:space="preserve"> PAGEREF _Toc440823218 \h </w:instrText>
      </w:r>
      <w:r>
        <w:rPr>
          <w:noProof/>
        </w:rPr>
      </w:r>
      <w:r>
        <w:rPr>
          <w:noProof/>
        </w:rPr>
        <w:fldChar w:fldCharType="separate"/>
      </w:r>
      <w:r w:rsidR="008F032F">
        <w:rPr>
          <w:noProof/>
        </w:rPr>
        <w:t>70</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3.4.4</w:t>
      </w:r>
      <w:r>
        <w:rPr>
          <w:rFonts w:eastAsiaTheme="minorEastAsia"/>
          <w:noProof/>
          <w:sz w:val="22"/>
          <w:szCs w:val="22"/>
          <w:lang w:eastAsia="en-GB"/>
        </w:rPr>
        <w:tab/>
      </w:r>
      <w:r>
        <w:rPr>
          <w:noProof/>
        </w:rPr>
        <w:t>Variability in cell response</w:t>
      </w:r>
      <w:r>
        <w:rPr>
          <w:noProof/>
        </w:rPr>
        <w:tab/>
      </w:r>
      <w:r>
        <w:rPr>
          <w:noProof/>
        </w:rPr>
        <w:fldChar w:fldCharType="begin"/>
      </w:r>
      <w:r>
        <w:rPr>
          <w:noProof/>
        </w:rPr>
        <w:instrText xml:space="preserve"> PAGEREF _Toc440823219 \h </w:instrText>
      </w:r>
      <w:r>
        <w:rPr>
          <w:noProof/>
        </w:rPr>
      </w:r>
      <w:r>
        <w:rPr>
          <w:noProof/>
        </w:rPr>
        <w:fldChar w:fldCharType="separate"/>
      </w:r>
      <w:r w:rsidR="008F032F">
        <w:rPr>
          <w:noProof/>
        </w:rPr>
        <w:t>71</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3.4.5</w:t>
      </w:r>
      <w:r>
        <w:rPr>
          <w:rFonts w:eastAsiaTheme="minorEastAsia"/>
          <w:noProof/>
          <w:sz w:val="22"/>
          <w:szCs w:val="22"/>
          <w:lang w:eastAsia="en-GB"/>
        </w:rPr>
        <w:tab/>
      </w:r>
      <w:r>
        <w:rPr>
          <w:noProof/>
        </w:rPr>
        <w:t>Impact of the study</w:t>
      </w:r>
      <w:r>
        <w:rPr>
          <w:noProof/>
        </w:rPr>
        <w:tab/>
      </w:r>
      <w:r>
        <w:rPr>
          <w:noProof/>
        </w:rPr>
        <w:fldChar w:fldCharType="begin"/>
      </w:r>
      <w:r>
        <w:rPr>
          <w:noProof/>
        </w:rPr>
        <w:instrText xml:space="preserve"> PAGEREF _Toc440823220 \h </w:instrText>
      </w:r>
      <w:r>
        <w:rPr>
          <w:noProof/>
        </w:rPr>
      </w:r>
      <w:r>
        <w:rPr>
          <w:noProof/>
        </w:rPr>
        <w:fldChar w:fldCharType="separate"/>
      </w:r>
      <w:r w:rsidR="008F032F">
        <w:rPr>
          <w:noProof/>
        </w:rPr>
        <w:t>73</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3.5</w:t>
      </w:r>
      <w:r>
        <w:rPr>
          <w:rFonts w:eastAsiaTheme="minorEastAsia"/>
          <w:b w:val="0"/>
          <w:bCs w:val="0"/>
          <w:noProof/>
          <w:sz w:val="22"/>
          <w:szCs w:val="22"/>
          <w:lang w:eastAsia="en-GB"/>
        </w:rPr>
        <w:tab/>
      </w:r>
      <w:r>
        <w:rPr>
          <w:noProof/>
        </w:rPr>
        <w:t>Conclusions</w:t>
      </w:r>
      <w:r>
        <w:rPr>
          <w:noProof/>
        </w:rPr>
        <w:tab/>
      </w:r>
      <w:r>
        <w:rPr>
          <w:noProof/>
        </w:rPr>
        <w:fldChar w:fldCharType="begin"/>
      </w:r>
      <w:r>
        <w:rPr>
          <w:noProof/>
        </w:rPr>
        <w:instrText xml:space="preserve"> PAGEREF _Toc440823221 \h </w:instrText>
      </w:r>
      <w:r>
        <w:rPr>
          <w:noProof/>
        </w:rPr>
      </w:r>
      <w:r>
        <w:rPr>
          <w:noProof/>
        </w:rPr>
        <w:fldChar w:fldCharType="separate"/>
      </w:r>
      <w:r w:rsidR="008F032F">
        <w:rPr>
          <w:noProof/>
        </w:rPr>
        <w:t>74</w:t>
      </w:r>
      <w:r>
        <w:rPr>
          <w:noProof/>
        </w:rPr>
        <w:fldChar w:fldCharType="end"/>
      </w:r>
    </w:p>
    <w:p w:rsidR="005D1052" w:rsidRDefault="005D1052" w:rsidP="005D1052">
      <w:pPr>
        <w:pStyle w:val="TOC1"/>
        <w:rPr>
          <w:rFonts w:eastAsiaTheme="minorEastAsia"/>
          <w:b w:val="0"/>
          <w:bCs w:val="0"/>
          <w:caps w:val="0"/>
          <w:noProof/>
          <w:sz w:val="22"/>
          <w:szCs w:val="22"/>
          <w:lang w:eastAsia="en-GB"/>
        </w:rPr>
      </w:pPr>
      <w:r>
        <w:rPr>
          <w:noProof/>
        </w:rPr>
        <w:t>Chapter 4:</w:t>
      </w:r>
      <w:r>
        <w:rPr>
          <w:rFonts w:eastAsiaTheme="minorEastAsia"/>
          <w:b w:val="0"/>
          <w:bCs w:val="0"/>
          <w:caps w:val="0"/>
          <w:noProof/>
          <w:sz w:val="22"/>
          <w:szCs w:val="22"/>
          <w:lang w:eastAsia="en-GB"/>
        </w:rPr>
        <w:tab/>
      </w:r>
      <w:r>
        <w:rPr>
          <w:noProof/>
        </w:rPr>
        <w:t>µ-Particle Image Velocimetry and Computational Fluid Dynamics study of cell seeding within a 3D porous scaffold</w:t>
      </w:r>
      <w:r>
        <w:rPr>
          <w:noProof/>
        </w:rPr>
        <w:tab/>
      </w:r>
      <w:r>
        <w:rPr>
          <w:noProof/>
        </w:rPr>
        <w:fldChar w:fldCharType="begin"/>
      </w:r>
      <w:r>
        <w:rPr>
          <w:noProof/>
        </w:rPr>
        <w:instrText xml:space="preserve"> PAGEREF _Toc440823222 \h </w:instrText>
      </w:r>
      <w:r>
        <w:rPr>
          <w:noProof/>
        </w:rPr>
      </w:r>
      <w:r>
        <w:rPr>
          <w:noProof/>
        </w:rPr>
        <w:fldChar w:fldCharType="separate"/>
      </w:r>
      <w:r w:rsidR="008F032F">
        <w:rPr>
          <w:noProof/>
        </w:rPr>
        <w:t>77</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4.1</w:t>
      </w:r>
      <w:r>
        <w:rPr>
          <w:rFonts w:eastAsiaTheme="minorEastAsia"/>
          <w:b w:val="0"/>
          <w:bCs w:val="0"/>
          <w:noProof/>
          <w:sz w:val="22"/>
          <w:szCs w:val="22"/>
          <w:lang w:eastAsia="en-GB"/>
        </w:rPr>
        <w:tab/>
      </w:r>
      <w:r>
        <w:rPr>
          <w:noProof/>
        </w:rPr>
        <w:t>Introduction</w:t>
      </w:r>
      <w:r>
        <w:rPr>
          <w:noProof/>
        </w:rPr>
        <w:tab/>
      </w:r>
      <w:r>
        <w:rPr>
          <w:noProof/>
        </w:rPr>
        <w:fldChar w:fldCharType="begin"/>
      </w:r>
      <w:r>
        <w:rPr>
          <w:noProof/>
        </w:rPr>
        <w:instrText xml:space="preserve"> PAGEREF _Toc440823223 \h </w:instrText>
      </w:r>
      <w:r>
        <w:rPr>
          <w:noProof/>
        </w:rPr>
      </w:r>
      <w:r>
        <w:rPr>
          <w:noProof/>
        </w:rPr>
        <w:fldChar w:fldCharType="separate"/>
      </w:r>
      <w:r w:rsidR="008F032F">
        <w:rPr>
          <w:noProof/>
        </w:rPr>
        <w:t>77</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4.2</w:t>
      </w:r>
      <w:r>
        <w:rPr>
          <w:rFonts w:eastAsiaTheme="minorEastAsia"/>
          <w:b w:val="0"/>
          <w:bCs w:val="0"/>
          <w:noProof/>
          <w:sz w:val="22"/>
          <w:szCs w:val="22"/>
          <w:lang w:eastAsia="en-GB"/>
        </w:rPr>
        <w:tab/>
      </w:r>
      <w:r>
        <w:rPr>
          <w:noProof/>
        </w:rPr>
        <w:t>Materials and Methods</w:t>
      </w:r>
      <w:r>
        <w:rPr>
          <w:noProof/>
        </w:rPr>
        <w:tab/>
      </w:r>
      <w:r>
        <w:rPr>
          <w:noProof/>
        </w:rPr>
        <w:fldChar w:fldCharType="begin"/>
      </w:r>
      <w:r>
        <w:rPr>
          <w:noProof/>
        </w:rPr>
        <w:instrText xml:space="preserve"> PAGEREF _Toc440823224 \h </w:instrText>
      </w:r>
      <w:r>
        <w:rPr>
          <w:noProof/>
        </w:rPr>
      </w:r>
      <w:r>
        <w:rPr>
          <w:noProof/>
        </w:rPr>
        <w:fldChar w:fldCharType="separate"/>
      </w:r>
      <w:r w:rsidR="008F032F">
        <w:rPr>
          <w:noProof/>
        </w:rPr>
        <w:t>80</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4.2.1</w:t>
      </w:r>
      <w:r>
        <w:rPr>
          <w:rFonts w:eastAsiaTheme="minorEastAsia"/>
          <w:noProof/>
          <w:sz w:val="22"/>
          <w:szCs w:val="22"/>
          <w:lang w:eastAsia="en-GB"/>
        </w:rPr>
        <w:tab/>
      </w:r>
      <w:r>
        <w:rPr>
          <w:noProof/>
        </w:rPr>
        <w:t>Scaffold and Polydimethylsiloxane (PDMS) chamber</w:t>
      </w:r>
      <w:r>
        <w:rPr>
          <w:noProof/>
        </w:rPr>
        <w:tab/>
      </w:r>
      <w:r>
        <w:rPr>
          <w:noProof/>
        </w:rPr>
        <w:fldChar w:fldCharType="begin"/>
      </w:r>
      <w:r>
        <w:rPr>
          <w:noProof/>
        </w:rPr>
        <w:instrText xml:space="preserve"> PAGEREF _Toc440823225 \h </w:instrText>
      </w:r>
      <w:r>
        <w:rPr>
          <w:noProof/>
        </w:rPr>
      </w:r>
      <w:r>
        <w:rPr>
          <w:noProof/>
        </w:rPr>
        <w:fldChar w:fldCharType="separate"/>
      </w:r>
      <w:r w:rsidR="008F032F">
        <w:rPr>
          <w:noProof/>
        </w:rPr>
        <w:t>80</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4.2.2</w:t>
      </w:r>
      <w:r>
        <w:rPr>
          <w:rFonts w:eastAsiaTheme="minorEastAsia"/>
          <w:noProof/>
          <w:sz w:val="22"/>
          <w:szCs w:val="22"/>
          <w:lang w:eastAsia="en-GB"/>
        </w:rPr>
        <w:tab/>
      </w:r>
      <w:r>
        <w:rPr>
          <w:noProof/>
        </w:rPr>
        <w:t>Characterization of the local fluid flow inside the scaffold</w:t>
      </w:r>
      <w:r>
        <w:rPr>
          <w:noProof/>
        </w:rPr>
        <w:tab/>
      </w:r>
      <w:r>
        <w:rPr>
          <w:noProof/>
        </w:rPr>
        <w:fldChar w:fldCharType="begin"/>
      </w:r>
      <w:r>
        <w:rPr>
          <w:noProof/>
        </w:rPr>
        <w:instrText xml:space="preserve"> PAGEREF _Toc440823226 \h </w:instrText>
      </w:r>
      <w:r>
        <w:rPr>
          <w:noProof/>
        </w:rPr>
      </w:r>
      <w:r>
        <w:rPr>
          <w:noProof/>
        </w:rPr>
        <w:fldChar w:fldCharType="separate"/>
      </w:r>
      <w:r w:rsidR="008F032F">
        <w:rPr>
          <w:noProof/>
        </w:rPr>
        <w:t>81</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4.2.2.1 Experimental methods</w:t>
      </w:r>
      <w:r>
        <w:rPr>
          <w:noProof/>
        </w:rPr>
        <w:tab/>
      </w:r>
      <w:r>
        <w:rPr>
          <w:noProof/>
        </w:rPr>
        <w:fldChar w:fldCharType="begin"/>
      </w:r>
      <w:r>
        <w:rPr>
          <w:noProof/>
        </w:rPr>
        <w:instrText xml:space="preserve"> PAGEREF _Toc440823227 \h </w:instrText>
      </w:r>
      <w:r>
        <w:rPr>
          <w:noProof/>
        </w:rPr>
      </w:r>
      <w:r>
        <w:rPr>
          <w:noProof/>
        </w:rPr>
        <w:fldChar w:fldCharType="separate"/>
      </w:r>
      <w:r w:rsidR="008F032F">
        <w:rPr>
          <w:noProof/>
        </w:rPr>
        <w:t>81</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4.2.2.1.1</w:t>
      </w:r>
      <w:r>
        <w:rPr>
          <w:noProof/>
        </w:rPr>
        <w:t xml:space="preserve"> Microfluidic system</w:t>
      </w:r>
      <w:r>
        <w:rPr>
          <w:noProof/>
        </w:rPr>
        <w:tab/>
      </w:r>
      <w:r>
        <w:rPr>
          <w:noProof/>
        </w:rPr>
        <w:fldChar w:fldCharType="begin"/>
      </w:r>
      <w:r>
        <w:rPr>
          <w:noProof/>
        </w:rPr>
        <w:instrText xml:space="preserve"> PAGEREF _Toc440823228 \h </w:instrText>
      </w:r>
      <w:r>
        <w:rPr>
          <w:noProof/>
        </w:rPr>
      </w:r>
      <w:r>
        <w:rPr>
          <w:noProof/>
        </w:rPr>
        <w:fldChar w:fldCharType="separate"/>
      </w:r>
      <w:r w:rsidR="008F032F">
        <w:rPr>
          <w:noProof/>
        </w:rPr>
        <w:t>81</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4.2.2.1.2</w:t>
      </w:r>
      <w:r>
        <w:rPr>
          <w:noProof/>
        </w:rPr>
        <w:t xml:space="preserve"> </w:t>
      </w:r>
      <w:r w:rsidRPr="003A5642">
        <w:rPr>
          <w:noProof/>
        </w:rPr>
        <w:sym w:font="Symbol" w:char="F06D"/>
      </w:r>
      <w:r>
        <w:rPr>
          <w:noProof/>
        </w:rPr>
        <w:t>PIV experimental procedure</w:t>
      </w:r>
      <w:r>
        <w:rPr>
          <w:noProof/>
        </w:rPr>
        <w:tab/>
      </w:r>
      <w:r>
        <w:rPr>
          <w:noProof/>
        </w:rPr>
        <w:fldChar w:fldCharType="begin"/>
      </w:r>
      <w:r>
        <w:rPr>
          <w:noProof/>
        </w:rPr>
        <w:instrText xml:space="preserve"> PAGEREF _Toc440823229 \h </w:instrText>
      </w:r>
      <w:r>
        <w:rPr>
          <w:noProof/>
        </w:rPr>
      </w:r>
      <w:r>
        <w:rPr>
          <w:noProof/>
        </w:rPr>
        <w:fldChar w:fldCharType="separate"/>
      </w:r>
      <w:r w:rsidR="008F032F">
        <w:rPr>
          <w:noProof/>
        </w:rPr>
        <w:t>81</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4.2.2.1.3</w:t>
      </w:r>
      <w:r>
        <w:rPr>
          <w:noProof/>
        </w:rPr>
        <w:t xml:space="preserve"> </w:t>
      </w:r>
      <w:r w:rsidRPr="003A5642">
        <w:rPr>
          <w:noProof/>
        </w:rPr>
        <w:sym w:font="Symbol" w:char="F06D"/>
      </w:r>
      <w:r>
        <w:rPr>
          <w:noProof/>
        </w:rPr>
        <w:t>PIV data post-processing</w:t>
      </w:r>
      <w:r>
        <w:rPr>
          <w:noProof/>
        </w:rPr>
        <w:tab/>
      </w:r>
      <w:r>
        <w:rPr>
          <w:noProof/>
        </w:rPr>
        <w:fldChar w:fldCharType="begin"/>
      </w:r>
      <w:r>
        <w:rPr>
          <w:noProof/>
        </w:rPr>
        <w:instrText xml:space="preserve"> PAGEREF _Toc440823230 \h </w:instrText>
      </w:r>
      <w:r>
        <w:rPr>
          <w:noProof/>
        </w:rPr>
      </w:r>
      <w:r>
        <w:rPr>
          <w:noProof/>
        </w:rPr>
        <w:fldChar w:fldCharType="separate"/>
      </w:r>
      <w:r w:rsidR="008F032F">
        <w:rPr>
          <w:noProof/>
        </w:rPr>
        <w:t>82</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4.2.2.2 Computational methods</w:t>
      </w:r>
      <w:r>
        <w:rPr>
          <w:noProof/>
        </w:rPr>
        <w:tab/>
      </w:r>
      <w:r>
        <w:rPr>
          <w:noProof/>
        </w:rPr>
        <w:fldChar w:fldCharType="begin"/>
      </w:r>
      <w:r>
        <w:rPr>
          <w:noProof/>
        </w:rPr>
        <w:instrText xml:space="preserve"> PAGEREF _Toc440823231 \h </w:instrText>
      </w:r>
      <w:r>
        <w:rPr>
          <w:noProof/>
        </w:rPr>
      </w:r>
      <w:r>
        <w:rPr>
          <w:noProof/>
        </w:rPr>
        <w:fldChar w:fldCharType="separate"/>
      </w:r>
      <w:r w:rsidR="008F032F">
        <w:rPr>
          <w:noProof/>
        </w:rPr>
        <w:t>82</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4.2.2.2.1</w:t>
      </w:r>
      <w:r w:rsidRPr="00D30D74">
        <w:rPr>
          <w:rFonts w:ascii="Times New Roman" w:hAnsi="Times New Roman" w:cs="Times New Roman"/>
          <w:noProof/>
        </w:rPr>
        <w:t xml:space="preserve"> µ</w:t>
      </w:r>
      <w:r>
        <w:rPr>
          <w:noProof/>
        </w:rPr>
        <w:t>CT scanning of trimmed scaffold</w:t>
      </w:r>
      <w:r>
        <w:rPr>
          <w:noProof/>
        </w:rPr>
        <w:tab/>
      </w:r>
      <w:r>
        <w:rPr>
          <w:noProof/>
        </w:rPr>
        <w:fldChar w:fldCharType="begin"/>
      </w:r>
      <w:r>
        <w:rPr>
          <w:noProof/>
        </w:rPr>
        <w:instrText xml:space="preserve"> PAGEREF _Toc440823232 \h </w:instrText>
      </w:r>
      <w:r>
        <w:rPr>
          <w:noProof/>
        </w:rPr>
      </w:r>
      <w:r>
        <w:rPr>
          <w:noProof/>
        </w:rPr>
        <w:fldChar w:fldCharType="separate"/>
      </w:r>
      <w:r w:rsidR="008F032F">
        <w:rPr>
          <w:noProof/>
        </w:rPr>
        <w:t>82</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lastRenderedPageBreak/>
        <w:t>4.2.2.2.2</w:t>
      </w:r>
      <w:r>
        <w:rPr>
          <w:noProof/>
        </w:rPr>
        <w:t xml:space="preserve"> µCT-images reconstruction</w:t>
      </w:r>
      <w:r>
        <w:rPr>
          <w:noProof/>
        </w:rPr>
        <w:tab/>
      </w:r>
      <w:r>
        <w:rPr>
          <w:noProof/>
        </w:rPr>
        <w:fldChar w:fldCharType="begin"/>
      </w:r>
      <w:r>
        <w:rPr>
          <w:noProof/>
        </w:rPr>
        <w:instrText xml:space="preserve"> PAGEREF _Toc440823233 \h </w:instrText>
      </w:r>
      <w:r>
        <w:rPr>
          <w:noProof/>
        </w:rPr>
      </w:r>
      <w:r>
        <w:rPr>
          <w:noProof/>
        </w:rPr>
        <w:fldChar w:fldCharType="separate"/>
      </w:r>
      <w:r w:rsidR="008F032F">
        <w:rPr>
          <w:noProof/>
        </w:rPr>
        <w:t>83</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4.2.2.2.3</w:t>
      </w:r>
      <w:r>
        <w:rPr>
          <w:noProof/>
        </w:rPr>
        <w:t xml:space="preserve"> Fluid volume mesh generation</w:t>
      </w:r>
      <w:r>
        <w:rPr>
          <w:noProof/>
        </w:rPr>
        <w:tab/>
      </w:r>
      <w:r>
        <w:rPr>
          <w:noProof/>
        </w:rPr>
        <w:fldChar w:fldCharType="begin"/>
      </w:r>
      <w:r>
        <w:rPr>
          <w:noProof/>
        </w:rPr>
        <w:instrText xml:space="preserve"> PAGEREF _Toc440823234 \h </w:instrText>
      </w:r>
      <w:r>
        <w:rPr>
          <w:noProof/>
        </w:rPr>
      </w:r>
      <w:r>
        <w:rPr>
          <w:noProof/>
        </w:rPr>
        <w:fldChar w:fldCharType="separate"/>
      </w:r>
      <w:r w:rsidR="008F032F">
        <w:rPr>
          <w:noProof/>
        </w:rPr>
        <w:t>83</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4.2.2.2.4</w:t>
      </w:r>
      <w:r>
        <w:rPr>
          <w:noProof/>
        </w:rPr>
        <w:t xml:space="preserve"> CFD model setup and simulations</w:t>
      </w:r>
      <w:r>
        <w:rPr>
          <w:noProof/>
        </w:rPr>
        <w:tab/>
      </w:r>
      <w:r>
        <w:rPr>
          <w:noProof/>
        </w:rPr>
        <w:fldChar w:fldCharType="begin"/>
      </w:r>
      <w:r>
        <w:rPr>
          <w:noProof/>
        </w:rPr>
        <w:instrText xml:space="preserve"> PAGEREF _Toc440823235 \h </w:instrText>
      </w:r>
      <w:r>
        <w:rPr>
          <w:noProof/>
        </w:rPr>
      </w:r>
      <w:r>
        <w:rPr>
          <w:noProof/>
        </w:rPr>
        <w:fldChar w:fldCharType="separate"/>
      </w:r>
      <w:r w:rsidR="008F032F">
        <w:rPr>
          <w:noProof/>
        </w:rPr>
        <w:t>84</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4.2.3</w:t>
      </w:r>
      <w:r>
        <w:rPr>
          <w:rFonts w:eastAsiaTheme="minorEastAsia"/>
          <w:noProof/>
          <w:sz w:val="22"/>
          <w:szCs w:val="22"/>
          <w:lang w:eastAsia="en-GB"/>
        </w:rPr>
        <w:tab/>
      </w:r>
      <w:r>
        <w:rPr>
          <w:noProof/>
        </w:rPr>
        <w:t>Analysis of cell transport inside the scaffold</w:t>
      </w:r>
      <w:r>
        <w:rPr>
          <w:noProof/>
        </w:rPr>
        <w:tab/>
      </w:r>
      <w:r>
        <w:rPr>
          <w:noProof/>
        </w:rPr>
        <w:fldChar w:fldCharType="begin"/>
      </w:r>
      <w:r>
        <w:rPr>
          <w:noProof/>
        </w:rPr>
        <w:instrText xml:space="preserve"> PAGEREF _Toc440823236 \h </w:instrText>
      </w:r>
      <w:r>
        <w:rPr>
          <w:noProof/>
        </w:rPr>
      </w:r>
      <w:r>
        <w:rPr>
          <w:noProof/>
        </w:rPr>
        <w:fldChar w:fldCharType="separate"/>
      </w:r>
      <w:r w:rsidR="008F032F">
        <w:rPr>
          <w:noProof/>
        </w:rPr>
        <w:t>85</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4.2.3.1 Experimental methods</w:t>
      </w:r>
      <w:r>
        <w:rPr>
          <w:noProof/>
        </w:rPr>
        <w:tab/>
      </w:r>
      <w:r>
        <w:rPr>
          <w:noProof/>
        </w:rPr>
        <w:fldChar w:fldCharType="begin"/>
      </w:r>
      <w:r>
        <w:rPr>
          <w:noProof/>
        </w:rPr>
        <w:instrText xml:space="preserve"> PAGEREF _Toc440823237 \h </w:instrText>
      </w:r>
      <w:r>
        <w:rPr>
          <w:noProof/>
        </w:rPr>
      </w:r>
      <w:r>
        <w:rPr>
          <w:noProof/>
        </w:rPr>
        <w:fldChar w:fldCharType="separate"/>
      </w:r>
      <w:r w:rsidR="008F032F">
        <w:rPr>
          <w:noProof/>
        </w:rPr>
        <w:t>85</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4.2.3.1.1</w:t>
      </w:r>
      <w:r>
        <w:rPr>
          <w:noProof/>
        </w:rPr>
        <w:t xml:space="preserve"> Cell culture and labelling</w:t>
      </w:r>
      <w:r>
        <w:rPr>
          <w:noProof/>
        </w:rPr>
        <w:tab/>
      </w:r>
      <w:r>
        <w:rPr>
          <w:noProof/>
        </w:rPr>
        <w:fldChar w:fldCharType="begin"/>
      </w:r>
      <w:r>
        <w:rPr>
          <w:noProof/>
        </w:rPr>
        <w:instrText xml:space="preserve"> PAGEREF _Toc440823238 \h </w:instrText>
      </w:r>
      <w:r>
        <w:rPr>
          <w:noProof/>
        </w:rPr>
      </w:r>
      <w:r>
        <w:rPr>
          <w:noProof/>
        </w:rPr>
        <w:fldChar w:fldCharType="separate"/>
      </w:r>
      <w:r w:rsidR="008F032F">
        <w:rPr>
          <w:noProof/>
        </w:rPr>
        <w:t>85</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4.2.3.1.2</w:t>
      </w:r>
      <w:r>
        <w:rPr>
          <w:noProof/>
        </w:rPr>
        <w:t xml:space="preserve"> Microfluidic system configuration</w:t>
      </w:r>
      <w:r>
        <w:rPr>
          <w:noProof/>
        </w:rPr>
        <w:tab/>
      </w:r>
      <w:r>
        <w:rPr>
          <w:noProof/>
        </w:rPr>
        <w:fldChar w:fldCharType="begin"/>
      </w:r>
      <w:r>
        <w:rPr>
          <w:noProof/>
        </w:rPr>
        <w:instrText xml:space="preserve"> PAGEREF _Toc440823239 \h </w:instrText>
      </w:r>
      <w:r>
        <w:rPr>
          <w:noProof/>
        </w:rPr>
      </w:r>
      <w:r>
        <w:rPr>
          <w:noProof/>
        </w:rPr>
        <w:fldChar w:fldCharType="separate"/>
      </w:r>
      <w:r w:rsidR="008F032F">
        <w:rPr>
          <w:noProof/>
        </w:rPr>
        <w:t>86</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4.2.3.1.3</w:t>
      </w:r>
      <w:r>
        <w:rPr>
          <w:noProof/>
        </w:rPr>
        <w:t xml:space="preserve"> Cell tracking procedure</w:t>
      </w:r>
      <w:r>
        <w:rPr>
          <w:noProof/>
        </w:rPr>
        <w:tab/>
      </w:r>
      <w:r>
        <w:rPr>
          <w:noProof/>
        </w:rPr>
        <w:fldChar w:fldCharType="begin"/>
      </w:r>
      <w:r>
        <w:rPr>
          <w:noProof/>
        </w:rPr>
        <w:instrText xml:space="preserve"> PAGEREF _Toc440823240 \h </w:instrText>
      </w:r>
      <w:r>
        <w:rPr>
          <w:noProof/>
        </w:rPr>
      </w:r>
      <w:r>
        <w:rPr>
          <w:noProof/>
        </w:rPr>
        <w:fldChar w:fldCharType="separate"/>
      </w:r>
      <w:r w:rsidR="008F032F">
        <w:rPr>
          <w:noProof/>
        </w:rPr>
        <w:t>86</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4.2.3.2 Computational methods</w:t>
      </w:r>
      <w:r>
        <w:rPr>
          <w:noProof/>
        </w:rPr>
        <w:tab/>
      </w:r>
      <w:r>
        <w:rPr>
          <w:noProof/>
        </w:rPr>
        <w:fldChar w:fldCharType="begin"/>
      </w:r>
      <w:r>
        <w:rPr>
          <w:noProof/>
        </w:rPr>
        <w:instrText xml:space="preserve"> PAGEREF _Toc440823241 \h </w:instrText>
      </w:r>
      <w:r>
        <w:rPr>
          <w:noProof/>
        </w:rPr>
      </w:r>
      <w:r>
        <w:rPr>
          <w:noProof/>
        </w:rPr>
        <w:fldChar w:fldCharType="separate"/>
      </w:r>
      <w:r w:rsidR="008F032F">
        <w:rPr>
          <w:noProof/>
        </w:rPr>
        <w:t>86</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4.2.3.2.1</w:t>
      </w:r>
      <w:r>
        <w:rPr>
          <w:noProof/>
        </w:rPr>
        <w:t xml:space="preserve"> Continuous phase modelling</w:t>
      </w:r>
      <w:r>
        <w:rPr>
          <w:noProof/>
        </w:rPr>
        <w:tab/>
      </w:r>
      <w:r>
        <w:rPr>
          <w:noProof/>
        </w:rPr>
        <w:fldChar w:fldCharType="begin"/>
      </w:r>
      <w:r>
        <w:rPr>
          <w:noProof/>
        </w:rPr>
        <w:instrText xml:space="preserve"> PAGEREF _Toc440823242 \h </w:instrText>
      </w:r>
      <w:r>
        <w:rPr>
          <w:noProof/>
        </w:rPr>
      </w:r>
      <w:r>
        <w:rPr>
          <w:noProof/>
        </w:rPr>
        <w:fldChar w:fldCharType="separate"/>
      </w:r>
      <w:r w:rsidR="008F032F">
        <w:rPr>
          <w:noProof/>
        </w:rPr>
        <w:t>86</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4.2.3.2.2</w:t>
      </w:r>
      <w:r>
        <w:rPr>
          <w:noProof/>
        </w:rPr>
        <w:t xml:space="preserve"> Discrete phase modelling</w:t>
      </w:r>
      <w:r>
        <w:rPr>
          <w:noProof/>
        </w:rPr>
        <w:tab/>
      </w:r>
      <w:r>
        <w:rPr>
          <w:noProof/>
        </w:rPr>
        <w:fldChar w:fldCharType="begin"/>
      </w:r>
      <w:r>
        <w:rPr>
          <w:noProof/>
        </w:rPr>
        <w:instrText xml:space="preserve"> PAGEREF _Toc440823243 \h </w:instrText>
      </w:r>
      <w:r>
        <w:rPr>
          <w:noProof/>
        </w:rPr>
      </w:r>
      <w:r>
        <w:rPr>
          <w:noProof/>
        </w:rPr>
        <w:fldChar w:fldCharType="separate"/>
      </w:r>
      <w:r w:rsidR="008F032F">
        <w:rPr>
          <w:noProof/>
        </w:rPr>
        <w:t>87</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4.2.3.2.3</w:t>
      </w:r>
      <w:r>
        <w:rPr>
          <w:noProof/>
        </w:rPr>
        <w:t xml:space="preserve"> Numerical simulations</w:t>
      </w:r>
      <w:r>
        <w:rPr>
          <w:noProof/>
        </w:rPr>
        <w:tab/>
      </w:r>
      <w:r>
        <w:rPr>
          <w:noProof/>
        </w:rPr>
        <w:fldChar w:fldCharType="begin"/>
      </w:r>
      <w:r>
        <w:rPr>
          <w:noProof/>
        </w:rPr>
        <w:instrText xml:space="preserve"> PAGEREF _Toc440823244 \h </w:instrText>
      </w:r>
      <w:r>
        <w:rPr>
          <w:noProof/>
        </w:rPr>
      </w:r>
      <w:r>
        <w:rPr>
          <w:noProof/>
        </w:rPr>
        <w:fldChar w:fldCharType="separate"/>
      </w:r>
      <w:r w:rsidR="008F032F">
        <w:rPr>
          <w:noProof/>
        </w:rPr>
        <w:t>88</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4.3</w:t>
      </w:r>
      <w:r>
        <w:rPr>
          <w:rFonts w:eastAsiaTheme="minorEastAsia"/>
          <w:b w:val="0"/>
          <w:bCs w:val="0"/>
          <w:noProof/>
          <w:sz w:val="22"/>
          <w:szCs w:val="22"/>
          <w:lang w:eastAsia="en-GB"/>
        </w:rPr>
        <w:tab/>
      </w:r>
      <w:r>
        <w:rPr>
          <w:noProof/>
        </w:rPr>
        <w:t>Results</w:t>
      </w:r>
      <w:r>
        <w:rPr>
          <w:noProof/>
        </w:rPr>
        <w:tab/>
      </w:r>
      <w:r>
        <w:rPr>
          <w:noProof/>
        </w:rPr>
        <w:fldChar w:fldCharType="begin"/>
      </w:r>
      <w:r>
        <w:rPr>
          <w:noProof/>
        </w:rPr>
        <w:instrText xml:space="preserve"> PAGEREF _Toc440823245 \h </w:instrText>
      </w:r>
      <w:r>
        <w:rPr>
          <w:noProof/>
        </w:rPr>
      </w:r>
      <w:r>
        <w:rPr>
          <w:noProof/>
        </w:rPr>
        <w:fldChar w:fldCharType="separate"/>
      </w:r>
      <w:r w:rsidR="008F032F">
        <w:rPr>
          <w:noProof/>
        </w:rPr>
        <w:t>90</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4.3.1</w:t>
      </w:r>
      <w:r>
        <w:rPr>
          <w:rFonts w:eastAsiaTheme="minorEastAsia"/>
          <w:noProof/>
          <w:sz w:val="22"/>
          <w:szCs w:val="22"/>
          <w:lang w:eastAsia="en-GB"/>
        </w:rPr>
        <w:tab/>
      </w:r>
      <w:r>
        <w:rPr>
          <w:noProof/>
        </w:rPr>
        <w:t>Characterization of the fluid flow inside the scaffold</w:t>
      </w:r>
      <w:r>
        <w:rPr>
          <w:noProof/>
        </w:rPr>
        <w:tab/>
      </w:r>
      <w:r>
        <w:rPr>
          <w:noProof/>
        </w:rPr>
        <w:fldChar w:fldCharType="begin"/>
      </w:r>
      <w:r>
        <w:rPr>
          <w:noProof/>
        </w:rPr>
        <w:instrText xml:space="preserve"> PAGEREF _Toc440823246 \h </w:instrText>
      </w:r>
      <w:r>
        <w:rPr>
          <w:noProof/>
        </w:rPr>
      </w:r>
      <w:r>
        <w:rPr>
          <w:noProof/>
        </w:rPr>
        <w:fldChar w:fldCharType="separate"/>
      </w:r>
      <w:r w:rsidR="008F032F">
        <w:rPr>
          <w:noProof/>
        </w:rPr>
        <w:t>90</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4.3.1.1 Experimental results</w:t>
      </w:r>
      <w:r>
        <w:rPr>
          <w:noProof/>
        </w:rPr>
        <w:tab/>
      </w:r>
      <w:r>
        <w:rPr>
          <w:noProof/>
        </w:rPr>
        <w:fldChar w:fldCharType="begin"/>
      </w:r>
      <w:r>
        <w:rPr>
          <w:noProof/>
        </w:rPr>
        <w:instrText xml:space="preserve"> PAGEREF _Toc440823247 \h </w:instrText>
      </w:r>
      <w:r>
        <w:rPr>
          <w:noProof/>
        </w:rPr>
      </w:r>
      <w:r>
        <w:rPr>
          <w:noProof/>
        </w:rPr>
        <w:fldChar w:fldCharType="separate"/>
      </w:r>
      <w:r w:rsidR="008F032F">
        <w:rPr>
          <w:noProof/>
        </w:rPr>
        <w:t>90</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4.3.1.1.1</w:t>
      </w:r>
      <w:r>
        <w:rPr>
          <w:noProof/>
        </w:rPr>
        <w:t xml:space="preserve"> Accuracy of the µPIV system</w:t>
      </w:r>
      <w:r>
        <w:rPr>
          <w:noProof/>
        </w:rPr>
        <w:tab/>
      </w:r>
      <w:r>
        <w:rPr>
          <w:noProof/>
        </w:rPr>
        <w:fldChar w:fldCharType="begin"/>
      </w:r>
      <w:r>
        <w:rPr>
          <w:noProof/>
        </w:rPr>
        <w:instrText xml:space="preserve"> PAGEREF _Toc440823248 \h </w:instrText>
      </w:r>
      <w:r>
        <w:rPr>
          <w:noProof/>
        </w:rPr>
      </w:r>
      <w:r>
        <w:rPr>
          <w:noProof/>
        </w:rPr>
        <w:fldChar w:fldCharType="separate"/>
      </w:r>
      <w:r w:rsidR="008F032F">
        <w:rPr>
          <w:noProof/>
        </w:rPr>
        <w:t>90</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4.3.1.1.2</w:t>
      </w:r>
      <w:r>
        <w:rPr>
          <w:noProof/>
        </w:rPr>
        <w:t xml:space="preserve"> Local fluid velocities inside the scaffold measured with µPIV</w:t>
      </w:r>
      <w:r>
        <w:rPr>
          <w:noProof/>
        </w:rPr>
        <w:tab/>
      </w:r>
      <w:r>
        <w:rPr>
          <w:noProof/>
        </w:rPr>
        <w:fldChar w:fldCharType="begin"/>
      </w:r>
      <w:r>
        <w:rPr>
          <w:noProof/>
        </w:rPr>
        <w:instrText xml:space="preserve"> PAGEREF _Toc440823249 \h </w:instrText>
      </w:r>
      <w:r>
        <w:rPr>
          <w:noProof/>
        </w:rPr>
      </w:r>
      <w:r>
        <w:rPr>
          <w:noProof/>
        </w:rPr>
        <w:fldChar w:fldCharType="separate"/>
      </w:r>
      <w:r w:rsidR="008F032F">
        <w:rPr>
          <w:noProof/>
        </w:rPr>
        <w:t>92</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4.3.1.2 Computational results</w:t>
      </w:r>
      <w:r>
        <w:rPr>
          <w:noProof/>
        </w:rPr>
        <w:tab/>
      </w:r>
      <w:r>
        <w:rPr>
          <w:noProof/>
        </w:rPr>
        <w:fldChar w:fldCharType="begin"/>
      </w:r>
      <w:r>
        <w:rPr>
          <w:noProof/>
        </w:rPr>
        <w:instrText xml:space="preserve"> PAGEREF _Toc440823250 \h </w:instrText>
      </w:r>
      <w:r>
        <w:rPr>
          <w:noProof/>
        </w:rPr>
      </w:r>
      <w:r>
        <w:rPr>
          <w:noProof/>
        </w:rPr>
        <w:fldChar w:fldCharType="separate"/>
      </w:r>
      <w:r w:rsidR="008F032F">
        <w:rPr>
          <w:noProof/>
        </w:rPr>
        <w:t>94</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4.3.1.2.1</w:t>
      </w:r>
      <w:r>
        <w:rPr>
          <w:noProof/>
        </w:rPr>
        <w:t xml:space="preserve"> Mesh independence test</w:t>
      </w:r>
      <w:r>
        <w:rPr>
          <w:noProof/>
        </w:rPr>
        <w:tab/>
      </w:r>
      <w:r>
        <w:rPr>
          <w:noProof/>
        </w:rPr>
        <w:fldChar w:fldCharType="begin"/>
      </w:r>
      <w:r>
        <w:rPr>
          <w:noProof/>
        </w:rPr>
        <w:instrText xml:space="preserve"> PAGEREF _Toc440823251 \h </w:instrText>
      </w:r>
      <w:r>
        <w:rPr>
          <w:noProof/>
        </w:rPr>
      </w:r>
      <w:r>
        <w:rPr>
          <w:noProof/>
        </w:rPr>
        <w:fldChar w:fldCharType="separate"/>
      </w:r>
      <w:r w:rsidR="008F032F">
        <w:rPr>
          <w:noProof/>
        </w:rPr>
        <w:t>94</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4.3.1.2.2</w:t>
      </w:r>
      <w:r>
        <w:rPr>
          <w:noProof/>
        </w:rPr>
        <w:t xml:space="preserve"> Computational model benchmark</w:t>
      </w:r>
      <w:r>
        <w:rPr>
          <w:noProof/>
        </w:rPr>
        <w:tab/>
      </w:r>
      <w:r>
        <w:rPr>
          <w:noProof/>
        </w:rPr>
        <w:fldChar w:fldCharType="begin"/>
      </w:r>
      <w:r>
        <w:rPr>
          <w:noProof/>
        </w:rPr>
        <w:instrText xml:space="preserve"> PAGEREF _Toc440823252 \h </w:instrText>
      </w:r>
      <w:r>
        <w:rPr>
          <w:noProof/>
        </w:rPr>
      </w:r>
      <w:r>
        <w:rPr>
          <w:noProof/>
        </w:rPr>
        <w:fldChar w:fldCharType="separate"/>
      </w:r>
      <w:r w:rsidR="008F032F">
        <w:rPr>
          <w:noProof/>
        </w:rPr>
        <w:t>97</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4.3.1.2.3</w:t>
      </w:r>
      <w:r>
        <w:rPr>
          <w:noProof/>
        </w:rPr>
        <w:t xml:space="preserve"> Validation with µPIV results</w:t>
      </w:r>
      <w:r>
        <w:rPr>
          <w:noProof/>
        </w:rPr>
        <w:tab/>
      </w:r>
      <w:r>
        <w:rPr>
          <w:noProof/>
        </w:rPr>
        <w:fldChar w:fldCharType="begin"/>
      </w:r>
      <w:r>
        <w:rPr>
          <w:noProof/>
        </w:rPr>
        <w:instrText xml:space="preserve"> PAGEREF _Toc440823253 \h </w:instrText>
      </w:r>
      <w:r>
        <w:rPr>
          <w:noProof/>
        </w:rPr>
      </w:r>
      <w:r>
        <w:rPr>
          <w:noProof/>
        </w:rPr>
        <w:fldChar w:fldCharType="separate"/>
      </w:r>
      <w:r w:rsidR="008F032F">
        <w:rPr>
          <w:noProof/>
        </w:rPr>
        <w:t>98</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4.3.2</w:t>
      </w:r>
      <w:r>
        <w:rPr>
          <w:rFonts w:eastAsiaTheme="minorEastAsia"/>
          <w:noProof/>
          <w:sz w:val="22"/>
          <w:szCs w:val="22"/>
          <w:lang w:eastAsia="en-GB"/>
        </w:rPr>
        <w:tab/>
      </w:r>
      <w:r>
        <w:rPr>
          <w:noProof/>
        </w:rPr>
        <w:t>Cell transport inside the scaffold</w:t>
      </w:r>
      <w:r>
        <w:rPr>
          <w:noProof/>
        </w:rPr>
        <w:tab/>
      </w:r>
      <w:r>
        <w:rPr>
          <w:noProof/>
        </w:rPr>
        <w:fldChar w:fldCharType="begin"/>
      </w:r>
      <w:r>
        <w:rPr>
          <w:noProof/>
        </w:rPr>
        <w:instrText xml:space="preserve"> PAGEREF _Toc440823254 \h </w:instrText>
      </w:r>
      <w:r>
        <w:rPr>
          <w:noProof/>
        </w:rPr>
      </w:r>
      <w:r>
        <w:rPr>
          <w:noProof/>
        </w:rPr>
        <w:fldChar w:fldCharType="separate"/>
      </w:r>
      <w:r w:rsidR="008F032F">
        <w:rPr>
          <w:noProof/>
        </w:rPr>
        <w:t>102</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4.3.2.1 Experimental results</w:t>
      </w:r>
      <w:r>
        <w:rPr>
          <w:noProof/>
        </w:rPr>
        <w:tab/>
      </w:r>
      <w:r>
        <w:rPr>
          <w:noProof/>
        </w:rPr>
        <w:fldChar w:fldCharType="begin"/>
      </w:r>
      <w:r>
        <w:rPr>
          <w:noProof/>
        </w:rPr>
        <w:instrText xml:space="preserve"> PAGEREF _Toc440823255 \h </w:instrText>
      </w:r>
      <w:r>
        <w:rPr>
          <w:noProof/>
        </w:rPr>
      </w:r>
      <w:r>
        <w:rPr>
          <w:noProof/>
        </w:rPr>
        <w:fldChar w:fldCharType="separate"/>
      </w:r>
      <w:r w:rsidR="008F032F">
        <w:rPr>
          <w:noProof/>
        </w:rPr>
        <w:t>102</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4.3.2.1.1</w:t>
      </w:r>
      <w:r>
        <w:rPr>
          <w:noProof/>
        </w:rPr>
        <w:t xml:space="preserve"> PTV results</w:t>
      </w:r>
      <w:r>
        <w:rPr>
          <w:noProof/>
        </w:rPr>
        <w:tab/>
      </w:r>
      <w:r>
        <w:rPr>
          <w:noProof/>
        </w:rPr>
        <w:fldChar w:fldCharType="begin"/>
      </w:r>
      <w:r>
        <w:rPr>
          <w:noProof/>
        </w:rPr>
        <w:instrText xml:space="preserve"> PAGEREF _Toc440823256 \h </w:instrText>
      </w:r>
      <w:r>
        <w:rPr>
          <w:noProof/>
        </w:rPr>
      </w:r>
      <w:r>
        <w:rPr>
          <w:noProof/>
        </w:rPr>
        <w:fldChar w:fldCharType="separate"/>
      </w:r>
      <w:r w:rsidR="008F032F">
        <w:rPr>
          <w:noProof/>
        </w:rPr>
        <w:t>102</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4.3.2.2 Computational results</w:t>
      </w:r>
      <w:r>
        <w:rPr>
          <w:noProof/>
        </w:rPr>
        <w:tab/>
      </w:r>
      <w:r>
        <w:rPr>
          <w:noProof/>
        </w:rPr>
        <w:fldChar w:fldCharType="begin"/>
      </w:r>
      <w:r>
        <w:rPr>
          <w:noProof/>
        </w:rPr>
        <w:instrText xml:space="preserve"> PAGEREF _Toc440823257 \h </w:instrText>
      </w:r>
      <w:r>
        <w:rPr>
          <w:noProof/>
        </w:rPr>
      </w:r>
      <w:r>
        <w:rPr>
          <w:noProof/>
        </w:rPr>
        <w:fldChar w:fldCharType="separate"/>
      </w:r>
      <w:r w:rsidR="008F032F">
        <w:rPr>
          <w:noProof/>
        </w:rPr>
        <w:t>103</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4.3.2.2.1</w:t>
      </w:r>
      <w:r>
        <w:rPr>
          <w:noProof/>
        </w:rPr>
        <w:t xml:space="preserve"> Computational model benchmark</w:t>
      </w:r>
      <w:r>
        <w:rPr>
          <w:noProof/>
        </w:rPr>
        <w:tab/>
      </w:r>
      <w:r>
        <w:rPr>
          <w:noProof/>
        </w:rPr>
        <w:fldChar w:fldCharType="begin"/>
      </w:r>
      <w:r>
        <w:rPr>
          <w:noProof/>
        </w:rPr>
        <w:instrText xml:space="preserve"> PAGEREF _Toc440823258 \h </w:instrText>
      </w:r>
      <w:r>
        <w:rPr>
          <w:noProof/>
        </w:rPr>
      </w:r>
      <w:r>
        <w:rPr>
          <w:noProof/>
        </w:rPr>
        <w:fldChar w:fldCharType="separate"/>
      </w:r>
      <w:r w:rsidR="008F032F">
        <w:rPr>
          <w:noProof/>
        </w:rPr>
        <w:t>103</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4.3.2.2.2</w:t>
      </w:r>
      <w:r>
        <w:rPr>
          <w:noProof/>
        </w:rPr>
        <w:t xml:space="preserve"> Validation with PTV results</w:t>
      </w:r>
      <w:r>
        <w:rPr>
          <w:noProof/>
        </w:rPr>
        <w:tab/>
      </w:r>
      <w:r>
        <w:rPr>
          <w:noProof/>
        </w:rPr>
        <w:fldChar w:fldCharType="begin"/>
      </w:r>
      <w:r>
        <w:rPr>
          <w:noProof/>
        </w:rPr>
        <w:instrText xml:space="preserve"> PAGEREF _Toc440823259 \h </w:instrText>
      </w:r>
      <w:r>
        <w:rPr>
          <w:noProof/>
        </w:rPr>
      </w:r>
      <w:r>
        <w:rPr>
          <w:noProof/>
        </w:rPr>
        <w:fldChar w:fldCharType="separate"/>
      </w:r>
      <w:r w:rsidR="008F032F">
        <w:rPr>
          <w:noProof/>
        </w:rPr>
        <w:t>103</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4.4</w:t>
      </w:r>
      <w:r>
        <w:rPr>
          <w:rFonts w:eastAsiaTheme="minorEastAsia"/>
          <w:b w:val="0"/>
          <w:bCs w:val="0"/>
          <w:noProof/>
          <w:sz w:val="22"/>
          <w:szCs w:val="22"/>
          <w:lang w:eastAsia="en-GB"/>
        </w:rPr>
        <w:tab/>
      </w:r>
      <w:r>
        <w:rPr>
          <w:noProof/>
        </w:rPr>
        <w:t>Discussion</w:t>
      </w:r>
      <w:r>
        <w:rPr>
          <w:noProof/>
        </w:rPr>
        <w:tab/>
      </w:r>
      <w:r>
        <w:rPr>
          <w:noProof/>
        </w:rPr>
        <w:fldChar w:fldCharType="begin"/>
      </w:r>
      <w:r>
        <w:rPr>
          <w:noProof/>
        </w:rPr>
        <w:instrText xml:space="preserve"> PAGEREF _Toc440823260 \h </w:instrText>
      </w:r>
      <w:r>
        <w:rPr>
          <w:noProof/>
        </w:rPr>
      </w:r>
      <w:r>
        <w:rPr>
          <w:noProof/>
        </w:rPr>
        <w:fldChar w:fldCharType="separate"/>
      </w:r>
      <w:r w:rsidR="008F032F">
        <w:rPr>
          <w:noProof/>
        </w:rPr>
        <w:t>105</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lastRenderedPageBreak/>
        <w:t>4.4.1</w:t>
      </w:r>
      <w:r>
        <w:rPr>
          <w:rFonts w:eastAsiaTheme="minorEastAsia"/>
          <w:noProof/>
          <w:sz w:val="22"/>
          <w:szCs w:val="22"/>
          <w:lang w:eastAsia="en-GB"/>
        </w:rPr>
        <w:tab/>
      </w:r>
      <w:r>
        <w:rPr>
          <w:noProof/>
        </w:rPr>
        <w:t>Characterization of the local fluid flow inside the scaffold</w:t>
      </w:r>
      <w:r>
        <w:rPr>
          <w:noProof/>
        </w:rPr>
        <w:tab/>
      </w:r>
      <w:r>
        <w:rPr>
          <w:noProof/>
        </w:rPr>
        <w:fldChar w:fldCharType="begin"/>
      </w:r>
      <w:r>
        <w:rPr>
          <w:noProof/>
        </w:rPr>
        <w:instrText xml:space="preserve"> PAGEREF _Toc440823261 \h </w:instrText>
      </w:r>
      <w:r>
        <w:rPr>
          <w:noProof/>
        </w:rPr>
      </w:r>
      <w:r>
        <w:rPr>
          <w:noProof/>
        </w:rPr>
        <w:fldChar w:fldCharType="separate"/>
      </w:r>
      <w:r w:rsidR="008F032F">
        <w:rPr>
          <w:noProof/>
        </w:rPr>
        <w:t>105</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 xml:space="preserve">4.4.1.1 </w:t>
      </w:r>
      <w:r w:rsidRPr="006006CC">
        <w:rPr>
          <w:noProof/>
        </w:rPr>
        <w:sym w:font="Symbol" w:char="F06D"/>
      </w:r>
      <w:r>
        <w:rPr>
          <w:noProof/>
        </w:rPr>
        <w:t>PIV experiments</w:t>
      </w:r>
      <w:r>
        <w:rPr>
          <w:noProof/>
        </w:rPr>
        <w:tab/>
      </w:r>
      <w:r>
        <w:rPr>
          <w:noProof/>
        </w:rPr>
        <w:fldChar w:fldCharType="begin"/>
      </w:r>
      <w:r>
        <w:rPr>
          <w:noProof/>
        </w:rPr>
        <w:instrText xml:space="preserve"> PAGEREF _Toc440823262 \h </w:instrText>
      </w:r>
      <w:r>
        <w:rPr>
          <w:noProof/>
        </w:rPr>
      </w:r>
      <w:r>
        <w:rPr>
          <w:noProof/>
        </w:rPr>
        <w:fldChar w:fldCharType="separate"/>
      </w:r>
      <w:r w:rsidR="008F032F">
        <w:rPr>
          <w:noProof/>
        </w:rPr>
        <w:t>105</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 xml:space="preserve">4.4.1.2 Computational simulations and comparison with </w:t>
      </w:r>
      <w:r w:rsidRPr="006006CC">
        <w:rPr>
          <w:noProof/>
        </w:rPr>
        <w:sym w:font="Symbol" w:char="F06D"/>
      </w:r>
      <w:r>
        <w:rPr>
          <w:noProof/>
        </w:rPr>
        <w:t>PIV experimental results</w:t>
      </w:r>
      <w:r>
        <w:rPr>
          <w:noProof/>
        </w:rPr>
        <w:tab/>
      </w:r>
      <w:r>
        <w:rPr>
          <w:noProof/>
        </w:rPr>
        <w:fldChar w:fldCharType="begin"/>
      </w:r>
      <w:r>
        <w:rPr>
          <w:noProof/>
        </w:rPr>
        <w:instrText xml:space="preserve"> PAGEREF _Toc440823263 \h </w:instrText>
      </w:r>
      <w:r>
        <w:rPr>
          <w:noProof/>
        </w:rPr>
      </w:r>
      <w:r>
        <w:rPr>
          <w:noProof/>
        </w:rPr>
        <w:fldChar w:fldCharType="separate"/>
      </w:r>
      <w:r w:rsidR="008F032F">
        <w:rPr>
          <w:noProof/>
        </w:rPr>
        <w:t>106</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4.4.2</w:t>
      </w:r>
      <w:r>
        <w:rPr>
          <w:rFonts w:eastAsiaTheme="minorEastAsia"/>
          <w:noProof/>
          <w:sz w:val="22"/>
          <w:szCs w:val="22"/>
          <w:lang w:eastAsia="en-GB"/>
        </w:rPr>
        <w:tab/>
      </w:r>
      <w:r>
        <w:rPr>
          <w:noProof/>
        </w:rPr>
        <w:t>Cell transport inside the scaffold</w:t>
      </w:r>
      <w:r>
        <w:rPr>
          <w:noProof/>
        </w:rPr>
        <w:tab/>
      </w:r>
      <w:r>
        <w:rPr>
          <w:noProof/>
        </w:rPr>
        <w:fldChar w:fldCharType="begin"/>
      </w:r>
      <w:r>
        <w:rPr>
          <w:noProof/>
        </w:rPr>
        <w:instrText xml:space="preserve"> PAGEREF _Toc440823264 \h </w:instrText>
      </w:r>
      <w:r>
        <w:rPr>
          <w:noProof/>
        </w:rPr>
      </w:r>
      <w:r>
        <w:rPr>
          <w:noProof/>
        </w:rPr>
        <w:fldChar w:fldCharType="separate"/>
      </w:r>
      <w:r w:rsidR="008F032F">
        <w:rPr>
          <w:noProof/>
        </w:rPr>
        <w:t>107</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4.4.2.1 PTV experiments</w:t>
      </w:r>
      <w:r>
        <w:rPr>
          <w:noProof/>
        </w:rPr>
        <w:tab/>
      </w:r>
      <w:r>
        <w:rPr>
          <w:noProof/>
        </w:rPr>
        <w:fldChar w:fldCharType="begin"/>
      </w:r>
      <w:r>
        <w:rPr>
          <w:noProof/>
        </w:rPr>
        <w:instrText xml:space="preserve"> PAGEREF _Toc440823265 \h </w:instrText>
      </w:r>
      <w:r>
        <w:rPr>
          <w:noProof/>
        </w:rPr>
      </w:r>
      <w:r>
        <w:rPr>
          <w:noProof/>
        </w:rPr>
        <w:fldChar w:fldCharType="separate"/>
      </w:r>
      <w:r w:rsidR="008F032F">
        <w:rPr>
          <w:noProof/>
        </w:rPr>
        <w:t>107</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4.4.2.2 Computational simulations and comparison with PTV experimental results</w:t>
      </w:r>
      <w:r>
        <w:rPr>
          <w:noProof/>
        </w:rPr>
        <w:tab/>
      </w:r>
      <w:r>
        <w:rPr>
          <w:noProof/>
        </w:rPr>
        <w:fldChar w:fldCharType="begin"/>
      </w:r>
      <w:r>
        <w:rPr>
          <w:noProof/>
        </w:rPr>
        <w:instrText xml:space="preserve"> PAGEREF _Toc440823266 \h </w:instrText>
      </w:r>
      <w:r>
        <w:rPr>
          <w:noProof/>
        </w:rPr>
      </w:r>
      <w:r>
        <w:rPr>
          <w:noProof/>
        </w:rPr>
        <w:fldChar w:fldCharType="separate"/>
      </w:r>
      <w:r w:rsidR="008F032F">
        <w:rPr>
          <w:noProof/>
        </w:rPr>
        <w:t>109</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4.4.3</w:t>
      </w:r>
      <w:r>
        <w:rPr>
          <w:rFonts w:eastAsiaTheme="minorEastAsia"/>
          <w:noProof/>
          <w:sz w:val="22"/>
          <w:szCs w:val="22"/>
          <w:lang w:eastAsia="en-GB"/>
        </w:rPr>
        <w:tab/>
      </w:r>
      <w:r>
        <w:rPr>
          <w:noProof/>
        </w:rPr>
        <w:t>Computational methods for the optimization of perfusion bioreactors…………………………………………………………………………………………………………..</w:t>
      </w:r>
      <w:r>
        <w:rPr>
          <w:noProof/>
        </w:rPr>
        <w:fldChar w:fldCharType="begin"/>
      </w:r>
      <w:r>
        <w:rPr>
          <w:noProof/>
        </w:rPr>
        <w:instrText xml:space="preserve"> PAGEREF _Toc440823267 \h </w:instrText>
      </w:r>
      <w:r>
        <w:rPr>
          <w:noProof/>
        </w:rPr>
      </w:r>
      <w:r>
        <w:rPr>
          <w:noProof/>
        </w:rPr>
        <w:fldChar w:fldCharType="separate"/>
      </w:r>
      <w:r w:rsidR="008F032F">
        <w:rPr>
          <w:noProof/>
        </w:rPr>
        <w:t>111</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4.5</w:t>
      </w:r>
      <w:r>
        <w:rPr>
          <w:rFonts w:eastAsiaTheme="minorEastAsia"/>
          <w:b w:val="0"/>
          <w:bCs w:val="0"/>
          <w:noProof/>
          <w:sz w:val="22"/>
          <w:szCs w:val="22"/>
          <w:lang w:eastAsia="en-GB"/>
        </w:rPr>
        <w:tab/>
      </w:r>
      <w:r>
        <w:rPr>
          <w:noProof/>
        </w:rPr>
        <w:t>Conclusions</w:t>
      </w:r>
      <w:r>
        <w:rPr>
          <w:noProof/>
        </w:rPr>
        <w:tab/>
      </w:r>
      <w:r>
        <w:rPr>
          <w:noProof/>
        </w:rPr>
        <w:fldChar w:fldCharType="begin"/>
      </w:r>
      <w:r>
        <w:rPr>
          <w:noProof/>
        </w:rPr>
        <w:instrText xml:space="preserve"> PAGEREF _Toc440823268 \h </w:instrText>
      </w:r>
      <w:r>
        <w:rPr>
          <w:noProof/>
        </w:rPr>
      </w:r>
      <w:r>
        <w:rPr>
          <w:noProof/>
        </w:rPr>
        <w:fldChar w:fldCharType="separate"/>
      </w:r>
      <w:r w:rsidR="008F032F">
        <w:rPr>
          <w:noProof/>
        </w:rPr>
        <w:t>112</w:t>
      </w:r>
      <w:r>
        <w:rPr>
          <w:noProof/>
        </w:rPr>
        <w:fldChar w:fldCharType="end"/>
      </w:r>
    </w:p>
    <w:p w:rsidR="005D1052" w:rsidRDefault="005D1052" w:rsidP="005D1052">
      <w:pPr>
        <w:pStyle w:val="TOC1"/>
        <w:rPr>
          <w:rFonts w:eastAsiaTheme="minorEastAsia"/>
          <w:b w:val="0"/>
          <w:bCs w:val="0"/>
          <w:caps w:val="0"/>
          <w:noProof/>
          <w:sz w:val="22"/>
          <w:szCs w:val="22"/>
          <w:lang w:eastAsia="en-GB"/>
        </w:rPr>
      </w:pPr>
      <w:r>
        <w:rPr>
          <w:noProof/>
        </w:rPr>
        <w:t>Chapter 5:</w:t>
      </w:r>
      <w:r>
        <w:rPr>
          <w:rFonts w:eastAsiaTheme="minorEastAsia"/>
          <w:b w:val="0"/>
          <w:bCs w:val="0"/>
          <w:caps w:val="0"/>
          <w:noProof/>
          <w:sz w:val="22"/>
          <w:szCs w:val="22"/>
          <w:lang w:eastAsia="en-GB"/>
        </w:rPr>
        <w:tab/>
      </w:r>
      <w:r>
        <w:rPr>
          <w:noProof/>
        </w:rPr>
        <w:t>In silico model for scaffold cell seeding case study</w:t>
      </w:r>
      <w:r>
        <w:rPr>
          <w:noProof/>
        </w:rPr>
        <w:tab/>
      </w:r>
      <w:r>
        <w:rPr>
          <w:noProof/>
        </w:rPr>
        <w:fldChar w:fldCharType="begin"/>
      </w:r>
      <w:r>
        <w:rPr>
          <w:noProof/>
        </w:rPr>
        <w:instrText xml:space="preserve"> PAGEREF _Toc440823269 \h </w:instrText>
      </w:r>
      <w:r>
        <w:rPr>
          <w:noProof/>
        </w:rPr>
      </w:r>
      <w:r>
        <w:rPr>
          <w:noProof/>
        </w:rPr>
        <w:fldChar w:fldCharType="separate"/>
      </w:r>
      <w:r w:rsidR="008F032F">
        <w:rPr>
          <w:noProof/>
        </w:rPr>
        <w:t>115</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5.1</w:t>
      </w:r>
      <w:r>
        <w:rPr>
          <w:rFonts w:eastAsiaTheme="minorEastAsia"/>
          <w:b w:val="0"/>
          <w:bCs w:val="0"/>
          <w:noProof/>
          <w:sz w:val="22"/>
          <w:szCs w:val="22"/>
          <w:lang w:eastAsia="en-GB"/>
        </w:rPr>
        <w:tab/>
      </w:r>
      <w:r>
        <w:rPr>
          <w:noProof/>
        </w:rPr>
        <w:t>Introduction</w:t>
      </w:r>
      <w:r>
        <w:rPr>
          <w:noProof/>
        </w:rPr>
        <w:tab/>
      </w:r>
      <w:r>
        <w:rPr>
          <w:noProof/>
        </w:rPr>
        <w:fldChar w:fldCharType="begin"/>
      </w:r>
      <w:r>
        <w:rPr>
          <w:noProof/>
        </w:rPr>
        <w:instrText xml:space="preserve"> PAGEREF _Toc440823270 \h </w:instrText>
      </w:r>
      <w:r>
        <w:rPr>
          <w:noProof/>
        </w:rPr>
      </w:r>
      <w:r>
        <w:rPr>
          <w:noProof/>
        </w:rPr>
        <w:fldChar w:fldCharType="separate"/>
      </w:r>
      <w:r w:rsidR="008F032F">
        <w:rPr>
          <w:noProof/>
        </w:rPr>
        <w:t>115</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5.2</w:t>
      </w:r>
      <w:r>
        <w:rPr>
          <w:rFonts w:eastAsiaTheme="minorEastAsia"/>
          <w:b w:val="0"/>
          <w:bCs w:val="0"/>
          <w:noProof/>
          <w:sz w:val="22"/>
          <w:szCs w:val="22"/>
          <w:lang w:eastAsia="en-GB"/>
        </w:rPr>
        <w:tab/>
      </w:r>
      <w:r>
        <w:rPr>
          <w:noProof/>
        </w:rPr>
        <w:t>Materials and methods</w:t>
      </w:r>
      <w:r>
        <w:rPr>
          <w:noProof/>
        </w:rPr>
        <w:tab/>
      </w:r>
      <w:r>
        <w:rPr>
          <w:noProof/>
        </w:rPr>
        <w:fldChar w:fldCharType="begin"/>
      </w:r>
      <w:r>
        <w:rPr>
          <w:noProof/>
        </w:rPr>
        <w:instrText xml:space="preserve"> PAGEREF _Toc440823271 \h </w:instrText>
      </w:r>
      <w:r>
        <w:rPr>
          <w:noProof/>
        </w:rPr>
      </w:r>
      <w:r>
        <w:rPr>
          <w:noProof/>
        </w:rPr>
        <w:fldChar w:fldCharType="separate"/>
      </w:r>
      <w:r w:rsidR="008F032F">
        <w:rPr>
          <w:noProof/>
        </w:rPr>
        <w:t>117</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5.2.1</w:t>
      </w:r>
      <w:r>
        <w:rPr>
          <w:rFonts w:eastAsiaTheme="minorEastAsia"/>
          <w:noProof/>
          <w:sz w:val="22"/>
          <w:szCs w:val="22"/>
          <w:lang w:eastAsia="en-GB"/>
        </w:rPr>
        <w:tab/>
      </w:r>
      <w:r>
        <w:rPr>
          <w:noProof/>
        </w:rPr>
        <w:t>In vitro cell seeding experiments</w:t>
      </w:r>
      <w:r>
        <w:rPr>
          <w:noProof/>
        </w:rPr>
        <w:tab/>
      </w:r>
      <w:r>
        <w:rPr>
          <w:noProof/>
        </w:rPr>
        <w:fldChar w:fldCharType="begin"/>
      </w:r>
      <w:r>
        <w:rPr>
          <w:noProof/>
        </w:rPr>
        <w:instrText xml:space="preserve"> PAGEREF _Toc440823272 \h </w:instrText>
      </w:r>
      <w:r>
        <w:rPr>
          <w:noProof/>
        </w:rPr>
      </w:r>
      <w:r>
        <w:rPr>
          <w:noProof/>
        </w:rPr>
        <w:fldChar w:fldCharType="separate"/>
      </w:r>
      <w:r w:rsidR="008F032F">
        <w:rPr>
          <w:noProof/>
        </w:rPr>
        <w:t>117</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5.2.2</w:t>
      </w:r>
      <w:r>
        <w:rPr>
          <w:rFonts w:eastAsiaTheme="minorEastAsia"/>
          <w:noProof/>
          <w:sz w:val="22"/>
          <w:szCs w:val="22"/>
          <w:lang w:eastAsia="en-GB"/>
        </w:rPr>
        <w:tab/>
      </w:r>
      <w:r>
        <w:rPr>
          <w:noProof/>
        </w:rPr>
        <w:t>CAD microfluidic chamber model</w:t>
      </w:r>
      <w:r>
        <w:rPr>
          <w:noProof/>
        </w:rPr>
        <w:tab/>
      </w:r>
      <w:r>
        <w:rPr>
          <w:noProof/>
        </w:rPr>
        <w:fldChar w:fldCharType="begin"/>
      </w:r>
      <w:r>
        <w:rPr>
          <w:noProof/>
        </w:rPr>
        <w:instrText xml:space="preserve"> PAGEREF _Toc440823273 \h </w:instrText>
      </w:r>
      <w:r>
        <w:rPr>
          <w:noProof/>
        </w:rPr>
      </w:r>
      <w:r>
        <w:rPr>
          <w:noProof/>
        </w:rPr>
        <w:fldChar w:fldCharType="separate"/>
      </w:r>
      <w:r w:rsidR="008F032F">
        <w:rPr>
          <w:noProof/>
        </w:rPr>
        <w:t>117</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5.2.3</w:t>
      </w:r>
      <w:r>
        <w:rPr>
          <w:rFonts w:eastAsiaTheme="minorEastAsia"/>
          <w:noProof/>
          <w:sz w:val="22"/>
          <w:szCs w:val="22"/>
          <w:lang w:eastAsia="en-GB"/>
        </w:rPr>
        <w:tab/>
      </w:r>
      <w:r>
        <w:rPr>
          <w:noProof/>
        </w:rPr>
        <w:t>µCT-based scaffold</w:t>
      </w:r>
      <w:r>
        <w:rPr>
          <w:noProof/>
        </w:rPr>
        <w:tab/>
      </w:r>
      <w:r>
        <w:rPr>
          <w:noProof/>
        </w:rPr>
        <w:fldChar w:fldCharType="begin"/>
      </w:r>
      <w:r>
        <w:rPr>
          <w:noProof/>
        </w:rPr>
        <w:instrText xml:space="preserve"> PAGEREF _Toc440823274 \h </w:instrText>
      </w:r>
      <w:r>
        <w:rPr>
          <w:noProof/>
        </w:rPr>
      </w:r>
      <w:r>
        <w:rPr>
          <w:noProof/>
        </w:rPr>
        <w:fldChar w:fldCharType="separate"/>
      </w:r>
      <w:r w:rsidR="008F032F">
        <w:rPr>
          <w:noProof/>
        </w:rPr>
        <w:t>118</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5.2.4</w:t>
      </w:r>
      <w:r>
        <w:rPr>
          <w:rFonts w:eastAsiaTheme="minorEastAsia"/>
          <w:noProof/>
          <w:sz w:val="22"/>
          <w:szCs w:val="22"/>
          <w:lang w:eastAsia="en-GB"/>
        </w:rPr>
        <w:tab/>
      </w:r>
      <w:r>
        <w:rPr>
          <w:noProof/>
        </w:rPr>
        <w:t>Fluid volume mesh</w:t>
      </w:r>
      <w:r>
        <w:rPr>
          <w:noProof/>
        </w:rPr>
        <w:tab/>
      </w:r>
      <w:r>
        <w:rPr>
          <w:noProof/>
        </w:rPr>
        <w:fldChar w:fldCharType="begin"/>
      </w:r>
      <w:r>
        <w:rPr>
          <w:noProof/>
        </w:rPr>
        <w:instrText xml:space="preserve"> PAGEREF _Toc440823275 \h </w:instrText>
      </w:r>
      <w:r>
        <w:rPr>
          <w:noProof/>
        </w:rPr>
      </w:r>
      <w:r>
        <w:rPr>
          <w:noProof/>
        </w:rPr>
        <w:fldChar w:fldCharType="separate"/>
      </w:r>
      <w:r w:rsidR="008F032F">
        <w:rPr>
          <w:noProof/>
        </w:rPr>
        <w:t>120</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5.2.5</w:t>
      </w:r>
      <w:r>
        <w:rPr>
          <w:rFonts w:eastAsiaTheme="minorEastAsia"/>
          <w:noProof/>
          <w:sz w:val="22"/>
          <w:szCs w:val="22"/>
          <w:lang w:eastAsia="en-GB"/>
        </w:rPr>
        <w:tab/>
      </w:r>
      <w:r>
        <w:rPr>
          <w:noProof/>
        </w:rPr>
        <w:t>CFD model setup and simulations</w:t>
      </w:r>
      <w:r>
        <w:rPr>
          <w:noProof/>
        </w:rPr>
        <w:tab/>
      </w:r>
      <w:r>
        <w:rPr>
          <w:noProof/>
        </w:rPr>
        <w:fldChar w:fldCharType="begin"/>
      </w:r>
      <w:r>
        <w:rPr>
          <w:noProof/>
        </w:rPr>
        <w:instrText xml:space="preserve"> PAGEREF _Toc440823276 \h </w:instrText>
      </w:r>
      <w:r>
        <w:rPr>
          <w:noProof/>
        </w:rPr>
      </w:r>
      <w:r>
        <w:rPr>
          <w:noProof/>
        </w:rPr>
        <w:fldChar w:fldCharType="separate"/>
      </w:r>
      <w:r w:rsidR="008F032F">
        <w:rPr>
          <w:noProof/>
        </w:rPr>
        <w:t>121</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5.2.5.1 Continuous phase modelling</w:t>
      </w:r>
      <w:r>
        <w:rPr>
          <w:noProof/>
        </w:rPr>
        <w:tab/>
      </w:r>
      <w:r>
        <w:rPr>
          <w:noProof/>
        </w:rPr>
        <w:fldChar w:fldCharType="begin"/>
      </w:r>
      <w:r>
        <w:rPr>
          <w:noProof/>
        </w:rPr>
        <w:instrText xml:space="preserve"> PAGEREF _Toc440823277 \h </w:instrText>
      </w:r>
      <w:r>
        <w:rPr>
          <w:noProof/>
        </w:rPr>
      </w:r>
      <w:r>
        <w:rPr>
          <w:noProof/>
        </w:rPr>
        <w:fldChar w:fldCharType="separate"/>
      </w:r>
      <w:r w:rsidR="008F032F">
        <w:rPr>
          <w:noProof/>
        </w:rPr>
        <w:t>121</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5.2.5.2 Discrete phase modelling</w:t>
      </w:r>
      <w:r>
        <w:rPr>
          <w:noProof/>
        </w:rPr>
        <w:tab/>
      </w:r>
      <w:r>
        <w:rPr>
          <w:noProof/>
        </w:rPr>
        <w:fldChar w:fldCharType="begin"/>
      </w:r>
      <w:r>
        <w:rPr>
          <w:noProof/>
        </w:rPr>
        <w:instrText xml:space="preserve"> PAGEREF _Toc440823278 \h </w:instrText>
      </w:r>
      <w:r>
        <w:rPr>
          <w:noProof/>
        </w:rPr>
      </w:r>
      <w:r>
        <w:rPr>
          <w:noProof/>
        </w:rPr>
        <w:fldChar w:fldCharType="separate"/>
      </w:r>
      <w:r w:rsidR="008F032F">
        <w:rPr>
          <w:noProof/>
        </w:rPr>
        <w:t>122</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5.2.5.3 Numerical calculations</w:t>
      </w:r>
      <w:r>
        <w:rPr>
          <w:noProof/>
        </w:rPr>
        <w:tab/>
      </w:r>
      <w:r>
        <w:rPr>
          <w:noProof/>
        </w:rPr>
        <w:fldChar w:fldCharType="begin"/>
      </w:r>
      <w:r>
        <w:rPr>
          <w:noProof/>
        </w:rPr>
        <w:instrText xml:space="preserve"> PAGEREF _Toc440823279 \h </w:instrText>
      </w:r>
      <w:r>
        <w:rPr>
          <w:noProof/>
        </w:rPr>
      </w:r>
      <w:r>
        <w:rPr>
          <w:noProof/>
        </w:rPr>
        <w:fldChar w:fldCharType="separate"/>
      </w:r>
      <w:r w:rsidR="008F032F">
        <w:rPr>
          <w:noProof/>
        </w:rPr>
        <w:t>124</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5.3</w:t>
      </w:r>
      <w:r>
        <w:rPr>
          <w:rFonts w:eastAsiaTheme="minorEastAsia"/>
          <w:b w:val="0"/>
          <w:bCs w:val="0"/>
          <w:noProof/>
          <w:sz w:val="22"/>
          <w:szCs w:val="22"/>
          <w:lang w:eastAsia="en-GB"/>
        </w:rPr>
        <w:tab/>
      </w:r>
      <w:r>
        <w:rPr>
          <w:noProof/>
        </w:rPr>
        <w:t>Results</w:t>
      </w:r>
      <w:r>
        <w:rPr>
          <w:noProof/>
        </w:rPr>
        <w:tab/>
      </w:r>
      <w:r>
        <w:rPr>
          <w:noProof/>
        </w:rPr>
        <w:fldChar w:fldCharType="begin"/>
      </w:r>
      <w:r>
        <w:rPr>
          <w:noProof/>
        </w:rPr>
        <w:instrText xml:space="preserve"> PAGEREF _Toc440823280 \h </w:instrText>
      </w:r>
      <w:r>
        <w:rPr>
          <w:noProof/>
        </w:rPr>
      </w:r>
      <w:r>
        <w:rPr>
          <w:noProof/>
        </w:rPr>
        <w:fldChar w:fldCharType="separate"/>
      </w:r>
      <w:r w:rsidR="008F032F">
        <w:rPr>
          <w:noProof/>
        </w:rPr>
        <w:t>125</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5.3.1</w:t>
      </w:r>
      <w:r>
        <w:rPr>
          <w:rFonts w:eastAsiaTheme="minorEastAsia"/>
          <w:noProof/>
          <w:sz w:val="22"/>
          <w:szCs w:val="22"/>
          <w:lang w:eastAsia="en-GB"/>
        </w:rPr>
        <w:tab/>
      </w:r>
      <w:r>
        <w:rPr>
          <w:noProof/>
        </w:rPr>
        <w:t>Mesh independence test</w:t>
      </w:r>
      <w:r>
        <w:rPr>
          <w:noProof/>
        </w:rPr>
        <w:tab/>
      </w:r>
      <w:r>
        <w:rPr>
          <w:noProof/>
        </w:rPr>
        <w:fldChar w:fldCharType="begin"/>
      </w:r>
      <w:r>
        <w:rPr>
          <w:noProof/>
        </w:rPr>
        <w:instrText xml:space="preserve"> PAGEREF _Toc440823281 \h </w:instrText>
      </w:r>
      <w:r>
        <w:rPr>
          <w:noProof/>
        </w:rPr>
      </w:r>
      <w:r>
        <w:rPr>
          <w:noProof/>
        </w:rPr>
        <w:fldChar w:fldCharType="separate"/>
      </w:r>
      <w:r w:rsidR="008F032F">
        <w:rPr>
          <w:noProof/>
        </w:rPr>
        <w:t>125</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5.3.2</w:t>
      </w:r>
      <w:r>
        <w:rPr>
          <w:rFonts w:eastAsiaTheme="minorEastAsia"/>
          <w:noProof/>
          <w:sz w:val="22"/>
          <w:szCs w:val="22"/>
          <w:lang w:eastAsia="en-GB"/>
        </w:rPr>
        <w:tab/>
      </w:r>
      <w:r>
        <w:rPr>
          <w:noProof/>
        </w:rPr>
        <w:t>Computational model benchmark</w:t>
      </w:r>
      <w:r>
        <w:rPr>
          <w:noProof/>
        </w:rPr>
        <w:tab/>
      </w:r>
      <w:r>
        <w:rPr>
          <w:noProof/>
        </w:rPr>
        <w:fldChar w:fldCharType="begin"/>
      </w:r>
      <w:r>
        <w:rPr>
          <w:noProof/>
        </w:rPr>
        <w:instrText xml:space="preserve"> PAGEREF _Toc440823282 \h </w:instrText>
      </w:r>
      <w:r>
        <w:rPr>
          <w:noProof/>
        </w:rPr>
      </w:r>
      <w:r>
        <w:rPr>
          <w:noProof/>
        </w:rPr>
        <w:fldChar w:fldCharType="separate"/>
      </w:r>
      <w:r w:rsidR="008F032F">
        <w:rPr>
          <w:noProof/>
        </w:rPr>
        <w:t>132</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5.3.3</w:t>
      </w:r>
      <w:r>
        <w:rPr>
          <w:rFonts w:eastAsiaTheme="minorEastAsia"/>
          <w:noProof/>
          <w:sz w:val="22"/>
          <w:szCs w:val="22"/>
          <w:lang w:eastAsia="en-GB"/>
        </w:rPr>
        <w:tab/>
      </w:r>
      <w:r>
        <w:rPr>
          <w:noProof/>
        </w:rPr>
        <w:t>Static cell seeding simulation</w:t>
      </w:r>
      <w:r>
        <w:rPr>
          <w:noProof/>
        </w:rPr>
        <w:tab/>
      </w:r>
      <w:r>
        <w:rPr>
          <w:noProof/>
        </w:rPr>
        <w:fldChar w:fldCharType="begin"/>
      </w:r>
      <w:r>
        <w:rPr>
          <w:noProof/>
        </w:rPr>
        <w:instrText xml:space="preserve"> PAGEREF _Toc440823283 \h </w:instrText>
      </w:r>
      <w:r>
        <w:rPr>
          <w:noProof/>
        </w:rPr>
      </w:r>
      <w:r>
        <w:rPr>
          <w:noProof/>
        </w:rPr>
        <w:fldChar w:fldCharType="separate"/>
      </w:r>
      <w:r w:rsidR="008F032F">
        <w:rPr>
          <w:noProof/>
        </w:rPr>
        <w:t>134</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lastRenderedPageBreak/>
        <w:t>5.3.4</w:t>
      </w:r>
      <w:r>
        <w:rPr>
          <w:rFonts w:eastAsiaTheme="minorEastAsia"/>
          <w:noProof/>
          <w:sz w:val="22"/>
          <w:szCs w:val="22"/>
          <w:lang w:eastAsia="en-GB"/>
        </w:rPr>
        <w:tab/>
      </w:r>
      <w:r>
        <w:rPr>
          <w:noProof/>
        </w:rPr>
        <w:t>Dynamic cell seeding simulations</w:t>
      </w:r>
      <w:r>
        <w:rPr>
          <w:noProof/>
        </w:rPr>
        <w:tab/>
      </w:r>
      <w:r>
        <w:rPr>
          <w:noProof/>
        </w:rPr>
        <w:fldChar w:fldCharType="begin"/>
      </w:r>
      <w:r>
        <w:rPr>
          <w:noProof/>
        </w:rPr>
        <w:instrText xml:space="preserve"> PAGEREF _Toc440823284 \h </w:instrText>
      </w:r>
      <w:r>
        <w:rPr>
          <w:noProof/>
        </w:rPr>
      </w:r>
      <w:r>
        <w:rPr>
          <w:noProof/>
        </w:rPr>
        <w:fldChar w:fldCharType="separate"/>
      </w:r>
      <w:r w:rsidR="008F032F">
        <w:rPr>
          <w:noProof/>
        </w:rPr>
        <w:t>137</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5.3.4.1 Fluid flow velocities</w:t>
      </w:r>
      <w:r>
        <w:rPr>
          <w:noProof/>
        </w:rPr>
        <w:tab/>
      </w:r>
      <w:r>
        <w:rPr>
          <w:noProof/>
        </w:rPr>
        <w:fldChar w:fldCharType="begin"/>
      </w:r>
      <w:r>
        <w:rPr>
          <w:noProof/>
        </w:rPr>
        <w:instrText xml:space="preserve"> PAGEREF _Toc440823285 \h </w:instrText>
      </w:r>
      <w:r>
        <w:rPr>
          <w:noProof/>
        </w:rPr>
      </w:r>
      <w:r>
        <w:rPr>
          <w:noProof/>
        </w:rPr>
        <w:fldChar w:fldCharType="separate"/>
      </w:r>
      <w:r w:rsidR="008F032F">
        <w:rPr>
          <w:noProof/>
        </w:rPr>
        <w:t>137</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5.3.4.2 Discrete phase results without considering gravity</w:t>
      </w:r>
      <w:r>
        <w:rPr>
          <w:noProof/>
        </w:rPr>
        <w:tab/>
      </w:r>
      <w:r>
        <w:rPr>
          <w:noProof/>
        </w:rPr>
        <w:fldChar w:fldCharType="begin"/>
      </w:r>
      <w:r>
        <w:rPr>
          <w:noProof/>
        </w:rPr>
        <w:instrText xml:space="preserve"> PAGEREF _Toc440823286 \h </w:instrText>
      </w:r>
      <w:r>
        <w:rPr>
          <w:noProof/>
        </w:rPr>
      </w:r>
      <w:r>
        <w:rPr>
          <w:noProof/>
        </w:rPr>
        <w:fldChar w:fldCharType="separate"/>
      </w:r>
      <w:r w:rsidR="008F032F">
        <w:rPr>
          <w:noProof/>
        </w:rPr>
        <w:t>137</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5.3.4.2.1</w:t>
      </w:r>
      <w:r>
        <w:rPr>
          <w:noProof/>
        </w:rPr>
        <w:t xml:space="preserve"> Cell motion</w:t>
      </w:r>
      <w:r>
        <w:rPr>
          <w:noProof/>
        </w:rPr>
        <w:tab/>
      </w:r>
      <w:r>
        <w:rPr>
          <w:noProof/>
        </w:rPr>
        <w:fldChar w:fldCharType="begin"/>
      </w:r>
      <w:r>
        <w:rPr>
          <w:noProof/>
        </w:rPr>
        <w:instrText xml:space="preserve"> PAGEREF _Toc440823287 \h </w:instrText>
      </w:r>
      <w:r>
        <w:rPr>
          <w:noProof/>
        </w:rPr>
      </w:r>
      <w:r>
        <w:rPr>
          <w:noProof/>
        </w:rPr>
        <w:fldChar w:fldCharType="separate"/>
      </w:r>
      <w:r w:rsidR="008F032F">
        <w:rPr>
          <w:noProof/>
        </w:rPr>
        <w:t>137</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5.3.4.2.2</w:t>
      </w:r>
      <w:r>
        <w:rPr>
          <w:noProof/>
        </w:rPr>
        <w:t xml:space="preserve"> Cell deposition</w:t>
      </w:r>
      <w:r>
        <w:rPr>
          <w:noProof/>
        </w:rPr>
        <w:tab/>
      </w:r>
      <w:r>
        <w:rPr>
          <w:noProof/>
        </w:rPr>
        <w:fldChar w:fldCharType="begin"/>
      </w:r>
      <w:r>
        <w:rPr>
          <w:noProof/>
        </w:rPr>
        <w:instrText xml:space="preserve"> PAGEREF _Toc440823288 \h </w:instrText>
      </w:r>
      <w:r>
        <w:rPr>
          <w:noProof/>
        </w:rPr>
      </w:r>
      <w:r>
        <w:rPr>
          <w:noProof/>
        </w:rPr>
        <w:fldChar w:fldCharType="separate"/>
      </w:r>
      <w:r w:rsidR="008F032F">
        <w:rPr>
          <w:noProof/>
        </w:rPr>
        <w:t>139</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5.3.4.2.1</w:t>
      </w:r>
      <w:r>
        <w:rPr>
          <w:noProof/>
        </w:rPr>
        <w:t xml:space="preserve"> Detailed study of the effect of fluid inertia on cell deposition</w:t>
      </w:r>
      <w:r>
        <w:rPr>
          <w:noProof/>
        </w:rPr>
        <w:tab/>
      </w:r>
      <w:r>
        <w:rPr>
          <w:noProof/>
        </w:rPr>
        <w:fldChar w:fldCharType="begin"/>
      </w:r>
      <w:r>
        <w:rPr>
          <w:noProof/>
        </w:rPr>
        <w:instrText xml:space="preserve"> PAGEREF _Toc440823289 \h </w:instrText>
      </w:r>
      <w:r>
        <w:rPr>
          <w:noProof/>
        </w:rPr>
      </w:r>
      <w:r>
        <w:rPr>
          <w:noProof/>
        </w:rPr>
        <w:fldChar w:fldCharType="separate"/>
      </w:r>
      <w:r w:rsidR="008F032F">
        <w:rPr>
          <w:noProof/>
        </w:rPr>
        <w:t>144</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5.3.4.3 Discrete phase results considering gravity</w:t>
      </w:r>
      <w:r>
        <w:rPr>
          <w:noProof/>
        </w:rPr>
        <w:tab/>
      </w:r>
      <w:r>
        <w:rPr>
          <w:noProof/>
        </w:rPr>
        <w:fldChar w:fldCharType="begin"/>
      </w:r>
      <w:r>
        <w:rPr>
          <w:noProof/>
        </w:rPr>
        <w:instrText xml:space="preserve"> PAGEREF _Toc440823290 \h </w:instrText>
      </w:r>
      <w:r>
        <w:rPr>
          <w:noProof/>
        </w:rPr>
      </w:r>
      <w:r>
        <w:rPr>
          <w:noProof/>
        </w:rPr>
        <w:fldChar w:fldCharType="separate"/>
      </w:r>
      <w:r w:rsidR="008F032F">
        <w:rPr>
          <w:noProof/>
        </w:rPr>
        <w:t>150</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5.3.4.3.1</w:t>
      </w:r>
      <w:r>
        <w:rPr>
          <w:noProof/>
        </w:rPr>
        <w:t xml:space="preserve"> Cell motion</w:t>
      </w:r>
      <w:r>
        <w:rPr>
          <w:noProof/>
        </w:rPr>
        <w:tab/>
      </w:r>
      <w:r>
        <w:rPr>
          <w:noProof/>
        </w:rPr>
        <w:fldChar w:fldCharType="begin"/>
      </w:r>
      <w:r>
        <w:rPr>
          <w:noProof/>
        </w:rPr>
        <w:instrText xml:space="preserve"> PAGEREF _Toc440823291 \h </w:instrText>
      </w:r>
      <w:r>
        <w:rPr>
          <w:noProof/>
        </w:rPr>
      </w:r>
      <w:r>
        <w:rPr>
          <w:noProof/>
        </w:rPr>
        <w:fldChar w:fldCharType="separate"/>
      </w:r>
      <w:r w:rsidR="008F032F">
        <w:rPr>
          <w:noProof/>
        </w:rPr>
        <w:t>150</w:t>
      </w:r>
      <w:r>
        <w:rPr>
          <w:noProof/>
        </w:rPr>
        <w:fldChar w:fldCharType="end"/>
      </w:r>
    </w:p>
    <w:p w:rsidR="005D1052" w:rsidRDefault="005D1052" w:rsidP="005D1052">
      <w:pPr>
        <w:pStyle w:val="TOC5"/>
        <w:tabs>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5.3.4.3.1</w:t>
      </w:r>
      <w:r>
        <w:rPr>
          <w:noProof/>
        </w:rPr>
        <w:t xml:space="preserve"> Cell deposition</w:t>
      </w:r>
      <w:r>
        <w:rPr>
          <w:noProof/>
        </w:rPr>
        <w:tab/>
      </w:r>
      <w:r>
        <w:rPr>
          <w:noProof/>
        </w:rPr>
        <w:fldChar w:fldCharType="begin"/>
      </w:r>
      <w:r>
        <w:rPr>
          <w:noProof/>
        </w:rPr>
        <w:instrText xml:space="preserve"> PAGEREF _Toc440823292 \h </w:instrText>
      </w:r>
      <w:r>
        <w:rPr>
          <w:noProof/>
        </w:rPr>
      </w:r>
      <w:r>
        <w:rPr>
          <w:noProof/>
        </w:rPr>
        <w:fldChar w:fldCharType="separate"/>
      </w:r>
      <w:r w:rsidR="008F032F">
        <w:rPr>
          <w:noProof/>
        </w:rPr>
        <w:t>152</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5.3.5</w:t>
      </w:r>
      <w:r>
        <w:rPr>
          <w:rFonts w:eastAsiaTheme="minorEastAsia"/>
          <w:noProof/>
          <w:sz w:val="22"/>
          <w:szCs w:val="22"/>
          <w:lang w:eastAsia="en-GB"/>
        </w:rPr>
        <w:tab/>
      </w:r>
      <w:r>
        <w:rPr>
          <w:noProof/>
        </w:rPr>
        <w:t>In silico vs. in vitro cell seeding experiments</w:t>
      </w:r>
      <w:r>
        <w:rPr>
          <w:noProof/>
        </w:rPr>
        <w:tab/>
      </w:r>
      <w:r>
        <w:rPr>
          <w:noProof/>
        </w:rPr>
        <w:fldChar w:fldCharType="begin"/>
      </w:r>
      <w:r>
        <w:rPr>
          <w:noProof/>
        </w:rPr>
        <w:instrText xml:space="preserve"> PAGEREF _Toc440823293 \h </w:instrText>
      </w:r>
      <w:r>
        <w:rPr>
          <w:noProof/>
        </w:rPr>
      </w:r>
      <w:r>
        <w:rPr>
          <w:noProof/>
        </w:rPr>
        <w:fldChar w:fldCharType="separate"/>
      </w:r>
      <w:r w:rsidR="008F032F">
        <w:rPr>
          <w:noProof/>
        </w:rPr>
        <w:t>158</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5.3.5.1 Static cell seeding</w:t>
      </w:r>
      <w:r>
        <w:rPr>
          <w:noProof/>
        </w:rPr>
        <w:tab/>
      </w:r>
      <w:r>
        <w:rPr>
          <w:noProof/>
        </w:rPr>
        <w:fldChar w:fldCharType="begin"/>
      </w:r>
      <w:r>
        <w:rPr>
          <w:noProof/>
        </w:rPr>
        <w:instrText xml:space="preserve"> PAGEREF _Toc440823294 \h </w:instrText>
      </w:r>
      <w:r>
        <w:rPr>
          <w:noProof/>
        </w:rPr>
      </w:r>
      <w:r>
        <w:rPr>
          <w:noProof/>
        </w:rPr>
        <w:fldChar w:fldCharType="separate"/>
      </w:r>
      <w:r w:rsidR="008F032F">
        <w:rPr>
          <w:noProof/>
        </w:rPr>
        <w:t>158</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5.3.5.2 Dynamic cell seeding</w:t>
      </w:r>
      <w:r>
        <w:rPr>
          <w:noProof/>
        </w:rPr>
        <w:tab/>
      </w:r>
      <w:r>
        <w:rPr>
          <w:noProof/>
        </w:rPr>
        <w:fldChar w:fldCharType="begin"/>
      </w:r>
      <w:r>
        <w:rPr>
          <w:noProof/>
        </w:rPr>
        <w:instrText xml:space="preserve"> PAGEREF _Toc440823295 \h </w:instrText>
      </w:r>
      <w:r>
        <w:rPr>
          <w:noProof/>
        </w:rPr>
      </w:r>
      <w:r>
        <w:rPr>
          <w:noProof/>
        </w:rPr>
        <w:fldChar w:fldCharType="separate"/>
      </w:r>
      <w:r w:rsidR="008F032F">
        <w:rPr>
          <w:noProof/>
        </w:rPr>
        <w:t>158</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5.4</w:t>
      </w:r>
      <w:r>
        <w:rPr>
          <w:rFonts w:eastAsiaTheme="minorEastAsia"/>
          <w:b w:val="0"/>
          <w:bCs w:val="0"/>
          <w:noProof/>
          <w:sz w:val="22"/>
          <w:szCs w:val="22"/>
          <w:lang w:eastAsia="en-GB"/>
        </w:rPr>
        <w:tab/>
      </w:r>
      <w:r>
        <w:rPr>
          <w:noProof/>
        </w:rPr>
        <w:t>Discussion</w:t>
      </w:r>
      <w:r>
        <w:rPr>
          <w:noProof/>
        </w:rPr>
        <w:tab/>
      </w:r>
      <w:r>
        <w:rPr>
          <w:noProof/>
        </w:rPr>
        <w:fldChar w:fldCharType="begin"/>
      </w:r>
      <w:r>
        <w:rPr>
          <w:noProof/>
        </w:rPr>
        <w:instrText xml:space="preserve"> PAGEREF _Toc440823296 \h </w:instrText>
      </w:r>
      <w:r>
        <w:rPr>
          <w:noProof/>
        </w:rPr>
      </w:r>
      <w:r>
        <w:rPr>
          <w:noProof/>
        </w:rPr>
        <w:fldChar w:fldCharType="separate"/>
      </w:r>
      <w:r w:rsidR="008F032F">
        <w:rPr>
          <w:noProof/>
        </w:rPr>
        <w:t>159</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5.4.1</w:t>
      </w:r>
      <w:r>
        <w:rPr>
          <w:rFonts w:eastAsiaTheme="minorEastAsia"/>
          <w:noProof/>
          <w:sz w:val="22"/>
          <w:szCs w:val="22"/>
          <w:lang w:eastAsia="en-GB"/>
        </w:rPr>
        <w:tab/>
      </w:r>
      <w:r>
        <w:rPr>
          <w:noProof/>
        </w:rPr>
        <w:t>Cell adhesion to scaffold substrate</w:t>
      </w:r>
      <w:r>
        <w:rPr>
          <w:noProof/>
        </w:rPr>
        <w:tab/>
      </w:r>
      <w:r>
        <w:rPr>
          <w:noProof/>
        </w:rPr>
        <w:fldChar w:fldCharType="begin"/>
      </w:r>
      <w:r>
        <w:rPr>
          <w:noProof/>
        </w:rPr>
        <w:instrText xml:space="preserve"> PAGEREF _Toc440823297 \h </w:instrText>
      </w:r>
      <w:r>
        <w:rPr>
          <w:noProof/>
        </w:rPr>
      </w:r>
      <w:r>
        <w:rPr>
          <w:noProof/>
        </w:rPr>
        <w:fldChar w:fldCharType="separate"/>
      </w:r>
      <w:r w:rsidR="008F032F">
        <w:rPr>
          <w:noProof/>
        </w:rPr>
        <w:t>160</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5.4.2</w:t>
      </w:r>
      <w:r>
        <w:rPr>
          <w:rFonts w:eastAsiaTheme="minorEastAsia"/>
          <w:noProof/>
          <w:sz w:val="22"/>
          <w:szCs w:val="22"/>
          <w:lang w:eastAsia="en-GB"/>
        </w:rPr>
        <w:tab/>
      </w:r>
      <w:r>
        <w:rPr>
          <w:noProof/>
        </w:rPr>
        <w:t>Cell-to-cell interactions</w:t>
      </w:r>
      <w:r>
        <w:rPr>
          <w:noProof/>
        </w:rPr>
        <w:tab/>
      </w:r>
      <w:r>
        <w:rPr>
          <w:noProof/>
        </w:rPr>
        <w:fldChar w:fldCharType="begin"/>
      </w:r>
      <w:r>
        <w:rPr>
          <w:noProof/>
        </w:rPr>
        <w:instrText xml:space="preserve"> PAGEREF _Toc440823298 \h </w:instrText>
      </w:r>
      <w:r>
        <w:rPr>
          <w:noProof/>
        </w:rPr>
      </w:r>
      <w:r>
        <w:rPr>
          <w:noProof/>
        </w:rPr>
        <w:fldChar w:fldCharType="separate"/>
      </w:r>
      <w:r w:rsidR="008F032F">
        <w:rPr>
          <w:noProof/>
        </w:rPr>
        <w:t>160</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5.4.3</w:t>
      </w:r>
      <w:r>
        <w:rPr>
          <w:rFonts w:eastAsiaTheme="minorEastAsia"/>
          <w:noProof/>
          <w:sz w:val="22"/>
          <w:szCs w:val="22"/>
          <w:lang w:eastAsia="en-GB"/>
        </w:rPr>
        <w:tab/>
      </w:r>
      <w:r>
        <w:rPr>
          <w:noProof/>
        </w:rPr>
        <w:t>Static seeding</w:t>
      </w:r>
      <w:r>
        <w:rPr>
          <w:noProof/>
        </w:rPr>
        <w:tab/>
      </w:r>
      <w:r>
        <w:rPr>
          <w:noProof/>
        </w:rPr>
        <w:fldChar w:fldCharType="begin"/>
      </w:r>
      <w:r>
        <w:rPr>
          <w:noProof/>
        </w:rPr>
        <w:instrText xml:space="preserve"> PAGEREF _Toc440823299 \h </w:instrText>
      </w:r>
      <w:r>
        <w:rPr>
          <w:noProof/>
        </w:rPr>
      </w:r>
      <w:r>
        <w:rPr>
          <w:noProof/>
        </w:rPr>
        <w:fldChar w:fldCharType="separate"/>
      </w:r>
      <w:r w:rsidR="008F032F">
        <w:rPr>
          <w:noProof/>
        </w:rPr>
        <w:t>161</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5.4.4</w:t>
      </w:r>
      <w:r>
        <w:rPr>
          <w:rFonts w:eastAsiaTheme="minorEastAsia"/>
          <w:noProof/>
          <w:sz w:val="22"/>
          <w:szCs w:val="22"/>
          <w:lang w:eastAsia="en-GB"/>
        </w:rPr>
        <w:tab/>
      </w:r>
      <w:r>
        <w:rPr>
          <w:noProof/>
        </w:rPr>
        <w:t>Dynamic seeding</w:t>
      </w:r>
      <w:r>
        <w:rPr>
          <w:noProof/>
        </w:rPr>
        <w:tab/>
      </w:r>
      <w:r>
        <w:rPr>
          <w:noProof/>
        </w:rPr>
        <w:fldChar w:fldCharType="begin"/>
      </w:r>
      <w:r>
        <w:rPr>
          <w:noProof/>
        </w:rPr>
        <w:instrText xml:space="preserve"> PAGEREF _Toc440823300 \h </w:instrText>
      </w:r>
      <w:r>
        <w:rPr>
          <w:noProof/>
        </w:rPr>
      </w:r>
      <w:r>
        <w:rPr>
          <w:noProof/>
        </w:rPr>
        <w:fldChar w:fldCharType="separate"/>
      </w:r>
      <w:r w:rsidR="008F032F">
        <w:rPr>
          <w:noProof/>
        </w:rPr>
        <w:t>161</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5.4.4.1 Cell deposition when gravity is not considered</w:t>
      </w:r>
      <w:r>
        <w:rPr>
          <w:noProof/>
        </w:rPr>
        <w:tab/>
      </w:r>
      <w:r>
        <w:rPr>
          <w:noProof/>
        </w:rPr>
        <w:fldChar w:fldCharType="begin"/>
      </w:r>
      <w:r>
        <w:rPr>
          <w:noProof/>
        </w:rPr>
        <w:instrText xml:space="preserve"> PAGEREF _Toc440823301 \h </w:instrText>
      </w:r>
      <w:r>
        <w:rPr>
          <w:noProof/>
        </w:rPr>
      </w:r>
      <w:r>
        <w:rPr>
          <w:noProof/>
        </w:rPr>
        <w:fldChar w:fldCharType="separate"/>
      </w:r>
      <w:r w:rsidR="008F032F">
        <w:rPr>
          <w:noProof/>
        </w:rPr>
        <w:t>161</w:t>
      </w:r>
      <w:r>
        <w:rPr>
          <w:noProof/>
        </w:rPr>
        <w:fldChar w:fldCharType="end"/>
      </w:r>
    </w:p>
    <w:p w:rsidR="005D1052" w:rsidRDefault="005D1052" w:rsidP="005D1052">
      <w:pPr>
        <w:pStyle w:val="TOC4"/>
        <w:tabs>
          <w:tab w:val="right" w:leader="dot" w:pos="8488"/>
        </w:tabs>
        <w:rPr>
          <w:rFonts w:eastAsiaTheme="minorEastAsia"/>
          <w:noProof/>
          <w:sz w:val="22"/>
          <w:szCs w:val="22"/>
          <w:lang w:eastAsia="en-GB"/>
        </w:rPr>
      </w:pPr>
      <w:r>
        <w:rPr>
          <w:noProof/>
        </w:rPr>
        <w:t>5.4.4.2 Cell deposition when gravity is considered</w:t>
      </w:r>
      <w:r>
        <w:rPr>
          <w:noProof/>
        </w:rPr>
        <w:tab/>
      </w:r>
      <w:r>
        <w:rPr>
          <w:noProof/>
        </w:rPr>
        <w:fldChar w:fldCharType="begin"/>
      </w:r>
      <w:r>
        <w:rPr>
          <w:noProof/>
        </w:rPr>
        <w:instrText xml:space="preserve"> PAGEREF _Toc440823302 \h </w:instrText>
      </w:r>
      <w:r>
        <w:rPr>
          <w:noProof/>
        </w:rPr>
      </w:r>
      <w:r>
        <w:rPr>
          <w:noProof/>
        </w:rPr>
        <w:fldChar w:fldCharType="separate"/>
      </w:r>
      <w:r w:rsidR="008F032F">
        <w:rPr>
          <w:noProof/>
        </w:rPr>
        <w:t>162</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5.4.5</w:t>
      </w:r>
      <w:r>
        <w:rPr>
          <w:rFonts w:eastAsiaTheme="minorEastAsia"/>
          <w:noProof/>
          <w:sz w:val="22"/>
          <w:szCs w:val="22"/>
          <w:lang w:eastAsia="en-GB"/>
        </w:rPr>
        <w:tab/>
      </w:r>
      <w:r>
        <w:rPr>
          <w:noProof/>
        </w:rPr>
        <w:t>Limitations of the computational model that affect cell deposition</w:t>
      </w:r>
      <w:r>
        <w:rPr>
          <w:noProof/>
        </w:rPr>
        <w:tab/>
      </w:r>
      <w:r>
        <w:rPr>
          <w:noProof/>
        </w:rPr>
        <w:fldChar w:fldCharType="begin"/>
      </w:r>
      <w:r>
        <w:rPr>
          <w:noProof/>
        </w:rPr>
        <w:instrText xml:space="preserve"> PAGEREF _Toc440823303 \h </w:instrText>
      </w:r>
      <w:r>
        <w:rPr>
          <w:noProof/>
        </w:rPr>
      </w:r>
      <w:r>
        <w:rPr>
          <w:noProof/>
        </w:rPr>
        <w:fldChar w:fldCharType="separate"/>
      </w:r>
      <w:r w:rsidR="008F032F">
        <w:rPr>
          <w:noProof/>
        </w:rPr>
        <w:t>162</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5.4.6</w:t>
      </w:r>
      <w:r>
        <w:rPr>
          <w:rFonts w:eastAsiaTheme="minorEastAsia"/>
          <w:noProof/>
          <w:sz w:val="22"/>
          <w:szCs w:val="22"/>
          <w:lang w:eastAsia="en-GB"/>
        </w:rPr>
        <w:tab/>
      </w:r>
      <w:r>
        <w:rPr>
          <w:noProof/>
        </w:rPr>
        <w:t>Dynamic vs. static seeding</w:t>
      </w:r>
      <w:r>
        <w:rPr>
          <w:noProof/>
        </w:rPr>
        <w:tab/>
      </w:r>
      <w:r>
        <w:rPr>
          <w:noProof/>
        </w:rPr>
        <w:fldChar w:fldCharType="begin"/>
      </w:r>
      <w:r>
        <w:rPr>
          <w:noProof/>
        </w:rPr>
        <w:instrText xml:space="preserve"> PAGEREF _Toc440823304 \h </w:instrText>
      </w:r>
      <w:r>
        <w:rPr>
          <w:noProof/>
        </w:rPr>
      </w:r>
      <w:r>
        <w:rPr>
          <w:noProof/>
        </w:rPr>
        <w:fldChar w:fldCharType="separate"/>
      </w:r>
      <w:r w:rsidR="008F032F">
        <w:rPr>
          <w:noProof/>
        </w:rPr>
        <w:t>164</w:t>
      </w:r>
      <w:r>
        <w:rPr>
          <w:noProof/>
        </w:rPr>
        <w:fldChar w:fldCharType="end"/>
      </w:r>
    </w:p>
    <w:p w:rsidR="005D1052" w:rsidRDefault="005D1052" w:rsidP="005D1052">
      <w:pPr>
        <w:pStyle w:val="TOC3"/>
        <w:tabs>
          <w:tab w:val="left" w:pos="1680"/>
          <w:tab w:val="right" w:leader="dot" w:pos="8488"/>
        </w:tabs>
        <w:rPr>
          <w:rFonts w:eastAsiaTheme="minorEastAsia"/>
          <w:noProof/>
          <w:sz w:val="22"/>
          <w:szCs w:val="22"/>
          <w:lang w:eastAsia="en-GB"/>
        </w:rPr>
      </w:pPr>
      <w:r w:rsidRPr="00D30D74">
        <w:rPr>
          <w:noProof/>
          <w14:scene3d>
            <w14:camera w14:prst="orthographicFront"/>
            <w14:lightRig w14:rig="threePt" w14:dir="t">
              <w14:rot w14:lat="0" w14:lon="0" w14:rev="0"/>
            </w14:lightRig>
          </w14:scene3d>
        </w:rPr>
        <w:t>5.4.7</w:t>
      </w:r>
      <w:r>
        <w:rPr>
          <w:rFonts w:eastAsiaTheme="minorEastAsia"/>
          <w:noProof/>
          <w:sz w:val="22"/>
          <w:szCs w:val="22"/>
          <w:lang w:eastAsia="en-GB"/>
        </w:rPr>
        <w:tab/>
      </w:r>
      <w:r>
        <w:rPr>
          <w:noProof/>
        </w:rPr>
        <w:t>In vitro vs in silico cell seeding</w:t>
      </w:r>
      <w:r>
        <w:rPr>
          <w:noProof/>
        </w:rPr>
        <w:tab/>
      </w:r>
      <w:r>
        <w:rPr>
          <w:noProof/>
        </w:rPr>
        <w:fldChar w:fldCharType="begin"/>
      </w:r>
      <w:r>
        <w:rPr>
          <w:noProof/>
        </w:rPr>
        <w:instrText xml:space="preserve"> PAGEREF _Toc440823305 \h </w:instrText>
      </w:r>
      <w:r>
        <w:rPr>
          <w:noProof/>
        </w:rPr>
      </w:r>
      <w:r>
        <w:rPr>
          <w:noProof/>
        </w:rPr>
        <w:fldChar w:fldCharType="separate"/>
      </w:r>
      <w:r w:rsidR="008F032F">
        <w:rPr>
          <w:noProof/>
        </w:rPr>
        <w:t>165</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5.5</w:t>
      </w:r>
      <w:r>
        <w:rPr>
          <w:rFonts w:eastAsiaTheme="minorEastAsia"/>
          <w:b w:val="0"/>
          <w:bCs w:val="0"/>
          <w:noProof/>
          <w:sz w:val="22"/>
          <w:szCs w:val="22"/>
          <w:lang w:eastAsia="en-GB"/>
        </w:rPr>
        <w:tab/>
      </w:r>
      <w:r>
        <w:rPr>
          <w:noProof/>
        </w:rPr>
        <w:t>Conclusions</w:t>
      </w:r>
      <w:r>
        <w:rPr>
          <w:noProof/>
        </w:rPr>
        <w:tab/>
      </w:r>
      <w:r>
        <w:rPr>
          <w:noProof/>
        </w:rPr>
        <w:fldChar w:fldCharType="begin"/>
      </w:r>
      <w:r>
        <w:rPr>
          <w:noProof/>
        </w:rPr>
        <w:instrText xml:space="preserve"> PAGEREF _Toc440823306 \h </w:instrText>
      </w:r>
      <w:r>
        <w:rPr>
          <w:noProof/>
        </w:rPr>
      </w:r>
      <w:r>
        <w:rPr>
          <w:noProof/>
        </w:rPr>
        <w:fldChar w:fldCharType="separate"/>
      </w:r>
      <w:r w:rsidR="008F032F">
        <w:rPr>
          <w:noProof/>
        </w:rPr>
        <w:t>166</w:t>
      </w:r>
      <w:r>
        <w:rPr>
          <w:noProof/>
        </w:rPr>
        <w:fldChar w:fldCharType="end"/>
      </w:r>
    </w:p>
    <w:p w:rsidR="005D1052" w:rsidRDefault="005D1052" w:rsidP="005D1052">
      <w:pPr>
        <w:pStyle w:val="TOC1"/>
        <w:rPr>
          <w:rFonts w:eastAsiaTheme="minorEastAsia"/>
          <w:b w:val="0"/>
          <w:bCs w:val="0"/>
          <w:caps w:val="0"/>
          <w:noProof/>
          <w:sz w:val="22"/>
          <w:szCs w:val="22"/>
          <w:lang w:eastAsia="en-GB"/>
        </w:rPr>
      </w:pPr>
      <w:r>
        <w:rPr>
          <w:noProof/>
        </w:rPr>
        <w:t>Chapter 6:</w:t>
      </w:r>
      <w:r>
        <w:rPr>
          <w:rFonts w:eastAsiaTheme="minorEastAsia"/>
          <w:b w:val="0"/>
          <w:bCs w:val="0"/>
          <w:caps w:val="0"/>
          <w:noProof/>
          <w:sz w:val="22"/>
          <w:szCs w:val="22"/>
          <w:lang w:eastAsia="en-GB"/>
        </w:rPr>
        <w:tab/>
      </w:r>
      <w:r>
        <w:rPr>
          <w:noProof/>
        </w:rPr>
        <w:t>General discussion</w:t>
      </w:r>
      <w:r>
        <w:rPr>
          <w:noProof/>
        </w:rPr>
        <w:tab/>
      </w:r>
      <w:r>
        <w:rPr>
          <w:noProof/>
        </w:rPr>
        <w:fldChar w:fldCharType="begin"/>
      </w:r>
      <w:r>
        <w:rPr>
          <w:noProof/>
        </w:rPr>
        <w:instrText xml:space="preserve"> PAGEREF _Toc440823307 \h </w:instrText>
      </w:r>
      <w:r>
        <w:rPr>
          <w:noProof/>
        </w:rPr>
      </w:r>
      <w:r>
        <w:rPr>
          <w:noProof/>
        </w:rPr>
        <w:fldChar w:fldCharType="separate"/>
      </w:r>
      <w:r w:rsidR="008F032F">
        <w:rPr>
          <w:noProof/>
        </w:rPr>
        <w:t>167</w:t>
      </w:r>
      <w:r>
        <w:rPr>
          <w:noProof/>
        </w:rPr>
        <w:fldChar w:fldCharType="end"/>
      </w:r>
    </w:p>
    <w:p w:rsidR="005D1052" w:rsidRDefault="005D1052" w:rsidP="005D1052">
      <w:pPr>
        <w:pStyle w:val="TOC1"/>
        <w:rPr>
          <w:rFonts w:eastAsiaTheme="minorEastAsia"/>
          <w:b w:val="0"/>
          <w:bCs w:val="0"/>
          <w:caps w:val="0"/>
          <w:noProof/>
          <w:sz w:val="22"/>
          <w:szCs w:val="22"/>
          <w:lang w:eastAsia="en-GB"/>
        </w:rPr>
      </w:pPr>
      <w:r>
        <w:rPr>
          <w:noProof/>
        </w:rPr>
        <w:t>Chapter 7:</w:t>
      </w:r>
      <w:r>
        <w:rPr>
          <w:rFonts w:eastAsiaTheme="minorEastAsia"/>
          <w:b w:val="0"/>
          <w:bCs w:val="0"/>
          <w:caps w:val="0"/>
          <w:noProof/>
          <w:sz w:val="22"/>
          <w:szCs w:val="22"/>
          <w:lang w:eastAsia="en-GB"/>
        </w:rPr>
        <w:tab/>
      </w:r>
      <w:r>
        <w:rPr>
          <w:noProof/>
        </w:rPr>
        <w:t>Conclusions</w:t>
      </w:r>
      <w:r>
        <w:rPr>
          <w:noProof/>
        </w:rPr>
        <w:tab/>
      </w:r>
      <w:r>
        <w:rPr>
          <w:noProof/>
        </w:rPr>
        <w:fldChar w:fldCharType="begin"/>
      </w:r>
      <w:r>
        <w:rPr>
          <w:noProof/>
        </w:rPr>
        <w:instrText xml:space="preserve"> PAGEREF _Toc440823308 \h </w:instrText>
      </w:r>
      <w:r>
        <w:rPr>
          <w:noProof/>
        </w:rPr>
      </w:r>
      <w:r>
        <w:rPr>
          <w:noProof/>
        </w:rPr>
        <w:fldChar w:fldCharType="separate"/>
      </w:r>
      <w:r w:rsidR="008F032F">
        <w:rPr>
          <w:noProof/>
        </w:rPr>
        <w:t>177</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lastRenderedPageBreak/>
        <w:t>7.1</w:t>
      </w:r>
      <w:r>
        <w:rPr>
          <w:rFonts w:eastAsiaTheme="minorEastAsia"/>
          <w:b w:val="0"/>
          <w:bCs w:val="0"/>
          <w:noProof/>
          <w:sz w:val="22"/>
          <w:szCs w:val="22"/>
          <w:lang w:eastAsia="en-GB"/>
        </w:rPr>
        <w:tab/>
      </w:r>
      <w:r>
        <w:rPr>
          <w:noProof/>
        </w:rPr>
        <w:t>Summary of main contributions</w:t>
      </w:r>
      <w:r>
        <w:rPr>
          <w:noProof/>
        </w:rPr>
        <w:tab/>
      </w:r>
      <w:r>
        <w:rPr>
          <w:noProof/>
        </w:rPr>
        <w:fldChar w:fldCharType="begin"/>
      </w:r>
      <w:r>
        <w:rPr>
          <w:noProof/>
        </w:rPr>
        <w:instrText xml:space="preserve"> PAGEREF _Toc440823309 \h </w:instrText>
      </w:r>
      <w:r>
        <w:rPr>
          <w:noProof/>
        </w:rPr>
      </w:r>
      <w:r>
        <w:rPr>
          <w:noProof/>
        </w:rPr>
        <w:fldChar w:fldCharType="separate"/>
      </w:r>
      <w:r w:rsidR="008F032F">
        <w:rPr>
          <w:noProof/>
        </w:rPr>
        <w:t>177</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7.2</w:t>
      </w:r>
      <w:r>
        <w:rPr>
          <w:rFonts w:eastAsiaTheme="minorEastAsia"/>
          <w:b w:val="0"/>
          <w:bCs w:val="0"/>
          <w:noProof/>
          <w:sz w:val="22"/>
          <w:szCs w:val="22"/>
          <w:lang w:eastAsia="en-GB"/>
        </w:rPr>
        <w:tab/>
      </w:r>
      <w:r>
        <w:rPr>
          <w:noProof/>
        </w:rPr>
        <w:t>Limitations</w:t>
      </w:r>
      <w:r>
        <w:rPr>
          <w:noProof/>
        </w:rPr>
        <w:tab/>
      </w:r>
      <w:r>
        <w:rPr>
          <w:noProof/>
        </w:rPr>
        <w:fldChar w:fldCharType="begin"/>
      </w:r>
      <w:r>
        <w:rPr>
          <w:noProof/>
        </w:rPr>
        <w:instrText xml:space="preserve"> PAGEREF _Toc440823310 \h </w:instrText>
      </w:r>
      <w:r>
        <w:rPr>
          <w:noProof/>
        </w:rPr>
      </w:r>
      <w:r>
        <w:rPr>
          <w:noProof/>
        </w:rPr>
        <w:fldChar w:fldCharType="separate"/>
      </w:r>
      <w:r w:rsidR="008F032F">
        <w:rPr>
          <w:noProof/>
        </w:rPr>
        <w:t>179</w:t>
      </w:r>
      <w:r>
        <w:rPr>
          <w:noProof/>
        </w:rPr>
        <w:fldChar w:fldCharType="end"/>
      </w:r>
    </w:p>
    <w:p w:rsidR="005D1052" w:rsidRDefault="005D1052" w:rsidP="005D1052">
      <w:pPr>
        <w:pStyle w:val="TOC2"/>
        <w:tabs>
          <w:tab w:val="left" w:pos="1440"/>
          <w:tab w:val="right" w:leader="dot" w:pos="8488"/>
        </w:tabs>
        <w:rPr>
          <w:rFonts w:eastAsiaTheme="minorEastAsia"/>
          <w:b w:val="0"/>
          <w:bCs w:val="0"/>
          <w:noProof/>
          <w:sz w:val="22"/>
          <w:szCs w:val="22"/>
          <w:lang w:eastAsia="en-GB"/>
        </w:rPr>
      </w:pPr>
      <w:r>
        <w:rPr>
          <w:noProof/>
        </w:rPr>
        <w:t>7.3</w:t>
      </w:r>
      <w:r>
        <w:rPr>
          <w:rFonts w:eastAsiaTheme="minorEastAsia"/>
          <w:b w:val="0"/>
          <w:bCs w:val="0"/>
          <w:noProof/>
          <w:sz w:val="22"/>
          <w:szCs w:val="22"/>
          <w:lang w:eastAsia="en-GB"/>
        </w:rPr>
        <w:tab/>
      </w:r>
      <w:r>
        <w:rPr>
          <w:noProof/>
        </w:rPr>
        <w:t>Future prospects</w:t>
      </w:r>
      <w:r>
        <w:rPr>
          <w:noProof/>
        </w:rPr>
        <w:tab/>
      </w:r>
      <w:r>
        <w:rPr>
          <w:noProof/>
        </w:rPr>
        <w:fldChar w:fldCharType="begin"/>
      </w:r>
      <w:r>
        <w:rPr>
          <w:noProof/>
        </w:rPr>
        <w:instrText xml:space="preserve"> PAGEREF _Toc440823311 \h </w:instrText>
      </w:r>
      <w:r>
        <w:rPr>
          <w:noProof/>
        </w:rPr>
      </w:r>
      <w:r>
        <w:rPr>
          <w:noProof/>
        </w:rPr>
        <w:fldChar w:fldCharType="separate"/>
      </w:r>
      <w:r w:rsidR="008F032F">
        <w:rPr>
          <w:noProof/>
        </w:rPr>
        <w:t>180</w:t>
      </w:r>
      <w:r>
        <w:rPr>
          <w:noProof/>
        </w:rPr>
        <w:fldChar w:fldCharType="end"/>
      </w:r>
    </w:p>
    <w:p w:rsidR="005D1052" w:rsidRDefault="005D1052" w:rsidP="005D1052">
      <w:pPr>
        <w:pStyle w:val="TOC1"/>
        <w:rPr>
          <w:noProof/>
        </w:rPr>
      </w:pPr>
      <w:r>
        <w:rPr>
          <w:noProof/>
        </w:rPr>
        <w:t>Chapter 8:</w:t>
      </w:r>
      <w:r>
        <w:rPr>
          <w:rFonts w:eastAsiaTheme="minorEastAsia"/>
          <w:b w:val="0"/>
          <w:bCs w:val="0"/>
          <w:caps w:val="0"/>
          <w:noProof/>
          <w:sz w:val="22"/>
          <w:szCs w:val="22"/>
          <w:lang w:eastAsia="en-GB"/>
        </w:rPr>
        <w:tab/>
      </w:r>
      <w:r>
        <w:rPr>
          <w:noProof/>
        </w:rPr>
        <w:t>References</w:t>
      </w:r>
      <w:r>
        <w:rPr>
          <w:noProof/>
        </w:rPr>
        <w:tab/>
      </w:r>
      <w:r>
        <w:rPr>
          <w:noProof/>
        </w:rPr>
        <w:fldChar w:fldCharType="begin"/>
      </w:r>
      <w:r>
        <w:rPr>
          <w:noProof/>
        </w:rPr>
        <w:instrText xml:space="preserve"> PAGEREF _Toc440823312 \h </w:instrText>
      </w:r>
      <w:r>
        <w:rPr>
          <w:noProof/>
        </w:rPr>
      </w:r>
      <w:r>
        <w:rPr>
          <w:noProof/>
        </w:rPr>
        <w:fldChar w:fldCharType="separate"/>
      </w:r>
      <w:r w:rsidR="008F032F">
        <w:rPr>
          <w:noProof/>
        </w:rPr>
        <w:t>183</w:t>
      </w:r>
      <w:r>
        <w:rPr>
          <w:noProof/>
        </w:rPr>
        <w:fldChar w:fldCharType="end"/>
      </w:r>
    </w:p>
    <w:p w:rsidR="005D1052" w:rsidRPr="0046215A" w:rsidRDefault="005D1052" w:rsidP="005D1052">
      <w:pPr>
        <w:rPr>
          <w:noProof/>
        </w:rPr>
      </w:pPr>
    </w:p>
    <w:p w:rsidR="005D1052" w:rsidRPr="0046215A" w:rsidRDefault="005D1052" w:rsidP="005D1052">
      <w:pPr>
        <w:spacing w:before="360"/>
        <w:ind w:firstLine="0"/>
        <w:rPr>
          <w:b/>
          <w:bCs/>
          <w:caps/>
          <w:noProof/>
          <w:szCs w:val="24"/>
        </w:rPr>
      </w:pPr>
      <w:r w:rsidRPr="0046215A">
        <w:rPr>
          <w:b/>
          <w:bCs/>
          <w:caps/>
          <w:noProof/>
          <w:szCs w:val="24"/>
        </w:rPr>
        <w:t>APPENDIX</w:t>
      </w:r>
      <w:r>
        <w:rPr>
          <w:b/>
          <w:bCs/>
          <w:caps/>
          <w:noProof/>
          <w:szCs w:val="24"/>
        </w:rPr>
        <w:t>…………………………………………………………………………………………………………….201</w:t>
      </w:r>
    </w:p>
    <w:p w:rsidR="005D1052" w:rsidRDefault="005D1052" w:rsidP="005D1052">
      <w:pPr>
        <w:rPr>
          <w:noProof/>
        </w:rPr>
      </w:pPr>
    </w:p>
    <w:p w:rsidR="005D1052" w:rsidRDefault="005D1052" w:rsidP="005D1052">
      <w:pPr>
        <w:rPr>
          <w:noProof/>
        </w:rPr>
        <w:sectPr w:rsidR="005D1052" w:rsidSect="00EB11EA">
          <w:footerReference w:type="even" r:id="rId14"/>
          <w:footerReference w:type="default" r:id="rId15"/>
          <w:pgSz w:w="11900" w:h="16840" w:code="9"/>
          <w:pgMar w:top="2268" w:right="1134" w:bottom="1701" w:left="2268" w:header="284" w:footer="454" w:gutter="0"/>
          <w:pgNumType w:fmt="lowerRoman" w:start="1" w:chapSep="emDash"/>
          <w:cols w:space="708"/>
          <w:docGrid w:linePitch="360"/>
        </w:sectPr>
      </w:pPr>
    </w:p>
    <w:p w:rsidR="005D1052" w:rsidRPr="008F032F" w:rsidRDefault="005D1052" w:rsidP="005D1052">
      <w:pPr>
        <w:ind w:firstLine="0"/>
        <w:rPr>
          <w:rFonts w:ascii="Cambria" w:hAnsi="Cambria"/>
          <w:b/>
          <w:sz w:val="32"/>
        </w:rPr>
      </w:pPr>
      <w:r>
        <w:rPr>
          <w:noProof/>
          <w:szCs w:val="24"/>
        </w:rPr>
        <w:lastRenderedPageBreak/>
        <w:fldChar w:fldCharType="end"/>
      </w:r>
      <w:r w:rsidRPr="008F032F">
        <w:rPr>
          <w:rFonts w:ascii="Cambria" w:hAnsi="Cambria"/>
          <w:b/>
          <w:sz w:val="32"/>
        </w:rPr>
        <w:t>List of figures</w:t>
      </w:r>
    </w:p>
    <w:p w:rsidR="005D1052" w:rsidRPr="00C74CA3" w:rsidRDefault="005D1052" w:rsidP="005D1052">
      <w:pPr>
        <w:spacing w:line="240" w:lineRule="auto"/>
        <w:ind w:firstLine="0"/>
        <w:rPr>
          <w:rFonts w:asciiTheme="majorHAnsi" w:hAnsiTheme="majorHAnsi"/>
          <w:b/>
        </w:rPr>
      </w:pPr>
    </w:p>
    <w:p w:rsidR="008F032F" w:rsidRDefault="005D1052">
      <w:pPr>
        <w:pStyle w:val="TableofFigures"/>
        <w:tabs>
          <w:tab w:val="right" w:leader="underscore" w:pos="8488"/>
        </w:tabs>
        <w:rPr>
          <w:rFonts w:eastAsiaTheme="minorEastAsia"/>
          <w:noProof/>
          <w:sz w:val="22"/>
          <w:szCs w:val="22"/>
          <w:lang w:eastAsia="en-GB"/>
        </w:rPr>
      </w:pPr>
      <w:r>
        <w:rPr>
          <w:i/>
          <w:noProof/>
          <w:szCs w:val="24"/>
        </w:rPr>
        <w:fldChar w:fldCharType="begin"/>
      </w:r>
      <w:r>
        <w:rPr>
          <w:i/>
          <w:noProof/>
          <w:szCs w:val="24"/>
        </w:rPr>
        <w:instrText xml:space="preserve"> TOC \f f \c "Figure" </w:instrText>
      </w:r>
      <w:r>
        <w:rPr>
          <w:i/>
          <w:noProof/>
          <w:szCs w:val="24"/>
        </w:rPr>
        <w:fldChar w:fldCharType="separate"/>
      </w:r>
      <w:r w:rsidR="008F032F">
        <w:rPr>
          <w:noProof/>
        </w:rPr>
        <w:t>Figure 1</w:t>
      </w:r>
      <w:r w:rsidR="008F032F">
        <w:rPr>
          <w:noProof/>
        </w:rPr>
        <w:noBreakHyphen/>
        <w:t xml:space="preserve">1 </w:t>
      </w:r>
      <w:r w:rsidR="008F032F" w:rsidRPr="00E7218C">
        <w:rPr>
          <w:noProof/>
        </w:rPr>
        <w:t>Classical bone tissue engineering approach. Cells from the patient are implanted onto 3D structures that mimic the extracellular matrix and guide the forming tissue. Then, seeded scaffolds are cultured in bioreactors to enhance tissue growth. The engineered-bone graft is implanted at the fracture site and will degrade leaving only natural tissue.</w:t>
      </w:r>
      <w:r w:rsidR="008F032F">
        <w:rPr>
          <w:noProof/>
        </w:rPr>
        <w:tab/>
      </w:r>
      <w:r w:rsidR="008F032F">
        <w:rPr>
          <w:noProof/>
        </w:rPr>
        <w:fldChar w:fldCharType="begin"/>
      </w:r>
      <w:r w:rsidR="008F032F">
        <w:rPr>
          <w:noProof/>
        </w:rPr>
        <w:instrText xml:space="preserve"> PAGEREF _Toc445718793 \h </w:instrText>
      </w:r>
      <w:r w:rsidR="008F032F">
        <w:rPr>
          <w:noProof/>
        </w:rPr>
      </w:r>
      <w:r w:rsidR="008F032F">
        <w:rPr>
          <w:noProof/>
        </w:rPr>
        <w:fldChar w:fldCharType="separate"/>
      </w:r>
      <w:r w:rsidR="008F032F">
        <w:rPr>
          <w:noProof/>
        </w:rPr>
        <w:t>3</w:t>
      </w:r>
      <w:r w:rsidR="008F032F">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2</w:t>
      </w:r>
      <w:r>
        <w:rPr>
          <w:noProof/>
        </w:rPr>
        <w:noBreakHyphen/>
        <w:t xml:space="preserve">1 </w:t>
      </w:r>
      <w:r w:rsidRPr="00E7218C">
        <w:rPr>
          <w:noProof/>
        </w:rPr>
        <w:t xml:space="preserve">Bone tissue structure (Copyright </w:t>
      </w:r>
      <w:r w:rsidRPr="00E7218C">
        <w:rPr>
          <w:rFonts w:cs="Times New Roman"/>
          <w:noProof/>
        </w:rPr>
        <w:t>©</w:t>
      </w:r>
      <w:r w:rsidRPr="00E7218C">
        <w:rPr>
          <w:noProof/>
        </w:rPr>
        <w:t xml:space="preserve"> 2007 Pearson Education, Inc., publishing as Benjamin Cummings).</w:t>
      </w:r>
      <w:r>
        <w:rPr>
          <w:noProof/>
        </w:rPr>
        <w:tab/>
      </w:r>
      <w:r>
        <w:rPr>
          <w:noProof/>
        </w:rPr>
        <w:fldChar w:fldCharType="begin"/>
      </w:r>
      <w:r>
        <w:rPr>
          <w:noProof/>
        </w:rPr>
        <w:instrText xml:space="preserve"> PAGEREF _Toc445718794 \h </w:instrText>
      </w:r>
      <w:r>
        <w:rPr>
          <w:noProof/>
        </w:rPr>
      </w:r>
      <w:r>
        <w:rPr>
          <w:noProof/>
        </w:rPr>
        <w:fldChar w:fldCharType="separate"/>
      </w:r>
      <w:r>
        <w:rPr>
          <w:noProof/>
        </w:rPr>
        <w:t>10</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2</w:t>
      </w:r>
      <w:r>
        <w:rPr>
          <w:noProof/>
        </w:rPr>
        <w:noBreakHyphen/>
        <w:t xml:space="preserve">2 </w:t>
      </w:r>
      <w:r w:rsidRPr="00E7218C">
        <w:rPr>
          <w:noProof/>
        </w:rPr>
        <w:t>Scaffold designs evaluated by Olivares et al. [41] based on hexahedral prism units (a) and gyroid pores (b).</w:t>
      </w:r>
      <w:r>
        <w:rPr>
          <w:noProof/>
        </w:rPr>
        <w:tab/>
      </w:r>
      <w:r>
        <w:rPr>
          <w:noProof/>
        </w:rPr>
        <w:fldChar w:fldCharType="begin"/>
      </w:r>
      <w:r>
        <w:rPr>
          <w:noProof/>
        </w:rPr>
        <w:instrText xml:space="preserve"> PAGEREF _Toc445718795 \h </w:instrText>
      </w:r>
      <w:r>
        <w:rPr>
          <w:noProof/>
        </w:rPr>
      </w:r>
      <w:r>
        <w:rPr>
          <w:noProof/>
        </w:rPr>
        <w:fldChar w:fldCharType="separate"/>
      </w:r>
      <w:r>
        <w:rPr>
          <w:noProof/>
        </w:rPr>
        <w:t>15</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2</w:t>
      </w:r>
      <w:r>
        <w:rPr>
          <w:noProof/>
        </w:rPr>
        <w:noBreakHyphen/>
        <w:t xml:space="preserve">3 </w:t>
      </w:r>
      <w:r w:rsidRPr="00E7218C">
        <w:rPr>
          <w:noProof/>
        </w:rPr>
        <w:t>Effect of the designed unit cell (a) on the effective normalised elastic moduli (b) and permeability (c) calculated by the homogenization theory [42].</w:t>
      </w:r>
      <w:r>
        <w:rPr>
          <w:noProof/>
        </w:rPr>
        <w:tab/>
      </w:r>
      <w:r>
        <w:rPr>
          <w:noProof/>
        </w:rPr>
        <w:fldChar w:fldCharType="begin"/>
      </w:r>
      <w:r>
        <w:rPr>
          <w:noProof/>
        </w:rPr>
        <w:instrText xml:space="preserve"> PAGEREF _Toc445718796 \h </w:instrText>
      </w:r>
      <w:r>
        <w:rPr>
          <w:noProof/>
        </w:rPr>
      </w:r>
      <w:r>
        <w:rPr>
          <w:noProof/>
        </w:rPr>
        <w:fldChar w:fldCharType="separate"/>
      </w:r>
      <w:r>
        <w:rPr>
          <w:noProof/>
        </w:rPr>
        <w:t>16</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2</w:t>
      </w:r>
      <w:r>
        <w:rPr>
          <w:noProof/>
        </w:rPr>
        <w:noBreakHyphen/>
        <w:t xml:space="preserve">4 </w:t>
      </w:r>
      <w:r w:rsidRPr="00E7218C">
        <w:rPr>
          <w:noProof/>
        </w:rPr>
        <w:t>Hierarchical bone scaffold design proposed by Yoo et al. [44] based on triply periodic numeric surface based geometries that fits within the fracture site.</w:t>
      </w:r>
      <w:r>
        <w:rPr>
          <w:noProof/>
        </w:rPr>
        <w:tab/>
      </w:r>
      <w:r>
        <w:rPr>
          <w:noProof/>
        </w:rPr>
        <w:fldChar w:fldCharType="begin"/>
      </w:r>
      <w:r>
        <w:rPr>
          <w:noProof/>
        </w:rPr>
        <w:instrText xml:space="preserve"> PAGEREF _Toc445718797 \h </w:instrText>
      </w:r>
      <w:r>
        <w:rPr>
          <w:noProof/>
        </w:rPr>
      </w:r>
      <w:r>
        <w:rPr>
          <w:noProof/>
        </w:rPr>
        <w:fldChar w:fldCharType="separate"/>
      </w:r>
      <w:r>
        <w:rPr>
          <w:noProof/>
        </w:rPr>
        <w:t>17</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2</w:t>
      </w:r>
      <w:r>
        <w:rPr>
          <w:noProof/>
        </w:rPr>
        <w:noBreakHyphen/>
        <w:t xml:space="preserve">5 </w:t>
      </w:r>
      <w:r w:rsidRPr="00E7218C">
        <w:rPr>
          <w:noProof/>
        </w:rPr>
        <w:t>a) Fused Deposition Modeling platform. b) The material is extruded through a nozzle forming struts. c) Regular scaffold fabricated by FDM [80].</w:t>
      </w:r>
      <w:r>
        <w:rPr>
          <w:noProof/>
        </w:rPr>
        <w:tab/>
      </w:r>
      <w:r>
        <w:rPr>
          <w:noProof/>
        </w:rPr>
        <w:fldChar w:fldCharType="begin"/>
      </w:r>
      <w:r>
        <w:rPr>
          <w:noProof/>
        </w:rPr>
        <w:instrText xml:space="preserve"> PAGEREF _Toc445718798 \h </w:instrText>
      </w:r>
      <w:r>
        <w:rPr>
          <w:noProof/>
        </w:rPr>
      </w:r>
      <w:r>
        <w:rPr>
          <w:noProof/>
        </w:rPr>
        <w:fldChar w:fldCharType="separate"/>
      </w:r>
      <w:r>
        <w:rPr>
          <w:noProof/>
        </w:rPr>
        <w:t>23</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2</w:t>
      </w:r>
      <w:r>
        <w:rPr>
          <w:noProof/>
        </w:rPr>
        <w:noBreakHyphen/>
        <w:t xml:space="preserve">6 </w:t>
      </w:r>
      <w:r w:rsidRPr="00E7218C">
        <w:rPr>
          <w:noProof/>
        </w:rPr>
        <w:t>Hydrodynamic based bioreactors used for the developemnt of 3D tissue constructs based on scaffold-cell structures. a) Spinner flask. b) Rotating wall vessel. c) Compression force-induced suction device. d) Perfusion system [35].</w:t>
      </w:r>
      <w:r>
        <w:rPr>
          <w:noProof/>
        </w:rPr>
        <w:tab/>
      </w:r>
      <w:r>
        <w:rPr>
          <w:noProof/>
        </w:rPr>
        <w:fldChar w:fldCharType="begin"/>
      </w:r>
      <w:r>
        <w:rPr>
          <w:noProof/>
        </w:rPr>
        <w:instrText xml:space="preserve"> PAGEREF _Toc445718799 \h </w:instrText>
      </w:r>
      <w:r>
        <w:rPr>
          <w:noProof/>
        </w:rPr>
      </w:r>
      <w:r>
        <w:rPr>
          <w:noProof/>
        </w:rPr>
        <w:fldChar w:fldCharType="separate"/>
      </w:r>
      <w:r>
        <w:rPr>
          <w:noProof/>
        </w:rPr>
        <w:t>31</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2</w:t>
      </w:r>
      <w:r>
        <w:rPr>
          <w:noProof/>
        </w:rPr>
        <w:noBreakHyphen/>
        <w:t xml:space="preserve">7 </w:t>
      </w:r>
      <w:r w:rsidRPr="00E7218C">
        <w:rPr>
          <w:noProof/>
        </w:rPr>
        <w:t xml:space="preserve">a) Transverse axial section representing the main architectural features of the 3D scaffold used by Jae et al. [139] in </w:t>
      </w:r>
      <w:r w:rsidRPr="00E7218C">
        <w:rPr>
          <w:rFonts w:cs="Times New Roman"/>
          <w:noProof/>
        </w:rPr>
        <w:t>μ</w:t>
      </w:r>
      <w:r w:rsidRPr="00E7218C">
        <w:rPr>
          <w:noProof/>
        </w:rPr>
        <w:t>PIV experiments. b) Unit cell of a 3D scaffold designed by De Boodt et al. [138] to introduce the +2D μPIV concept. c) Pillar bundle in a parallel plate chamber investigated by Provin et al [141] to find the optimal scaffold pore size for medium supply and local shear stress.</w:t>
      </w:r>
      <w:r>
        <w:rPr>
          <w:noProof/>
        </w:rPr>
        <w:tab/>
      </w:r>
      <w:r>
        <w:rPr>
          <w:noProof/>
        </w:rPr>
        <w:fldChar w:fldCharType="begin"/>
      </w:r>
      <w:r>
        <w:rPr>
          <w:noProof/>
        </w:rPr>
        <w:instrText xml:space="preserve"> PAGEREF _Toc445718800 \h </w:instrText>
      </w:r>
      <w:r>
        <w:rPr>
          <w:noProof/>
        </w:rPr>
      </w:r>
      <w:r>
        <w:rPr>
          <w:noProof/>
        </w:rPr>
        <w:fldChar w:fldCharType="separate"/>
      </w:r>
      <w:r>
        <w:rPr>
          <w:noProof/>
        </w:rPr>
        <w:t>37</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1 </w:t>
      </w:r>
      <w:r w:rsidRPr="00E7218C">
        <w:rPr>
          <w:noProof/>
        </w:rPr>
        <w:t xml:space="preserve">Workflow proposed by Podshivalov et al. [104] for scaffold-based treatments from the design of a patient-specific scaffold up to its implantation at </w:t>
      </w:r>
      <w:r w:rsidRPr="00E7218C">
        <w:rPr>
          <w:noProof/>
        </w:rPr>
        <w:lastRenderedPageBreak/>
        <w:t>the fracture site. It includes scaffold geometry verification to ensure that the fabrication process delivers the expected scaffold design.</w:t>
      </w:r>
      <w:r>
        <w:rPr>
          <w:noProof/>
        </w:rPr>
        <w:tab/>
      </w:r>
      <w:r>
        <w:rPr>
          <w:noProof/>
        </w:rPr>
        <w:fldChar w:fldCharType="begin"/>
      </w:r>
      <w:r>
        <w:rPr>
          <w:noProof/>
        </w:rPr>
        <w:instrText xml:space="preserve"> PAGEREF _Toc445718801 \h </w:instrText>
      </w:r>
      <w:r>
        <w:rPr>
          <w:noProof/>
        </w:rPr>
      </w:r>
      <w:r>
        <w:rPr>
          <w:noProof/>
        </w:rPr>
        <w:fldChar w:fldCharType="separate"/>
      </w:r>
      <w:r>
        <w:rPr>
          <w:noProof/>
        </w:rPr>
        <w:t>42</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2 </w:t>
      </w:r>
      <w:r w:rsidRPr="00E7218C">
        <w:rPr>
          <w:noProof/>
        </w:rPr>
        <w:t>PCL scaffold design specifications.</w:t>
      </w:r>
      <w:r>
        <w:rPr>
          <w:noProof/>
        </w:rPr>
        <w:tab/>
      </w:r>
      <w:r>
        <w:rPr>
          <w:noProof/>
        </w:rPr>
        <w:fldChar w:fldCharType="begin"/>
      </w:r>
      <w:r>
        <w:rPr>
          <w:noProof/>
        </w:rPr>
        <w:instrText xml:space="preserve"> PAGEREF _Toc445718802 \h </w:instrText>
      </w:r>
      <w:r>
        <w:rPr>
          <w:noProof/>
        </w:rPr>
      </w:r>
      <w:r>
        <w:rPr>
          <w:noProof/>
        </w:rPr>
        <w:fldChar w:fldCharType="separate"/>
      </w:r>
      <w:r>
        <w:rPr>
          <w:noProof/>
        </w:rPr>
        <w:t>43</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3 </w:t>
      </w:r>
      <w:r w:rsidRPr="00E7218C">
        <w:rPr>
          <w:noProof/>
        </w:rPr>
        <w:t>The stack of µCT-images (left) was segmented to obtain the scaffold geometry (right) within the raw data.</w:t>
      </w:r>
      <w:r>
        <w:rPr>
          <w:noProof/>
        </w:rPr>
        <w:tab/>
      </w:r>
      <w:r>
        <w:rPr>
          <w:noProof/>
        </w:rPr>
        <w:fldChar w:fldCharType="begin"/>
      </w:r>
      <w:r>
        <w:rPr>
          <w:noProof/>
        </w:rPr>
        <w:instrText xml:space="preserve"> PAGEREF _Toc445718803 \h </w:instrText>
      </w:r>
      <w:r>
        <w:rPr>
          <w:noProof/>
        </w:rPr>
      </w:r>
      <w:r>
        <w:rPr>
          <w:noProof/>
        </w:rPr>
        <w:fldChar w:fldCharType="separate"/>
      </w:r>
      <w:r>
        <w:rPr>
          <w:noProof/>
        </w:rPr>
        <w:t>44</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4 </w:t>
      </w:r>
      <w:r w:rsidRPr="00E7218C">
        <w:rPr>
          <w:noProof/>
        </w:rPr>
        <w:t>a) 3D CAD model of the scaffold. b) Side view.</w:t>
      </w:r>
      <w:r>
        <w:rPr>
          <w:noProof/>
        </w:rPr>
        <w:tab/>
      </w:r>
      <w:r>
        <w:rPr>
          <w:noProof/>
        </w:rPr>
        <w:fldChar w:fldCharType="begin"/>
      </w:r>
      <w:r>
        <w:rPr>
          <w:noProof/>
        </w:rPr>
        <w:instrText xml:space="preserve"> PAGEREF _Toc445718804 \h </w:instrText>
      </w:r>
      <w:r>
        <w:rPr>
          <w:noProof/>
        </w:rPr>
      </w:r>
      <w:r>
        <w:rPr>
          <w:noProof/>
        </w:rPr>
        <w:fldChar w:fldCharType="separate"/>
      </w:r>
      <w:r>
        <w:rPr>
          <w:noProof/>
        </w:rPr>
        <w:t>45</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5 </w:t>
      </w:r>
      <w:r w:rsidRPr="00E7218C">
        <w:rPr>
          <w:noProof/>
        </w:rPr>
        <w:t>Physical boundaries of the fluid volume mesh.</w:t>
      </w:r>
      <w:r>
        <w:rPr>
          <w:noProof/>
        </w:rPr>
        <w:tab/>
      </w:r>
      <w:r>
        <w:rPr>
          <w:noProof/>
        </w:rPr>
        <w:fldChar w:fldCharType="begin"/>
      </w:r>
      <w:r>
        <w:rPr>
          <w:noProof/>
        </w:rPr>
        <w:instrText xml:space="preserve"> PAGEREF _Toc445718805 \h </w:instrText>
      </w:r>
      <w:r>
        <w:rPr>
          <w:noProof/>
        </w:rPr>
      </w:r>
      <w:r>
        <w:rPr>
          <w:noProof/>
        </w:rPr>
        <w:fldChar w:fldCharType="separate"/>
      </w:r>
      <w:r>
        <w:rPr>
          <w:noProof/>
        </w:rPr>
        <w:t>46</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6 </w:t>
      </w:r>
      <w:r w:rsidRPr="00E7218C">
        <w:rPr>
          <w:noProof/>
        </w:rPr>
        <w:t>Wire representation of the fluid mesh to observe the adaptation of the element size towards the scaffold.</w:t>
      </w:r>
      <w:r>
        <w:rPr>
          <w:noProof/>
        </w:rPr>
        <w:tab/>
      </w:r>
      <w:r>
        <w:rPr>
          <w:noProof/>
        </w:rPr>
        <w:fldChar w:fldCharType="begin"/>
      </w:r>
      <w:r>
        <w:rPr>
          <w:noProof/>
        </w:rPr>
        <w:instrText xml:space="preserve"> PAGEREF _Toc445718806 \h </w:instrText>
      </w:r>
      <w:r>
        <w:rPr>
          <w:noProof/>
        </w:rPr>
      </w:r>
      <w:r>
        <w:rPr>
          <w:noProof/>
        </w:rPr>
        <w:fldChar w:fldCharType="separate"/>
      </w:r>
      <w:r>
        <w:rPr>
          <w:noProof/>
        </w:rPr>
        <w:t>47</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7 </w:t>
      </w:r>
      <w:r w:rsidRPr="00E7218C">
        <w:rPr>
          <w:noProof/>
        </w:rPr>
        <w:t>The local velocity (a) and WSS (b) values extracted in CFD-Post and then arranged and plotted by layers with a Matlab code.</w:t>
      </w:r>
      <w:r>
        <w:rPr>
          <w:noProof/>
        </w:rPr>
        <w:tab/>
      </w:r>
      <w:r>
        <w:rPr>
          <w:noProof/>
        </w:rPr>
        <w:fldChar w:fldCharType="begin"/>
      </w:r>
      <w:r>
        <w:rPr>
          <w:noProof/>
        </w:rPr>
        <w:instrText xml:space="preserve"> PAGEREF _Toc445718807 \h </w:instrText>
      </w:r>
      <w:r>
        <w:rPr>
          <w:noProof/>
        </w:rPr>
      </w:r>
      <w:r>
        <w:rPr>
          <w:noProof/>
        </w:rPr>
        <w:fldChar w:fldCharType="separate"/>
      </w:r>
      <w:r>
        <w:rPr>
          <w:noProof/>
        </w:rPr>
        <w:t>49</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8 </w:t>
      </w:r>
      <w:r w:rsidRPr="00E7218C">
        <w:rPr>
          <w:noProof/>
        </w:rPr>
        <w:t>Velocity profiles extracted from all scaffold levels.</w:t>
      </w:r>
      <w:r>
        <w:rPr>
          <w:noProof/>
        </w:rPr>
        <w:tab/>
      </w:r>
      <w:r>
        <w:rPr>
          <w:noProof/>
        </w:rPr>
        <w:fldChar w:fldCharType="begin"/>
      </w:r>
      <w:r>
        <w:rPr>
          <w:noProof/>
        </w:rPr>
        <w:instrText xml:space="preserve"> PAGEREF _Toc445718808 \h </w:instrText>
      </w:r>
      <w:r>
        <w:rPr>
          <w:noProof/>
        </w:rPr>
      </w:r>
      <w:r>
        <w:rPr>
          <w:noProof/>
        </w:rPr>
        <w:fldChar w:fldCharType="separate"/>
      </w:r>
      <w:r>
        <w:rPr>
          <w:noProof/>
        </w:rPr>
        <w:t>50</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9 </w:t>
      </w:r>
      <w:r w:rsidRPr="00E7218C">
        <w:rPr>
          <w:noProof/>
        </w:rPr>
        <w:t xml:space="preserve">Structural comparison between CAD (a) and a </w:t>
      </w:r>
      <w:r w:rsidRPr="00E7218C">
        <w:rPr>
          <w:rFonts w:cs="Times New Roman"/>
          <w:noProof/>
        </w:rPr>
        <w:t>µ</w:t>
      </w:r>
      <w:r w:rsidRPr="00E7218C">
        <w:rPr>
          <w:noProof/>
        </w:rPr>
        <w:t>CT-reconstructed scaffold (b). Cross-sections from planes A (i) and B (ii) show the internal spatial arrangement of fibres. The two scaffolds are compared at all layers so the structural limitations of the fabrication process can be identified.</w:t>
      </w:r>
      <w:r>
        <w:rPr>
          <w:noProof/>
        </w:rPr>
        <w:tab/>
      </w:r>
      <w:r>
        <w:rPr>
          <w:noProof/>
        </w:rPr>
        <w:fldChar w:fldCharType="begin"/>
      </w:r>
      <w:r>
        <w:rPr>
          <w:noProof/>
        </w:rPr>
        <w:instrText xml:space="preserve"> PAGEREF _Toc445718809 \h </w:instrText>
      </w:r>
      <w:r>
        <w:rPr>
          <w:noProof/>
        </w:rPr>
      </w:r>
      <w:r>
        <w:rPr>
          <w:noProof/>
        </w:rPr>
        <w:fldChar w:fldCharType="separate"/>
      </w:r>
      <w:r>
        <w:rPr>
          <w:noProof/>
        </w:rPr>
        <w:t>52</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10 </w:t>
      </w:r>
      <w:r w:rsidRPr="00E7218C">
        <w:rPr>
          <w:noProof/>
        </w:rPr>
        <w:t>Internal micro-structure shown at the cross-sections specified in Figure 3</w:t>
      </w:r>
      <w:r w:rsidRPr="00E7218C">
        <w:rPr>
          <w:noProof/>
        </w:rPr>
        <w:noBreakHyphen/>
        <w:t>9 of the sample with different fibre distribution from the other samples.</w:t>
      </w:r>
      <w:r>
        <w:rPr>
          <w:noProof/>
        </w:rPr>
        <w:tab/>
      </w:r>
      <w:r>
        <w:rPr>
          <w:noProof/>
        </w:rPr>
        <w:fldChar w:fldCharType="begin"/>
      </w:r>
      <w:r>
        <w:rPr>
          <w:noProof/>
        </w:rPr>
        <w:instrText xml:space="preserve"> PAGEREF _Toc445718810 \h </w:instrText>
      </w:r>
      <w:r>
        <w:rPr>
          <w:noProof/>
        </w:rPr>
      </w:r>
      <w:r>
        <w:rPr>
          <w:noProof/>
        </w:rPr>
        <w:fldChar w:fldCharType="separate"/>
      </w:r>
      <w:r>
        <w:rPr>
          <w:noProof/>
        </w:rPr>
        <w:t>53</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11 </w:t>
      </w:r>
      <w:r w:rsidRPr="00E7218C">
        <w:rPr>
          <w:noProof/>
        </w:rPr>
        <w:t xml:space="preserve">Scaffold irregularities due to the punching process shown in a </w:t>
      </w:r>
      <w:r w:rsidRPr="00E7218C">
        <w:rPr>
          <w:rFonts w:cs="Times New Roman"/>
          <w:noProof/>
        </w:rPr>
        <w:t>µ</w:t>
      </w:r>
      <w:r w:rsidRPr="00E7218C">
        <w:rPr>
          <w:noProof/>
        </w:rPr>
        <w:t>CT-reconstructed scaffold.</w:t>
      </w:r>
      <w:r>
        <w:rPr>
          <w:noProof/>
        </w:rPr>
        <w:tab/>
      </w:r>
      <w:r>
        <w:rPr>
          <w:noProof/>
        </w:rPr>
        <w:fldChar w:fldCharType="begin"/>
      </w:r>
      <w:r>
        <w:rPr>
          <w:noProof/>
        </w:rPr>
        <w:instrText xml:space="preserve"> PAGEREF _Toc445718811 \h </w:instrText>
      </w:r>
      <w:r>
        <w:rPr>
          <w:noProof/>
        </w:rPr>
      </w:r>
      <w:r>
        <w:rPr>
          <w:noProof/>
        </w:rPr>
        <w:fldChar w:fldCharType="separate"/>
      </w:r>
      <w:r>
        <w:rPr>
          <w:noProof/>
        </w:rPr>
        <w:t>53</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12 </w:t>
      </w:r>
      <w:r w:rsidRPr="00E7218C">
        <w:rPr>
          <w:noProof/>
        </w:rPr>
        <w:t>Velocity profile on a scaffold cross-section. Fluid velocity data is extracted from line 1 which crosses a series of scaffold pores.</w:t>
      </w:r>
      <w:r>
        <w:rPr>
          <w:noProof/>
        </w:rPr>
        <w:tab/>
      </w:r>
      <w:r>
        <w:rPr>
          <w:noProof/>
        </w:rPr>
        <w:fldChar w:fldCharType="begin"/>
      </w:r>
      <w:r>
        <w:rPr>
          <w:noProof/>
        </w:rPr>
        <w:instrText xml:space="preserve"> PAGEREF _Toc445718812 \h </w:instrText>
      </w:r>
      <w:r>
        <w:rPr>
          <w:noProof/>
        </w:rPr>
      </w:r>
      <w:r>
        <w:rPr>
          <w:noProof/>
        </w:rPr>
        <w:fldChar w:fldCharType="separate"/>
      </w:r>
      <w:r>
        <w:rPr>
          <w:noProof/>
        </w:rPr>
        <w:t>54</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13 </w:t>
      </w:r>
      <w:r w:rsidRPr="00E7218C">
        <w:rPr>
          <w:noProof/>
        </w:rPr>
        <w:t>Effect of the element size within the scaffold region on the local fluid velocities. The data is extracted from line 1 shown in Figure 3</w:t>
      </w:r>
      <w:r w:rsidRPr="00E7218C">
        <w:rPr>
          <w:noProof/>
        </w:rPr>
        <w:noBreakHyphen/>
        <w:t>12.</w:t>
      </w:r>
      <w:r>
        <w:rPr>
          <w:noProof/>
        </w:rPr>
        <w:tab/>
      </w:r>
      <w:r>
        <w:rPr>
          <w:noProof/>
        </w:rPr>
        <w:fldChar w:fldCharType="begin"/>
      </w:r>
      <w:r>
        <w:rPr>
          <w:noProof/>
        </w:rPr>
        <w:instrText xml:space="preserve"> PAGEREF _Toc445718813 \h </w:instrText>
      </w:r>
      <w:r>
        <w:rPr>
          <w:noProof/>
        </w:rPr>
      </w:r>
      <w:r>
        <w:rPr>
          <w:noProof/>
        </w:rPr>
        <w:fldChar w:fldCharType="separate"/>
      </w:r>
      <w:r>
        <w:rPr>
          <w:noProof/>
        </w:rPr>
        <w:t>55</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14 </w:t>
      </w:r>
      <w:r w:rsidRPr="00E7218C">
        <w:rPr>
          <w:noProof/>
        </w:rPr>
        <w:t>Effect of the element size on the average WSS at the scaffold surface.</w:t>
      </w:r>
      <w:r>
        <w:rPr>
          <w:noProof/>
        </w:rPr>
        <w:tab/>
      </w:r>
      <w:r>
        <w:rPr>
          <w:noProof/>
        </w:rPr>
        <w:fldChar w:fldCharType="begin"/>
      </w:r>
      <w:r>
        <w:rPr>
          <w:noProof/>
        </w:rPr>
        <w:instrText xml:space="preserve"> PAGEREF _Toc445718814 \h </w:instrText>
      </w:r>
      <w:r>
        <w:rPr>
          <w:noProof/>
        </w:rPr>
      </w:r>
      <w:r>
        <w:rPr>
          <w:noProof/>
        </w:rPr>
        <w:fldChar w:fldCharType="separate"/>
      </w:r>
      <w:r>
        <w:rPr>
          <w:noProof/>
        </w:rPr>
        <w:t>55</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15 </w:t>
      </w:r>
      <w:r w:rsidRPr="00E7218C">
        <w:rPr>
          <w:noProof/>
        </w:rPr>
        <w:t>Effect of the element size outside the scaffold on the fluid velocities in the scaffold pores. Data extracted from line 1.</w:t>
      </w:r>
      <w:r>
        <w:rPr>
          <w:noProof/>
        </w:rPr>
        <w:tab/>
      </w:r>
      <w:r>
        <w:rPr>
          <w:noProof/>
        </w:rPr>
        <w:fldChar w:fldCharType="begin"/>
      </w:r>
      <w:r>
        <w:rPr>
          <w:noProof/>
        </w:rPr>
        <w:instrText xml:space="preserve"> PAGEREF _Toc445718815 \h </w:instrText>
      </w:r>
      <w:r>
        <w:rPr>
          <w:noProof/>
        </w:rPr>
      </w:r>
      <w:r>
        <w:rPr>
          <w:noProof/>
        </w:rPr>
        <w:fldChar w:fldCharType="separate"/>
      </w:r>
      <w:r>
        <w:rPr>
          <w:noProof/>
        </w:rPr>
        <w:t>57</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16 </w:t>
      </w:r>
      <w:r w:rsidRPr="00E7218C">
        <w:rPr>
          <w:noProof/>
        </w:rPr>
        <w:t>Line 2 from where the velocity values were extracted.</w:t>
      </w:r>
      <w:r>
        <w:rPr>
          <w:noProof/>
        </w:rPr>
        <w:tab/>
      </w:r>
      <w:r>
        <w:rPr>
          <w:noProof/>
        </w:rPr>
        <w:fldChar w:fldCharType="begin"/>
      </w:r>
      <w:r>
        <w:rPr>
          <w:noProof/>
        </w:rPr>
        <w:instrText xml:space="preserve"> PAGEREF _Toc445718816 \h </w:instrText>
      </w:r>
      <w:r>
        <w:rPr>
          <w:noProof/>
        </w:rPr>
      </w:r>
      <w:r>
        <w:rPr>
          <w:noProof/>
        </w:rPr>
        <w:fldChar w:fldCharType="separate"/>
      </w:r>
      <w:r>
        <w:rPr>
          <w:noProof/>
        </w:rPr>
        <w:t>57</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lastRenderedPageBreak/>
        <w:t>Figure 3</w:t>
      </w:r>
      <w:r>
        <w:rPr>
          <w:noProof/>
        </w:rPr>
        <w:noBreakHyphen/>
        <w:t xml:space="preserve">17 </w:t>
      </w:r>
      <w:r w:rsidRPr="00E7218C">
        <w:rPr>
          <w:noProof/>
        </w:rPr>
        <w:t>Effect of the element size outside the scaffold on the fluid velocities from the inlet to the outlet passing through the scaffold pores. Data extracted from line 2 shown in Figure 3</w:t>
      </w:r>
      <w:r w:rsidRPr="00E7218C">
        <w:rPr>
          <w:noProof/>
        </w:rPr>
        <w:noBreakHyphen/>
        <w:t>16.</w:t>
      </w:r>
      <w:r>
        <w:rPr>
          <w:noProof/>
        </w:rPr>
        <w:tab/>
      </w:r>
      <w:r>
        <w:rPr>
          <w:noProof/>
        </w:rPr>
        <w:fldChar w:fldCharType="begin"/>
      </w:r>
      <w:r>
        <w:rPr>
          <w:noProof/>
        </w:rPr>
        <w:instrText xml:space="preserve"> PAGEREF _Toc445718817 \h </w:instrText>
      </w:r>
      <w:r>
        <w:rPr>
          <w:noProof/>
        </w:rPr>
      </w:r>
      <w:r>
        <w:rPr>
          <w:noProof/>
        </w:rPr>
        <w:fldChar w:fldCharType="separate"/>
      </w:r>
      <w:r>
        <w:rPr>
          <w:noProof/>
        </w:rPr>
        <w:t>58</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18 </w:t>
      </w:r>
      <w:r w:rsidRPr="00E7218C">
        <w:rPr>
          <w:noProof/>
        </w:rPr>
        <w:t>CPU and wall-clock time required to solve the CFD case depending on the number of partitions.</w:t>
      </w:r>
      <w:r>
        <w:rPr>
          <w:noProof/>
        </w:rPr>
        <w:tab/>
      </w:r>
      <w:r>
        <w:rPr>
          <w:noProof/>
        </w:rPr>
        <w:fldChar w:fldCharType="begin"/>
      </w:r>
      <w:r>
        <w:rPr>
          <w:noProof/>
        </w:rPr>
        <w:instrText xml:space="preserve"> PAGEREF _Toc445718818 \h </w:instrText>
      </w:r>
      <w:r>
        <w:rPr>
          <w:noProof/>
        </w:rPr>
      </w:r>
      <w:r>
        <w:rPr>
          <w:noProof/>
        </w:rPr>
        <w:fldChar w:fldCharType="separate"/>
      </w:r>
      <w:r>
        <w:rPr>
          <w:noProof/>
        </w:rPr>
        <w:t>59</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19 </w:t>
      </w:r>
      <w:r w:rsidRPr="00E7218C">
        <w:rPr>
          <w:noProof/>
        </w:rPr>
        <w:t>a) Velocity profiles and frequency diagram bars (b) of the CAD scaffold (left) and the five reconstructed samples (right) at all scaffold layers from layer 1 (top) to layer 5 (bottom).</w:t>
      </w:r>
      <w:r>
        <w:rPr>
          <w:noProof/>
        </w:rPr>
        <w:tab/>
      </w:r>
      <w:r>
        <w:rPr>
          <w:noProof/>
        </w:rPr>
        <w:fldChar w:fldCharType="begin"/>
      </w:r>
      <w:r>
        <w:rPr>
          <w:noProof/>
        </w:rPr>
        <w:instrText xml:space="preserve"> PAGEREF _Toc445718819 \h </w:instrText>
      </w:r>
      <w:r>
        <w:rPr>
          <w:noProof/>
        </w:rPr>
      </w:r>
      <w:r>
        <w:rPr>
          <w:noProof/>
        </w:rPr>
        <w:fldChar w:fldCharType="separate"/>
      </w:r>
      <w:r>
        <w:rPr>
          <w:noProof/>
        </w:rPr>
        <w:t>64</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20 </w:t>
      </w:r>
      <w:r w:rsidRPr="00E7218C">
        <w:rPr>
          <w:noProof/>
        </w:rPr>
        <w:t>a) WSS profiles and frequency diagram bars (b) of the CAD scaffold (left) and the five reconstructed samples (right) at all scaffold layers from layer 1 (top) to layer 6 (bottom).</w:t>
      </w:r>
      <w:r>
        <w:rPr>
          <w:noProof/>
        </w:rPr>
        <w:tab/>
      </w:r>
      <w:r>
        <w:rPr>
          <w:noProof/>
        </w:rPr>
        <w:fldChar w:fldCharType="begin"/>
      </w:r>
      <w:r>
        <w:rPr>
          <w:noProof/>
        </w:rPr>
        <w:instrText xml:space="preserve"> PAGEREF _Toc445718820 \h </w:instrText>
      </w:r>
      <w:r>
        <w:rPr>
          <w:noProof/>
        </w:rPr>
      </w:r>
      <w:r>
        <w:rPr>
          <w:noProof/>
        </w:rPr>
        <w:fldChar w:fldCharType="separate"/>
      </w:r>
      <w:r>
        <w:rPr>
          <w:noProof/>
        </w:rPr>
        <w:t>65</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21 </w:t>
      </w:r>
      <w:r w:rsidRPr="00E7218C">
        <w:rPr>
          <w:noProof/>
        </w:rPr>
        <w:t>a) Velocity profiles and velocity frequency diagram bars from the five analyses performed on the same reconstructed sample at all scaffold layers from layer 1 (top) to layer 5 (bottom).</w:t>
      </w:r>
      <w:r>
        <w:rPr>
          <w:noProof/>
        </w:rPr>
        <w:tab/>
      </w:r>
      <w:r>
        <w:rPr>
          <w:noProof/>
        </w:rPr>
        <w:fldChar w:fldCharType="begin"/>
      </w:r>
      <w:r>
        <w:rPr>
          <w:noProof/>
        </w:rPr>
        <w:instrText xml:space="preserve"> PAGEREF _Toc445718821 \h </w:instrText>
      </w:r>
      <w:r>
        <w:rPr>
          <w:noProof/>
        </w:rPr>
      </w:r>
      <w:r>
        <w:rPr>
          <w:noProof/>
        </w:rPr>
        <w:fldChar w:fldCharType="separate"/>
      </w:r>
      <w:r>
        <w:rPr>
          <w:noProof/>
        </w:rPr>
        <w:t>66</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3</w:t>
      </w:r>
      <w:r>
        <w:rPr>
          <w:noProof/>
        </w:rPr>
        <w:noBreakHyphen/>
        <w:t xml:space="preserve">22 </w:t>
      </w:r>
      <w:r w:rsidRPr="00E7218C">
        <w:rPr>
          <w:noProof/>
        </w:rPr>
        <w:t>a) WSS profiles and velocity frequency diagram bars from the five analyses performed on the same reconstructed sample at all scaffold layers from layer 1 (top) to layer 6 (bottom).</w:t>
      </w:r>
      <w:r>
        <w:rPr>
          <w:noProof/>
        </w:rPr>
        <w:tab/>
      </w:r>
      <w:r>
        <w:rPr>
          <w:noProof/>
        </w:rPr>
        <w:fldChar w:fldCharType="begin"/>
      </w:r>
      <w:r>
        <w:rPr>
          <w:noProof/>
        </w:rPr>
        <w:instrText xml:space="preserve"> PAGEREF _Toc445718822 \h </w:instrText>
      </w:r>
      <w:r>
        <w:rPr>
          <w:noProof/>
        </w:rPr>
      </w:r>
      <w:r>
        <w:rPr>
          <w:noProof/>
        </w:rPr>
        <w:fldChar w:fldCharType="separate"/>
      </w:r>
      <w:r>
        <w:rPr>
          <w:noProof/>
        </w:rPr>
        <w:t>67</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1 </w:t>
      </w:r>
      <w:r w:rsidRPr="00E7218C">
        <w:rPr>
          <w:noProof/>
        </w:rPr>
        <w:t>a) Microfluidic chamber made of PDMS mounted on the microscope stage. The trimmed scaffold (b) was placed inside the rectangular channel to allow optical access to the µPIV system.</w:t>
      </w:r>
      <w:r>
        <w:rPr>
          <w:noProof/>
        </w:rPr>
        <w:tab/>
      </w:r>
      <w:r>
        <w:rPr>
          <w:noProof/>
        </w:rPr>
        <w:fldChar w:fldCharType="begin"/>
      </w:r>
      <w:r>
        <w:rPr>
          <w:noProof/>
        </w:rPr>
        <w:instrText xml:space="preserve"> PAGEREF _Toc445718823 \h </w:instrText>
      </w:r>
      <w:r>
        <w:rPr>
          <w:noProof/>
        </w:rPr>
      </w:r>
      <w:r>
        <w:rPr>
          <w:noProof/>
        </w:rPr>
        <w:fldChar w:fldCharType="separate"/>
      </w:r>
      <w:r>
        <w:rPr>
          <w:noProof/>
        </w:rPr>
        <w:t>80</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2 </w:t>
      </w:r>
      <w:r w:rsidRPr="00E7218C">
        <w:rPr>
          <w:noProof/>
        </w:rPr>
        <w:t>3D digital reconstruction of the trimmed scaffold using µCT data.</w:t>
      </w:r>
      <w:r>
        <w:rPr>
          <w:noProof/>
        </w:rPr>
        <w:tab/>
      </w:r>
      <w:r>
        <w:rPr>
          <w:noProof/>
        </w:rPr>
        <w:fldChar w:fldCharType="begin"/>
      </w:r>
      <w:r>
        <w:rPr>
          <w:noProof/>
        </w:rPr>
        <w:instrText xml:space="preserve"> PAGEREF _Toc445718824 \h </w:instrText>
      </w:r>
      <w:r>
        <w:rPr>
          <w:noProof/>
        </w:rPr>
      </w:r>
      <w:r>
        <w:rPr>
          <w:noProof/>
        </w:rPr>
        <w:fldChar w:fldCharType="separate"/>
      </w:r>
      <w:r>
        <w:rPr>
          <w:noProof/>
        </w:rPr>
        <w:t>83</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3 </w:t>
      </w:r>
      <w:r w:rsidRPr="00E7218C">
        <w:rPr>
          <w:noProof/>
        </w:rPr>
        <w:t>Geometrical boundary conditions of the CFD model.</w:t>
      </w:r>
      <w:r>
        <w:rPr>
          <w:noProof/>
        </w:rPr>
        <w:tab/>
      </w:r>
      <w:r>
        <w:rPr>
          <w:noProof/>
        </w:rPr>
        <w:fldChar w:fldCharType="begin"/>
      </w:r>
      <w:r>
        <w:rPr>
          <w:noProof/>
        </w:rPr>
        <w:instrText xml:space="preserve"> PAGEREF _Toc445718825 \h </w:instrText>
      </w:r>
      <w:r>
        <w:rPr>
          <w:noProof/>
        </w:rPr>
      </w:r>
      <w:r>
        <w:rPr>
          <w:noProof/>
        </w:rPr>
        <w:fldChar w:fldCharType="separate"/>
      </w:r>
      <w:r>
        <w:rPr>
          <w:noProof/>
        </w:rPr>
        <w:t>84</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4 </w:t>
      </w:r>
      <w:r w:rsidRPr="00E7218C">
        <w:rPr>
          <w:noProof/>
        </w:rPr>
        <w:t>Simulation strategy. Four injections of cells are performed at the beginning of the simulation with temporal space of 0.01 seconds. Then, the cells progress every 0.01 seconds during 10 seconds under 300 µl/min fluid flow conditions. At 10 seconds, the fluid flow conditions vary from 90 to 50 µl/min every 0.125 seconds during 5 seconds. The cells progress every 0.01 seconds during those 5 seconds.</w:t>
      </w:r>
      <w:r>
        <w:rPr>
          <w:noProof/>
        </w:rPr>
        <w:tab/>
      </w:r>
      <w:r>
        <w:rPr>
          <w:noProof/>
        </w:rPr>
        <w:fldChar w:fldCharType="begin"/>
      </w:r>
      <w:r>
        <w:rPr>
          <w:noProof/>
        </w:rPr>
        <w:instrText xml:space="preserve"> PAGEREF _Toc445718826 \h </w:instrText>
      </w:r>
      <w:r>
        <w:rPr>
          <w:noProof/>
        </w:rPr>
      </w:r>
      <w:r>
        <w:rPr>
          <w:noProof/>
        </w:rPr>
        <w:fldChar w:fldCharType="separate"/>
      </w:r>
      <w:r>
        <w:rPr>
          <w:noProof/>
        </w:rPr>
        <w:t>89</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lastRenderedPageBreak/>
        <w:t>Figure 4</w:t>
      </w:r>
      <w:r>
        <w:rPr>
          <w:noProof/>
        </w:rPr>
        <w:noBreakHyphen/>
        <w:t xml:space="preserve">5 </w:t>
      </w:r>
      <w:r w:rsidRPr="00E7218C">
        <w:rPr>
          <w:noProof/>
        </w:rPr>
        <w:t>Velocity vectors from a plane located in the middle of the rectangular channel calculated using µPIV (left) and CFD (right) methods. The pink dotted lines show from where the velocity values were extracted to compare both techniques numerically.</w:t>
      </w:r>
      <w:r>
        <w:rPr>
          <w:noProof/>
        </w:rPr>
        <w:tab/>
      </w:r>
      <w:r>
        <w:rPr>
          <w:noProof/>
        </w:rPr>
        <w:fldChar w:fldCharType="begin"/>
      </w:r>
      <w:r>
        <w:rPr>
          <w:noProof/>
        </w:rPr>
        <w:instrText xml:space="preserve"> PAGEREF _Toc445718827 \h </w:instrText>
      </w:r>
      <w:r>
        <w:rPr>
          <w:noProof/>
        </w:rPr>
      </w:r>
      <w:r>
        <w:rPr>
          <w:noProof/>
        </w:rPr>
        <w:fldChar w:fldCharType="separate"/>
      </w:r>
      <w:r>
        <w:rPr>
          <w:noProof/>
        </w:rPr>
        <w:t>91</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6 </w:t>
      </w:r>
      <w:r w:rsidRPr="00E7218C">
        <w:rPr>
          <w:noProof/>
        </w:rPr>
        <w:t>The blue line and green lines represent the velocity values extracted from the profiles shown in Figure 4</w:t>
      </w:r>
      <w:r w:rsidRPr="00E7218C">
        <w:rPr>
          <w:noProof/>
        </w:rPr>
        <w:noBreakHyphen/>
        <w:t>5 for the µPIV and CFD tools respectively. The red line is the maximum fluid velocity calculated analytically that can be reached inside the rectangular channel.</w:t>
      </w:r>
      <w:r>
        <w:rPr>
          <w:noProof/>
        </w:rPr>
        <w:tab/>
      </w:r>
      <w:r>
        <w:rPr>
          <w:noProof/>
        </w:rPr>
        <w:fldChar w:fldCharType="begin"/>
      </w:r>
      <w:r>
        <w:rPr>
          <w:noProof/>
        </w:rPr>
        <w:instrText xml:space="preserve"> PAGEREF _Toc445718828 \h </w:instrText>
      </w:r>
      <w:r>
        <w:rPr>
          <w:noProof/>
        </w:rPr>
      </w:r>
      <w:r>
        <w:rPr>
          <w:noProof/>
        </w:rPr>
        <w:fldChar w:fldCharType="separate"/>
      </w:r>
      <w:r>
        <w:rPr>
          <w:noProof/>
        </w:rPr>
        <w:t>91</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7 </w:t>
      </w:r>
      <w:r w:rsidRPr="00E7218C">
        <w:rPr>
          <w:noProof/>
        </w:rPr>
        <w:t>a) Representation of a scaffold pore where the flow field is analysed. b) Region observed within the pore in order to assess the fluid flow passing between the two vertical fibres. c) Three planes observed underneath the horizontal fibre within the scaffold pore.</w:t>
      </w:r>
      <w:r>
        <w:rPr>
          <w:noProof/>
        </w:rPr>
        <w:tab/>
      </w:r>
      <w:r>
        <w:rPr>
          <w:noProof/>
        </w:rPr>
        <w:fldChar w:fldCharType="begin"/>
      </w:r>
      <w:r>
        <w:rPr>
          <w:noProof/>
        </w:rPr>
        <w:instrText xml:space="preserve"> PAGEREF _Toc445718829 \h </w:instrText>
      </w:r>
      <w:r>
        <w:rPr>
          <w:noProof/>
        </w:rPr>
      </w:r>
      <w:r>
        <w:rPr>
          <w:noProof/>
        </w:rPr>
        <w:fldChar w:fldCharType="separate"/>
      </w:r>
      <w:r>
        <w:rPr>
          <w:noProof/>
        </w:rPr>
        <w:t>92</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8 </w:t>
      </w:r>
      <w:r w:rsidRPr="00E7218C">
        <w:rPr>
          <w:noProof/>
        </w:rPr>
        <w:t>Velocity map between vertical fibres calculated with µPIV.</w:t>
      </w:r>
      <w:r>
        <w:rPr>
          <w:noProof/>
        </w:rPr>
        <w:tab/>
      </w:r>
      <w:r>
        <w:rPr>
          <w:noProof/>
        </w:rPr>
        <w:fldChar w:fldCharType="begin"/>
      </w:r>
      <w:r>
        <w:rPr>
          <w:noProof/>
        </w:rPr>
        <w:instrText xml:space="preserve"> PAGEREF _Toc445718830 \h </w:instrText>
      </w:r>
      <w:r>
        <w:rPr>
          <w:noProof/>
        </w:rPr>
      </w:r>
      <w:r>
        <w:rPr>
          <w:noProof/>
        </w:rPr>
        <w:fldChar w:fldCharType="separate"/>
      </w:r>
      <w:r>
        <w:rPr>
          <w:noProof/>
        </w:rPr>
        <w:t>93</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9 </w:t>
      </w:r>
      <w:r w:rsidRPr="00E7218C">
        <w:rPr>
          <w:noProof/>
        </w:rPr>
        <w:t>Velocity vectors from the 1</w:t>
      </w:r>
      <w:r w:rsidRPr="00E7218C">
        <w:rPr>
          <w:noProof/>
          <w:vertAlign w:val="superscript"/>
        </w:rPr>
        <w:t xml:space="preserve">st </w:t>
      </w:r>
      <w:r w:rsidRPr="00E7218C">
        <w:rPr>
          <w:noProof/>
        </w:rPr>
        <w:t>(a),</w:t>
      </w:r>
      <w:r w:rsidRPr="00E7218C">
        <w:rPr>
          <w:noProof/>
          <w:vertAlign w:val="superscript"/>
        </w:rPr>
        <w:t xml:space="preserve"> </w:t>
      </w:r>
      <w:r w:rsidRPr="00E7218C">
        <w:rPr>
          <w:noProof/>
        </w:rPr>
        <w:t>2</w:t>
      </w:r>
      <w:r w:rsidRPr="00E7218C">
        <w:rPr>
          <w:noProof/>
          <w:vertAlign w:val="superscript"/>
        </w:rPr>
        <w:t>nd</w:t>
      </w:r>
      <w:r w:rsidRPr="00E7218C">
        <w:rPr>
          <w:noProof/>
        </w:rPr>
        <w:t xml:space="preserve"> (b) and 3</w:t>
      </w:r>
      <w:r w:rsidRPr="00E7218C">
        <w:rPr>
          <w:noProof/>
          <w:vertAlign w:val="superscript"/>
        </w:rPr>
        <w:t>rd</w:t>
      </w:r>
      <w:r w:rsidRPr="00E7218C">
        <w:rPr>
          <w:noProof/>
        </w:rPr>
        <w:t xml:space="preserve"> (c) planes underneath the horizontal fibres calculated with µPIV.</w:t>
      </w:r>
      <w:r>
        <w:rPr>
          <w:noProof/>
        </w:rPr>
        <w:tab/>
      </w:r>
      <w:r>
        <w:rPr>
          <w:noProof/>
        </w:rPr>
        <w:fldChar w:fldCharType="begin"/>
      </w:r>
      <w:r>
        <w:rPr>
          <w:noProof/>
        </w:rPr>
        <w:instrText xml:space="preserve"> PAGEREF _Toc445718831 \h </w:instrText>
      </w:r>
      <w:r>
        <w:rPr>
          <w:noProof/>
        </w:rPr>
      </w:r>
      <w:r>
        <w:rPr>
          <w:noProof/>
        </w:rPr>
        <w:fldChar w:fldCharType="separate"/>
      </w:r>
      <w:r>
        <w:rPr>
          <w:noProof/>
        </w:rPr>
        <w:t>93</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10 </w:t>
      </w:r>
      <w:r w:rsidRPr="00E7218C">
        <w:rPr>
          <w:noProof/>
        </w:rPr>
        <w:t>Line 1 is where the velocity values were extracted in order to analyse the effect of the grid size imposed inside the scaffold on velocity values at the scaffold pores.</w:t>
      </w:r>
      <w:r>
        <w:rPr>
          <w:noProof/>
        </w:rPr>
        <w:tab/>
      </w:r>
      <w:r>
        <w:rPr>
          <w:noProof/>
        </w:rPr>
        <w:fldChar w:fldCharType="begin"/>
      </w:r>
      <w:r>
        <w:rPr>
          <w:noProof/>
        </w:rPr>
        <w:instrText xml:space="preserve"> PAGEREF _Toc445718832 \h </w:instrText>
      </w:r>
      <w:r>
        <w:rPr>
          <w:noProof/>
        </w:rPr>
      </w:r>
      <w:r>
        <w:rPr>
          <w:noProof/>
        </w:rPr>
        <w:fldChar w:fldCharType="separate"/>
      </w:r>
      <w:r>
        <w:rPr>
          <w:noProof/>
        </w:rPr>
        <w:t>94</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11 </w:t>
      </w:r>
      <w:r w:rsidRPr="00E7218C">
        <w:rPr>
          <w:noProof/>
        </w:rPr>
        <w:t>Velocity values extracted from line 1 shown in Figure 4</w:t>
      </w:r>
      <w:r w:rsidRPr="00E7218C">
        <w:rPr>
          <w:noProof/>
        </w:rPr>
        <w:noBreakHyphen/>
        <w:t>10 from three different meshes with imposed element size inside the scaffold of 30, 20 and 10 µm.</w:t>
      </w:r>
      <w:r>
        <w:rPr>
          <w:noProof/>
        </w:rPr>
        <w:tab/>
      </w:r>
      <w:r>
        <w:rPr>
          <w:noProof/>
        </w:rPr>
        <w:fldChar w:fldCharType="begin"/>
      </w:r>
      <w:r>
        <w:rPr>
          <w:noProof/>
        </w:rPr>
        <w:instrText xml:space="preserve"> PAGEREF _Toc445718833 \h </w:instrText>
      </w:r>
      <w:r>
        <w:rPr>
          <w:noProof/>
        </w:rPr>
      </w:r>
      <w:r>
        <w:rPr>
          <w:noProof/>
        </w:rPr>
        <w:fldChar w:fldCharType="separate"/>
      </w:r>
      <w:r>
        <w:rPr>
          <w:noProof/>
        </w:rPr>
        <w:t>95</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12 </w:t>
      </w:r>
      <w:r w:rsidRPr="00E7218C">
        <w:rPr>
          <w:noProof/>
        </w:rPr>
        <w:t>Line 2 is where the velocity values were extracted in order to analyse the effect of the maximum element size imposed outside the scaffold on the fluid velocities.</w:t>
      </w:r>
      <w:r>
        <w:rPr>
          <w:noProof/>
        </w:rPr>
        <w:tab/>
      </w:r>
      <w:r>
        <w:rPr>
          <w:noProof/>
        </w:rPr>
        <w:fldChar w:fldCharType="begin"/>
      </w:r>
      <w:r>
        <w:rPr>
          <w:noProof/>
        </w:rPr>
        <w:instrText xml:space="preserve"> PAGEREF _Toc445718834 \h </w:instrText>
      </w:r>
      <w:r>
        <w:rPr>
          <w:noProof/>
        </w:rPr>
      </w:r>
      <w:r>
        <w:rPr>
          <w:noProof/>
        </w:rPr>
        <w:fldChar w:fldCharType="separate"/>
      </w:r>
      <w:r>
        <w:rPr>
          <w:noProof/>
        </w:rPr>
        <w:t>95</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13 </w:t>
      </w:r>
      <w:r w:rsidRPr="00E7218C">
        <w:rPr>
          <w:noProof/>
        </w:rPr>
        <w:t>Velocity values extracted from the line 1 from three different meshes with element sizes outside the scaffold of 1, 0.1 and 0.05 mm.</w:t>
      </w:r>
      <w:r>
        <w:rPr>
          <w:noProof/>
        </w:rPr>
        <w:tab/>
      </w:r>
      <w:r>
        <w:rPr>
          <w:noProof/>
        </w:rPr>
        <w:fldChar w:fldCharType="begin"/>
      </w:r>
      <w:r>
        <w:rPr>
          <w:noProof/>
        </w:rPr>
        <w:instrText xml:space="preserve"> PAGEREF _Toc445718835 \h </w:instrText>
      </w:r>
      <w:r>
        <w:rPr>
          <w:noProof/>
        </w:rPr>
      </w:r>
      <w:r>
        <w:rPr>
          <w:noProof/>
        </w:rPr>
        <w:fldChar w:fldCharType="separate"/>
      </w:r>
      <w:r>
        <w:rPr>
          <w:noProof/>
        </w:rPr>
        <w:t>96</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14 </w:t>
      </w:r>
      <w:r w:rsidRPr="00E7218C">
        <w:rPr>
          <w:noProof/>
        </w:rPr>
        <w:t xml:space="preserve">Velocity values extracted from the centreline of the channel that goes from the inlet (0 mm) to the outlet (40 mm) passing through the scaffold (19-21 mm) </w:t>
      </w:r>
      <w:r w:rsidRPr="00E7218C">
        <w:rPr>
          <w:noProof/>
        </w:rPr>
        <w:lastRenderedPageBreak/>
        <w:t>from three different meshes with element sizes outside the scaffold of 1, 0.1 and 0.05 mm.</w:t>
      </w:r>
      <w:r>
        <w:rPr>
          <w:noProof/>
        </w:rPr>
        <w:tab/>
      </w:r>
      <w:r>
        <w:rPr>
          <w:noProof/>
        </w:rPr>
        <w:fldChar w:fldCharType="begin"/>
      </w:r>
      <w:r>
        <w:rPr>
          <w:noProof/>
        </w:rPr>
        <w:instrText xml:space="preserve"> PAGEREF _Toc445718836 \h </w:instrText>
      </w:r>
      <w:r>
        <w:rPr>
          <w:noProof/>
        </w:rPr>
      </w:r>
      <w:r>
        <w:rPr>
          <w:noProof/>
        </w:rPr>
        <w:fldChar w:fldCharType="separate"/>
      </w:r>
      <w:r>
        <w:rPr>
          <w:noProof/>
        </w:rPr>
        <w:t>97</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15 </w:t>
      </w:r>
      <w:r w:rsidRPr="00E7218C">
        <w:rPr>
          <w:noProof/>
        </w:rPr>
        <w:t>CPU and wall-clock time required to solve the CFD model depending on the number of partitions.</w:t>
      </w:r>
      <w:r>
        <w:rPr>
          <w:noProof/>
        </w:rPr>
        <w:tab/>
      </w:r>
      <w:r>
        <w:rPr>
          <w:noProof/>
        </w:rPr>
        <w:fldChar w:fldCharType="begin"/>
      </w:r>
      <w:r>
        <w:rPr>
          <w:noProof/>
        </w:rPr>
        <w:instrText xml:space="preserve"> PAGEREF _Toc445718837 \h </w:instrText>
      </w:r>
      <w:r>
        <w:rPr>
          <w:noProof/>
        </w:rPr>
      </w:r>
      <w:r>
        <w:rPr>
          <w:noProof/>
        </w:rPr>
        <w:fldChar w:fldCharType="separate"/>
      </w:r>
      <w:r>
        <w:rPr>
          <w:noProof/>
        </w:rPr>
        <w:t>97</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16 </w:t>
      </w:r>
      <w:r w:rsidRPr="00E7218C">
        <w:rPr>
          <w:noProof/>
        </w:rPr>
        <w:t>Velocity vectors from a plane inside a pore between the vertical fibres calculated using µPIV (right) and CFD (left) methods. The pink dotted line shows where the velocity values were extracted to compare both techniques numerically.</w:t>
      </w:r>
      <w:r>
        <w:rPr>
          <w:noProof/>
        </w:rPr>
        <w:tab/>
      </w:r>
      <w:r>
        <w:rPr>
          <w:noProof/>
        </w:rPr>
        <w:fldChar w:fldCharType="begin"/>
      </w:r>
      <w:r>
        <w:rPr>
          <w:noProof/>
        </w:rPr>
        <w:instrText xml:space="preserve"> PAGEREF _Toc445718838 \h </w:instrText>
      </w:r>
      <w:r>
        <w:rPr>
          <w:noProof/>
        </w:rPr>
      </w:r>
      <w:r>
        <w:rPr>
          <w:noProof/>
        </w:rPr>
        <w:fldChar w:fldCharType="separate"/>
      </w:r>
      <w:r>
        <w:rPr>
          <w:noProof/>
        </w:rPr>
        <w:t>98</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17 </w:t>
      </w:r>
      <w:r w:rsidRPr="00E7218C">
        <w:rPr>
          <w:noProof/>
        </w:rPr>
        <w:t>The blue and red lines represent the velocity values extracted from the profiles shown in Figure 4</w:t>
      </w:r>
      <w:r w:rsidRPr="00E7218C">
        <w:rPr>
          <w:noProof/>
        </w:rPr>
        <w:noBreakHyphen/>
        <w:t>16 for the µPIV and CFD respectively.</w:t>
      </w:r>
      <w:r>
        <w:rPr>
          <w:noProof/>
        </w:rPr>
        <w:tab/>
      </w:r>
      <w:r>
        <w:rPr>
          <w:noProof/>
        </w:rPr>
        <w:fldChar w:fldCharType="begin"/>
      </w:r>
      <w:r>
        <w:rPr>
          <w:noProof/>
        </w:rPr>
        <w:instrText xml:space="preserve"> PAGEREF _Toc445718839 \h </w:instrText>
      </w:r>
      <w:r>
        <w:rPr>
          <w:noProof/>
        </w:rPr>
      </w:r>
      <w:r>
        <w:rPr>
          <w:noProof/>
        </w:rPr>
        <w:fldChar w:fldCharType="separate"/>
      </w:r>
      <w:r>
        <w:rPr>
          <w:noProof/>
        </w:rPr>
        <w:t>99</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18 </w:t>
      </w:r>
      <w:r w:rsidRPr="00E7218C">
        <w:rPr>
          <w:noProof/>
        </w:rPr>
        <w:t>Velocity vectors from a focus plane underneath the horizontal fibre calculated using µPIV (right) and CFD (left) methods. The pink dotted lines shows where the velocity values were extracted to compare both techniques numerically.</w:t>
      </w:r>
      <w:r>
        <w:rPr>
          <w:noProof/>
        </w:rPr>
        <w:tab/>
      </w:r>
      <w:r>
        <w:rPr>
          <w:noProof/>
        </w:rPr>
        <w:fldChar w:fldCharType="begin"/>
      </w:r>
      <w:r>
        <w:rPr>
          <w:noProof/>
        </w:rPr>
        <w:instrText xml:space="preserve"> PAGEREF _Toc445718840 \h </w:instrText>
      </w:r>
      <w:r>
        <w:rPr>
          <w:noProof/>
        </w:rPr>
      </w:r>
      <w:r>
        <w:rPr>
          <w:noProof/>
        </w:rPr>
        <w:fldChar w:fldCharType="separate"/>
      </w:r>
      <w:r>
        <w:rPr>
          <w:noProof/>
        </w:rPr>
        <w:t>100</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19 </w:t>
      </w:r>
      <w:r w:rsidRPr="00E7218C">
        <w:rPr>
          <w:noProof/>
        </w:rPr>
        <w:t>The blue and red lines represent the velocity values extracted from the profiles shown in Figure 18 for the µPIV and CFD respectively.</w:t>
      </w:r>
      <w:r>
        <w:rPr>
          <w:noProof/>
        </w:rPr>
        <w:tab/>
      </w:r>
      <w:r>
        <w:rPr>
          <w:noProof/>
        </w:rPr>
        <w:fldChar w:fldCharType="begin"/>
      </w:r>
      <w:r>
        <w:rPr>
          <w:noProof/>
        </w:rPr>
        <w:instrText xml:space="preserve"> PAGEREF _Toc445718841 \h </w:instrText>
      </w:r>
      <w:r>
        <w:rPr>
          <w:noProof/>
        </w:rPr>
      </w:r>
      <w:r>
        <w:rPr>
          <w:noProof/>
        </w:rPr>
        <w:fldChar w:fldCharType="separate"/>
      </w:r>
      <w:r>
        <w:rPr>
          <w:noProof/>
        </w:rPr>
        <w:t>100</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20 </w:t>
      </w:r>
      <w:r w:rsidRPr="00E7218C">
        <w:rPr>
          <w:noProof/>
        </w:rPr>
        <w:t>Velocity vectors from a focus plane underneath the horizontal fibre calculated using µPIV (right) and CFD (left) methods. The pink dotted lines shows where the velocity values were extracted to compare both techniques numerically.</w:t>
      </w:r>
      <w:r>
        <w:rPr>
          <w:noProof/>
        </w:rPr>
        <w:tab/>
      </w:r>
      <w:r>
        <w:rPr>
          <w:noProof/>
        </w:rPr>
        <w:fldChar w:fldCharType="begin"/>
      </w:r>
      <w:r>
        <w:rPr>
          <w:noProof/>
        </w:rPr>
        <w:instrText xml:space="preserve"> PAGEREF _Toc445718842 \h </w:instrText>
      </w:r>
      <w:r>
        <w:rPr>
          <w:noProof/>
        </w:rPr>
      </w:r>
      <w:r>
        <w:rPr>
          <w:noProof/>
        </w:rPr>
        <w:fldChar w:fldCharType="separate"/>
      </w:r>
      <w:r>
        <w:rPr>
          <w:noProof/>
        </w:rPr>
        <w:t>101</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21 </w:t>
      </w:r>
      <w:r w:rsidRPr="00E7218C">
        <w:rPr>
          <w:noProof/>
        </w:rPr>
        <w:t>The blue and red lines represent the velocity values extracted from the profiles shown in Figure 20 for the µPIV and CFD respectively.</w:t>
      </w:r>
      <w:r>
        <w:rPr>
          <w:noProof/>
        </w:rPr>
        <w:tab/>
      </w:r>
      <w:r>
        <w:rPr>
          <w:noProof/>
        </w:rPr>
        <w:fldChar w:fldCharType="begin"/>
      </w:r>
      <w:r>
        <w:rPr>
          <w:noProof/>
        </w:rPr>
        <w:instrText xml:space="preserve"> PAGEREF _Toc445718843 \h </w:instrText>
      </w:r>
      <w:r>
        <w:rPr>
          <w:noProof/>
        </w:rPr>
      </w:r>
      <w:r>
        <w:rPr>
          <w:noProof/>
        </w:rPr>
        <w:fldChar w:fldCharType="separate"/>
      </w:r>
      <w:r>
        <w:rPr>
          <w:noProof/>
        </w:rPr>
        <w:t>101</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22 </w:t>
      </w:r>
      <w:r w:rsidRPr="00E7218C">
        <w:rPr>
          <w:noProof/>
        </w:rPr>
        <w:t>1) Cells approach to the horizontal fibre. 2) Cells travel towards the centre of the pore in the middle of the two vertical fibres. 3) Cells are in the centre of the pore and start deviating either towards the next left or right pore (4).</w:t>
      </w:r>
      <w:r>
        <w:rPr>
          <w:noProof/>
        </w:rPr>
        <w:tab/>
      </w:r>
      <w:r>
        <w:rPr>
          <w:noProof/>
        </w:rPr>
        <w:fldChar w:fldCharType="begin"/>
      </w:r>
      <w:r>
        <w:rPr>
          <w:noProof/>
        </w:rPr>
        <w:instrText xml:space="preserve"> PAGEREF _Toc445718844 \h </w:instrText>
      </w:r>
      <w:r>
        <w:rPr>
          <w:noProof/>
        </w:rPr>
      </w:r>
      <w:r>
        <w:rPr>
          <w:noProof/>
        </w:rPr>
        <w:fldChar w:fldCharType="separate"/>
      </w:r>
      <w:r>
        <w:rPr>
          <w:noProof/>
        </w:rPr>
        <w:t>102</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23 </w:t>
      </w:r>
      <w:r w:rsidRPr="00E7218C">
        <w:rPr>
          <w:noProof/>
        </w:rPr>
        <w:t>Wall clock time to solve the CFD model depending on the number of partitions.</w:t>
      </w:r>
      <w:r>
        <w:rPr>
          <w:noProof/>
        </w:rPr>
        <w:tab/>
      </w:r>
      <w:r>
        <w:rPr>
          <w:noProof/>
        </w:rPr>
        <w:fldChar w:fldCharType="begin"/>
      </w:r>
      <w:r>
        <w:rPr>
          <w:noProof/>
        </w:rPr>
        <w:instrText xml:space="preserve"> PAGEREF _Toc445718845 \h </w:instrText>
      </w:r>
      <w:r>
        <w:rPr>
          <w:noProof/>
        </w:rPr>
      </w:r>
      <w:r>
        <w:rPr>
          <w:noProof/>
        </w:rPr>
        <w:fldChar w:fldCharType="separate"/>
      </w:r>
      <w:r>
        <w:rPr>
          <w:noProof/>
        </w:rPr>
        <w:t>104</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4</w:t>
      </w:r>
      <w:r>
        <w:rPr>
          <w:noProof/>
        </w:rPr>
        <w:noBreakHyphen/>
        <w:t xml:space="preserve">24 </w:t>
      </w:r>
      <w:r w:rsidRPr="00E7218C">
        <w:rPr>
          <w:noProof/>
        </w:rPr>
        <w:t>CPU time required to solve the CFD model depending on the number of partitions.</w:t>
      </w:r>
      <w:r>
        <w:rPr>
          <w:noProof/>
        </w:rPr>
        <w:tab/>
      </w:r>
      <w:r>
        <w:rPr>
          <w:noProof/>
        </w:rPr>
        <w:fldChar w:fldCharType="begin"/>
      </w:r>
      <w:r>
        <w:rPr>
          <w:noProof/>
        </w:rPr>
        <w:instrText xml:space="preserve"> PAGEREF _Toc445718846 \h </w:instrText>
      </w:r>
      <w:r>
        <w:rPr>
          <w:noProof/>
        </w:rPr>
      </w:r>
      <w:r>
        <w:rPr>
          <w:noProof/>
        </w:rPr>
        <w:fldChar w:fldCharType="separate"/>
      </w:r>
      <w:r>
        <w:rPr>
          <w:noProof/>
        </w:rPr>
        <w:t>104</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lastRenderedPageBreak/>
        <w:t>Figure 4</w:t>
      </w:r>
      <w:r>
        <w:rPr>
          <w:noProof/>
        </w:rPr>
        <w:noBreakHyphen/>
        <w:t xml:space="preserve">25 </w:t>
      </w:r>
      <w:r w:rsidRPr="00E7218C">
        <w:rPr>
          <w:noProof/>
        </w:rPr>
        <w:t>Cell motion and velocity in two scaffold regions (1) and (2) using PTV (a) and CFD (b) methods.</w:t>
      </w:r>
      <w:r>
        <w:rPr>
          <w:noProof/>
        </w:rPr>
        <w:tab/>
      </w:r>
      <w:r>
        <w:rPr>
          <w:noProof/>
        </w:rPr>
        <w:fldChar w:fldCharType="begin"/>
      </w:r>
      <w:r>
        <w:rPr>
          <w:noProof/>
        </w:rPr>
        <w:instrText xml:space="preserve"> PAGEREF _Toc445718847 \h </w:instrText>
      </w:r>
      <w:r>
        <w:rPr>
          <w:noProof/>
        </w:rPr>
      </w:r>
      <w:r>
        <w:rPr>
          <w:noProof/>
        </w:rPr>
        <w:fldChar w:fldCharType="separate"/>
      </w:r>
      <w:r>
        <w:rPr>
          <w:noProof/>
        </w:rPr>
        <w:t>105</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1 </w:t>
      </w:r>
      <w:r w:rsidRPr="00E7218C">
        <w:rPr>
          <w:noProof/>
        </w:rPr>
        <w:t>CAD model design specifications.</w:t>
      </w:r>
      <w:r>
        <w:rPr>
          <w:noProof/>
        </w:rPr>
        <w:tab/>
      </w:r>
      <w:r>
        <w:rPr>
          <w:noProof/>
        </w:rPr>
        <w:fldChar w:fldCharType="begin"/>
      </w:r>
      <w:r>
        <w:rPr>
          <w:noProof/>
        </w:rPr>
        <w:instrText xml:space="preserve"> PAGEREF _Toc445718848 \h </w:instrText>
      </w:r>
      <w:r>
        <w:rPr>
          <w:noProof/>
        </w:rPr>
      </w:r>
      <w:r>
        <w:rPr>
          <w:noProof/>
        </w:rPr>
        <w:fldChar w:fldCharType="separate"/>
      </w:r>
      <w:r>
        <w:rPr>
          <w:noProof/>
        </w:rPr>
        <w:t>118</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2 </w:t>
      </w:r>
      <w:r w:rsidRPr="00E7218C">
        <w:rPr>
          <w:noProof/>
        </w:rPr>
        <w:t>CAD model of the microfluic chamber used for the in vitro cell seeding experiments.</w:t>
      </w:r>
      <w:r>
        <w:rPr>
          <w:noProof/>
        </w:rPr>
        <w:tab/>
      </w:r>
      <w:r>
        <w:rPr>
          <w:noProof/>
        </w:rPr>
        <w:fldChar w:fldCharType="begin"/>
      </w:r>
      <w:r>
        <w:rPr>
          <w:noProof/>
        </w:rPr>
        <w:instrText xml:space="preserve"> PAGEREF _Toc445718849 \h </w:instrText>
      </w:r>
      <w:r>
        <w:rPr>
          <w:noProof/>
        </w:rPr>
      </w:r>
      <w:r>
        <w:rPr>
          <w:noProof/>
        </w:rPr>
        <w:fldChar w:fldCharType="separate"/>
      </w:r>
      <w:r>
        <w:rPr>
          <w:noProof/>
        </w:rPr>
        <w:t>119</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3 </w:t>
      </w:r>
      <w:r w:rsidRPr="00E7218C">
        <w:rPr>
          <w:noProof/>
        </w:rPr>
        <w:t>Scaffold geometry reconstructed using µCT data.</w:t>
      </w:r>
      <w:r>
        <w:rPr>
          <w:noProof/>
        </w:rPr>
        <w:tab/>
      </w:r>
      <w:r>
        <w:rPr>
          <w:noProof/>
        </w:rPr>
        <w:fldChar w:fldCharType="begin"/>
      </w:r>
      <w:r>
        <w:rPr>
          <w:noProof/>
        </w:rPr>
        <w:instrText xml:space="preserve"> PAGEREF _Toc445718850 \h </w:instrText>
      </w:r>
      <w:r>
        <w:rPr>
          <w:noProof/>
        </w:rPr>
      </w:r>
      <w:r>
        <w:rPr>
          <w:noProof/>
        </w:rPr>
        <w:fldChar w:fldCharType="separate"/>
      </w:r>
      <w:r>
        <w:rPr>
          <w:noProof/>
        </w:rPr>
        <w:t>119</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4 </w:t>
      </w:r>
      <w:r w:rsidRPr="00E7218C">
        <w:rPr>
          <w:noProof/>
        </w:rPr>
        <w:t>The three regions of interest where the mesh element size can have a different impact due to the geometry.</w:t>
      </w:r>
      <w:r>
        <w:rPr>
          <w:noProof/>
        </w:rPr>
        <w:tab/>
      </w:r>
      <w:r>
        <w:rPr>
          <w:noProof/>
        </w:rPr>
        <w:fldChar w:fldCharType="begin"/>
      </w:r>
      <w:r>
        <w:rPr>
          <w:noProof/>
        </w:rPr>
        <w:instrText xml:space="preserve"> PAGEREF _Toc445718851 \h </w:instrText>
      </w:r>
      <w:r>
        <w:rPr>
          <w:noProof/>
        </w:rPr>
      </w:r>
      <w:r>
        <w:rPr>
          <w:noProof/>
        </w:rPr>
        <w:fldChar w:fldCharType="separate"/>
      </w:r>
      <w:r>
        <w:rPr>
          <w:noProof/>
        </w:rPr>
        <w:t>121</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5 </w:t>
      </w:r>
      <w:r w:rsidRPr="00E7218C">
        <w:rPr>
          <w:noProof/>
        </w:rPr>
        <w:t>Boundary conditions of the CFD model. In the dynamic seeding cells are injected at the inlet whereas in the static seeding they are injected from the green surface on top of the chamber where the scaffold is located. The fluid velocity is imposed at the inlet and outlet boundaries with a UDF to alternate the direction of the flow in the dynamic seeding.</w:t>
      </w:r>
      <w:r>
        <w:rPr>
          <w:noProof/>
        </w:rPr>
        <w:tab/>
      </w:r>
      <w:r>
        <w:rPr>
          <w:noProof/>
        </w:rPr>
        <w:fldChar w:fldCharType="begin"/>
      </w:r>
      <w:r>
        <w:rPr>
          <w:noProof/>
        </w:rPr>
        <w:instrText xml:space="preserve"> PAGEREF _Toc445718852 \h </w:instrText>
      </w:r>
      <w:r>
        <w:rPr>
          <w:noProof/>
        </w:rPr>
      </w:r>
      <w:r>
        <w:rPr>
          <w:noProof/>
        </w:rPr>
        <w:fldChar w:fldCharType="separate"/>
      </w:r>
      <w:r>
        <w:rPr>
          <w:noProof/>
        </w:rPr>
        <w:t>123</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6 </w:t>
      </w:r>
      <w:r w:rsidRPr="00E7218C">
        <w:rPr>
          <w:noProof/>
        </w:rPr>
        <w:t>Lines 1 and 2 where velocity values were extracted to analyse the effect of different mesh element sizes inside region 1.</w:t>
      </w:r>
      <w:r>
        <w:rPr>
          <w:noProof/>
        </w:rPr>
        <w:tab/>
      </w:r>
      <w:r>
        <w:rPr>
          <w:noProof/>
        </w:rPr>
        <w:fldChar w:fldCharType="begin"/>
      </w:r>
      <w:r>
        <w:rPr>
          <w:noProof/>
        </w:rPr>
        <w:instrText xml:space="preserve"> PAGEREF _Toc445718853 \h </w:instrText>
      </w:r>
      <w:r>
        <w:rPr>
          <w:noProof/>
        </w:rPr>
      </w:r>
      <w:r>
        <w:rPr>
          <w:noProof/>
        </w:rPr>
        <w:fldChar w:fldCharType="separate"/>
      </w:r>
      <w:r>
        <w:rPr>
          <w:noProof/>
        </w:rPr>
        <w:t>126</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7 </w:t>
      </w:r>
      <w:r w:rsidRPr="00E7218C">
        <w:rPr>
          <w:noProof/>
        </w:rPr>
        <w:t>Line 3 where velocity values were extracted to analyse the effect of different mesh element sizes inside region 1.</w:t>
      </w:r>
      <w:r>
        <w:rPr>
          <w:noProof/>
        </w:rPr>
        <w:tab/>
      </w:r>
      <w:r>
        <w:rPr>
          <w:noProof/>
        </w:rPr>
        <w:fldChar w:fldCharType="begin"/>
      </w:r>
      <w:r>
        <w:rPr>
          <w:noProof/>
        </w:rPr>
        <w:instrText xml:space="preserve"> PAGEREF _Toc445718854 \h </w:instrText>
      </w:r>
      <w:r>
        <w:rPr>
          <w:noProof/>
        </w:rPr>
      </w:r>
      <w:r>
        <w:rPr>
          <w:noProof/>
        </w:rPr>
        <w:fldChar w:fldCharType="separate"/>
      </w:r>
      <w:r>
        <w:rPr>
          <w:noProof/>
        </w:rPr>
        <w:t>126</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8 </w:t>
      </w:r>
      <w:r w:rsidRPr="00E7218C">
        <w:rPr>
          <w:noProof/>
        </w:rPr>
        <w:t>Velocity values from line 1 shown in Figure 5</w:t>
      </w:r>
      <w:r w:rsidRPr="00E7218C">
        <w:rPr>
          <w:noProof/>
        </w:rPr>
        <w:noBreakHyphen/>
        <w:t>6 for the six meshes analysed.</w:t>
      </w:r>
      <w:r>
        <w:rPr>
          <w:noProof/>
        </w:rPr>
        <w:tab/>
      </w:r>
      <w:r>
        <w:rPr>
          <w:noProof/>
        </w:rPr>
        <w:fldChar w:fldCharType="begin"/>
      </w:r>
      <w:r>
        <w:rPr>
          <w:noProof/>
        </w:rPr>
        <w:instrText xml:space="preserve"> PAGEREF _Toc445718855 \h </w:instrText>
      </w:r>
      <w:r>
        <w:rPr>
          <w:noProof/>
        </w:rPr>
      </w:r>
      <w:r>
        <w:rPr>
          <w:noProof/>
        </w:rPr>
        <w:fldChar w:fldCharType="separate"/>
      </w:r>
      <w:r>
        <w:rPr>
          <w:noProof/>
        </w:rPr>
        <w:t>127</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9 </w:t>
      </w:r>
      <w:r w:rsidRPr="00E7218C">
        <w:rPr>
          <w:noProof/>
        </w:rPr>
        <w:t>Velocity values from line 2 shown in Figure 5</w:t>
      </w:r>
      <w:r w:rsidRPr="00E7218C">
        <w:rPr>
          <w:noProof/>
        </w:rPr>
        <w:noBreakHyphen/>
        <w:t>6 for the six meshes analysed.</w:t>
      </w:r>
      <w:r>
        <w:rPr>
          <w:noProof/>
        </w:rPr>
        <w:tab/>
      </w:r>
      <w:r>
        <w:rPr>
          <w:noProof/>
        </w:rPr>
        <w:fldChar w:fldCharType="begin"/>
      </w:r>
      <w:r>
        <w:rPr>
          <w:noProof/>
        </w:rPr>
        <w:instrText xml:space="preserve"> PAGEREF _Toc445718856 \h </w:instrText>
      </w:r>
      <w:r>
        <w:rPr>
          <w:noProof/>
        </w:rPr>
      </w:r>
      <w:r>
        <w:rPr>
          <w:noProof/>
        </w:rPr>
        <w:fldChar w:fldCharType="separate"/>
      </w:r>
      <w:r>
        <w:rPr>
          <w:noProof/>
        </w:rPr>
        <w:t>127</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10 </w:t>
      </w:r>
      <w:r w:rsidRPr="00E7218C">
        <w:rPr>
          <w:noProof/>
        </w:rPr>
        <w:t>Velocity values from line 3 shown in Figure 5</w:t>
      </w:r>
      <w:r w:rsidRPr="00E7218C">
        <w:rPr>
          <w:noProof/>
        </w:rPr>
        <w:noBreakHyphen/>
        <w:t>7 for the six meshes analysed.</w:t>
      </w:r>
      <w:r>
        <w:rPr>
          <w:noProof/>
        </w:rPr>
        <w:tab/>
      </w:r>
      <w:r>
        <w:rPr>
          <w:noProof/>
        </w:rPr>
        <w:fldChar w:fldCharType="begin"/>
      </w:r>
      <w:r>
        <w:rPr>
          <w:noProof/>
        </w:rPr>
        <w:instrText xml:space="preserve"> PAGEREF _Toc445718857 \h </w:instrText>
      </w:r>
      <w:r>
        <w:rPr>
          <w:noProof/>
        </w:rPr>
      </w:r>
      <w:r>
        <w:rPr>
          <w:noProof/>
        </w:rPr>
        <w:fldChar w:fldCharType="separate"/>
      </w:r>
      <w:r>
        <w:rPr>
          <w:noProof/>
        </w:rPr>
        <w:t>128</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11 </w:t>
      </w:r>
      <w:r w:rsidRPr="00E7218C">
        <w:rPr>
          <w:noProof/>
        </w:rPr>
        <w:t>Lines 1, 2 and 3 where velocity values were extracted to analyse the effect of different mesh element sizes in region 2.</w:t>
      </w:r>
      <w:r>
        <w:rPr>
          <w:noProof/>
        </w:rPr>
        <w:tab/>
      </w:r>
      <w:r>
        <w:rPr>
          <w:noProof/>
        </w:rPr>
        <w:fldChar w:fldCharType="begin"/>
      </w:r>
      <w:r>
        <w:rPr>
          <w:noProof/>
        </w:rPr>
        <w:instrText xml:space="preserve"> PAGEREF _Toc445718858 \h </w:instrText>
      </w:r>
      <w:r>
        <w:rPr>
          <w:noProof/>
        </w:rPr>
      </w:r>
      <w:r>
        <w:rPr>
          <w:noProof/>
        </w:rPr>
        <w:fldChar w:fldCharType="separate"/>
      </w:r>
      <w:r>
        <w:rPr>
          <w:noProof/>
        </w:rPr>
        <w:t>128</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12 </w:t>
      </w:r>
      <w:r w:rsidRPr="00E7218C">
        <w:rPr>
          <w:noProof/>
        </w:rPr>
        <w:t>Velocity values from line 1 shown in Figure 5</w:t>
      </w:r>
      <w:r w:rsidRPr="00E7218C">
        <w:rPr>
          <w:noProof/>
        </w:rPr>
        <w:noBreakHyphen/>
        <w:t>11 for the six meshes analysed.</w:t>
      </w:r>
      <w:r>
        <w:rPr>
          <w:noProof/>
        </w:rPr>
        <w:tab/>
      </w:r>
      <w:r>
        <w:rPr>
          <w:noProof/>
        </w:rPr>
        <w:fldChar w:fldCharType="begin"/>
      </w:r>
      <w:r>
        <w:rPr>
          <w:noProof/>
        </w:rPr>
        <w:instrText xml:space="preserve"> PAGEREF _Toc445718859 \h </w:instrText>
      </w:r>
      <w:r>
        <w:rPr>
          <w:noProof/>
        </w:rPr>
      </w:r>
      <w:r>
        <w:rPr>
          <w:noProof/>
        </w:rPr>
        <w:fldChar w:fldCharType="separate"/>
      </w:r>
      <w:r>
        <w:rPr>
          <w:noProof/>
        </w:rPr>
        <w:t>129</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13 </w:t>
      </w:r>
      <w:r w:rsidRPr="00E7218C">
        <w:rPr>
          <w:noProof/>
        </w:rPr>
        <w:t>Velocity values from line 2 shown in Figure 5</w:t>
      </w:r>
      <w:r w:rsidRPr="00E7218C">
        <w:rPr>
          <w:noProof/>
        </w:rPr>
        <w:noBreakHyphen/>
        <w:t>11 for the six meshes analysed.</w:t>
      </w:r>
      <w:r>
        <w:rPr>
          <w:noProof/>
        </w:rPr>
        <w:tab/>
      </w:r>
      <w:r>
        <w:rPr>
          <w:noProof/>
        </w:rPr>
        <w:fldChar w:fldCharType="begin"/>
      </w:r>
      <w:r>
        <w:rPr>
          <w:noProof/>
        </w:rPr>
        <w:instrText xml:space="preserve"> PAGEREF _Toc445718860 \h </w:instrText>
      </w:r>
      <w:r>
        <w:rPr>
          <w:noProof/>
        </w:rPr>
      </w:r>
      <w:r>
        <w:rPr>
          <w:noProof/>
        </w:rPr>
        <w:fldChar w:fldCharType="separate"/>
      </w:r>
      <w:r>
        <w:rPr>
          <w:noProof/>
        </w:rPr>
        <w:t>129</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lastRenderedPageBreak/>
        <w:t>Figure 5</w:t>
      </w:r>
      <w:r>
        <w:rPr>
          <w:noProof/>
        </w:rPr>
        <w:noBreakHyphen/>
        <w:t xml:space="preserve">14 </w:t>
      </w:r>
      <w:r w:rsidRPr="00E7218C">
        <w:rPr>
          <w:noProof/>
        </w:rPr>
        <w:t>Velocity values from line 3 shown Figure 5</w:t>
      </w:r>
      <w:r w:rsidRPr="00E7218C">
        <w:rPr>
          <w:noProof/>
        </w:rPr>
        <w:noBreakHyphen/>
        <w:t>11 for the six meshes analysed.</w:t>
      </w:r>
      <w:r>
        <w:rPr>
          <w:noProof/>
        </w:rPr>
        <w:tab/>
      </w:r>
      <w:r>
        <w:rPr>
          <w:noProof/>
        </w:rPr>
        <w:fldChar w:fldCharType="begin"/>
      </w:r>
      <w:r>
        <w:rPr>
          <w:noProof/>
        </w:rPr>
        <w:instrText xml:space="preserve"> PAGEREF _Toc445718861 \h </w:instrText>
      </w:r>
      <w:r>
        <w:rPr>
          <w:noProof/>
        </w:rPr>
      </w:r>
      <w:r>
        <w:rPr>
          <w:noProof/>
        </w:rPr>
        <w:fldChar w:fldCharType="separate"/>
      </w:r>
      <w:r>
        <w:rPr>
          <w:noProof/>
        </w:rPr>
        <w:t>130</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15 </w:t>
      </w:r>
      <w:r w:rsidRPr="00E7218C">
        <w:rPr>
          <w:noProof/>
        </w:rPr>
        <w:t>Lines 1 and 2 where velocity values were extracted to analyse the effect of different mesh element sizes inside region 3.</w:t>
      </w:r>
      <w:r>
        <w:rPr>
          <w:noProof/>
        </w:rPr>
        <w:tab/>
      </w:r>
      <w:r>
        <w:rPr>
          <w:noProof/>
        </w:rPr>
        <w:fldChar w:fldCharType="begin"/>
      </w:r>
      <w:r>
        <w:rPr>
          <w:noProof/>
        </w:rPr>
        <w:instrText xml:space="preserve"> PAGEREF _Toc445718862 \h </w:instrText>
      </w:r>
      <w:r>
        <w:rPr>
          <w:noProof/>
        </w:rPr>
      </w:r>
      <w:r>
        <w:rPr>
          <w:noProof/>
        </w:rPr>
        <w:fldChar w:fldCharType="separate"/>
      </w:r>
      <w:r>
        <w:rPr>
          <w:noProof/>
        </w:rPr>
        <w:t>130</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16 </w:t>
      </w:r>
      <w:r w:rsidRPr="00E7218C">
        <w:rPr>
          <w:noProof/>
        </w:rPr>
        <w:t>Velocity values from line 1 shown in Figure 5</w:t>
      </w:r>
      <w:r w:rsidRPr="00E7218C">
        <w:rPr>
          <w:noProof/>
        </w:rPr>
        <w:noBreakHyphen/>
        <w:t>15 for the six meshes analysed.</w:t>
      </w:r>
      <w:r>
        <w:rPr>
          <w:noProof/>
        </w:rPr>
        <w:tab/>
      </w:r>
      <w:r>
        <w:rPr>
          <w:noProof/>
        </w:rPr>
        <w:fldChar w:fldCharType="begin"/>
      </w:r>
      <w:r>
        <w:rPr>
          <w:noProof/>
        </w:rPr>
        <w:instrText xml:space="preserve"> PAGEREF _Toc445718863 \h </w:instrText>
      </w:r>
      <w:r>
        <w:rPr>
          <w:noProof/>
        </w:rPr>
      </w:r>
      <w:r>
        <w:rPr>
          <w:noProof/>
        </w:rPr>
        <w:fldChar w:fldCharType="separate"/>
      </w:r>
      <w:r>
        <w:rPr>
          <w:noProof/>
        </w:rPr>
        <w:t>131</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17 </w:t>
      </w:r>
      <w:r w:rsidRPr="00E7218C">
        <w:rPr>
          <w:noProof/>
        </w:rPr>
        <w:t>Velocity values from line 2 shown in Figure 4</w:t>
      </w:r>
      <w:r w:rsidRPr="00E7218C">
        <w:rPr>
          <w:noProof/>
        </w:rPr>
        <w:noBreakHyphen/>
        <w:t>15 for the six meshes analysed.</w:t>
      </w:r>
      <w:r>
        <w:rPr>
          <w:noProof/>
        </w:rPr>
        <w:tab/>
      </w:r>
      <w:r>
        <w:rPr>
          <w:noProof/>
        </w:rPr>
        <w:fldChar w:fldCharType="begin"/>
      </w:r>
      <w:r>
        <w:rPr>
          <w:noProof/>
        </w:rPr>
        <w:instrText xml:space="preserve"> PAGEREF _Toc445718864 \h </w:instrText>
      </w:r>
      <w:r>
        <w:rPr>
          <w:noProof/>
        </w:rPr>
      </w:r>
      <w:r>
        <w:rPr>
          <w:noProof/>
        </w:rPr>
        <w:fldChar w:fldCharType="separate"/>
      </w:r>
      <w:r>
        <w:rPr>
          <w:noProof/>
        </w:rPr>
        <w:t>131</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18 </w:t>
      </w:r>
      <w:r w:rsidRPr="00E7218C">
        <w:rPr>
          <w:noProof/>
        </w:rPr>
        <w:t>Total number of cells attached on chamber and scaffold walls for different flow rates for 15 and 50 million elements meshes.</w:t>
      </w:r>
      <w:r>
        <w:rPr>
          <w:noProof/>
        </w:rPr>
        <w:tab/>
      </w:r>
      <w:r>
        <w:rPr>
          <w:noProof/>
        </w:rPr>
        <w:fldChar w:fldCharType="begin"/>
      </w:r>
      <w:r>
        <w:rPr>
          <w:noProof/>
        </w:rPr>
        <w:instrText xml:space="preserve"> PAGEREF _Toc445718865 \h </w:instrText>
      </w:r>
      <w:r>
        <w:rPr>
          <w:noProof/>
        </w:rPr>
      </w:r>
      <w:r>
        <w:rPr>
          <w:noProof/>
        </w:rPr>
        <w:fldChar w:fldCharType="separate"/>
      </w:r>
      <w:r>
        <w:rPr>
          <w:noProof/>
        </w:rPr>
        <w:t>132</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19 </w:t>
      </w:r>
      <w:r w:rsidRPr="00E7218C">
        <w:rPr>
          <w:noProof/>
        </w:rPr>
        <w:t>Wall-clock time required to solve the CFD case depending on the number of partitions.</w:t>
      </w:r>
      <w:r>
        <w:rPr>
          <w:noProof/>
        </w:rPr>
        <w:tab/>
      </w:r>
      <w:r>
        <w:rPr>
          <w:noProof/>
        </w:rPr>
        <w:fldChar w:fldCharType="begin"/>
      </w:r>
      <w:r>
        <w:rPr>
          <w:noProof/>
        </w:rPr>
        <w:instrText xml:space="preserve"> PAGEREF _Toc445718866 \h </w:instrText>
      </w:r>
      <w:r>
        <w:rPr>
          <w:noProof/>
        </w:rPr>
      </w:r>
      <w:r>
        <w:rPr>
          <w:noProof/>
        </w:rPr>
        <w:fldChar w:fldCharType="separate"/>
      </w:r>
      <w:r>
        <w:rPr>
          <w:noProof/>
        </w:rPr>
        <w:t>133</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20 </w:t>
      </w:r>
      <w:r w:rsidRPr="00E7218C">
        <w:rPr>
          <w:noProof/>
        </w:rPr>
        <w:t>CPU time required to solve the CFD case depending on the number of partitions.</w:t>
      </w:r>
      <w:r>
        <w:rPr>
          <w:noProof/>
        </w:rPr>
        <w:tab/>
      </w:r>
      <w:r>
        <w:rPr>
          <w:noProof/>
        </w:rPr>
        <w:fldChar w:fldCharType="begin"/>
      </w:r>
      <w:r>
        <w:rPr>
          <w:noProof/>
        </w:rPr>
        <w:instrText xml:space="preserve"> PAGEREF _Toc445718867 \h </w:instrText>
      </w:r>
      <w:r>
        <w:rPr>
          <w:noProof/>
        </w:rPr>
      </w:r>
      <w:r>
        <w:rPr>
          <w:noProof/>
        </w:rPr>
        <w:fldChar w:fldCharType="separate"/>
      </w:r>
      <w:r>
        <w:rPr>
          <w:noProof/>
        </w:rPr>
        <w:t>133</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21 </w:t>
      </w:r>
      <w:r w:rsidRPr="00E7218C">
        <w:rPr>
          <w:noProof/>
        </w:rPr>
        <w:t>Total number of cells attached on chamber and scaffold walls for different flow rates when solving the CFD model using the versions of Fluent Ansys 15.0 and 16.1.</w:t>
      </w:r>
      <w:r>
        <w:rPr>
          <w:noProof/>
        </w:rPr>
        <w:tab/>
      </w:r>
      <w:r>
        <w:rPr>
          <w:noProof/>
        </w:rPr>
        <w:fldChar w:fldCharType="begin"/>
      </w:r>
      <w:r>
        <w:rPr>
          <w:noProof/>
        </w:rPr>
        <w:instrText xml:space="preserve"> PAGEREF _Toc445718868 \h </w:instrText>
      </w:r>
      <w:r>
        <w:rPr>
          <w:noProof/>
        </w:rPr>
      </w:r>
      <w:r>
        <w:rPr>
          <w:noProof/>
        </w:rPr>
        <w:fldChar w:fldCharType="separate"/>
      </w:r>
      <w:r>
        <w:rPr>
          <w:noProof/>
        </w:rPr>
        <w:t>134</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22 </w:t>
      </w:r>
      <w:r w:rsidRPr="00E7218C">
        <w:rPr>
          <w:noProof/>
        </w:rPr>
        <w:t>a) Cell path from the injection surface at the top of the cylinder up to the first obstacle found. Cells travel with a constant velocity of 0.01 mm/s. b) Cells attached to the first obstacle found. The cells are represented with spheres ten times bigger than the real size of cells to improve visibility.</w:t>
      </w:r>
      <w:r>
        <w:rPr>
          <w:noProof/>
        </w:rPr>
        <w:tab/>
      </w:r>
      <w:r>
        <w:rPr>
          <w:noProof/>
        </w:rPr>
        <w:fldChar w:fldCharType="begin"/>
      </w:r>
      <w:r>
        <w:rPr>
          <w:noProof/>
        </w:rPr>
        <w:instrText xml:space="preserve"> PAGEREF _Toc445718869 \h </w:instrText>
      </w:r>
      <w:r>
        <w:rPr>
          <w:noProof/>
        </w:rPr>
      </w:r>
      <w:r>
        <w:rPr>
          <w:noProof/>
        </w:rPr>
        <w:fldChar w:fldCharType="separate"/>
      </w:r>
      <w:r>
        <w:rPr>
          <w:noProof/>
        </w:rPr>
        <w:t>135</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23 </w:t>
      </w:r>
      <w:r w:rsidRPr="00E7218C">
        <w:rPr>
          <w:noProof/>
        </w:rPr>
        <w:t>All cells attached to the scaffold are found on the side that faces the injection surface (a) whereas the side that faces the bottom of the chamber (b) does not present any cell attached to it. The cells are represented with spheres ten times bigger than the real size of cells to improve visibility.</w:t>
      </w:r>
      <w:r>
        <w:rPr>
          <w:noProof/>
        </w:rPr>
        <w:tab/>
      </w:r>
      <w:r>
        <w:rPr>
          <w:noProof/>
        </w:rPr>
        <w:fldChar w:fldCharType="begin"/>
      </w:r>
      <w:r>
        <w:rPr>
          <w:noProof/>
        </w:rPr>
        <w:instrText xml:space="preserve"> PAGEREF _Toc445718870 \h </w:instrText>
      </w:r>
      <w:r>
        <w:rPr>
          <w:noProof/>
        </w:rPr>
      </w:r>
      <w:r>
        <w:rPr>
          <w:noProof/>
        </w:rPr>
        <w:fldChar w:fldCharType="separate"/>
      </w:r>
      <w:r>
        <w:rPr>
          <w:noProof/>
        </w:rPr>
        <w:t>136</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24 </w:t>
      </w:r>
      <w:r w:rsidRPr="00E7218C">
        <w:rPr>
          <w:noProof/>
        </w:rPr>
        <w:t xml:space="preserve">a) Side view of the scaffold with transparency applied in the fibres to visualize the internal distribution of cells from the top to the bottom layers. Most of the cells are found at the first layers as the last ones are covered by the ones on top. b) Internal view of the scaffold fibres and cell distribution. The cells are </w:t>
      </w:r>
      <w:r w:rsidRPr="00E7218C">
        <w:rPr>
          <w:noProof/>
        </w:rPr>
        <w:lastRenderedPageBreak/>
        <w:t>represented with spheres ten times bigger than the real size of cells to improve visibility.</w:t>
      </w:r>
      <w:r>
        <w:rPr>
          <w:noProof/>
        </w:rPr>
        <w:tab/>
      </w:r>
      <w:r>
        <w:rPr>
          <w:noProof/>
        </w:rPr>
        <w:fldChar w:fldCharType="begin"/>
      </w:r>
      <w:r>
        <w:rPr>
          <w:noProof/>
        </w:rPr>
        <w:instrText xml:space="preserve"> PAGEREF _Toc445718871 \h </w:instrText>
      </w:r>
      <w:r>
        <w:rPr>
          <w:noProof/>
        </w:rPr>
      </w:r>
      <w:r>
        <w:rPr>
          <w:noProof/>
        </w:rPr>
        <w:fldChar w:fldCharType="separate"/>
      </w:r>
      <w:r>
        <w:rPr>
          <w:noProof/>
        </w:rPr>
        <w:t>136</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25 </w:t>
      </w:r>
      <w:r w:rsidRPr="00E7218C">
        <w:rPr>
          <w:noProof/>
        </w:rPr>
        <w:t>Number of cells suspensed in the fluid media during time. At the initial time point, around 20,000 cells are injected in the chamber, after 300 seconds the cells start attaching to the scaffold substrate, then 1,000 seconds after the injection cells reach the bottom of the chamber and after that no more cells suspended in the fluid are found.</w:t>
      </w:r>
      <w:r>
        <w:rPr>
          <w:noProof/>
        </w:rPr>
        <w:tab/>
      </w:r>
      <w:r>
        <w:rPr>
          <w:noProof/>
        </w:rPr>
        <w:fldChar w:fldCharType="begin"/>
      </w:r>
      <w:r>
        <w:rPr>
          <w:noProof/>
        </w:rPr>
        <w:instrText xml:space="preserve"> PAGEREF _Toc445718872 \h </w:instrText>
      </w:r>
      <w:r>
        <w:rPr>
          <w:noProof/>
        </w:rPr>
      </w:r>
      <w:r>
        <w:rPr>
          <w:noProof/>
        </w:rPr>
        <w:fldChar w:fldCharType="separate"/>
      </w:r>
      <w:r>
        <w:rPr>
          <w:noProof/>
        </w:rPr>
        <w:t>137</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26 </w:t>
      </w:r>
      <w:r w:rsidRPr="00E7218C">
        <w:rPr>
          <w:noProof/>
        </w:rPr>
        <w:t>Fluid streamlines for the flow rates 12, 120 and 600 µl/min throughout the entire microfluidic system (left) and inside the cylinder and scaffold pores (right).</w:t>
      </w:r>
      <w:r>
        <w:rPr>
          <w:noProof/>
        </w:rPr>
        <w:tab/>
      </w:r>
      <w:r>
        <w:rPr>
          <w:noProof/>
        </w:rPr>
        <w:fldChar w:fldCharType="begin"/>
      </w:r>
      <w:r>
        <w:rPr>
          <w:noProof/>
        </w:rPr>
        <w:instrText xml:space="preserve"> PAGEREF _Toc445718873 \h </w:instrText>
      </w:r>
      <w:r>
        <w:rPr>
          <w:noProof/>
        </w:rPr>
      </w:r>
      <w:r>
        <w:rPr>
          <w:noProof/>
        </w:rPr>
        <w:fldChar w:fldCharType="separate"/>
      </w:r>
      <w:r>
        <w:rPr>
          <w:noProof/>
        </w:rPr>
        <w:t>138</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27 </w:t>
      </w:r>
      <w:r w:rsidRPr="00E7218C">
        <w:rPr>
          <w:noProof/>
        </w:rPr>
        <w:t>Cell path of one injection of cells released from the inlet surface for the flow rates 12, 120 and 600 µl/min along the entire microfluidic system (left) and inside the cylinder and scaffold pores (right). Cell path is coloured by cell velocity values.</w:t>
      </w:r>
      <w:r>
        <w:rPr>
          <w:noProof/>
        </w:rPr>
        <w:tab/>
      </w:r>
      <w:r>
        <w:rPr>
          <w:noProof/>
        </w:rPr>
        <w:fldChar w:fldCharType="begin"/>
      </w:r>
      <w:r>
        <w:rPr>
          <w:noProof/>
        </w:rPr>
        <w:instrText xml:space="preserve"> PAGEREF _Toc445718874 \h </w:instrText>
      </w:r>
      <w:r>
        <w:rPr>
          <w:noProof/>
        </w:rPr>
      </w:r>
      <w:r>
        <w:rPr>
          <w:noProof/>
        </w:rPr>
        <w:fldChar w:fldCharType="separate"/>
      </w:r>
      <w:r>
        <w:rPr>
          <w:noProof/>
        </w:rPr>
        <w:t>140</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28 </w:t>
      </w:r>
      <w:r w:rsidRPr="00E7218C">
        <w:rPr>
          <w:noProof/>
        </w:rPr>
        <w:t xml:space="preserve">Cell path of one injection of cells released from the inlet surface coloured by the time of the simulation. The maximum time plotted in the three cases is the time needed to dispense 500 </w:t>
      </w:r>
      <w:r w:rsidRPr="00E7218C">
        <w:rPr>
          <w:rFonts w:cs="Times New Roman"/>
          <w:noProof/>
        </w:rPr>
        <w:t>µ</w:t>
      </w:r>
      <w:r w:rsidRPr="00E7218C">
        <w:rPr>
          <w:noProof/>
        </w:rPr>
        <w:t>l of fluid for each flow rate.</w:t>
      </w:r>
      <w:r>
        <w:rPr>
          <w:noProof/>
        </w:rPr>
        <w:tab/>
      </w:r>
      <w:r>
        <w:rPr>
          <w:noProof/>
        </w:rPr>
        <w:fldChar w:fldCharType="begin"/>
      </w:r>
      <w:r>
        <w:rPr>
          <w:noProof/>
        </w:rPr>
        <w:instrText xml:space="preserve"> PAGEREF _Toc445718875 \h </w:instrText>
      </w:r>
      <w:r>
        <w:rPr>
          <w:noProof/>
        </w:rPr>
      </w:r>
      <w:r>
        <w:rPr>
          <w:noProof/>
        </w:rPr>
        <w:fldChar w:fldCharType="separate"/>
      </w:r>
      <w:r>
        <w:rPr>
          <w:noProof/>
        </w:rPr>
        <w:t>142</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29 </w:t>
      </w:r>
      <w:r w:rsidRPr="00E7218C">
        <w:rPr>
          <w:noProof/>
        </w:rPr>
        <w:t>Characteristic regions of the microfluidic chamber where cell deposition is studied.</w:t>
      </w:r>
      <w:r>
        <w:rPr>
          <w:noProof/>
        </w:rPr>
        <w:tab/>
      </w:r>
      <w:r>
        <w:rPr>
          <w:noProof/>
        </w:rPr>
        <w:fldChar w:fldCharType="begin"/>
      </w:r>
      <w:r>
        <w:rPr>
          <w:noProof/>
        </w:rPr>
        <w:instrText xml:space="preserve"> PAGEREF _Toc445718876 \h </w:instrText>
      </w:r>
      <w:r>
        <w:rPr>
          <w:noProof/>
        </w:rPr>
      </w:r>
      <w:r>
        <w:rPr>
          <w:noProof/>
        </w:rPr>
        <w:fldChar w:fldCharType="separate"/>
      </w:r>
      <w:r>
        <w:rPr>
          <w:noProof/>
        </w:rPr>
        <w:t>143</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30 </w:t>
      </w:r>
      <w:r w:rsidRPr="00E7218C">
        <w:rPr>
          <w:noProof/>
        </w:rPr>
        <w:t>Number of cells attached on Parts 1, 2 and 3 and scaffold surfaces (shown in Figure 5</w:t>
      </w:r>
      <w:r w:rsidRPr="00E7218C">
        <w:rPr>
          <w:noProof/>
        </w:rPr>
        <w:noBreakHyphen/>
        <w:t>29) depending on the flow rate applied.</w:t>
      </w:r>
      <w:r>
        <w:rPr>
          <w:noProof/>
        </w:rPr>
        <w:tab/>
      </w:r>
      <w:r>
        <w:rPr>
          <w:noProof/>
        </w:rPr>
        <w:fldChar w:fldCharType="begin"/>
      </w:r>
      <w:r>
        <w:rPr>
          <w:noProof/>
        </w:rPr>
        <w:instrText xml:space="preserve"> PAGEREF _Toc445718877 \h </w:instrText>
      </w:r>
      <w:r>
        <w:rPr>
          <w:noProof/>
        </w:rPr>
      </w:r>
      <w:r>
        <w:rPr>
          <w:noProof/>
        </w:rPr>
        <w:fldChar w:fldCharType="separate"/>
      </w:r>
      <w:r>
        <w:rPr>
          <w:noProof/>
        </w:rPr>
        <w:t>143</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31 </w:t>
      </w:r>
      <w:r w:rsidRPr="00E7218C">
        <w:rPr>
          <w:noProof/>
        </w:rPr>
        <w:t>0.03, 8.6 and 2.5% scaffold cell seeding efficiency for 12, 120 and 600 µl/min respectively</w:t>
      </w:r>
      <w:r>
        <w:rPr>
          <w:noProof/>
        </w:rPr>
        <w:t>.</w:t>
      </w:r>
      <w:r>
        <w:rPr>
          <w:noProof/>
        </w:rPr>
        <w:tab/>
      </w:r>
      <w:r>
        <w:rPr>
          <w:noProof/>
        </w:rPr>
        <w:fldChar w:fldCharType="begin"/>
      </w:r>
      <w:r>
        <w:rPr>
          <w:noProof/>
        </w:rPr>
        <w:instrText xml:space="preserve"> PAGEREF _Toc445718878 \h </w:instrText>
      </w:r>
      <w:r>
        <w:rPr>
          <w:noProof/>
        </w:rPr>
      </w:r>
      <w:r>
        <w:rPr>
          <w:noProof/>
        </w:rPr>
        <w:fldChar w:fldCharType="separate"/>
      </w:r>
      <w:r>
        <w:rPr>
          <w:noProof/>
        </w:rPr>
        <w:t>144</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32 </w:t>
      </w:r>
      <w:r w:rsidRPr="00E7218C">
        <w:rPr>
          <w:noProof/>
        </w:rPr>
        <w:t>Number of cells suspended in the fluid flow during the 2 hours experiment for the three flow rates applied. At the beginning the number of cells increases as cells are injected in the microfluidic system until a peak is reached. From that point on, no more cells are injected and cells deposite on the boundaries while they travel back and forward in the fluid domain.</w:t>
      </w:r>
      <w:r>
        <w:rPr>
          <w:noProof/>
        </w:rPr>
        <w:tab/>
      </w:r>
      <w:r>
        <w:rPr>
          <w:noProof/>
        </w:rPr>
        <w:fldChar w:fldCharType="begin"/>
      </w:r>
      <w:r>
        <w:rPr>
          <w:noProof/>
        </w:rPr>
        <w:instrText xml:space="preserve"> PAGEREF _Toc445718879 \h </w:instrText>
      </w:r>
      <w:r>
        <w:rPr>
          <w:noProof/>
        </w:rPr>
      </w:r>
      <w:r>
        <w:rPr>
          <w:noProof/>
        </w:rPr>
        <w:fldChar w:fldCharType="separate"/>
      </w:r>
      <w:r>
        <w:rPr>
          <w:noProof/>
        </w:rPr>
        <w:t>144</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lastRenderedPageBreak/>
        <w:t>Figure 5</w:t>
      </w:r>
      <w:r>
        <w:rPr>
          <w:noProof/>
        </w:rPr>
        <w:noBreakHyphen/>
        <w:t xml:space="preserve">33 </w:t>
      </w:r>
      <w:r w:rsidRPr="00E7218C">
        <w:rPr>
          <w:noProof/>
        </w:rPr>
        <w:t>Cells attached on the boundaries of the cell seeding system including scaffold substrate for the three flow rates applied. 12 µl/min is the case with less number of cells attached and cells are mostly found at Part 3. 120 µl/min is the case where more cells are found in Part 3 and scaffold. 600 µl/min is the flow rate that results on more cells attached in Part 1. The cells are represented with spheres ten times bigger than the real size of cells to improve visibility.</w:t>
      </w:r>
      <w:r>
        <w:rPr>
          <w:noProof/>
        </w:rPr>
        <w:tab/>
      </w:r>
      <w:r>
        <w:rPr>
          <w:noProof/>
        </w:rPr>
        <w:fldChar w:fldCharType="begin"/>
      </w:r>
      <w:r>
        <w:rPr>
          <w:noProof/>
        </w:rPr>
        <w:instrText xml:space="preserve"> PAGEREF _Toc445718880 \h </w:instrText>
      </w:r>
      <w:r>
        <w:rPr>
          <w:noProof/>
        </w:rPr>
      </w:r>
      <w:r>
        <w:rPr>
          <w:noProof/>
        </w:rPr>
        <w:fldChar w:fldCharType="separate"/>
      </w:r>
      <w:r>
        <w:rPr>
          <w:noProof/>
        </w:rPr>
        <w:t>145</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34 </w:t>
      </w:r>
      <w:r w:rsidRPr="00E7218C">
        <w:rPr>
          <w:noProof/>
        </w:rPr>
        <w:t>Side view of the scaffold. Transparency is applied to the scaffold surface to visualize the cells attached inside the microstructure for the three flow rates applied. Irregular distribution of cells throughout scaffold depth is found for the three cases. The cells are represented with spheres ten times bigger than the real size of cells to improve visibility.</w:t>
      </w:r>
      <w:r>
        <w:rPr>
          <w:noProof/>
        </w:rPr>
        <w:tab/>
      </w:r>
      <w:r>
        <w:rPr>
          <w:noProof/>
        </w:rPr>
        <w:fldChar w:fldCharType="begin"/>
      </w:r>
      <w:r>
        <w:rPr>
          <w:noProof/>
        </w:rPr>
        <w:instrText xml:space="preserve"> PAGEREF _Toc445718881 \h </w:instrText>
      </w:r>
      <w:r>
        <w:rPr>
          <w:noProof/>
        </w:rPr>
      </w:r>
      <w:r>
        <w:rPr>
          <w:noProof/>
        </w:rPr>
        <w:fldChar w:fldCharType="separate"/>
      </w:r>
      <w:r>
        <w:rPr>
          <w:noProof/>
        </w:rPr>
        <w:t>146</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35 </w:t>
      </w:r>
      <w:r w:rsidRPr="00E7218C">
        <w:rPr>
          <w:noProof/>
        </w:rPr>
        <w:t>Top view of the scaffold. Transparency is applied to the scaffold surface to visualize the cells attached inside the microstructure for the three flow rates applied. Irregular distribution of cells is found throughout scaffold diamater in all cases. The cells are represented with spheres ten times bigger than the real size of cells to improve visibility.</w:t>
      </w:r>
      <w:r>
        <w:rPr>
          <w:noProof/>
        </w:rPr>
        <w:tab/>
      </w:r>
      <w:r>
        <w:rPr>
          <w:noProof/>
        </w:rPr>
        <w:fldChar w:fldCharType="begin"/>
      </w:r>
      <w:r>
        <w:rPr>
          <w:noProof/>
        </w:rPr>
        <w:instrText xml:space="preserve"> PAGEREF _Toc445718882 \h </w:instrText>
      </w:r>
      <w:r>
        <w:rPr>
          <w:noProof/>
        </w:rPr>
      </w:r>
      <w:r>
        <w:rPr>
          <w:noProof/>
        </w:rPr>
        <w:fldChar w:fldCharType="separate"/>
      </w:r>
      <w:r>
        <w:rPr>
          <w:noProof/>
        </w:rPr>
        <w:t>146</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36 </w:t>
      </w:r>
      <w:r w:rsidRPr="00E7218C">
        <w:rPr>
          <w:noProof/>
        </w:rPr>
        <w:t>Number of cells attached on Parts 1, 2, 3 and scaffold surface (parts defined in Figure 5</w:t>
      </w:r>
      <w:r w:rsidRPr="00E7218C">
        <w:rPr>
          <w:noProof/>
        </w:rPr>
        <w:noBreakHyphen/>
        <w:t>29) depending on the flow rate applied.</w:t>
      </w:r>
      <w:r>
        <w:rPr>
          <w:noProof/>
        </w:rPr>
        <w:tab/>
      </w:r>
      <w:r>
        <w:rPr>
          <w:noProof/>
        </w:rPr>
        <w:fldChar w:fldCharType="begin"/>
      </w:r>
      <w:r>
        <w:rPr>
          <w:noProof/>
        </w:rPr>
        <w:instrText xml:space="preserve"> PAGEREF _Toc445718883 \h </w:instrText>
      </w:r>
      <w:r>
        <w:rPr>
          <w:noProof/>
        </w:rPr>
      </w:r>
      <w:r>
        <w:rPr>
          <w:noProof/>
        </w:rPr>
        <w:fldChar w:fldCharType="separate"/>
      </w:r>
      <w:r>
        <w:rPr>
          <w:noProof/>
        </w:rPr>
        <w:t>147</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37 </w:t>
      </w:r>
      <w:r w:rsidRPr="00E7218C">
        <w:rPr>
          <w:noProof/>
        </w:rPr>
        <w:t>Velocity profile above the scaffold showing the recirculation formed when the fluid enters Part 2 from Part 1 (Part 1 and 2 defined in Figure 5</w:t>
      </w:r>
      <w:r w:rsidRPr="00E7218C">
        <w:rPr>
          <w:noProof/>
        </w:rPr>
        <w:noBreakHyphen/>
        <w:t>29) for the flow rates 480, 600, 720 and 840 µl/min. The recirculation region increases with flow rate as well as the peak velocity at the centre of the vortexes. For the case of 480 µl/min the recirculation is negligible.</w:t>
      </w:r>
      <w:r>
        <w:rPr>
          <w:noProof/>
        </w:rPr>
        <w:tab/>
      </w:r>
      <w:r>
        <w:rPr>
          <w:noProof/>
        </w:rPr>
        <w:fldChar w:fldCharType="begin"/>
      </w:r>
      <w:r>
        <w:rPr>
          <w:noProof/>
        </w:rPr>
        <w:instrText xml:space="preserve"> PAGEREF _Toc445718884 \h </w:instrText>
      </w:r>
      <w:r>
        <w:rPr>
          <w:noProof/>
        </w:rPr>
      </w:r>
      <w:r>
        <w:rPr>
          <w:noProof/>
        </w:rPr>
        <w:fldChar w:fldCharType="separate"/>
      </w:r>
      <w:r>
        <w:rPr>
          <w:noProof/>
        </w:rPr>
        <w:t>148</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38 </w:t>
      </w:r>
      <w:r w:rsidRPr="00E7218C">
        <w:rPr>
          <w:noProof/>
        </w:rPr>
        <w:t>Cell path inside Part 2 (Part 2 defined in Figure 5</w:t>
      </w:r>
      <w:r w:rsidRPr="00E7218C">
        <w:rPr>
          <w:noProof/>
        </w:rPr>
        <w:noBreakHyphen/>
        <w:t>29) when cells are released from the inlet and travel towards the outlet. Inside the green box there is the path of the cells that are trapped inside the fluid recirculation regions. Cell path inside these regions changes with flow rate; for 600 µl/min the recirculation path is shorter than for higher flow rates and in the case of 840 µl/min the vortexes are closer to the scaffold than for slower flow rates.</w:t>
      </w:r>
      <w:r>
        <w:rPr>
          <w:noProof/>
        </w:rPr>
        <w:tab/>
      </w:r>
      <w:r>
        <w:rPr>
          <w:noProof/>
        </w:rPr>
        <w:fldChar w:fldCharType="begin"/>
      </w:r>
      <w:r>
        <w:rPr>
          <w:noProof/>
        </w:rPr>
        <w:instrText xml:space="preserve"> PAGEREF _Toc445718885 \h </w:instrText>
      </w:r>
      <w:r>
        <w:rPr>
          <w:noProof/>
        </w:rPr>
      </w:r>
      <w:r>
        <w:rPr>
          <w:noProof/>
        </w:rPr>
        <w:fldChar w:fldCharType="separate"/>
      </w:r>
      <w:r>
        <w:rPr>
          <w:noProof/>
        </w:rPr>
        <w:t>149</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lastRenderedPageBreak/>
        <w:t>Figure 5</w:t>
      </w:r>
      <w:r>
        <w:rPr>
          <w:noProof/>
        </w:rPr>
        <w:noBreakHyphen/>
        <w:t xml:space="preserve">39 </w:t>
      </w:r>
      <w:r w:rsidRPr="00E7218C">
        <w:rPr>
          <w:noProof/>
        </w:rPr>
        <w:t>Cell path plotted from the time when the flow would be due to change direction up to 200 seconds (keeping the same flow direction). For 600 and 720 µl/min the time when the flow would reverse is 50 and 40 s respectively. At those time points, some cells are still recirculating in the vortexes and even after 200 seconds they will not cross the scaffold. For 840 µl/min, the flow would reverse after 35 seconds and at that time almost all cells have exited from the vortexes although many cells still have not reached the scaffold.</w:t>
      </w:r>
      <w:r>
        <w:rPr>
          <w:noProof/>
        </w:rPr>
        <w:tab/>
      </w:r>
      <w:r>
        <w:rPr>
          <w:noProof/>
        </w:rPr>
        <w:fldChar w:fldCharType="begin"/>
      </w:r>
      <w:r>
        <w:rPr>
          <w:noProof/>
        </w:rPr>
        <w:instrText xml:space="preserve"> PAGEREF _Toc445718886 \h </w:instrText>
      </w:r>
      <w:r>
        <w:rPr>
          <w:noProof/>
        </w:rPr>
      </w:r>
      <w:r>
        <w:rPr>
          <w:noProof/>
        </w:rPr>
        <w:fldChar w:fldCharType="separate"/>
      </w:r>
      <w:r>
        <w:rPr>
          <w:noProof/>
        </w:rPr>
        <w:t>149</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40 </w:t>
      </w:r>
      <w:r w:rsidRPr="00E7218C">
        <w:rPr>
          <w:noProof/>
        </w:rPr>
        <w:t>Cell path of one injection of cells released from the inlet surface for the flow rates 12, 120 and 600 µl/min along the entire microfluidic system (left) and inside the cylinder and scaffold pores (right). Cell path is coloured by cell velocity values.</w:t>
      </w:r>
      <w:r>
        <w:rPr>
          <w:noProof/>
        </w:rPr>
        <w:tab/>
      </w:r>
      <w:r>
        <w:rPr>
          <w:noProof/>
        </w:rPr>
        <w:fldChar w:fldCharType="begin"/>
      </w:r>
      <w:r>
        <w:rPr>
          <w:noProof/>
        </w:rPr>
        <w:instrText xml:space="preserve"> PAGEREF _Toc445718887 \h </w:instrText>
      </w:r>
      <w:r>
        <w:rPr>
          <w:noProof/>
        </w:rPr>
      </w:r>
      <w:r>
        <w:rPr>
          <w:noProof/>
        </w:rPr>
        <w:fldChar w:fldCharType="separate"/>
      </w:r>
      <w:r>
        <w:rPr>
          <w:noProof/>
        </w:rPr>
        <w:t>151</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41 </w:t>
      </w:r>
      <w:r w:rsidRPr="00E7218C">
        <w:rPr>
          <w:noProof/>
        </w:rPr>
        <w:t>Cell path (pink) and fluid streamlines (blue) along the cylinder and scaffold pores (side view) for the three flow rates. Gravity effect on cell motion is stronger for lower flow rates especially for 12 µl/min where cell path detaches from the fluid streamlines. For higher flow rates such as 600 µl/min cells travel along the fluid streamlines as the effect of the gravity force is less strong.</w:t>
      </w:r>
      <w:r>
        <w:rPr>
          <w:noProof/>
        </w:rPr>
        <w:tab/>
      </w:r>
      <w:r>
        <w:rPr>
          <w:noProof/>
        </w:rPr>
        <w:fldChar w:fldCharType="begin"/>
      </w:r>
      <w:r>
        <w:rPr>
          <w:noProof/>
        </w:rPr>
        <w:instrText xml:space="preserve"> PAGEREF _Toc445718888 \h </w:instrText>
      </w:r>
      <w:r>
        <w:rPr>
          <w:noProof/>
        </w:rPr>
      </w:r>
      <w:r>
        <w:rPr>
          <w:noProof/>
        </w:rPr>
        <w:fldChar w:fldCharType="separate"/>
      </w:r>
      <w:r>
        <w:rPr>
          <w:noProof/>
        </w:rPr>
        <w:t>152</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42 </w:t>
      </w:r>
      <w:r w:rsidRPr="00E7218C">
        <w:rPr>
          <w:noProof/>
        </w:rPr>
        <w:t xml:space="preserve">Cell path of one injection of cells released from the inlet surface coloured by the time of the simulation. The maximum time plotted in the three cases is the time needed to dispense 500 </w:t>
      </w:r>
      <w:r w:rsidRPr="00E7218C">
        <w:rPr>
          <w:rFonts w:cs="Times New Roman"/>
          <w:noProof/>
        </w:rPr>
        <w:t>µ</w:t>
      </w:r>
      <w:r w:rsidRPr="00E7218C">
        <w:rPr>
          <w:noProof/>
        </w:rPr>
        <w:t>l of fluid for each flow rate.</w:t>
      </w:r>
      <w:r>
        <w:rPr>
          <w:noProof/>
        </w:rPr>
        <w:tab/>
      </w:r>
      <w:r>
        <w:rPr>
          <w:noProof/>
        </w:rPr>
        <w:fldChar w:fldCharType="begin"/>
      </w:r>
      <w:r>
        <w:rPr>
          <w:noProof/>
        </w:rPr>
        <w:instrText xml:space="preserve"> PAGEREF _Toc445718889 \h </w:instrText>
      </w:r>
      <w:r>
        <w:rPr>
          <w:noProof/>
        </w:rPr>
      </w:r>
      <w:r>
        <w:rPr>
          <w:noProof/>
        </w:rPr>
        <w:fldChar w:fldCharType="separate"/>
      </w:r>
      <w:r>
        <w:rPr>
          <w:noProof/>
        </w:rPr>
        <w:t>153</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43 </w:t>
      </w:r>
      <w:r w:rsidRPr="00E7218C">
        <w:rPr>
          <w:noProof/>
        </w:rPr>
        <w:t>Number of cells attached on Parts 1, 2 and 3 and scaffold surface (Parts 1, 2 and 3 defined in Figure 5</w:t>
      </w:r>
      <w:r w:rsidRPr="00E7218C">
        <w:rPr>
          <w:noProof/>
        </w:rPr>
        <w:noBreakHyphen/>
        <w:t>29) depending on the flow rate applied.</w:t>
      </w:r>
      <w:r>
        <w:rPr>
          <w:noProof/>
        </w:rPr>
        <w:tab/>
      </w:r>
      <w:r>
        <w:rPr>
          <w:noProof/>
        </w:rPr>
        <w:fldChar w:fldCharType="begin"/>
      </w:r>
      <w:r>
        <w:rPr>
          <w:noProof/>
        </w:rPr>
        <w:instrText xml:space="preserve"> PAGEREF _Toc445718890 \h </w:instrText>
      </w:r>
      <w:r>
        <w:rPr>
          <w:noProof/>
        </w:rPr>
      </w:r>
      <w:r>
        <w:rPr>
          <w:noProof/>
        </w:rPr>
        <w:fldChar w:fldCharType="separate"/>
      </w:r>
      <w:r>
        <w:rPr>
          <w:noProof/>
        </w:rPr>
        <w:t>154</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44 </w:t>
      </w:r>
      <w:r w:rsidRPr="00E7218C">
        <w:rPr>
          <w:noProof/>
        </w:rPr>
        <w:t>2.2, 14 and 3.7 % scaffold cell seeding efficiency for 12, 120 and 600 µl/min respectively.</w:t>
      </w:r>
      <w:r>
        <w:rPr>
          <w:noProof/>
        </w:rPr>
        <w:tab/>
      </w:r>
      <w:r>
        <w:rPr>
          <w:noProof/>
        </w:rPr>
        <w:fldChar w:fldCharType="begin"/>
      </w:r>
      <w:r>
        <w:rPr>
          <w:noProof/>
        </w:rPr>
        <w:instrText xml:space="preserve"> PAGEREF _Toc445718891 \h </w:instrText>
      </w:r>
      <w:r>
        <w:rPr>
          <w:noProof/>
        </w:rPr>
      </w:r>
      <w:r>
        <w:rPr>
          <w:noProof/>
        </w:rPr>
        <w:fldChar w:fldCharType="separate"/>
      </w:r>
      <w:r>
        <w:rPr>
          <w:noProof/>
        </w:rPr>
        <w:t>154</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45 </w:t>
      </w:r>
      <w:r w:rsidRPr="00E7218C">
        <w:rPr>
          <w:noProof/>
        </w:rPr>
        <w:t>Cells attached on the boundaries of the cell seeding system including scaffold substrate for the three flow rates applied. In 12 µl/min, almost all cells deposit on Part 1. In 120 µl/min, more cells arrive to Part 2 and the scaffold and few of them reach the outlet. 600 µl/min is the case where more cells arrive to Part 3. The cells are represented with spheres ten times bigger than the real size of cells to improve visibility.</w:t>
      </w:r>
      <w:r>
        <w:rPr>
          <w:noProof/>
        </w:rPr>
        <w:tab/>
      </w:r>
      <w:r>
        <w:rPr>
          <w:noProof/>
        </w:rPr>
        <w:fldChar w:fldCharType="begin"/>
      </w:r>
      <w:r>
        <w:rPr>
          <w:noProof/>
        </w:rPr>
        <w:instrText xml:space="preserve"> PAGEREF _Toc445718892 \h </w:instrText>
      </w:r>
      <w:r>
        <w:rPr>
          <w:noProof/>
        </w:rPr>
      </w:r>
      <w:r>
        <w:rPr>
          <w:noProof/>
        </w:rPr>
        <w:fldChar w:fldCharType="separate"/>
      </w:r>
      <w:r>
        <w:rPr>
          <w:noProof/>
        </w:rPr>
        <w:t>155</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lastRenderedPageBreak/>
        <w:t>Figure 5</w:t>
      </w:r>
      <w:r>
        <w:rPr>
          <w:noProof/>
        </w:rPr>
        <w:noBreakHyphen/>
        <w:t xml:space="preserve">46 </w:t>
      </w:r>
      <w:r w:rsidRPr="00E7218C">
        <w:rPr>
          <w:noProof/>
        </w:rPr>
        <w:t>Cell distribution inside the scaffold for the three flow rates investigated. Transparency is applied to the scaffold geometry to observe cell attachment inside the porous structure. The higher the flow rate the more cells can be found at the right part of the scaffold (region closer to the outlet) as cell motion is less affected by gravity. The cells are represented with spheres ten times bigger than the real size of cells to improve visibility.</w:t>
      </w:r>
      <w:r>
        <w:rPr>
          <w:noProof/>
        </w:rPr>
        <w:tab/>
      </w:r>
      <w:r>
        <w:rPr>
          <w:noProof/>
        </w:rPr>
        <w:fldChar w:fldCharType="begin"/>
      </w:r>
      <w:r>
        <w:rPr>
          <w:noProof/>
        </w:rPr>
        <w:instrText xml:space="preserve"> PAGEREF _Toc445718893 \h </w:instrText>
      </w:r>
      <w:r>
        <w:rPr>
          <w:noProof/>
        </w:rPr>
      </w:r>
      <w:r>
        <w:rPr>
          <w:noProof/>
        </w:rPr>
        <w:fldChar w:fldCharType="separate"/>
      </w:r>
      <w:r>
        <w:rPr>
          <w:noProof/>
        </w:rPr>
        <w:t>156</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47 </w:t>
      </w:r>
      <w:r w:rsidRPr="00E7218C">
        <w:rPr>
          <w:noProof/>
        </w:rPr>
        <w:t>Cell path (a) when approching to the scaffold and cells attached on scaffold surface (b) (top view). As long as increasing the flow rate cells can travel longer distance and reach positions inside the scaffold far from the inlet. The cells are represented with spheres ten times bigger than the real size of cells to improve visibility.</w:t>
      </w:r>
      <w:r>
        <w:rPr>
          <w:noProof/>
        </w:rPr>
        <w:tab/>
      </w:r>
      <w:r>
        <w:rPr>
          <w:noProof/>
        </w:rPr>
        <w:fldChar w:fldCharType="begin"/>
      </w:r>
      <w:r>
        <w:rPr>
          <w:noProof/>
        </w:rPr>
        <w:instrText xml:space="preserve"> PAGEREF _Toc445718894 \h </w:instrText>
      </w:r>
      <w:r>
        <w:rPr>
          <w:noProof/>
        </w:rPr>
      </w:r>
      <w:r>
        <w:rPr>
          <w:noProof/>
        </w:rPr>
        <w:fldChar w:fldCharType="separate"/>
      </w:r>
      <w:r>
        <w:rPr>
          <w:noProof/>
        </w:rPr>
        <w:t>156</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48 </w:t>
      </w:r>
      <w:r w:rsidRPr="00E7218C">
        <w:rPr>
          <w:noProof/>
        </w:rPr>
        <w:t>Number of cells in suspension in the fluid during the 2 hours of cell seeding experiment for the three flow rates investigated.</w:t>
      </w:r>
      <w:r>
        <w:rPr>
          <w:noProof/>
        </w:rPr>
        <w:tab/>
      </w:r>
      <w:r>
        <w:rPr>
          <w:noProof/>
        </w:rPr>
        <w:fldChar w:fldCharType="begin"/>
      </w:r>
      <w:r>
        <w:rPr>
          <w:noProof/>
        </w:rPr>
        <w:instrText xml:space="preserve"> PAGEREF _Toc445718895 \h </w:instrText>
      </w:r>
      <w:r>
        <w:rPr>
          <w:noProof/>
        </w:rPr>
      </w:r>
      <w:r>
        <w:rPr>
          <w:noProof/>
        </w:rPr>
        <w:fldChar w:fldCharType="separate"/>
      </w:r>
      <w:r>
        <w:rPr>
          <w:noProof/>
        </w:rPr>
        <w:t>157</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49 </w:t>
      </w:r>
      <w:r w:rsidRPr="00E7218C">
        <w:rPr>
          <w:noProof/>
        </w:rPr>
        <w:t>Comparison of scaffold cell seeding efficiency using static methods between the laboratory experiments and the simulations.</w:t>
      </w:r>
      <w:r>
        <w:rPr>
          <w:noProof/>
        </w:rPr>
        <w:tab/>
      </w:r>
      <w:r>
        <w:rPr>
          <w:noProof/>
        </w:rPr>
        <w:fldChar w:fldCharType="begin"/>
      </w:r>
      <w:r>
        <w:rPr>
          <w:noProof/>
        </w:rPr>
        <w:instrText xml:space="preserve"> PAGEREF _Toc445718896 \h </w:instrText>
      </w:r>
      <w:r>
        <w:rPr>
          <w:noProof/>
        </w:rPr>
      </w:r>
      <w:r>
        <w:rPr>
          <w:noProof/>
        </w:rPr>
        <w:fldChar w:fldCharType="separate"/>
      </w:r>
      <w:r>
        <w:rPr>
          <w:noProof/>
        </w:rPr>
        <w:t>158</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50 </w:t>
      </w:r>
      <w:r w:rsidRPr="00E7218C">
        <w:rPr>
          <w:noProof/>
        </w:rPr>
        <w:t>Comparison of scaffold cell seeding efficiency between the laboratory experiments and the simulations with and without gravity for the dynamic seeding.</w:t>
      </w:r>
      <w:r>
        <w:rPr>
          <w:noProof/>
        </w:rPr>
        <w:tab/>
      </w:r>
      <w:r>
        <w:rPr>
          <w:noProof/>
        </w:rPr>
        <w:fldChar w:fldCharType="begin"/>
      </w:r>
      <w:r>
        <w:rPr>
          <w:noProof/>
        </w:rPr>
        <w:instrText xml:space="preserve"> PAGEREF _Toc445718897 \h </w:instrText>
      </w:r>
      <w:r>
        <w:rPr>
          <w:noProof/>
        </w:rPr>
      </w:r>
      <w:r>
        <w:rPr>
          <w:noProof/>
        </w:rPr>
        <w:fldChar w:fldCharType="separate"/>
      </w:r>
      <w:r>
        <w:rPr>
          <w:noProof/>
        </w:rPr>
        <w:t>159</w:t>
      </w:r>
      <w:r>
        <w:rPr>
          <w:noProof/>
        </w:rPr>
        <w:fldChar w:fldCharType="end"/>
      </w:r>
    </w:p>
    <w:p w:rsidR="008F032F" w:rsidRDefault="008F032F">
      <w:pPr>
        <w:pStyle w:val="TableofFigures"/>
        <w:tabs>
          <w:tab w:val="right" w:leader="underscore" w:pos="8488"/>
        </w:tabs>
        <w:rPr>
          <w:rFonts w:eastAsiaTheme="minorEastAsia"/>
          <w:noProof/>
          <w:sz w:val="22"/>
          <w:szCs w:val="22"/>
          <w:lang w:eastAsia="en-GB"/>
        </w:rPr>
      </w:pPr>
      <w:r>
        <w:rPr>
          <w:noProof/>
        </w:rPr>
        <w:t>Figure 5</w:t>
      </w:r>
      <w:r>
        <w:rPr>
          <w:noProof/>
        </w:rPr>
        <w:noBreakHyphen/>
        <w:t xml:space="preserve">51 </w:t>
      </w:r>
      <w:r w:rsidRPr="00E7218C">
        <w:rPr>
          <w:noProof/>
        </w:rPr>
        <w:t>Cell deposition for different particle sizes calculated in tetrahedral and hybrid meshes with different levels of refinement [177].</w:t>
      </w:r>
      <w:r>
        <w:rPr>
          <w:noProof/>
        </w:rPr>
        <w:tab/>
      </w:r>
      <w:r>
        <w:rPr>
          <w:noProof/>
        </w:rPr>
        <w:fldChar w:fldCharType="begin"/>
      </w:r>
      <w:r>
        <w:rPr>
          <w:noProof/>
        </w:rPr>
        <w:instrText xml:space="preserve"> PAGEREF _Toc445718898 \h </w:instrText>
      </w:r>
      <w:r>
        <w:rPr>
          <w:noProof/>
        </w:rPr>
      </w:r>
      <w:r>
        <w:rPr>
          <w:noProof/>
        </w:rPr>
        <w:fldChar w:fldCharType="separate"/>
      </w:r>
      <w:r>
        <w:rPr>
          <w:noProof/>
        </w:rPr>
        <w:t>163</w:t>
      </w:r>
      <w:r>
        <w:rPr>
          <w:noProof/>
        </w:rPr>
        <w:fldChar w:fldCharType="end"/>
      </w:r>
    </w:p>
    <w:p w:rsidR="005D1052" w:rsidRPr="00223410" w:rsidRDefault="005D1052" w:rsidP="005D1052">
      <w:pPr>
        <w:pStyle w:val="TableofFigures"/>
        <w:tabs>
          <w:tab w:val="right" w:leader="underscore" w:pos="8488"/>
        </w:tabs>
        <w:rPr>
          <w:noProof/>
        </w:rPr>
      </w:pPr>
      <w:r>
        <w:rPr>
          <w:i/>
          <w:noProof/>
          <w:szCs w:val="24"/>
        </w:rPr>
        <w:fldChar w:fldCharType="end"/>
      </w:r>
      <w:r w:rsidRPr="00223410">
        <w:rPr>
          <w:noProof/>
        </w:rPr>
        <w:fldChar w:fldCharType="begin"/>
      </w:r>
      <w:r w:rsidRPr="00223410">
        <w:rPr>
          <w:noProof/>
        </w:rPr>
        <w:instrText xml:space="preserve"> TOC \h \z \c "Fig" </w:instrText>
      </w:r>
      <w:r w:rsidRPr="00223410">
        <w:rPr>
          <w:noProof/>
        </w:rPr>
        <w:fldChar w:fldCharType="separate"/>
      </w:r>
      <w:hyperlink w:anchor="_Toc440474214" w:history="1">
        <w:r w:rsidRPr="00223410">
          <w:t>Figure A</w:t>
        </w:r>
        <w:r w:rsidRPr="00223410">
          <w:noBreakHyphen/>
          <w:t>I WSS contour of the scaffold analysed five times. The pink lines are the intersections of a plane crossing the fibres within one layer with the scaffold surface for all layers. Inside the yellow box, it can be observed that not all the lines cross the fibres where the WSS reaches peak values.</w:t>
        </w:r>
        <w:r>
          <w:rPr>
            <w:noProof/>
            <w:webHidden/>
          </w:rPr>
          <w:tab/>
        </w:r>
        <w:r>
          <w:rPr>
            <w:noProof/>
            <w:webHidden/>
          </w:rPr>
          <w:fldChar w:fldCharType="begin"/>
        </w:r>
        <w:r>
          <w:rPr>
            <w:noProof/>
            <w:webHidden/>
          </w:rPr>
          <w:instrText xml:space="preserve"> PAGEREF _Toc440474214 \h </w:instrText>
        </w:r>
        <w:r>
          <w:rPr>
            <w:noProof/>
            <w:webHidden/>
          </w:rPr>
        </w:r>
        <w:r>
          <w:rPr>
            <w:noProof/>
            <w:webHidden/>
          </w:rPr>
          <w:fldChar w:fldCharType="separate"/>
        </w:r>
        <w:r w:rsidR="00924C7D">
          <w:rPr>
            <w:noProof/>
            <w:webHidden/>
          </w:rPr>
          <w:t>201</w:t>
        </w:r>
        <w:r>
          <w:rPr>
            <w:noProof/>
            <w:webHidden/>
          </w:rPr>
          <w:fldChar w:fldCharType="end"/>
        </w:r>
      </w:hyperlink>
    </w:p>
    <w:p w:rsidR="005D1052" w:rsidRDefault="00DA2810" w:rsidP="005D1052">
      <w:pPr>
        <w:pStyle w:val="TableofFigures"/>
        <w:tabs>
          <w:tab w:val="right" w:leader="underscore" w:pos="8488"/>
        </w:tabs>
        <w:rPr>
          <w:noProof/>
        </w:rPr>
      </w:pPr>
      <w:hyperlink w:anchor="_Toc440474215" w:history="1">
        <w:r w:rsidR="005D1052" w:rsidRPr="00223410">
          <w:t>Figure A</w:t>
        </w:r>
        <w:r w:rsidR="005D1052" w:rsidRPr="00223410">
          <w:noBreakHyphen/>
          <w:t>II Cross sections from planes A and B (a) show the internal fibre distribution for the five reconstructed samples (b).</w:t>
        </w:r>
        <w:r w:rsidR="005D1052">
          <w:rPr>
            <w:noProof/>
            <w:webHidden/>
          </w:rPr>
          <w:tab/>
        </w:r>
        <w:r w:rsidR="005D1052">
          <w:rPr>
            <w:noProof/>
            <w:webHidden/>
          </w:rPr>
          <w:fldChar w:fldCharType="begin"/>
        </w:r>
        <w:r w:rsidR="005D1052">
          <w:rPr>
            <w:noProof/>
            <w:webHidden/>
          </w:rPr>
          <w:instrText xml:space="preserve"> PAGEREF _Toc440474215 \h </w:instrText>
        </w:r>
        <w:r w:rsidR="005D1052">
          <w:rPr>
            <w:noProof/>
            <w:webHidden/>
          </w:rPr>
        </w:r>
        <w:r w:rsidR="005D1052">
          <w:rPr>
            <w:noProof/>
            <w:webHidden/>
          </w:rPr>
          <w:fldChar w:fldCharType="separate"/>
        </w:r>
        <w:r w:rsidR="00924C7D">
          <w:rPr>
            <w:noProof/>
            <w:webHidden/>
          </w:rPr>
          <w:t>202</w:t>
        </w:r>
        <w:r w:rsidR="005D1052">
          <w:rPr>
            <w:noProof/>
            <w:webHidden/>
          </w:rPr>
          <w:fldChar w:fldCharType="end"/>
        </w:r>
      </w:hyperlink>
    </w:p>
    <w:p w:rsidR="005D1052" w:rsidRDefault="005D1052" w:rsidP="005D1052"/>
    <w:p w:rsidR="005D1052" w:rsidRPr="00451072" w:rsidRDefault="005D1052" w:rsidP="005D1052">
      <w:pPr>
        <w:jc w:val="center"/>
      </w:pPr>
    </w:p>
    <w:p w:rsidR="005D1052" w:rsidRPr="008F032F" w:rsidRDefault="005D1052" w:rsidP="005D1052">
      <w:pPr>
        <w:pStyle w:val="TableofFigures"/>
        <w:tabs>
          <w:tab w:val="right" w:leader="underscore" w:pos="8488"/>
        </w:tabs>
        <w:rPr>
          <w:rFonts w:ascii="Cambria" w:hAnsi="Cambria"/>
          <w:b/>
          <w:sz w:val="32"/>
          <w:szCs w:val="22"/>
        </w:rPr>
      </w:pPr>
      <w:r w:rsidRPr="00223410">
        <w:rPr>
          <w:noProof/>
        </w:rPr>
        <w:lastRenderedPageBreak/>
        <w:fldChar w:fldCharType="end"/>
      </w:r>
      <w:r w:rsidRPr="008F032F">
        <w:rPr>
          <w:rFonts w:ascii="Cambria" w:hAnsi="Cambria"/>
          <w:b/>
          <w:sz w:val="32"/>
          <w:szCs w:val="22"/>
        </w:rPr>
        <w:t>List of tables</w:t>
      </w:r>
    </w:p>
    <w:p w:rsidR="005D1052" w:rsidRPr="00C74CA3" w:rsidRDefault="005D1052" w:rsidP="005D1052">
      <w:pPr>
        <w:ind w:firstLine="0"/>
        <w:rPr>
          <w:rFonts w:asciiTheme="majorHAnsi" w:hAnsiTheme="majorHAnsi"/>
          <w:b/>
        </w:rPr>
      </w:pPr>
    </w:p>
    <w:p w:rsidR="005D1052" w:rsidRDefault="005D1052" w:rsidP="005D1052">
      <w:pPr>
        <w:pStyle w:val="TableofFigures"/>
        <w:tabs>
          <w:tab w:val="right" w:leader="underscore" w:pos="8488"/>
        </w:tabs>
        <w:rPr>
          <w:rFonts w:eastAsiaTheme="minorEastAsia"/>
          <w:noProof/>
          <w:sz w:val="22"/>
          <w:szCs w:val="22"/>
          <w:lang w:eastAsia="en-GB"/>
        </w:rPr>
      </w:pPr>
      <w:r w:rsidRPr="00B97135">
        <w:rPr>
          <w:rFonts w:asciiTheme="majorHAnsi" w:hAnsiTheme="majorHAnsi"/>
          <w:b/>
          <w:i/>
          <w:sz w:val="32"/>
        </w:rPr>
        <w:fldChar w:fldCharType="begin"/>
      </w:r>
      <w:r w:rsidRPr="00B97135">
        <w:rPr>
          <w:rFonts w:asciiTheme="majorHAnsi" w:hAnsiTheme="majorHAnsi"/>
          <w:b/>
          <w:i/>
          <w:sz w:val="32"/>
        </w:rPr>
        <w:instrText xml:space="preserve"> TOC \c "Table" </w:instrText>
      </w:r>
      <w:r w:rsidRPr="00B97135">
        <w:rPr>
          <w:rFonts w:asciiTheme="majorHAnsi" w:hAnsiTheme="majorHAnsi"/>
          <w:b/>
          <w:i/>
          <w:sz w:val="32"/>
        </w:rPr>
        <w:fldChar w:fldCharType="separate"/>
      </w:r>
      <w:r>
        <w:rPr>
          <w:noProof/>
        </w:rPr>
        <w:t>Table 3</w:t>
      </w:r>
      <w:r>
        <w:rPr>
          <w:noProof/>
        </w:rPr>
        <w:noBreakHyphen/>
        <w:t xml:space="preserve">1 </w:t>
      </w:r>
      <w:r w:rsidRPr="00DD7D53">
        <w:rPr>
          <w:noProof/>
        </w:rPr>
        <w:t>Sensitivity analysis results of the effect of the voxel size on scaffold surface area and volume.</w:t>
      </w:r>
      <w:r>
        <w:rPr>
          <w:noProof/>
        </w:rPr>
        <w:tab/>
      </w:r>
      <w:r>
        <w:rPr>
          <w:noProof/>
        </w:rPr>
        <w:fldChar w:fldCharType="begin"/>
      </w:r>
      <w:r>
        <w:rPr>
          <w:noProof/>
        </w:rPr>
        <w:instrText xml:space="preserve"> PAGEREF _Toc440822951 \h </w:instrText>
      </w:r>
      <w:r>
        <w:rPr>
          <w:noProof/>
        </w:rPr>
      </w:r>
      <w:r>
        <w:rPr>
          <w:noProof/>
        </w:rPr>
        <w:fldChar w:fldCharType="separate"/>
      </w:r>
      <w:r w:rsidR="00924C7D">
        <w:rPr>
          <w:noProof/>
        </w:rPr>
        <w:t>51</w:t>
      </w:r>
      <w:r>
        <w:rPr>
          <w:noProof/>
        </w:rPr>
        <w:fldChar w:fldCharType="end"/>
      </w:r>
    </w:p>
    <w:p w:rsidR="005D1052" w:rsidRDefault="005D1052" w:rsidP="005D1052">
      <w:pPr>
        <w:pStyle w:val="TableofFigures"/>
        <w:tabs>
          <w:tab w:val="right" w:leader="underscore" w:pos="8488"/>
        </w:tabs>
        <w:rPr>
          <w:rFonts w:eastAsiaTheme="minorEastAsia"/>
          <w:noProof/>
          <w:sz w:val="22"/>
          <w:szCs w:val="22"/>
          <w:lang w:eastAsia="en-GB"/>
        </w:rPr>
      </w:pPr>
      <w:r>
        <w:rPr>
          <w:noProof/>
        </w:rPr>
        <w:t>Table 3</w:t>
      </w:r>
      <w:r>
        <w:rPr>
          <w:noProof/>
        </w:rPr>
        <w:noBreakHyphen/>
        <w:t xml:space="preserve">2 </w:t>
      </w:r>
      <w:r w:rsidRPr="00DD7D53">
        <w:rPr>
          <w:noProof/>
        </w:rPr>
        <w:t xml:space="preserve">Porosity, surface area and volume of the five </w:t>
      </w:r>
      <w:r w:rsidRPr="00DD7D53">
        <w:rPr>
          <w:rFonts w:cs="Times New Roman"/>
          <w:noProof/>
        </w:rPr>
        <w:t>µ</w:t>
      </w:r>
      <w:r w:rsidRPr="00DD7D53">
        <w:rPr>
          <w:noProof/>
        </w:rPr>
        <w:t>CT-based scaffolds and the CAD scaffold.</w:t>
      </w:r>
      <w:r>
        <w:rPr>
          <w:noProof/>
        </w:rPr>
        <w:tab/>
      </w:r>
      <w:r>
        <w:rPr>
          <w:noProof/>
        </w:rPr>
        <w:fldChar w:fldCharType="begin"/>
      </w:r>
      <w:r>
        <w:rPr>
          <w:noProof/>
        </w:rPr>
        <w:instrText xml:space="preserve"> PAGEREF _Toc440822952 \h </w:instrText>
      </w:r>
      <w:r>
        <w:rPr>
          <w:noProof/>
        </w:rPr>
      </w:r>
      <w:r>
        <w:rPr>
          <w:noProof/>
        </w:rPr>
        <w:fldChar w:fldCharType="separate"/>
      </w:r>
      <w:r w:rsidR="00924C7D">
        <w:rPr>
          <w:noProof/>
        </w:rPr>
        <w:t>53</w:t>
      </w:r>
      <w:r>
        <w:rPr>
          <w:noProof/>
        </w:rPr>
        <w:fldChar w:fldCharType="end"/>
      </w:r>
    </w:p>
    <w:p w:rsidR="005D1052" w:rsidRDefault="005D1052" w:rsidP="005D1052">
      <w:pPr>
        <w:pStyle w:val="TableofFigures"/>
        <w:tabs>
          <w:tab w:val="right" w:leader="underscore" w:pos="8488"/>
        </w:tabs>
        <w:rPr>
          <w:rFonts w:eastAsiaTheme="minorEastAsia"/>
          <w:noProof/>
          <w:sz w:val="22"/>
          <w:szCs w:val="22"/>
          <w:lang w:eastAsia="en-GB"/>
        </w:rPr>
      </w:pPr>
      <w:r>
        <w:rPr>
          <w:noProof/>
        </w:rPr>
        <w:t>Table 3</w:t>
      </w:r>
      <w:r>
        <w:rPr>
          <w:noProof/>
        </w:rPr>
        <w:noBreakHyphen/>
        <w:t xml:space="preserve">3 </w:t>
      </w:r>
      <w:r w:rsidRPr="00DD7D53">
        <w:rPr>
          <w:noProof/>
        </w:rPr>
        <w:t>Number of mesh elements and computational time for the five element sizes invesigated inside the scaffold.</w:t>
      </w:r>
      <w:r>
        <w:rPr>
          <w:noProof/>
        </w:rPr>
        <w:tab/>
      </w:r>
      <w:r>
        <w:rPr>
          <w:noProof/>
        </w:rPr>
        <w:fldChar w:fldCharType="begin"/>
      </w:r>
      <w:r>
        <w:rPr>
          <w:noProof/>
        </w:rPr>
        <w:instrText xml:space="preserve"> PAGEREF _Toc440822953 \h </w:instrText>
      </w:r>
      <w:r>
        <w:rPr>
          <w:noProof/>
        </w:rPr>
      </w:r>
      <w:r>
        <w:rPr>
          <w:noProof/>
        </w:rPr>
        <w:fldChar w:fldCharType="separate"/>
      </w:r>
      <w:r w:rsidR="00924C7D">
        <w:rPr>
          <w:noProof/>
        </w:rPr>
        <w:t>56</w:t>
      </w:r>
      <w:r>
        <w:rPr>
          <w:noProof/>
        </w:rPr>
        <w:fldChar w:fldCharType="end"/>
      </w:r>
    </w:p>
    <w:p w:rsidR="005D1052" w:rsidRDefault="005D1052" w:rsidP="005D1052">
      <w:pPr>
        <w:pStyle w:val="TableofFigures"/>
        <w:tabs>
          <w:tab w:val="right" w:leader="underscore" w:pos="8488"/>
        </w:tabs>
        <w:rPr>
          <w:rFonts w:eastAsiaTheme="minorEastAsia"/>
          <w:noProof/>
          <w:sz w:val="22"/>
          <w:szCs w:val="22"/>
          <w:lang w:eastAsia="en-GB"/>
        </w:rPr>
      </w:pPr>
      <w:r>
        <w:rPr>
          <w:noProof/>
        </w:rPr>
        <w:t>Table 3</w:t>
      </w:r>
      <w:r>
        <w:rPr>
          <w:noProof/>
        </w:rPr>
        <w:noBreakHyphen/>
        <w:t xml:space="preserve">4 </w:t>
      </w:r>
      <w:r w:rsidRPr="00DD7D53">
        <w:rPr>
          <w:noProof/>
        </w:rPr>
        <w:t>Number of mesh elements and computational time for the two element sizes investigated outside the scaffold.</w:t>
      </w:r>
      <w:r>
        <w:rPr>
          <w:noProof/>
        </w:rPr>
        <w:tab/>
      </w:r>
      <w:r>
        <w:rPr>
          <w:noProof/>
        </w:rPr>
        <w:fldChar w:fldCharType="begin"/>
      </w:r>
      <w:r>
        <w:rPr>
          <w:noProof/>
        </w:rPr>
        <w:instrText xml:space="preserve"> PAGEREF _Toc440822954 \h </w:instrText>
      </w:r>
      <w:r>
        <w:rPr>
          <w:noProof/>
        </w:rPr>
      </w:r>
      <w:r>
        <w:rPr>
          <w:noProof/>
        </w:rPr>
        <w:fldChar w:fldCharType="separate"/>
      </w:r>
      <w:r w:rsidR="00924C7D">
        <w:rPr>
          <w:noProof/>
        </w:rPr>
        <w:t>58</w:t>
      </w:r>
      <w:r>
        <w:rPr>
          <w:noProof/>
        </w:rPr>
        <w:fldChar w:fldCharType="end"/>
      </w:r>
    </w:p>
    <w:p w:rsidR="005D1052" w:rsidRDefault="005D1052" w:rsidP="005D1052">
      <w:pPr>
        <w:pStyle w:val="TableofFigures"/>
        <w:tabs>
          <w:tab w:val="right" w:leader="underscore" w:pos="8488"/>
        </w:tabs>
        <w:rPr>
          <w:rFonts w:eastAsiaTheme="minorEastAsia"/>
          <w:noProof/>
          <w:sz w:val="22"/>
          <w:szCs w:val="22"/>
          <w:lang w:eastAsia="en-GB"/>
        </w:rPr>
      </w:pPr>
      <w:r>
        <w:rPr>
          <w:noProof/>
        </w:rPr>
        <w:t>Table 3</w:t>
      </w:r>
      <w:r>
        <w:rPr>
          <w:noProof/>
        </w:rPr>
        <w:noBreakHyphen/>
        <w:t xml:space="preserve">5 </w:t>
      </w:r>
      <w:r w:rsidRPr="00DD7D53">
        <w:rPr>
          <w:noProof/>
        </w:rPr>
        <w:t>Mean and standard deviation of the porosity [%], surface area [mm</w:t>
      </w:r>
      <w:r w:rsidRPr="00DD7D53">
        <w:rPr>
          <w:noProof/>
          <w:vertAlign w:val="superscript"/>
        </w:rPr>
        <w:t>2</w:t>
      </w:r>
      <w:r w:rsidRPr="00DD7D53">
        <w:rPr>
          <w:noProof/>
        </w:rPr>
        <w:t>] and volume [mm</w:t>
      </w:r>
      <w:r w:rsidRPr="00DD7D53">
        <w:rPr>
          <w:noProof/>
          <w:vertAlign w:val="superscript"/>
        </w:rPr>
        <w:t>3</w:t>
      </w:r>
      <w:r w:rsidRPr="00DD7D53">
        <w:rPr>
          <w:noProof/>
        </w:rPr>
        <w:t>] obtained from the intersample variability study and the sensitive analysis study performed in one sample.</w:t>
      </w:r>
      <w:r>
        <w:rPr>
          <w:noProof/>
        </w:rPr>
        <w:tab/>
      </w:r>
      <w:r>
        <w:rPr>
          <w:noProof/>
        </w:rPr>
        <w:fldChar w:fldCharType="begin"/>
      </w:r>
      <w:r>
        <w:rPr>
          <w:noProof/>
        </w:rPr>
        <w:instrText xml:space="preserve"> PAGEREF _Toc440822955 \h </w:instrText>
      </w:r>
      <w:r>
        <w:rPr>
          <w:noProof/>
        </w:rPr>
      </w:r>
      <w:r>
        <w:rPr>
          <w:noProof/>
        </w:rPr>
        <w:fldChar w:fldCharType="separate"/>
      </w:r>
      <w:r w:rsidR="00924C7D">
        <w:rPr>
          <w:noProof/>
        </w:rPr>
        <w:t>62</w:t>
      </w:r>
      <w:r>
        <w:rPr>
          <w:noProof/>
        </w:rPr>
        <w:fldChar w:fldCharType="end"/>
      </w:r>
    </w:p>
    <w:p w:rsidR="005D1052" w:rsidRDefault="005D1052" w:rsidP="005D1052">
      <w:pPr>
        <w:pStyle w:val="TableofFigures"/>
        <w:tabs>
          <w:tab w:val="right" w:leader="underscore" w:pos="8488"/>
        </w:tabs>
        <w:rPr>
          <w:rFonts w:eastAsiaTheme="minorEastAsia"/>
          <w:noProof/>
          <w:sz w:val="22"/>
          <w:szCs w:val="22"/>
          <w:lang w:eastAsia="en-GB"/>
        </w:rPr>
      </w:pPr>
      <w:r>
        <w:rPr>
          <w:noProof/>
        </w:rPr>
        <w:t>Table 4</w:t>
      </w:r>
      <w:r>
        <w:rPr>
          <w:noProof/>
        </w:rPr>
        <w:noBreakHyphen/>
        <w:t xml:space="preserve">1 </w:t>
      </w:r>
      <w:r w:rsidRPr="00DD7D53">
        <w:rPr>
          <w:noProof/>
        </w:rPr>
        <w:t>Number of mesh elements and computational time for the three element sizes investigated inside the scaffold.</w:t>
      </w:r>
      <w:r>
        <w:rPr>
          <w:noProof/>
        </w:rPr>
        <w:tab/>
      </w:r>
      <w:r>
        <w:rPr>
          <w:noProof/>
        </w:rPr>
        <w:fldChar w:fldCharType="begin"/>
      </w:r>
      <w:r>
        <w:rPr>
          <w:noProof/>
        </w:rPr>
        <w:instrText xml:space="preserve"> PAGEREF _Toc440822956 \h </w:instrText>
      </w:r>
      <w:r>
        <w:rPr>
          <w:noProof/>
        </w:rPr>
      </w:r>
      <w:r>
        <w:rPr>
          <w:noProof/>
        </w:rPr>
        <w:fldChar w:fldCharType="separate"/>
      </w:r>
      <w:r w:rsidR="00924C7D">
        <w:rPr>
          <w:noProof/>
        </w:rPr>
        <w:t>94</w:t>
      </w:r>
      <w:r>
        <w:rPr>
          <w:noProof/>
        </w:rPr>
        <w:fldChar w:fldCharType="end"/>
      </w:r>
    </w:p>
    <w:p w:rsidR="005D1052" w:rsidRDefault="005D1052" w:rsidP="005D1052">
      <w:pPr>
        <w:pStyle w:val="TableofFigures"/>
        <w:tabs>
          <w:tab w:val="right" w:leader="underscore" w:pos="8488"/>
        </w:tabs>
        <w:rPr>
          <w:rFonts w:eastAsiaTheme="minorEastAsia"/>
          <w:noProof/>
          <w:sz w:val="22"/>
          <w:szCs w:val="22"/>
          <w:lang w:eastAsia="en-GB"/>
        </w:rPr>
      </w:pPr>
      <w:r>
        <w:rPr>
          <w:noProof/>
        </w:rPr>
        <w:t>Table 4</w:t>
      </w:r>
      <w:r>
        <w:rPr>
          <w:noProof/>
        </w:rPr>
        <w:noBreakHyphen/>
        <w:t xml:space="preserve">2 </w:t>
      </w:r>
      <w:r w:rsidRPr="00DD7D53">
        <w:rPr>
          <w:noProof/>
        </w:rPr>
        <w:t>Number of mesh elements and computational time for the three element sizes investigated outside the scaffold.</w:t>
      </w:r>
      <w:r>
        <w:rPr>
          <w:noProof/>
        </w:rPr>
        <w:tab/>
      </w:r>
      <w:r>
        <w:rPr>
          <w:noProof/>
        </w:rPr>
        <w:fldChar w:fldCharType="begin"/>
      </w:r>
      <w:r>
        <w:rPr>
          <w:noProof/>
        </w:rPr>
        <w:instrText xml:space="preserve"> PAGEREF _Toc440822957 \h </w:instrText>
      </w:r>
      <w:r>
        <w:rPr>
          <w:noProof/>
        </w:rPr>
      </w:r>
      <w:r>
        <w:rPr>
          <w:noProof/>
        </w:rPr>
        <w:fldChar w:fldCharType="separate"/>
      </w:r>
      <w:r w:rsidR="00924C7D">
        <w:rPr>
          <w:noProof/>
        </w:rPr>
        <w:t>96</w:t>
      </w:r>
      <w:r>
        <w:rPr>
          <w:noProof/>
        </w:rPr>
        <w:fldChar w:fldCharType="end"/>
      </w:r>
    </w:p>
    <w:p w:rsidR="005D1052" w:rsidRDefault="005D1052" w:rsidP="005D1052">
      <w:pPr>
        <w:pStyle w:val="TableofFigures"/>
        <w:tabs>
          <w:tab w:val="right" w:leader="underscore" w:pos="8488"/>
        </w:tabs>
        <w:rPr>
          <w:rFonts w:eastAsiaTheme="minorEastAsia"/>
          <w:noProof/>
          <w:sz w:val="22"/>
          <w:szCs w:val="22"/>
          <w:lang w:eastAsia="en-GB"/>
        </w:rPr>
      </w:pPr>
      <w:r>
        <w:rPr>
          <w:noProof/>
        </w:rPr>
        <w:t>Table 5</w:t>
      </w:r>
      <w:r>
        <w:rPr>
          <w:noProof/>
        </w:rPr>
        <w:noBreakHyphen/>
        <w:t xml:space="preserve">1 </w:t>
      </w:r>
      <w:r w:rsidRPr="00DD7D53">
        <w:rPr>
          <w:noProof/>
        </w:rPr>
        <w:t>Number of mesh elements and computational time for the six global element sizes investigated in the microfluidic chamber without the scaffold.</w:t>
      </w:r>
      <w:r>
        <w:rPr>
          <w:noProof/>
        </w:rPr>
        <w:tab/>
      </w:r>
      <w:r>
        <w:rPr>
          <w:noProof/>
        </w:rPr>
        <w:fldChar w:fldCharType="begin"/>
      </w:r>
      <w:r>
        <w:rPr>
          <w:noProof/>
        </w:rPr>
        <w:instrText xml:space="preserve"> PAGEREF _Toc440822958 \h </w:instrText>
      </w:r>
      <w:r>
        <w:rPr>
          <w:noProof/>
        </w:rPr>
      </w:r>
      <w:r>
        <w:rPr>
          <w:noProof/>
        </w:rPr>
        <w:fldChar w:fldCharType="separate"/>
      </w:r>
      <w:r w:rsidR="00924C7D">
        <w:rPr>
          <w:noProof/>
        </w:rPr>
        <w:t>125</w:t>
      </w:r>
      <w:r>
        <w:rPr>
          <w:noProof/>
        </w:rPr>
        <w:fldChar w:fldCharType="end"/>
      </w:r>
    </w:p>
    <w:p w:rsidR="005D1052" w:rsidRDefault="005D1052" w:rsidP="005D1052">
      <w:pPr>
        <w:tabs>
          <w:tab w:val="left" w:pos="1020"/>
        </w:tabs>
        <w:spacing w:after="120"/>
        <w:ind w:firstLine="0"/>
      </w:pPr>
      <w:r w:rsidRPr="00B97135">
        <w:rPr>
          <w:rFonts w:asciiTheme="majorHAnsi" w:hAnsiTheme="majorHAnsi"/>
          <w:b/>
          <w:sz w:val="32"/>
        </w:rPr>
        <w:fldChar w:fldCharType="end"/>
      </w:r>
      <w:r>
        <w:rPr>
          <w:rFonts w:asciiTheme="majorHAnsi" w:hAnsiTheme="majorHAnsi"/>
          <w:b/>
          <w:sz w:val="32"/>
        </w:rPr>
        <w:tab/>
      </w:r>
      <w:r>
        <w:br w:type="page"/>
      </w:r>
    </w:p>
    <w:p w:rsidR="005D1052" w:rsidRPr="008F032F" w:rsidRDefault="005D1052" w:rsidP="008F032F">
      <w:pPr>
        <w:pStyle w:val="TableofFigures"/>
        <w:tabs>
          <w:tab w:val="right" w:leader="underscore" w:pos="8488"/>
        </w:tabs>
        <w:rPr>
          <w:rFonts w:ascii="Cambria" w:hAnsi="Cambria"/>
          <w:b/>
          <w:sz w:val="32"/>
          <w:szCs w:val="22"/>
        </w:rPr>
      </w:pPr>
      <w:r w:rsidRPr="008F032F">
        <w:rPr>
          <w:rFonts w:ascii="Cambria" w:hAnsi="Cambria"/>
          <w:b/>
          <w:sz w:val="32"/>
          <w:szCs w:val="22"/>
        </w:rPr>
        <w:lastRenderedPageBreak/>
        <w:t>Abbreviations</w:t>
      </w:r>
    </w:p>
    <w:p w:rsidR="005D1052" w:rsidRPr="00C74CA3" w:rsidRDefault="005D1052" w:rsidP="005D1052">
      <w:pPr>
        <w:spacing w:line="276" w:lineRule="auto"/>
        <w:ind w:firstLine="0"/>
        <w:rPr>
          <w:rFonts w:asciiTheme="majorHAnsi" w:hAnsiTheme="majorHAnsi"/>
          <w:b/>
          <w:sz w:val="28"/>
          <w:lang w:val="es-ES_trad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3685"/>
      </w:tblGrid>
      <w:tr w:rsidR="005D1052" w:rsidTr="00EB11EA">
        <w:trPr>
          <w:trHeight w:val="431"/>
        </w:trPr>
        <w:tc>
          <w:tcPr>
            <w:tcW w:w="959" w:type="dxa"/>
            <w:vAlign w:val="center"/>
          </w:tcPr>
          <w:p w:rsidR="005D1052" w:rsidRDefault="005D1052" w:rsidP="00EB11EA">
            <w:pPr>
              <w:spacing w:line="276" w:lineRule="auto"/>
              <w:ind w:firstLine="0"/>
              <w:rPr>
                <w:rFonts w:asciiTheme="majorHAnsi" w:hAnsiTheme="majorHAnsi"/>
                <w:b/>
                <w:sz w:val="32"/>
                <w:lang w:val="es-ES_tradnl"/>
              </w:rPr>
            </w:pPr>
            <w:r>
              <w:rPr>
                <w:rFonts w:ascii="Calibri" w:hAnsi="Calibri"/>
                <w:color w:val="000000"/>
              </w:rPr>
              <w:t>CS</w:t>
            </w:r>
          </w:p>
        </w:tc>
        <w:tc>
          <w:tcPr>
            <w:tcW w:w="3685" w:type="dxa"/>
            <w:vAlign w:val="center"/>
          </w:tcPr>
          <w:p w:rsidR="005D1052" w:rsidRDefault="005D1052" w:rsidP="00EB11EA">
            <w:pPr>
              <w:spacing w:line="276" w:lineRule="auto"/>
              <w:ind w:firstLine="0"/>
              <w:rPr>
                <w:rFonts w:asciiTheme="majorHAnsi" w:hAnsiTheme="majorHAnsi"/>
                <w:b/>
                <w:sz w:val="32"/>
                <w:lang w:val="es-ES_tradnl"/>
              </w:rPr>
            </w:pPr>
            <w:r>
              <w:rPr>
                <w:rFonts w:ascii="Calibri" w:hAnsi="Calibri"/>
                <w:color w:val="000000"/>
              </w:rPr>
              <w:t>Coating chitosan</w:t>
            </w:r>
          </w:p>
        </w:tc>
      </w:tr>
      <w:tr w:rsidR="005D1052" w:rsidTr="00EB11EA">
        <w:trPr>
          <w:trHeight w:val="431"/>
        </w:trPr>
        <w:tc>
          <w:tcPr>
            <w:tcW w:w="959" w:type="dxa"/>
            <w:vAlign w:val="center"/>
          </w:tcPr>
          <w:p w:rsidR="005D1052" w:rsidRPr="00B51A9A" w:rsidRDefault="005D1052" w:rsidP="00EB11EA">
            <w:pPr>
              <w:spacing w:line="276" w:lineRule="auto"/>
              <w:ind w:firstLine="0"/>
            </w:pPr>
            <w:r>
              <w:rPr>
                <w:rFonts w:ascii="Calibri" w:hAnsi="Calibri"/>
                <w:color w:val="000000"/>
              </w:rPr>
              <w:t>CAD</w:t>
            </w:r>
          </w:p>
        </w:tc>
        <w:tc>
          <w:tcPr>
            <w:tcW w:w="3685" w:type="dxa"/>
            <w:vAlign w:val="center"/>
          </w:tcPr>
          <w:p w:rsidR="005D1052" w:rsidRDefault="005D1052" w:rsidP="00EB11EA">
            <w:pPr>
              <w:spacing w:line="276" w:lineRule="auto"/>
              <w:ind w:firstLine="0"/>
              <w:rPr>
                <w:rFonts w:asciiTheme="majorHAnsi" w:hAnsiTheme="majorHAnsi"/>
                <w:b/>
                <w:sz w:val="32"/>
                <w:lang w:val="es-ES_tradnl"/>
              </w:rPr>
            </w:pPr>
            <w:r>
              <w:rPr>
                <w:rFonts w:ascii="Calibri" w:hAnsi="Calibri"/>
                <w:color w:val="000000"/>
              </w:rPr>
              <w:t>Computer-aided design</w:t>
            </w:r>
          </w:p>
        </w:tc>
      </w:tr>
      <w:tr w:rsidR="005D1052" w:rsidTr="00EB11EA">
        <w:trPr>
          <w:trHeight w:val="431"/>
        </w:trPr>
        <w:tc>
          <w:tcPr>
            <w:tcW w:w="959" w:type="dxa"/>
            <w:vAlign w:val="center"/>
          </w:tcPr>
          <w:p w:rsidR="005D1052" w:rsidRDefault="005D1052" w:rsidP="00EB11EA">
            <w:pPr>
              <w:spacing w:line="276" w:lineRule="auto"/>
              <w:ind w:firstLine="0"/>
              <w:rPr>
                <w:rFonts w:asciiTheme="majorHAnsi" w:hAnsiTheme="majorHAnsi"/>
                <w:b/>
                <w:sz w:val="32"/>
                <w:lang w:val="es-ES_tradnl"/>
              </w:rPr>
            </w:pPr>
            <w:r>
              <w:rPr>
                <w:rFonts w:ascii="Calibri" w:hAnsi="Calibri"/>
                <w:color w:val="000000"/>
              </w:rPr>
              <w:t>CFD</w:t>
            </w:r>
          </w:p>
        </w:tc>
        <w:tc>
          <w:tcPr>
            <w:tcW w:w="3685" w:type="dxa"/>
            <w:vAlign w:val="center"/>
          </w:tcPr>
          <w:p w:rsidR="005D1052" w:rsidRDefault="005D1052" w:rsidP="00EB11EA">
            <w:pPr>
              <w:spacing w:line="276" w:lineRule="auto"/>
              <w:ind w:firstLine="0"/>
              <w:rPr>
                <w:rFonts w:asciiTheme="majorHAnsi" w:hAnsiTheme="majorHAnsi"/>
                <w:b/>
                <w:sz w:val="32"/>
                <w:lang w:val="es-ES_tradnl"/>
              </w:rPr>
            </w:pPr>
            <w:r>
              <w:rPr>
                <w:rFonts w:ascii="Calibri" w:hAnsi="Calibri"/>
                <w:color w:val="000000"/>
              </w:rPr>
              <w:t>Computational fluid dynamic</w:t>
            </w:r>
            <w:r w:rsidR="003F0BD9">
              <w:rPr>
                <w:rFonts w:ascii="Calibri" w:hAnsi="Calibri"/>
                <w:color w:val="000000"/>
              </w:rPr>
              <w:t>s</w:t>
            </w:r>
          </w:p>
        </w:tc>
      </w:tr>
      <w:tr w:rsidR="005D1052" w:rsidTr="00EB11EA">
        <w:trPr>
          <w:trHeight w:val="431"/>
        </w:trPr>
        <w:tc>
          <w:tcPr>
            <w:tcW w:w="959" w:type="dxa"/>
            <w:vAlign w:val="center"/>
          </w:tcPr>
          <w:p w:rsidR="005D1052" w:rsidRDefault="005D1052" w:rsidP="00EB11EA">
            <w:pPr>
              <w:spacing w:line="276" w:lineRule="auto"/>
              <w:ind w:firstLine="0"/>
              <w:rPr>
                <w:rFonts w:asciiTheme="majorHAnsi" w:hAnsiTheme="majorHAnsi"/>
                <w:b/>
                <w:sz w:val="32"/>
                <w:lang w:val="es-ES_tradnl"/>
              </w:rPr>
            </w:pPr>
            <w:r>
              <w:rPr>
                <w:rFonts w:ascii="Calibri" w:hAnsi="Calibri"/>
                <w:color w:val="000000"/>
              </w:rPr>
              <w:t xml:space="preserve">CT </w:t>
            </w:r>
          </w:p>
        </w:tc>
        <w:tc>
          <w:tcPr>
            <w:tcW w:w="3685" w:type="dxa"/>
            <w:vAlign w:val="center"/>
          </w:tcPr>
          <w:p w:rsidR="005D1052" w:rsidRDefault="005D1052" w:rsidP="00EB11EA">
            <w:pPr>
              <w:spacing w:line="276" w:lineRule="auto"/>
              <w:ind w:firstLine="0"/>
              <w:rPr>
                <w:rFonts w:asciiTheme="majorHAnsi" w:hAnsiTheme="majorHAnsi"/>
                <w:b/>
                <w:sz w:val="32"/>
                <w:lang w:val="es-ES_tradnl"/>
              </w:rPr>
            </w:pPr>
            <w:r>
              <w:rPr>
                <w:rFonts w:ascii="Calibri" w:hAnsi="Calibri"/>
                <w:color w:val="000000"/>
              </w:rPr>
              <w:t>Computed tomography</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DOC</w:t>
            </w:r>
          </w:p>
        </w:tc>
        <w:tc>
          <w:tcPr>
            <w:tcW w:w="3685" w:type="dxa"/>
            <w:vAlign w:val="center"/>
          </w:tcPr>
          <w:p w:rsidR="005D1052" w:rsidRDefault="005D1052" w:rsidP="00EB11EA">
            <w:pPr>
              <w:spacing w:line="276" w:lineRule="auto"/>
              <w:ind w:firstLine="0"/>
            </w:pPr>
            <w:r>
              <w:rPr>
                <w:rFonts w:ascii="Calibri" w:hAnsi="Calibri"/>
                <w:color w:val="000000"/>
              </w:rPr>
              <w:t>Depth of correlation</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DPM</w:t>
            </w:r>
          </w:p>
        </w:tc>
        <w:tc>
          <w:tcPr>
            <w:tcW w:w="3685" w:type="dxa"/>
            <w:vAlign w:val="center"/>
          </w:tcPr>
          <w:p w:rsidR="005D1052" w:rsidRDefault="005D1052" w:rsidP="00EB11EA">
            <w:pPr>
              <w:spacing w:line="276" w:lineRule="auto"/>
              <w:ind w:firstLine="0"/>
            </w:pPr>
            <w:r>
              <w:rPr>
                <w:rFonts w:ascii="Calibri" w:hAnsi="Calibri"/>
                <w:color w:val="000000"/>
              </w:rPr>
              <w:t>Discrete Phase Model</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ECM</w:t>
            </w:r>
          </w:p>
        </w:tc>
        <w:tc>
          <w:tcPr>
            <w:tcW w:w="3685" w:type="dxa"/>
            <w:vAlign w:val="center"/>
          </w:tcPr>
          <w:p w:rsidR="005D1052" w:rsidRDefault="005D1052" w:rsidP="00EB11EA">
            <w:pPr>
              <w:spacing w:line="276" w:lineRule="auto"/>
              <w:ind w:firstLine="0"/>
            </w:pPr>
            <w:r>
              <w:rPr>
                <w:rFonts w:ascii="Calibri" w:hAnsi="Calibri"/>
                <w:color w:val="000000"/>
              </w:rPr>
              <w:t>Extracellular bone matrix</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FDA</w:t>
            </w:r>
          </w:p>
        </w:tc>
        <w:tc>
          <w:tcPr>
            <w:tcW w:w="3685" w:type="dxa"/>
            <w:vAlign w:val="center"/>
          </w:tcPr>
          <w:p w:rsidR="005D1052" w:rsidRDefault="005D1052" w:rsidP="00EB11EA">
            <w:pPr>
              <w:spacing w:line="276" w:lineRule="auto"/>
              <w:ind w:firstLine="0"/>
            </w:pPr>
            <w:r>
              <w:rPr>
                <w:rFonts w:ascii="Calibri" w:hAnsi="Calibri"/>
                <w:color w:val="000000"/>
              </w:rPr>
              <w:t>Food and Drug Administration</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FDM</w:t>
            </w:r>
          </w:p>
        </w:tc>
        <w:tc>
          <w:tcPr>
            <w:tcW w:w="3685" w:type="dxa"/>
            <w:vAlign w:val="center"/>
          </w:tcPr>
          <w:p w:rsidR="005D1052" w:rsidRDefault="005D1052" w:rsidP="00EB11EA">
            <w:pPr>
              <w:spacing w:line="276" w:lineRule="auto"/>
              <w:ind w:firstLine="0"/>
            </w:pPr>
            <w:r>
              <w:rPr>
                <w:rFonts w:ascii="Calibri" w:hAnsi="Calibri"/>
                <w:color w:val="000000"/>
              </w:rPr>
              <w:t>Fused deposition modelling</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FE</w:t>
            </w:r>
          </w:p>
        </w:tc>
        <w:tc>
          <w:tcPr>
            <w:tcW w:w="3685" w:type="dxa"/>
            <w:vAlign w:val="center"/>
          </w:tcPr>
          <w:p w:rsidR="005D1052" w:rsidRDefault="005D1052" w:rsidP="00EB11EA">
            <w:pPr>
              <w:spacing w:line="276" w:lineRule="auto"/>
              <w:ind w:firstLine="0"/>
            </w:pPr>
            <w:r>
              <w:rPr>
                <w:rFonts w:ascii="Calibri" w:hAnsi="Calibri"/>
                <w:color w:val="000000"/>
              </w:rPr>
              <w:t>Finite element</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GMP</w:t>
            </w:r>
          </w:p>
        </w:tc>
        <w:tc>
          <w:tcPr>
            <w:tcW w:w="3685" w:type="dxa"/>
            <w:vAlign w:val="center"/>
          </w:tcPr>
          <w:p w:rsidR="005D1052" w:rsidRDefault="005D1052" w:rsidP="00EB11EA">
            <w:pPr>
              <w:spacing w:line="276" w:lineRule="auto"/>
              <w:ind w:firstLine="0"/>
            </w:pPr>
            <w:r>
              <w:rPr>
                <w:rFonts w:ascii="Calibri" w:hAnsi="Calibri"/>
                <w:color w:val="000000"/>
              </w:rPr>
              <w:t>Good Manufacturing Practice</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HA</w:t>
            </w:r>
          </w:p>
        </w:tc>
        <w:tc>
          <w:tcPr>
            <w:tcW w:w="3685" w:type="dxa"/>
            <w:vAlign w:val="center"/>
          </w:tcPr>
          <w:p w:rsidR="005D1052" w:rsidRDefault="005D1052" w:rsidP="00EB11EA">
            <w:pPr>
              <w:spacing w:line="276" w:lineRule="auto"/>
              <w:ind w:firstLine="0"/>
            </w:pPr>
            <w:r>
              <w:rPr>
                <w:rFonts w:ascii="Calibri" w:hAnsi="Calibri"/>
                <w:color w:val="000000"/>
              </w:rPr>
              <w:t>Hydroxyapatite</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hMSCs</w:t>
            </w:r>
          </w:p>
        </w:tc>
        <w:tc>
          <w:tcPr>
            <w:tcW w:w="3685" w:type="dxa"/>
            <w:vAlign w:val="center"/>
          </w:tcPr>
          <w:p w:rsidR="005D1052" w:rsidRDefault="005D1052" w:rsidP="00EB11EA">
            <w:pPr>
              <w:spacing w:line="276" w:lineRule="auto"/>
              <w:ind w:firstLine="0"/>
            </w:pPr>
            <w:r>
              <w:rPr>
                <w:rFonts w:ascii="Calibri" w:hAnsi="Calibri"/>
                <w:color w:val="000000"/>
              </w:rPr>
              <w:t>Human mesenchymal stem cells</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MRI</w:t>
            </w:r>
          </w:p>
        </w:tc>
        <w:tc>
          <w:tcPr>
            <w:tcW w:w="3685" w:type="dxa"/>
            <w:vAlign w:val="center"/>
          </w:tcPr>
          <w:p w:rsidR="005D1052" w:rsidRDefault="005D1052" w:rsidP="00EB11EA">
            <w:pPr>
              <w:spacing w:line="276" w:lineRule="auto"/>
              <w:ind w:firstLine="0"/>
            </w:pPr>
            <w:r>
              <w:rPr>
                <w:rFonts w:ascii="Calibri" w:hAnsi="Calibri"/>
                <w:color w:val="000000"/>
              </w:rPr>
              <w:t>Magnetic resonance imaging</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PCL</w:t>
            </w:r>
          </w:p>
        </w:tc>
        <w:tc>
          <w:tcPr>
            <w:tcW w:w="3685" w:type="dxa"/>
            <w:vAlign w:val="center"/>
          </w:tcPr>
          <w:p w:rsidR="005D1052" w:rsidRDefault="005D1052" w:rsidP="00EB11EA">
            <w:pPr>
              <w:spacing w:line="276" w:lineRule="auto"/>
              <w:ind w:firstLine="0"/>
            </w:pPr>
            <w:r>
              <w:rPr>
                <w:rFonts w:ascii="Calibri" w:hAnsi="Calibri"/>
                <w:color w:val="000000"/>
              </w:rPr>
              <w:t>Polycaprolactone</w:t>
            </w:r>
          </w:p>
        </w:tc>
      </w:tr>
      <w:tr w:rsidR="005D1052" w:rsidTr="00EB11EA">
        <w:trPr>
          <w:trHeight w:val="431"/>
        </w:trPr>
        <w:tc>
          <w:tcPr>
            <w:tcW w:w="959" w:type="dxa"/>
            <w:vAlign w:val="center"/>
          </w:tcPr>
          <w:p w:rsidR="005D1052" w:rsidRDefault="005D1052" w:rsidP="00EB11EA">
            <w:pPr>
              <w:spacing w:line="276" w:lineRule="auto"/>
              <w:ind w:firstLine="0"/>
              <w:rPr>
                <w:rFonts w:ascii="Calibri" w:hAnsi="Calibri"/>
                <w:color w:val="000000"/>
              </w:rPr>
            </w:pPr>
            <w:r>
              <w:rPr>
                <w:rFonts w:ascii="Calibri" w:hAnsi="Calibri"/>
                <w:color w:val="000000"/>
              </w:rPr>
              <w:t>PDMS</w:t>
            </w:r>
          </w:p>
        </w:tc>
        <w:tc>
          <w:tcPr>
            <w:tcW w:w="3685" w:type="dxa"/>
            <w:vAlign w:val="center"/>
          </w:tcPr>
          <w:p w:rsidR="005D1052" w:rsidRDefault="005D1052" w:rsidP="00EB11EA">
            <w:pPr>
              <w:spacing w:line="276" w:lineRule="auto"/>
              <w:ind w:firstLine="0"/>
              <w:rPr>
                <w:rFonts w:ascii="Calibri" w:hAnsi="Calibri"/>
                <w:color w:val="000000"/>
              </w:rPr>
            </w:pPr>
            <w:r w:rsidRPr="003C67C3">
              <w:t>Polydimethylsiloxane</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PGA</w:t>
            </w:r>
          </w:p>
        </w:tc>
        <w:tc>
          <w:tcPr>
            <w:tcW w:w="3685" w:type="dxa"/>
            <w:vAlign w:val="center"/>
          </w:tcPr>
          <w:p w:rsidR="005D1052" w:rsidRDefault="005D1052" w:rsidP="00EB11EA">
            <w:pPr>
              <w:spacing w:line="276" w:lineRule="auto"/>
              <w:ind w:firstLine="0"/>
            </w:pPr>
            <w:r>
              <w:rPr>
                <w:rFonts w:ascii="Calibri" w:hAnsi="Calibri"/>
                <w:color w:val="000000"/>
              </w:rPr>
              <w:t>Poly-(glycol-acid)</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PGE</w:t>
            </w:r>
          </w:p>
        </w:tc>
        <w:tc>
          <w:tcPr>
            <w:tcW w:w="3685" w:type="dxa"/>
            <w:vAlign w:val="center"/>
          </w:tcPr>
          <w:p w:rsidR="005D1052" w:rsidRDefault="005D1052" w:rsidP="00EB11EA">
            <w:pPr>
              <w:spacing w:line="276" w:lineRule="auto"/>
              <w:ind w:firstLine="0"/>
            </w:pPr>
            <w:r>
              <w:rPr>
                <w:rFonts w:ascii="Calibri" w:hAnsi="Calibri"/>
                <w:color w:val="000000"/>
              </w:rPr>
              <w:t>Poly-ethylene glycol</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PIV</w:t>
            </w:r>
          </w:p>
        </w:tc>
        <w:tc>
          <w:tcPr>
            <w:tcW w:w="3685" w:type="dxa"/>
            <w:vAlign w:val="center"/>
          </w:tcPr>
          <w:p w:rsidR="005D1052" w:rsidRDefault="005D1052" w:rsidP="00EB11EA">
            <w:pPr>
              <w:spacing w:line="276" w:lineRule="auto"/>
              <w:ind w:firstLine="0"/>
            </w:pPr>
            <w:r>
              <w:rPr>
                <w:rFonts w:ascii="Calibri" w:hAnsi="Calibri"/>
                <w:color w:val="000000"/>
              </w:rPr>
              <w:t>Particle image velocimetry</w:t>
            </w:r>
          </w:p>
        </w:tc>
      </w:tr>
      <w:tr w:rsidR="005D1052"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PLA</w:t>
            </w:r>
          </w:p>
        </w:tc>
        <w:tc>
          <w:tcPr>
            <w:tcW w:w="3685" w:type="dxa"/>
            <w:vAlign w:val="center"/>
          </w:tcPr>
          <w:p w:rsidR="005D1052" w:rsidRDefault="005D1052" w:rsidP="00EB11EA">
            <w:pPr>
              <w:spacing w:line="276" w:lineRule="auto"/>
              <w:ind w:firstLine="0"/>
            </w:pPr>
            <w:r>
              <w:rPr>
                <w:rFonts w:ascii="Calibri" w:hAnsi="Calibri"/>
                <w:color w:val="000000"/>
              </w:rPr>
              <w:t>Poly-(latic-acid)</w:t>
            </w:r>
          </w:p>
        </w:tc>
      </w:tr>
      <w:tr w:rsidR="005D1052" w:rsidRPr="00A8619D"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PLGA</w:t>
            </w:r>
          </w:p>
        </w:tc>
        <w:tc>
          <w:tcPr>
            <w:tcW w:w="3685" w:type="dxa"/>
            <w:vAlign w:val="center"/>
          </w:tcPr>
          <w:p w:rsidR="005D1052" w:rsidRDefault="005D1052" w:rsidP="00EB11EA">
            <w:pPr>
              <w:spacing w:line="276" w:lineRule="auto"/>
              <w:ind w:firstLine="0"/>
            </w:pPr>
            <w:r>
              <w:rPr>
                <w:rFonts w:ascii="Calibri" w:hAnsi="Calibri"/>
                <w:color w:val="000000"/>
              </w:rPr>
              <w:t>Poly(lactic-co-glycolic acid)</w:t>
            </w:r>
          </w:p>
        </w:tc>
      </w:tr>
      <w:tr w:rsidR="005D1052" w:rsidRPr="003A1FC3"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lastRenderedPageBreak/>
              <w:t>PTV</w:t>
            </w:r>
          </w:p>
        </w:tc>
        <w:tc>
          <w:tcPr>
            <w:tcW w:w="3685" w:type="dxa"/>
            <w:vAlign w:val="center"/>
          </w:tcPr>
          <w:p w:rsidR="005D1052" w:rsidRDefault="005D1052" w:rsidP="00EB11EA">
            <w:pPr>
              <w:spacing w:line="276" w:lineRule="auto"/>
              <w:ind w:firstLine="0"/>
            </w:pPr>
            <w:r>
              <w:rPr>
                <w:rFonts w:ascii="Calibri" w:hAnsi="Calibri"/>
                <w:color w:val="000000"/>
              </w:rPr>
              <w:t>Particle tracking velocimetry</w:t>
            </w:r>
          </w:p>
        </w:tc>
      </w:tr>
      <w:tr w:rsidR="005D1052" w:rsidRPr="003A1FC3"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RBCs</w:t>
            </w:r>
          </w:p>
        </w:tc>
        <w:tc>
          <w:tcPr>
            <w:tcW w:w="3685" w:type="dxa"/>
            <w:vAlign w:val="center"/>
          </w:tcPr>
          <w:p w:rsidR="005D1052" w:rsidRDefault="005D1052" w:rsidP="00EB11EA">
            <w:pPr>
              <w:spacing w:line="276" w:lineRule="auto"/>
              <w:ind w:firstLine="0"/>
            </w:pPr>
            <w:r>
              <w:rPr>
                <w:rFonts w:ascii="Calibri" w:hAnsi="Calibri"/>
                <w:color w:val="000000"/>
              </w:rPr>
              <w:t>Red blood cells</w:t>
            </w:r>
          </w:p>
        </w:tc>
      </w:tr>
      <w:tr w:rsidR="005D1052" w:rsidRPr="003A1FC3"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RP</w:t>
            </w:r>
          </w:p>
        </w:tc>
        <w:tc>
          <w:tcPr>
            <w:tcW w:w="3685" w:type="dxa"/>
            <w:vAlign w:val="center"/>
          </w:tcPr>
          <w:p w:rsidR="005D1052" w:rsidRDefault="005D1052" w:rsidP="00EB11EA">
            <w:pPr>
              <w:spacing w:line="276" w:lineRule="auto"/>
              <w:ind w:firstLine="0"/>
            </w:pPr>
            <w:r>
              <w:rPr>
                <w:rFonts w:ascii="Calibri" w:hAnsi="Calibri"/>
                <w:color w:val="000000"/>
              </w:rPr>
              <w:t>Rapid prototyping</w:t>
            </w:r>
          </w:p>
        </w:tc>
      </w:tr>
      <w:tr w:rsidR="005D1052" w:rsidRPr="003A1FC3"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SLA</w:t>
            </w:r>
          </w:p>
        </w:tc>
        <w:tc>
          <w:tcPr>
            <w:tcW w:w="3685" w:type="dxa"/>
            <w:vAlign w:val="center"/>
          </w:tcPr>
          <w:p w:rsidR="005D1052" w:rsidRDefault="005D1052" w:rsidP="00EB11EA">
            <w:pPr>
              <w:spacing w:line="276" w:lineRule="auto"/>
              <w:ind w:firstLine="0"/>
            </w:pPr>
            <w:r>
              <w:rPr>
                <w:rFonts w:ascii="Calibri" w:hAnsi="Calibri"/>
                <w:color w:val="000000"/>
              </w:rPr>
              <w:t>Stereolithography</w:t>
            </w:r>
          </w:p>
        </w:tc>
      </w:tr>
      <w:tr w:rsidR="005D1052" w:rsidRPr="003A1FC3"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SLS</w:t>
            </w:r>
          </w:p>
        </w:tc>
        <w:tc>
          <w:tcPr>
            <w:tcW w:w="3685" w:type="dxa"/>
            <w:vAlign w:val="center"/>
          </w:tcPr>
          <w:p w:rsidR="005D1052" w:rsidRDefault="005D1052" w:rsidP="00EB11EA">
            <w:pPr>
              <w:spacing w:line="276" w:lineRule="auto"/>
              <w:ind w:firstLine="0"/>
            </w:pPr>
            <w:r>
              <w:rPr>
                <w:rFonts w:ascii="Calibri" w:hAnsi="Calibri"/>
                <w:color w:val="000000"/>
              </w:rPr>
              <w:t>Selective laser sintering</w:t>
            </w:r>
          </w:p>
        </w:tc>
      </w:tr>
      <w:tr w:rsidR="005D1052" w:rsidRPr="003A1FC3"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TCP</w:t>
            </w:r>
          </w:p>
        </w:tc>
        <w:tc>
          <w:tcPr>
            <w:tcW w:w="3685" w:type="dxa"/>
            <w:vAlign w:val="center"/>
          </w:tcPr>
          <w:p w:rsidR="005D1052" w:rsidRDefault="005D1052" w:rsidP="00EB11EA">
            <w:pPr>
              <w:spacing w:line="276" w:lineRule="auto"/>
              <w:ind w:firstLine="0"/>
            </w:pPr>
            <w:r>
              <w:rPr>
                <w:rFonts w:ascii="Calibri" w:hAnsi="Calibri"/>
                <w:color w:val="000000"/>
              </w:rPr>
              <w:t>Tri-calcium phosphate</w:t>
            </w:r>
          </w:p>
        </w:tc>
      </w:tr>
      <w:tr w:rsidR="005D1052" w:rsidRPr="003A1FC3"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TE</w:t>
            </w:r>
          </w:p>
        </w:tc>
        <w:tc>
          <w:tcPr>
            <w:tcW w:w="3685" w:type="dxa"/>
            <w:vAlign w:val="center"/>
          </w:tcPr>
          <w:p w:rsidR="005D1052" w:rsidRDefault="005D1052" w:rsidP="00EB11EA">
            <w:pPr>
              <w:spacing w:line="276" w:lineRule="auto"/>
              <w:ind w:firstLine="0"/>
            </w:pPr>
            <w:r>
              <w:rPr>
                <w:rFonts w:ascii="Calibri" w:hAnsi="Calibri"/>
                <w:color w:val="000000"/>
              </w:rPr>
              <w:t>Tissue engineering</w:t>
            </w:r>
          </w:p>
        </w:tc>
      </w:tr>
      <w:tr w:rsidR="005D1052" w:rsidRPr="003A1FC3"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UDF</w:t>
            </w:r>
          </w:p>
        </w:tc>
        <w:tc>
          <w:tcPr>
            <w:tcW w:w="3685" w:type="dxa"/>
            <w:vAlign w:val="center"/>
          </w:tcPr>
          <w:p w:rsidR="005D1052" w:rsidRDefault="005D1052" w:rsidP="00EB11EA">
            <w:pPr>
              <w:spacing w:line="276" w:lineRule="auto"/>
              <w:ind w:firstLine="0"/>
            </w:pPr>
            <w:r>
              <w:rPr>
                <w:rFonts w:ascii="Calibri" w:hAnsi="Calibri"/>
                <w:color w:val="000000"/>
              </w:rPr>
              <w:t>User defined function</w:t>
            </w:r>
          </w:p>
        </w:tc>
      </w:tr>
      <w:tr w:rsidR="005D1052" w:rsidRPr="003A1FC3"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WSS</w:t>
            </w:r>
          </w:p>
        </w:tc>
        <w:tc>
          <w:tcPr>
            <w:tcW w:w="3685" w:type="dxa"/>
            <w:vAlign w:val="center"/>
          </w:tcPr>
          <w:p w:rsidR="005D1052" w:rsidRDefault="005D1052" w:rsidP="00EB11EA">
            <w:pPr>
              <w:spacing w:line="276" w:lineRule="auto"/>
              <w:ind w:firstLine="0"/>
            </w:pPr>
            <w:r>
              <w:rPr>
                <w:rFonts w:ascii="Calibri" w:hAnsi="Calibri"/>
                <w:color w:val="000000"/>
              </w:rPr>
              <w:t>Wall shear stress</w:t>
            </w:r>
          </w:p>
        </w:tc>
      </w:tr>
      <w:tr w:rsidR="005D1052" w:rsidRPr="003A1FC3"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2D</w:t>
            </w:r>
          </w:p>
        </w:tc>
        <w:tc>
          <w:tcPr>
            <w:tcW w:w="3685" w:type="dxa"/>
            <w:vAlign w:val="center"/>
          </w:tcPr>
          <w:p w:rsidR="005D1052" w:rsidRDefault="005D1052" w:rsidP="00EB11EA">
            <w:pPr>
              <w:spacing w:line="276" w:lineRule="auto"/>
              <w:ind w:firstLine="0"/>
            </w:pPr>
            <w:r>
              <w:rPr>
                <w:rFonts w:ascii="Calibri" w:hAnsi="Calibri"/>
                <w:color w:val="000000"/>
              </w:rPr>
              <w:t>Two-dimensional</w:t>
            </w:r>
          </w:p>
        </w:tc>
      </w:tr>
      <w:tr w:rsidR="005D1052" w:rsidRPr="003A1FC3" w:rsidTr="00EB11EA">
        <w:trPr>
          <w:trHeight w:val="431"/>
        </w:trPr>
        <w:tc>
          <w:tcPr>
            <w:tcW w:w="959" w:type="dxa"/>
            <w:vAlign w:val="center"/>
          </w:tcPr>
          <w:p w:rsidR="005D1052" w:rsidRDefault="005D1052" w:rsidP="00EB11EA">
            <w:pPr>
              <w:spacing w:line="276" w:lineRule="auto"/>
              <w:ind w:firstLine="0"/>
            </w:pPr>
            <w:r>
              <w:rPr>
                <w:rFonts w:ascii="Calibri" w:hAnsi="Calibri"/>
                <w:color w:val="000000"/>
              </w:rPr>
              <w:t>3D</w:t>
            </w:r>
          </w:p>
        </w:tc>
        <w:tc>
          <w:tcPr>
            <w:tcW w:w="3685" w:type="dxa"/>
            <w:vAlign w:val="center"/>
          </w:tcPr>
          <w:p w:rsidR="005D1052" w:rsidRDefault="005D1052" w:rsidP="00EB11EA">
            <w:pPr>
              <w:spacing w:line="276" w:lineRule="auto"/>
              <w:ind w:firstLine="0"/>
            </w:pPr>
            <w:r>
              <w:rPr>
                <w:rFonts w:ascii="Calibri" w:hAnsi="Calibri"/>
                <w:color w:val="000000"/>
              </w:rPr>
              <w:t>Three dimensional</w:t>
            </w:r>
          </w:p>
        </w:tc>
      </w:tr>
      <w:tr w:rsidR="005D1052" w:rsidRPr="003A1FC3" w:rsidTr="00EB11EA">
        <w:trPr>
          <w:trHeight w:val="431"/>
        </w:trPr>
        <w:tc>
          <w:tcPr>
            <w:tcW w:w="959" w:type="dxa"/>
            <w:vAlign w:val="center"/>
          </w:tcPr>
          <w:p w:rsidR="005D1052" w:rsidRDefault="005D1052" w:rsidP="00EB11EA">
            <w:pPr>
              <w:spacing w:line="276" w:lineRule="auto"/>
              <w:ind w:firstLine="0"/>
              <w:rPr>
                <w:rFonts w:ascii="Calibri" w:hAnsi="Calibri"/>
                <w:color w:val="000000"/>
              </w:rPr>
            </w:pPr>
          </w:p>
        </w:tc>
        <w:tc>
          <w:tcPr>
            <w:tcW w:w="3685" w:type="dxa"/>
            <w:vAlign w:val="center"/>
          </w:tcPr>
          <w:p w:rsidR="005D1052" w:rsidRDefault="005D1052" w:rsidP="00EB11EA">
            <w:pPr>
              <w:spacing w:line="276" w:lineRule="auto"/>
              <w:ind w:firstLine="0"/>
              <w:rPr>
                <w:rFonts w:ascii="Calibri" w:hAnsi="Calibri"/>
                <w:color w:val="000000"/>
              </w:rPr>
            </w:pPr>
          </w:p>
        </w:tc>
      </w:tr>
      <w:tr w:rsidR="005D1052" w:rsidRPr="003A1FC3" w:rsidTr="00EB11EA">
        <w:trPr>
          <w:trHeight w:val="431"/>
        </w:trPr>
        <w:tc>
          <w:tcPr>
            <w:tcW w:w="959" w:type="dxa"/>
            <w:vAlign w:val="center"/>
          </w:tcPr>
          <w:p w:rsidR="005D1052" w:rsidRDefault="005D1052" w:rsidP="00EB11EA">
            <w:pPr>
              <w:spacing w:line="276" w:lineRule="auto"/>
              <w:ind w:firstLine="0"/>
              <w:rPr>
                <w:rFonts w:ascii="Calibri" w:hAnsi="Calibri"/>
                <w:color w:val="000000"/>
              </w:rPr>
            </w:pPr>
          </w:p>
        </w:tc>
        <w:tc>
          <w:tcPr>
            <w:tcW w:w="3685" w:type="dxa"/>
            <w:vAlign w:val="center"/>
          </w:tcPr>
          <w:p w:rsidR="005D1052" w:rsidRDefault="005D1052" w:rsidP="00EB11EA">
            <w:pPr>
              <w:spacing w:line="276" w:lineRule="auto"/>
              <w:ind w:firstLine="0"/>
              <w:rPr>
                <w:rFonts w:ascii="Calibri" w:hAnsi="Calibri"/>
                <w:color w:val="000000"/>
              </w:rPr>
            </w:pPr>
          </w:p>
        </w:tc>
      </w:tr>
    </w:tbl>
    <w:p w:rsidR="005D1052" w:rsidRPr="00B97135" w:rsidRDefault="005D1052" w:rsidP="005D1052">
      <w:pPr>
        <w:spacing w:line="276" w:lineRule="auto"/>
        <w:ind w:firstLine="0"/>
      </w:pPr>
    </w:p>
    <w:p w:rsidR="005D1052" w:rsidRDefault="005D1052" w:rsidP="005D1052">
      <w:pPr>
        <w:ind w:firstLine="0"/>
        <w:rPr>
          <w:b/>
        </w:rPr>
      </w:pPr>
    </w:p>
    <w:p w:rsidR="005D1052" w:rsidRDefault="005D1052" w:rsidP="005D1052">
      <w:pPr>
        <w:spacing w:line="276" w:lineRule="auto"/>
        <w:ind w:firstLine="0"/>
        <w:jc w:val="left"/>
        <w:rPr>
          <w:b/>
        </w:rPr>
      </w:pPr>
      <w:r>
        <w:rPr>
          <w:b/>
        </w:rPr>
        <w:br w:type="page"/>
      </w:r>
    </w:p>
    <w:p w:rsidR="005D1052" w:rsidRDefault="005D1052" w:rsidP="005D1052">
      <w:pPr>
        <w:ind w:firstLine="0"/>
        <w:rPr>
          <w:b/>
        </w:rPr>
        <w:sectPr w:rsidR="005D1052" w:rsidSect="00EB11EA">
          <w:footerReference w:type="even" r:id="rId16"/>
          <w:footerReference w:type="default" r:id="rId17"/>
          <w:pgSz w:w="11900" w:h="16840" w:code="9"/>
          <w:pgMar w:top="2268" w:right="1134" w:bottom="1701" w:left="2268" w:header="284" w:footer="454" w:gutter="0"/>
          <w:pgNumType w:fmt="lowerRoman" w:start="1" w:chapSep="emDash"/>
          <w:cols w:space="708"/>
          <w:docGrid w:linePitch="360"/>
        </w:sectPr>
      </w:pPr>
    </w:p>
    <w:p w:rsidR="005D1052" w:rsidRPr="00DD2B9C" w:rsidRDefault="005D1052" w:rsidP="005D1052">
      <w:pPr>
        <w:pStyle w:val="Heading1"/>
      </w:pPr>
      <w:bookmarkStart w:id="1" w:name="_Toc420596676"/>
      <w:bookmarkStart w:id="2" w:name="_Toc310605571"/>
      <w:bookmarkStart w:id="3" w:name="_Toc310605866"/>
      <w:bookmarkStart w:id="4" w:name="_Toc440823165"/>
      <w:r w:rsidRPr="00493168">
        <w:lastRenderedPageBreak/>
        <w:t>Introduction</w:t>
      </w:r>
      <w:bookmarkEnd w:id="1"/>
      <w:bookmarkEnd w:id="2"/>
      <w:bookmarkEnd w:id="3"/>
      <w:bookmarkEnd w:id="4"/>
    </w:p>
    <w:p w:rsidR="005D1052" w:rsidRPr="003537C0" w:rsidRDefault="005D1052" w:rsidP="005D1052"/>
    <w:p w:rsidR="005D1052" w:rsidRPr="00013517" w:rsidRDefault="005D1052" w:rsidP="005D1052">
      <w:pPr>
        <w:pStyle w:val="Quote"/>
        <w:rPr>
          <w:b/>
        </w:rPr>
      </w:pPr>
      <w:r w:rsidRPr="00013517">
        <w:rPr>
          <w:b/>
        </w:rPr>
        <w:t>Summary</w:t>
      </w:r>
    </w:p>
    <w:p w:rsidR="005D1052" w:rsidRPr="0018205F" w:rsidRDefault="005D1052" w:rsidP="005D1052">
      <w:pPr>
        <w:pStyle w:val="Quote"/>
      </w:pPr>
      <w:r>
        <w:t>This chapter introduces the current surgical procedures for bone grafting in clinical practice. Tissue engineering is presented as a promising alternative to overcome the limitations of current treatments and provide patient-specific grafts with excellent biomechanical properties. This emerging field is developing towards the translation into the clinics and in silico methods can help to understand tissue regeneration processes and define the steps involved in tissue engineering. The thesis proposal is presented including general objectives and specific aims targeted throughout the chapters of this thesis.</w:t>
      </w:r>
    </w:p>
    <w:p w:rsidR="005D1052" w:rsidRPr="005B63E6" w:rsidRDefault="005D1052" w:rsidP="005D1052">
      <w:pPr>
        <w:pStyle w:val="Heading2"/>
      </w:pPr>
      <w:bookmarkStart w:id="5" w:name="_Toc440823166"/>
      <w:r>
        <w:t>Tissue engineering</w:t>
      </w:r>
      <w:bookmarkEnd w:id="5"/>
    </w:p>
    <w:p w:rsidR="005D1052" w:rsidRDefault="005D1052" w:rsidP="005D1052">
      <w:r>
        <w:rPr>
          <w:color w:val="000000" w:themeColor="text1"/>
        </w:rPr>
        <w:t xml:space="preserve">Repairing skeletal defects has been the concern of mankind for thousands of years. There are evidences that bone grafting existed back to the prehistoric period. A skull dating from 2,000 BC from the prehistoric people known as Khurits was examined. A bone graft from an animal was found to be implanted at the injured site and the anthropologists could establish that there was bone regrowth around the graph </w:t>
      </w:r>
      <w:r>
        <w:rPr>
          <w:color w:val="000000" w:themeColor="text1"/>
        </w:rPr>
        <w:fldChar w:fldCharType="begin" w:fldLock="1"/>
      </w:r>
      <w:r>
        <w:rPr>
          <w:color w:val="000000" w:themeColor="text1"/>
        </w:rPr>
        <w:instrText>ADDIN CSL_CITATION { "citationItems" : [ { "id" : "ITEM-1", "itemData" : { "DOI" : "10.1080/17453670610013376", "abstract" : "Vittorio Putti has been recognized as one of the founders of orthopedic science. He wrote a number of original papers on different topics from his vast experience of orthopedics. In a paper on bone grafting dated 1912, Putti demonstrated his modern way of thinking by his ability to study past experiences critically and by his willingness to compare his own experiences with those of other orthopedic surgeons. Putti's paper proposes principles that still apply today, and which can be considered as the basis of the modern science of grafting. The results of his work can be summarized as follows: a) The uniformity of bone graft integration processes, and a marked reduction in integration capacity in heteroplastic grafts. b) The osteogenetic incapability of the graft as opposed to the osteogenetic capability of the periosteum. c) Marked reduction in the biological capability of bone that has been treated with preservatives, boiled, or macerated. d) The importance of the quality of the tissues in which the bone graft is inserted, including the mechanical characteristics of the graft and its fixation. e) The importance of asepsis. f) The importance of functional exercise. These important experiences were achieved without Putti having any knowledge of immunology, vascular surgery, tissue preservation or non decalcified histology techniques.", "author" : [ { "family" : "Donati", "given" : "Davide" }, { "family" : "Zolezzi", "given" : "Carola" }, { "family" : "Tomba", "given" : "Patrizia" }, { "family" : "Vigan\u00f2", "given" : "Anna" } ], "container-title" : "Acta orthopaedica", "id" : "ITEM-1", "issue" : "December", "issued" : { "date-parts" : [ [ "2007" ] ] }, "page" : "19-25", "title" : "Bone grafting: historical and conceptual review, starting with an old manuscript by Vittorio Putti.", "type" : "article-journal", "volume" : "78" }, "uris" : [ "http://www.mendeley.com/documents/?uuid=add34a96-f837-4f14-9891-65649cd66be9" ] } ], "mendeley" : { "formattedCitation" : "[1]", "plainTextFormattedCitation" : "[1]", "previouslyFormattedCitation" : "[1]" }, "properties" : { "noteIndex" : 0 }, "schema" : "https://github.com/citation-style-language/schema/raw/master/csl-citation.json" }</w:instrText>
      </w:r>
      <w:r>
        <w:rPr>
          <w:color w:val="000000" w:themeColor="text1"/>
        </w:rPr>
        <w:fldChar w:fldCharType="separate"/>
      </w:r>
      <w:r w:rsidRPr="00AC77E4">
        <w:rPr>
          <w:noProof/>
          <w:color w:val="000000" w:themeColor="text1"/>
        </w:rPr>
        <w:t>[1]</w:t>
      </w:r>
      <w:r>
        <w:rPr>
          <w:color w:val="000000" w:themeColor="text1"/>
        </w:rPr>
        <w:fldChar w:fldCharType="end"/>
      </w:r>
      <w:r>
        <w:rPr>
          <w:color w:val="000000" w:themeColor="text1"/>
        </w:rPr>
        <w:t xml:space="preserve">. In addition, there are studies suggesting that Egyptians treated fractures and that they performed what it could be the oldest intravital limb prosthesis </w:t>
      </w:r>
      <w:r>
        <w:rPr>
          <w:color w:val="000000" w:themeColor="text1"/>
        </w:rPr>
        <w:fldChar w:fldCharType="begin" w:fldLock="1"/>
      </w:r>
      <w:r>
        <w:rPr>
          <w:color w:val="000000" w:themeColor="text1"/>
        </w:rPr>
        <w:instrText>ADDIN CSL_CITATION { "citationItems" : [ { "id" : "ITEM-1", "itemData" : { "DOI" : "10.1016/S0140-6736(00)03507-8", "ISBN" : "0140-6736", "abstract" : "Up to now, there has been mainly indirect evidence from written sources that the ancient Egyptians practised surgery, and none that their medical treatments also included therapeutic replacement of amputated limbs with prostheses. Medical papyri describe treatment of traumatic lesions, but fail specifically to mention the use of surgery. However, findings such as an externally treated fracture of the forearm with wooden splints 1 and a 19th dynasty bone (circa 2100 BC) from a presumabl ...", "author" : [ { "family" : "Nerlich", "given" : "a. G." }, { "family" : "Zink", "given" : "a." }, { "family" : "Szeimies", "given" : "U." }, { "family" : "Hagedorn", "given" : "H. G." } ], "container-title" : "Lancet", "id" : "ITEM-1", "issued" : { "date-parts" : [ [ "2000" ] ] }, "page" : "2176-2179", "title" : "Ancient Egyptian prosthesis of the big toe", "type" : "article-journal", "volume" : "356" }, "uris" : [ "http://www.mendeley.com/documents/?uuid=8494cb36-77ec-4a8a-9c99-9d1b9bda471a" ] } ], "mendeley" : { "formattedCitation" : "[2]", "plainTextFormattedCitation" : "[2]", "previouslyFormattedCitation" : "[2]" }, "properties" : { "noteIndex" : 0 }, "schema" : "https://github.com/citation-style-language/schema/raw/master/csl-citation.json" }</w:instrText>
      </w:r>
      <w:r>
        <w:rPr>
          <w:color w:val="000000" w:themeColor="text1"/>
        </w:rPr>
        <w:fldChar w:fldCharType="separate"/>
      </w:r>
      <w:r w:rsidRPr="00591A89">
        <w:rPr>
          <w:noProof/>
          <w:color w:val="000000" w:themeColor="text1"/>
        </w:rPr>
        <w:t>[2]</w:t>
      </w:r>
      <w:r>
        <w:rPr>
          <w:color w:val="000000" w:themeColor="text1"/>
        </w:rPr>
        <w:fldChar w:fldCharType="end"/>
      </w:r>
      <w:r>
        <w:rPr>
          <w:color w:val="000000" w:themeColor="text1"/>
        </w:rPr>
        <w:t>. In modern clinical practice, surgeons consider autologous grafts the gold standard treatment for bone injury</w:t>
      </w:r>
      <w:r>
        <w:rPr>
          <w:b/>
        </w:rPr>
        <w:t xml:space="preserve">. </w:t>
      </w:r>
      <w:r w:rsidRPr="00F2747C">
        <w:t>Autographs</w:t>
      </w:r>
      <w:r>
        <w:t xml:space="preserve"> show excellent biological properties in terms of osteoinduction, osteoconduction and supply of bone forming cells </w:t>
      </w:r>
      <w:r>
        <w:fldChar w:fldCharType="begin" w:fldLock="1"/>
      </w:r>
      <w:r>
        <w:instrText>ADDIN CSL_CITATION { "citationItems" : [ { "id" : "ITEM-1", "itemData" : { "DOI" : "10.1111/clr.12647", "author" : [ { "family" : "Miron", "given" : "Richard J." }, { "family" : "Sculean", "given" : "Anton" }, { "family" : "Shuang", "given" : "Yang" }, { "family" : "Bosshardt", "given" : "Dieter D." }, { "family" : "Gruber", "given" : "Reinhard" }, { "family" : "Buser", "given" : "Daniel" }, { "family" : "Chandad", "given" : "Fatiha" }, { "family" : "Zhang", "given" : "Yufeng" } ], "container-title" : "Clinical Oral Implants Research", "id" : "ITEM-1", "issued" : { "date-parts" : [ [ "2015" ] ] }, "page" : "n/a-n/a", "title" : "Osteoinductive potential of a novel biphasic calcium phosphate bone graft in comparison with autographs, xenografts, and DFDBA", "type" : "article-journal" }, "uris" : [ "http://www.mendeley.com/documents/?uuid=845f6c30-01ef-4a82-a49a-cce9c35335bb" ] } ], "mendeley" : { "formattedCitation" : "[3]", "plainTextFormattedCitation" : "[3]", "previouslyFormattedCitation" : "[3]" }, "properties" : { "noteIndex" : 0 }, "schema" : "https://github.com/citation-style-language/schema/raw/master/csl-citation.json" }</w:instrText>
      </w:r>
      <w:r>
        <w:fldChar w:fldCharType="separate"/>
      </w:r>
      <w:r w:rsidRPr="006E3831">
        <w:rPr>
          <w:noProof/>
        </w:rPr>
        <w:t>[3]</w:t>
      </w:r>
      <w:r>
        <w:fldChar w:fldCharType="end"/>
      </w:r>
      <w:r w:rsidRPr="00BD7B72">
        <w:t>.</w:t>
      </w:r>
      <w:r>
        <w:t xml:space="preserve"> However, there is risk of morbidity at the donor site due to the invasive surgery required to harvest the graft </w:t>
      </w:r>
      <w:r>
        <w:fldChar w:fldCharType="begin" w:fldLock="1"/>
      </w:r>
      <w:r>
        <w:instrText>ADDIN CSL_CITATION { "citationItems" : [ { "id" : "ITEM-1", "itemData" : { "abstract" : "Summary: A review of the medical records of 239 patients with 243 autogenous bone grafts was undertaken to document the morbidity at the donor sites. The overall major complication rate was 8.6%. Major complications included infection (2.5%), prolonged wound drainage (0.8%), large hematomas (3.3%), reoperation (3.8%), pain greater than 6 months (2.5%), sensory loss (1.2%), and unsightly scars. Minor complications (20.6%) included superficial infection, minor wound problems, temporary sensory loss, and mild or resolving pain. There was a much higher complication rate (17.9% major) if the incision used for the surgery was also the same incision used to harvest the bone graft.\n(C) Lippincott-Raven Publishers.", "author" : [ { "family" : "Younger", "given" : "Edward M" }, { "family" : "Chapman", "given" : "Michael W" } ], "container-title" : "Journal of Orthopaedic Trauma", "id" : "ITEM-1", "issue" : "3", "issued" : { "date-parts" : [ [ "1989" ] ] }, "title" : "Morbidity at Bone Graft Donor Sites.", "type" : "article-journal", "volume" : "3" }, "uris" : [ "http://www.mendeley.com/documents/?uuid=80f7545e-478b-43be-9199-2ba0f0998cdf" ] } ], "mendeley" : { "formattedCitation" : "[4]", "plainTextFormattedCitation" : "[4]", "previouslyFormattedCitation" : "[4]" }, "properties" : { "noteIndex" : 0 }, "schema" : "https://github.com/citation-style-language/schema/raw/master/csl-citation.json" }</w:instrText>
      </w:r>
      <w:r>
        <w:fldChar w:fldCharType="separate"/>
      </w:r>
      <w:r w:rsidRPr="006E3831">
        <w:rPr>
          <w:noProof/>
        </w:rPr>
        <w:t>[4]</w:t>
      </w:r>
      <w:r>
        <w:fldChar w:fldCharType="end"/>
      </w:r>
      <w:r>
        <w:t xml:space="preserve">. </w:t>
      </w:r>
      <w:r w:rsidRPr="004955FB">
        <w:t>Allografts</w:t>
      </w:r>
      <w:r>
        <w:rPr>
          <w:b/>
        </w:rPr>
        <w:t xml:space="preserve"> </w:t>
      </w:r>
      <w:r>
        <w:t xml:space="preserve">avoid the need of additional surgery on the patient. Furthermore, allographs </w:t>
      </w:r>
      <w:r>
        <w:lastRenderedPageBreak/>
        <w:t xml:space="preserve">from cadavers exhibit osteoconductive and osteoinductive properties and they can be available in different sizes and shapes. However, allographs lack of viable cells and they require sterilization prior to clinical application to avoid immune rejection and pathogen </w:t>
      </w:r>
      <w:r w:rsidRPr="007D2BA8">
        <w:t>transmission</w:t>
      </w:r>
      <w:r>
        <w:t xml:space="preserve"> </w:t>
      </w:r>
      <w:r>
        <w:fldChar w:fldCharType="begin" w:fldLock="1"/>
      </w:r>
      <w:r>
        <w:instrText>ADDIN CSL_CITATION { "citationItems" : [ { "id" : "ITEM-1", "itemData" : { "DOI" : "10.1002/term.1934", "author" : [ { "family" : "Smith", "given" : "C A" }, { "family" : "Richardson", "given" : "S M" }, { "family" : "Eagle", "given" : "M J" }, { "family" : "Rooney", "given" : "P" }, { "family" : "Board", "given" : "T" }, { "family" : "Hoyland", "given" : "J A" } ], "container-title" : "Journal of Tissue Engineering and Regenerative Medicine", "id" : "ITEM-1", "issue" : "5", "issued" : { "date-parts" : [ [ "2015" ] ] }, "page" : "595-604", "title" : "The use of a novel bone allograft wash process to generate a biocompatible, mechanically stable and osteoinductive biological scaffold for use in bone tissue engineering", "type" : "article-journal", "volume" : "9" }, "uris" : [ "http://www.mendeley.com/documents/?uuid=b9e1a858-cb0b-4ab1-b8ee-033d5638a721" ] } ], "mendeley" : { "formattedCitation" : "[5]", "plainTextFormattedCitation" : "[5]", "previouslyFormattedCitation" : "[5]" }, "properties" : { "noteIndex" : 0 }, "schema" : "https://github.com/citation-style-language/schema/raw/master/csl-citation.json" }</w:instrText>
      </w:r>
      <w:r>
        <w:fldChar w:fldCharType="separate"/>
      </w:r>
      <w:r w:rsidRPr="004955FB">
        <w:rPr>
          <w:noProof/>
        </w:rPr>
        <w:t>[5]</w:t>
      </w:r>
      <w:r>
        <w:fldChar w:fldCharType="end"/>
      </w:r>
      <w:r>
        <w:t xml:space="preserve">. </w:t>
      </w:r>
      <w:r w:rsidRPr="00EE474C">
        <w:t>Synthetic</w:t>
      </w:r>
      <w:r w:rsidRPr="007E52BB">
        <w:t xml:space="preserve"> </w:t>
      </w:r>
      <w:r>
        <w:t xml:space="preserve">bone scaffolds avoid the risk of disease transfer and donor site morbidity. Nevertheless, their biological performance to stimulate bone growth is inferior to autographs and allografts. Synthetic scaffolds made of osteoconductive biomaterials are potential candidates to become the gold standard solution for bone fracture repair </w:t>
      </w:r>
      <w:r>
        <w:fldChar w:fldCharType="begin" w:fldLock="1"/>
      </w:r>
      <w:r>
        <w:instrText>ADDIN CSL_CITATION { "citationItems" : [ { "id" : "ITEM-1", "itemData" : { "author" : [ { "family" : "Habibovic", "given" : "Pamela" }, { "family" : "de Groot", "given" : "Klaas" } ], "container-title" : "Journal of tissue engineering and regenerative medicine", "id" : "ITEM-1", "issue" : "1", "issued" : { "date-parts" : [ [ "2007" ] ] }, "page" : "25-32", "publisher" : "Wiley Online Library", "title" : "Osteoinductive biomaterials\u2014properties and relevance in bone repair", "type" : "article-journal", "volume" : "1" }, "uris" : [ "http://www.mendeley.com/documents/?uuid=da609fa4-987c-430b-8b55-4c9dcc1ab133" ] } ], "mendeley" : { "formattedCitation" : "[6]", "plainTextFormattedCitation" : "[6]", "previouslyFormattedCitation" : "[6]" }, "properties" : { "noteIndex" : 0 }, "schema" : "https://github.com/citation-style-language/schema/raw/master/csl-citation.json" }</w:instrText>
      </w:r>
      <w:r>
        <w:fldChar w:fldCharType="separate"/>
      </w:r>
      <w:r w:rsidRPr="00E77330">
        <w:rPr>
          <w:noProof/>
        </w:rPr>
        <w:t>[6]</w:t>
      </w:r>
      <w:r>
        <w:fldChar w:fldCharType="end"/>
      </w:r>
      <w:r>
        <w:t>.</w:t>
      </w:r>
    </w:p>
    <w:p w:rsidR="005D1052" w:rsidRPr="00A91479" w:rsidRDefault="005D1052" w:rsidP="005D1052">
      <w:r>
        <w:rPr>
          <w:color w:val="000000" w:themeColor="text1"/>
        </w:rPr>
        <w:t xml:space="preserve">Bone implant technology has to cope with the high demand of bone grafting operations; 400,000 and 600,000 are performed annually in Europe and United States respectively </w:t>
      </w:r>
      <w:r>
        <w:rPr>
          <w:color w:val="000000" w:themeColor="text1"/>
        </w:rPr>
        <w:fldChar w:fldCharType="begin" w:fldLock="1"/>
      </w:r>
      <w:r>
        <w:rPr>
          <w:color w:val="000000" w:themeColor="text1"/>
        </w:rPr>
        <w:instrText>ADDIN CSL_CITATION { "citationItems" : [ { "id" : "ITEM-1", "itemData" : { "DOI" : "10.1016/j.mser.2014.04.001", "author" : [ { "family" : "Wu", "given" : "Shuilin" }, { "family" : "Liu", "given" : "Xiangmei" }, { "family" : "Yeung", "given" : "Kelvin W.K." }, { "family" : "Liu", "given" : "Changsheng" }, { "family" : "Yang", "given" : "Xianjin" } ], "container-title" : "Materials Science and Engineering: R: Reports", "id" : "ITEM-1", "issued" : { "date-parts" : [ [ "2014" ] ] }, "page" : "1-36", "publisher" : "Elsevier B.V.", "title" : "Biomimetic porous scaffolds for bone tissue engineering", "type" : "article-journal", "volume" : "80" }, "uris" : [ "http://www.mendeley.com/documents/?uuid=42177acc-7926-4d3f-988f-d32c6aae42c5" ] } ], "mendeley" : { "formattedCitation" : "[7]", "plainTextFormattedCitation" : "[7]", "previouslyFormattedCitation" : "[7]" }, "properties" : { "noteIndex" : 0 }, "schema" : "https://github.com/citation-style-language/schema/raw/master/csl-citation.json" }</w:instrText>
      </w:r>
      <w:r>
        <w:rPr>
          <w:color w:val="000000" w:themeColor="text1"/>
        </w:rPr>
        <w:fldChar w:fldCharType="separate"/>
      </w:r>
      <w:r w:rsidRPr="00B75A52">
        <w:rPr>
          <w:noProof/>
          <w:color w:val="000000" w:themeColor="text1"/>
        </w:rPr>
        <w:t>[7]</w:t>
      </w:r>
      <w:r>
        <w:rPr>
          <w:color w:val="000000" w:themeColor="text1"/>
        </w:rPr>
        <w:fldChar w:fldCharType="end"/>
      </w:r>
      <w:r>
        <w:rPr>
          <w:color w:val="000000" w:themeColor="text1"/>
        </w:rPr>
        <w:t xml:space="preserve">. Effective treatments must be ensured to avoid persistent non-union fractures that can be caused by infection, tumors or musculoskeletal disorders such as arthritis or osteoporosis. </w:t>
      </w:r>
      <w:r w:rsidRPr="00E77330">
        <w:rPr>
          <w:color w:val="000000" w:themeColor="text1"/>
        </w:rPr>
        <w:t>Nowadays</w:t>
      </w:r>
      <w:r>
        <w:rPr>
          <w:color w:val="000000" w:themeColor="text1"/>
        </w:rPr>
        <w:t xml:space="preserve"> </w:t>
      </w:r>
      <w:r w:rsidRPr="003C2D68">
        <w:rPr>
          <w:color w:val="000000" w:themeColor="text1"/>
        </w:rPr>
        <w:t>in the United Kingdom</w:t>
      </w:r>
      <w:r w:rsidRPr="00E77330">
        <w:rPr>
          <w:color w:val="000000" w:themeColor="text1"/>
        </w:rPr>
        <w:t>,</w:t>
      </w:r>
      <w:r>
        <w:rPr>
          <w:b/>
          <w:color w:val="000000" w:themeColor="text1"/>
        </w:rPr>
        <w:t xml:space="preserve"> </w:t>
      </w:r>
      <w:r w:rsidRPr="003C2D68">
        <w:rPr>
          <w:color w:val="000000" w:themeColor="text1"/>
        </w:rPr>
        <w:t xml:space="preserve">direct costs </w:t>
      </w:r>
      <w:r>
        <w:rPr>
          <w:color w:val="000000" w:themeColor="text1"/>
        </w:rPr>
        <w:t xml:space="preserve">from long treatments </w:t>
      </w:r>
      <w:r w:rsidRPr="003C2D68">
        <w:rPr>
          <w:color w:val="000000" w:themeColor="text1"/>
        </w:rPr>
        <w:t>due to non-union fracture</w:t>
      </w:r>
      <w:r>
        <w:rPr>
          <w:color w:val="000000" w:themeColor="text1"/>
        </w:rPr>
        <w:t xml:space="preserve"> are between </w:t>
      </w:r>
      <w:r>
        <w:rPr>
          <w:rFonts w:ascii="Calibri" w:hAnsi="Calibri"/>
          <w:color w:val="000000" w:themeColor="text1"/>
        </w:rPr>
        <w:t>£</w:t>
      </w:r>
      <w:r>
        <w:rPr>
          <w:color w:val="000000" w:themeColor="text1"/>
        </w:rPr>
        <w:t xml:space="preserve">7,000 and </w:t>
      </w:r>
      <w:r>
        <w:rPr>
          <w:rFonts w:ascii="Calibri" w:hAnsi="Calibri"/>
          <w:color w:val="000000" w:themeColor="text1"/>
        </w:rPr>
        <w:t>£</w:t>
      </w:r>
      <w:r>
        <w:rPr>
          <w:color w:val="000000" w:themeColor="text1"/>
        </w:rPr>
        <w:t xml:space="preserve">79,000 per patient </w:t>
      </w:r>
      <w:r>
        <w:rPr>
          <w:color w:val="000000" w:themeColor="text1"/>
        </w:rPr>
        <w:fldChar w:fldCharType="begin" w:fldLock="1"/>
      </w:r>
      <w:r>
        <w:rPr>
          <w:color w:val="000000" w:themeColor="text1"/>
        </w:rPr>
        <w:instrText>ADDIN CSL_CITATION { "citationItems" : [ { "id" : "ITEM-1", "itemData" : { "DOI" : "10.1136/bmjopen-2012-002276", "ISBN" : "2044-6055 (Electronic)", "abstract" : "OBJECTIVES: In the UK there are approximately 850 000 new fractures seen each year. Rates of non-union of 5-10% of fractures have been suggested, the cost to the National Health Service of treating non-union has been reported to range between \u00a37000 and \u00a379 000 per person yet there are little actual data available. The objective of this epidemiological study therefore is for the first time to report the rates of fracture non-union. DESIGN: A cross-sectional epidemiological study. SETTING: The population of Scotland. PARTICIPANTS: All patient admissions to hospital in Scotland are coded according to diagnosis. These data are collected by (and were obtained from) Information Services Department Scotland. Those who have been coded for a bone non-union between 2005 and 2010 were included in the study. No patients were excluded. Population data were obtained from the Registrar General for Scotland. OUTCOME MEASURE: The number of fracture non-unions per 100 000 population of Scotland according to age, sex and anatomical distribution of non-union. RESULTS: 4895 non-unions were treated as inpatients in Scotland between 2005 and 2010, averaging 979 per year, with an overall incidence of 18.94 per 100 000 population per annum. The distribution according to gender was 57% male and 43% female. The overall peak incidence according to age was between 30 and 40 years. The mean population of Scotland between 2005 and 2010 was 5 169 140 people. CONCLUSION: Fracture non-union in the population as a whole remains low at less than 20 per 100 000 population and peaks in the fourth decade of life. Further research is required to determine the risk of non-union per fracture according to age/sex/anatomical distribution. .", "author" : [ { "family" : "Mills", "given" : "Leanora Anne" }, { "family" : "Simpson", "given" : "a Hamish R W" } ], "container-title" : "BMJ open", "id" : "ITEM-1", "issued" : { "date-parts" : [ [ "2013" ] ] }, "page" : "1-7", "title" : "The relative incidence of fracture non-union in the Scottish population (5.17 million): a 5-year epidemiological study.", "type" : "article-journal", "volume" : "3" }, "uris" : [ "http://www.mendeley.com/documents/?uuid=3314116a-dd6e-4978-b8c9-19bb4061077c" ] } ], "mendeley" : { "formattedCitation" : "[8]", "plainTextFormattedCitation" : "[8]", "previouslyFormattedCitation" : "[8]" }, "properties" : { "noteIndex" : 0 }, "schema" : "https://github.com/citation-style-language/schema/raw/master/csl-citation.json" }</w:instrText>
      </w:r>
      <w:r>
        <w:rPr>
          <w:color w:val="000000" w:themeColor="text1"/>
        </w:rPr>
        <w:fldChar w:fldCharType="separate"/>
      </w:r>
      <w:r w:rsidRPr="00B75A52">
        <w:rPr>
          <w:noProof/>
          <w:color w:val="000000" w:themeColor="text1"/>
        </w:rPr>
        <w:t>[8]</w:t>
      </w:r>
      <w:r>
        <w:rPr>
          <w:color w:val="000000" w:themeColor="text1"/>
        </w:rPr>
        <w:fldChar w:fldCharType="end"/>
      </w:r>
      <w:r>
        <w:rPr>
          <w:color w:val="000000" w:themeColor="text1"/>
        </w:rPr>
        <w:t>.</w:t>
      </w:r>
      <w:r>
        <w:t xml:space="preserve"> Due to the high life expectancy, the number of patients presenting non-union fractures can be expected to increase causing a negative financial impact in healthcare systems and most importantly in people’s lifestyle. </w:t>
      </w:r>
      <w:r w:rsidRPr="00E63509">
        <w:rPr>
          <w:color w:val="000000" w:themeColor="text1"/>
        </w:rPr>
        <w:t>High cost</w:t>
      </w:r>
      <w:r>
        <w:rPr>
          <w:color w:val="000000" w:themeColor="text1"/>
        </w:rPr>
        <w:t>s</w:t>
      </w:r>
      <w:r w:rsidRPr="00E63509">
        <w:rPr>
          <w:color w:val="000000" w:themeColor="text1"/>
        </w:rPr>
        <w:t xml:space="preserve"> </w:t>
      </w:r>
      <w:r>
        <w:rPr>
          <w:color w:val="000000" w:themeColor="text1"/>
        </w:rPr>
        <w:t>can also come</w:t>
      </w:r>
      <w:r w:rsidRPr="00E63509">
        <w:rPr>
          <w:color w:val="000000" w:themeColor="text1"/>
        </w:rPr>
        <w:t xml:space="preserve"> from </w:t>
      </w:r>
      <w:r>
        <w:rPr>
          <w:color w:val="000000" w:themeColor="text1"/>
        </w:rPr>
        <w:t>healing delay</w:t>
      </w:r>
      <w:r w:rsidRPr="00284AA6">
        <w:rPr>
          <w:color w:val="000000" w:themeColor="text1"/>
        </w:rPr>
        <w:t xml:space="preserve">. </w:t>
      </w:r>
      <w:r>
        <w:rPr>
          <w:color w:val="000000" w:themeColor="text1"/>
        </w:rPr>
        <w:t xml:space="preserve">It has been shown that delayed surgical interventions (considered as performed after 12 hours of trauma) result in later bone union than early interventions (before 12 hours) increasing the overall cost of treatments </w:t>
      </w:r>
      <w:r>
        <w:rPr>
          <w:color w:val="000000" w:themeColor="text1"/>
        </w:rPr>
        <w:fldChar w:fldCharType="begin" w:fldLock="1"/>
      </w:r>
      <w:r>
        <w:rPr>
          <w:color w:val="000000" w:themeColor="text1"/>
        </w:rPr>
        <w:instrText>ADDIN CSL_CITATION { "citationItems" : [ { "id" : "ITEM-1", "itemData" : { "DOI" : "10.1016/j.injury.2014.04.002", "author" : [ { "family" : "Hak", "given" : "David J." }, { "family" : "Fitzpatrick", "given" : "Daniel" }, { "family" : "Bishop", "given" : "Julius a." }, { "family" : "Marsh", "given" : "J. Lawrence" }, { "family" : "Tilp", "given" : "Susanne" }, { "family" : "Schnettler", "given" : "Reinhard" }, { "family" : "Simpson", "given" : "Hamish" }, { "family" : "Alt", "given" : "Volker" } ], "container-title" : "Injury", "id" : "ITEM-1", "issued" : { "date-parts" : [ [ "2014" ] ] }, "page" : "S3-S7", "publisher" : "Elsevier Ltd", "title" : "Delayed union and nonunions: Epidemiology, clinical issues, and financial aspects", "type" : "article-journal", "volume" : "45" }, "uris" : [ "http://www.mendeley.com/documents/?uuid=16e38691-6402-4f30-9786-6b78a6ce169a" ] } ], "mendeley" : { "formattedCitation" : "[9]", "plainTextFormattedCitation" : "[9]", "previouslyFormattedCitation" : "[9]" }, "properties" : { "noteIndex" : 0 }, "schema" : "https://github.com/citation-style-language/schema/raw/master/csl-citation.json" }</w:instrText>
      </w:r>
      <w:r>
        <w:rPr>
          <w:color w:val="000000" w:themeColor="text1"/>
        </w:rPr>
        <w:fldChar w:fldCharType="separate"/>
      </w:r>
      <w:r w:rsidRPr="00284AA6">
        <w:rPr>
          <w:noProof/>
          <w:color w:val="000000" w:themeColor="text1"/>
        </w:rPr>
        <w:t>[9]</w:t>
      </w:r>
      <w:r>
        <w:rPr>
          <w:color w:val="000000" w:themeColor="text1"/>
        </w:rPr>
        <w:fldChar w:fldCharType="end"/>
      </w:r>
      <w:r>
        <w:rPr>
          <w:color w:val="000000" w:themeColor="text1"/>
        </w:rPr>
        <w:t xml:space="preserve">. The development of synthetic scaffolds with the biological performance of autologous bone grafts could accelerate the healing process and guarantee full bone restoration. Furthermore, an advancement of synthetic biomaterials could provide a </w:t>
      </w:r>
      <w:r w:rsidRPr="00163128">
        <w:t xml:space="preserve">virtually unlimited </w:t>
      </w:r>
      <w:r>
        <w:t xml:space="preserve">source of </w:t>
      </w:r>
      <w:r w:rsidRPr="00163128">
        <w:t>bone grafts</w:t>
      </w:r>
      <w:r>
        <w:t xml:space="preserve"> for orthopaedic surgery. However, further investigations are required in order to reveal the fundamental mechanisms of bone tissue regeneration and produce synthetic bone scaffolds able to generate an advantageous economic impact in healthcare systems and improve people’s quality of life.</w:t>
      </w:r>
    </w:p>
    <w:p w:rsidR="005D1052" w:rsidRDefault="005D1052" w:rsidP="005D1052">
      <w:r w:rsidRPr="002D74A6">
        <w:lastRenderedPageBreak/>
        <w:t>Tissue engineering</w:t>
      </w:r>
      <w:r>
        <w:t xml:space="preserve"> (TE) emerges as a promising field that applies the principles of engineering and life sciences to design and fabricate living structures able to restore, maintain or replace body parts </w:t>
      </w:r>
      <w:r>
        <w:fldChar w:fldCharType="begin" w:fldLock="1"/>
      </w:r>
      <w:r>
        <w:instrText>ADDIN CSL_CITATION { "citationItems" : [ { "id" : "ITEM-1", "itemData" : { "DOI" : "10.1002/bjs.7819", "ISBN" : "1365-2168; 0007-1323", "author" : [ { "family" : "Vacanti", "given" : "J. P." } ], "container-title" : "British Journal of Surgery", "id" : "ITEM-1", "issued" : { "date-parts" : [ [ "2012" ] ] }, "page" : "451-453", "title" : "Tissue engineering and the road to whole organs", "type" : "article-journal", "volume" : "99" }, "uris" : [ "http://www.mendeley.com/documents/?uuid=552b35b2-98ce-4062-8858-3c19b8de1e22" ] } ], "mendeley" : { "formattedCitation" : "[10]", "manualFormatting" : "[10, ", "plainTextFormattedCitation" : "[10]", "previouslyFormattedCitation" : "[10]" }, "properties" : { "noteIndex" : 0 }, "schema" : "https://github.com/citation-style-language/schema/raw/master/csl-citation.json" }</w:instrText>
      </w:r>
      <w:r>
        <w:fldChar w:fldCharType="separate"/>
      </w:r>
      <w:r w:rsidRPr="00604BAD">
        <w:rPr>
          <w:noProof/>
        </w:rPr>
        <w:t>[10</w:t>
      </w:r>
      <w:r>
        <w:rPr>
          <w:noProof/>
        </w:rPr>
        <w:t xml:space="preserve">, </w:t>
      </w:r>
      <w:r>
        <w:fldChar w:fldCharType="end"/>
      </w:r>
      <w:r>
        <w:fldChar w:fldCharType="begin" w:fldLock="1"/>
      </w:r>
      <w:r>
        <w:instrText>ADDIN CSL_CITATION { "citationItems" : [ { "id" : "ITEM-1", "itemData" : { "DOI" : "10.1126/science.8493529", "abstract" : "While elastic modulus is tunable in tissue engineering scaffolds, it is substantially more challenging to tune the Poisson's ratio of scaffolds. In certain biological applications, scaffolds with a tunable Poisson's ratio may be more suitable for emulating the behavior of native tissue mechanics. Here, we design and fabricate a scaffold, which exhibits simultaneous negative and positive Poisson's ratio behavior. Custom-made digital micro-mirror device stereolithography was used to fabricate single- and multiple-layer scaffolds using polyethylene glycol-based biomaterial. These scaffolds are composed of pore structures having special geometries, and deformation mechanisms, which can be tuned to exhibit both negative Poisson's ratio (NPR) and positive Poisson's ratio (PPR) behavior in a side-to-side or top-to-bottom configuration. Strain measurement results demonstrate that analytical deformation models and simulations accurately predict the Poisson's ratios of both the NPR and PPR regions. This hybrid Poisson's ratio property can be imparted to any photocurable material, and potentially be applicable in a variety of biomedical applications.", "author" : [ { "family" : "Langer", "given" : "Robert" }, { "family" : "Vacanti", "given" : "Joseph P" } ], "container-title" : "Science", "id" : "ITEM-1", "issued" : { "date-parts" : [ [ "1993" ] ] }, "page" : "920-926", "title" : "- ARTICLES Tissue Engineering", "type" : "article-journal", "volume" : "260" }, "uris" : [ "http://www.mendeley.com/documents/?uuid=4068984f-2814-41b1-94ea-4b0b49f3c17d" ] } ], "mendeley" : { "formattedCitation" : "[11]", "manualFormatting" : "11]", "plainTextFormattedCitation" : "[11]", "previouslyFormattedCitation" : "[11]" }, "properties" : { "noteIndex" : 0 }, "schema" : "https://github.com/citation-style-language/schema/raw/master/csl-citation.json" }</w:instrText>
      </w:r>
      <w:r>
        <w:fldChar w:fldCharType="separate"/>
      </w:r>
      <w:r w:rsidRPr="00EB2696">
        <w:rPr>
          <w:noProof/>
        </w:rPr>
        <w:t>11]</w:t>
      </w:r>
      <w:r>
        <w:fldChar w:fldCharType="end"/>
      </w:r>
      <w:r>
        <w:t xml:space="preserve">. The classical TE paradigm consists on placing </w:t>
      </w:r>
      <w:r w:rsidRPr="002D5BB6">
        <w:t>mesenchymal stem cells from the patient on</w:t>
      </w:r>
      <w:r>
        <w:t>to a degradable three-dimensional (3D) bio-template</w:t>
      </w:r>
      <w:r w:rsidRPr="002D5BB6">
        <w:t xml:space="preserve"> and then </w:t>
      </w:r>
      <w:r>
        <w:t xml:space="preserve">expanding those cells by in </w:t>
      </w:r>
      <w:r w:rsidRPr="002D5BB6">
        <w:t>vitro</w:t>
      </w:r>
      <w:r>
        <w:t xml:space="preserve"> culturing inside a bioreactor</w:t>
      </w:r>
      <w:r w:rsidRPr="002D5BB6">
        <w:t xml:space="preserve"> </w:t>
      </w:r>
      <w:r w:rsidRPr="00303DB5">
        <w:t xml:space="preserve">to produce </w:t>
      </w:r>
      <w:r>
        <w:t xml:space="preserve">a functional </w:t>
      </w:r>
      <w:r w:rsidRPr="00303DB5">
        <w:t>biological substitut</w:t>
      </w:r>
      <w:r>
        <w:t>e</w:t>
      </w:r>
      <w:r w:rsidRPr="00303DB5">
        <w:t xml:space="preserve"> </w:t>
      </w:r>
      <w:r>
        <w:t xml:space="preserve">for patient implant </w:t>
      </w:r>
      <w:r>
        <w:fldChar w:fldCharType="begin" w:fldLock="1"/>
      </w:r>
      <w:r>
        <w:instrText>ADDIN CSL_CITATION { "citationItems" : [ { "id" : "ITEM-1", "itemData" : { "DOI" : "10.1159/000338362", "abstract" : "Despite the compelling clinical needs in enhancing bone regeneration and the potential offered by the field of tissue engineering, the adoption of cell-based bone graft substitutes in clinical practice is limited to date. In fact, no study has yet convincingly demonstrated reproducible clinical performance of tissue-engineered implants and at least equivalent cost-effectiveness compared to the current treatment standards. Here, we propose and discuss how tissue engineering strategies could be evolved towards more efficient solutions, depicting three different experimental paradigms: (i) bioreactor-based production; (ii) intraoperative manufacturing, and (iii) developmental engineering. The described approaches reflect the need to streamline graft manufacturing processes while maintaining the potency of osteoprogenitors and recapitulating the sequence of biological steps occurring during bone development, including vascularization. The need to combine the assessment of efficacy of the different strategies with the understanding of their mechanisms of action in the target regenerative processes is highlighted. This will be crucial to identify the necessary and sufficient set of signals that need to be delivered at the injury or defect site and should thus form the basis to define release criteria for reproducibly effective engineered bone graft substitutes.", "author" : [ { "family" : "Jakob", "given" : "M" }, { "family" : "Saxer", "given" : "F" }, { "family" : "Scotti", "given" : "C" }, { "family" : "Schreiner", "given" : "S" }, { "family" : "Studer", "given" : "P" }, { "family" : "Scherberich", "given" : "a" }, { "family" : "Heberer", "given" : "M" }, { "family" : "Martin", "given" : "I" } ], "container-title" : "European surgical research. Europ\u00e4ische chirurgische Forschung. Recherches chirurgicales europ\u00e9ennes", "id" : "ITEM-1", "issue" : "1", "issued" : { "date-parts" : [ [ "2012", "1" ] ] }, "page" : "1-7", "title" : "Perspective on the evolution of cell-based bone tissue engineering strategies.", "type" : "article-journal", "volume" : "49" }, "uris" : [ "http://www.mendeley.com/documents/?uuid=de3410ec-054a-416b-b89d-749bbad1b601" ] } ], "mendeley" : { "formattedCitation" : "[12]", "plainTextFormattedCitation" : "[12]", "previouslyFormattedCitation" : "[12]" }, "properties" : { "noteIndex" : 0 }, "schema" : "https://github.com/citation-style-language/schema/raw/master/csl-citation.json" }</w:instrText>
      </w:r>
      <w:r>
        <w:fldChar w:fldCharType="separate"/>
      </w:r>
      <w:r w:rsidRPr="00EB2696">
        <w:rPr>
          <w:noProof/>
        </w:rPr>
        <w:t>[12]</w:t>
      </w:r>
      <w:r>
        <w:fldChar w:fldCharType="end"/>
      </w:r>
      <w:r>
        <w:t xml:space="preserve">. These templates, commonly known as scaffolds, mimic the extracellular bone matrix (ECM) to guide tissue regeneration and degrade at specific rates to allow the replacement of newly formed tissue. In the last years, the number of bone repair treatments using 3D scaffolds in Europe has increased </w:t>
      </w:r>
      <w:r>
        <w:fldChar w:fldCharType="begin" w:fldLock="1"/>
      </w:r>
      <w:r>
        <w:instrText>ADDIN CSL_CITATION { "citationItems" : [ { "id" : "ITEM-1", "itemData" : { "DOI" : "10.1089/ten.tea.2013.0372", "author" : [ { "family" : "Martin", "given" : "Ivan" }, { "family" : "Baldomero", "given" : "Helen" }, { "family" : "Bocelli-Tyndall", "given" : "Chiara" }, { "family" : "Emmert", "given" : "Maximilian Y." }, { "family" : "Hoerstrup", "given" : "Simon P." }, { "family" : "Ireland", "given" : "Hilary" }, { "family" : "Passweg", "given" : "Jakob" }, { "family" : "Tyndall", "given" : "Alan" } ], "container-title" : "Tissue Engineering Part A", "id" : "ITEM-1", "issued" : { "date-parts" : [ [ "2013" ] ] }, "page" : "131108064828001", "title" : "The Survey on Cellular and Engineered Tissue Therapies in Europe in 2011", "type" : "article-journal", "volume" : "20" }, "uris" : [ "http://www.mendeley.com/documents/?uuid=3d811adb-b46d-49e4-9db2-06b62802d822" ] } ], "mendeley" : { "formattedCitation" : "[13]", "plainTextFormattedCitation" : "[13]", "previouslyFormattedCitation" : "[13]" }, "properties" : { "noteIndex" : 0 }, "schema" : "https://github.com/citation-style-language/schema/raw/master/csl-citation.json" }</w:instrText>
      </w:r>
      <w:r>
        <w:fldChar w:fldCharType="separate"/>
      </w:r>
      <w:r w:rsidRPr="00833A03">
        <w:rPr>
          <w:noProof/>
        </w:rPr>
        <w:t>[13]</w:t>
      </w:r>
      <w:r>
        <w:fldChar w:fldCharType="end"/>
      </w:r>
      <w:r>
        <w:t xml:space="preserve">. However, the process to produce cost-effective </w:t>
      </w:r>
      <w:r w:rsidRPr="00376598">
        <w:t>patient-specific bone grafts based</w:t>
      </w:r>
      <w:r>
        <w:t xml:space="preserve"> on autologous cells is still challenging. TE should develop towards reproducible and automated manufacturing systems approved by regulatory agencies such as the Food and Drug Administration (FDA) in order to achieve the commercialization of TE scaffolds and to upscale their clinical application </w:t>
      </w:r>
      <w:r>
        <w:fldChar w:fldCharType="begin" w:fldLock="1"/>
      </w:r>
      <w:r>
        <w:instrText>ADDIN CSL_CITATION { "citationItems" : [ { "id" : "ITEM-1", "itemData" : { "DOI" : "10.1016/j.progpolymsci.2011.11.007", "author" : [ { "family" : "Melchels", "given" : "Ferry P.W." }, { "family" : "Domingos", "given" : "Marco a.N." }, { "family" : "Klein", "given" : "Travis J." }, { "family" : "Malda", "given" : "Jos" }, { "family" : "Bartolo", "given" : "Paulo J." }, { "family" : "Hutmacher", "given" : "Dietmar W." } ], "container-title" : "Progress in Polymer Science", "id" : "ITEM-1", "issue" : "8", "issued" : { "date-parts" : [ [ "2012", "8" ] ] }, "page" : "1079-1104", "publisher" : "Elsevier Ltd", "title" : "Additive manufacturing of tissues and organs", "type" : "article-journal", "volume" : "37" }, "uris" : [ "http://www.mendeley.com/documents/?uuid=9df95cc5-53ab-4529-9e9d-748e461c6ef0" ] } ], "mendeley" : { "formattedCitation" : "[14]", "plainTextFormattedCitation" : "[14]", "previouslyFormattedCitation" : "[14]" }, "properties" : { "noteIndex" : 0 }, "schema" : "https://github.com/citation-style-language/schema/raw/master/csl-citation.json" }</w:instrText>
      </w:r>
      <w:r>
        <w:fldChar w:fldCharType="separate"/>
      </w:r>
      <w:r w:rsidRPr="00242E19">
        <w:rPr>
          <w:noProof/>
        </w:rPr>
        <w:t>[14]</w:t>
      </w:r>
      <w:r>
        <w:fldChar w:fldCharType="end"/>
      </w:r>
      <w:r>
        <w:t>.</w:t>
      </w:r>
    </w:p>
    <w:p w:rsidR="005D1052" w:rsidRDefault="005D1052" w:rsidP="005D1052">
      <w:pPr>
        <w:keepNext/>
        <w:ind w:firstLine="0"/>
        <w:jc w:val="center"/>
      </w:pPr>
      <w:r>
        <w:rPr>
          <w:noProof/>
          <w:color w:val="000000" w:themeColor="text1"/>
          <w:lang w:eastAsia="en-GB"/>
        </w:rPr>
        <w:drawing>
          <wp:inline distT="0" distB="0" distL="0" distR="0" wp14:anchorId="0B327AC3" wp14:editId="2A9C3061">
            <wp:extent cx="5261379" cy="974513"/>
            <wp:effectExtent l="0" t="0" r="0" b="0"/>
            <wp:docPr id="8218" name="Picture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png"/>
                    <pic:cNvPicPr/>
                  </pic:nvPicPr>
                  <pic:blipFill>
                    <a:blip r:embed="rId18">
                      <a:extLst>
                        <a:ext uri="{28A0092B-C50C-407E-A947-70E740481C1C}">
                          <a14:useLocalDpi xmlns:a14="http://schemas.microsoft.com/office/drawing/2010/main" val="0"/>
                        </a:ext>
                      </a:extLst>
                    </a:blip>
                    <a:stretch>
                      <a:fillRect/>
                    </a:stretch>
                  </pic:blipFill>
                  <pic:spPr>
                    <a:xfrm>
                      <a:off x="0" y="0"/>
                      <a:ext cx="5265116" cy="975205"/>
                    </a:xfrm>
                    <a:prstGeom prst="rect">
                      <a:avLst/>
                    </a:prstGeom>
                  </pic:spPr>
                </pic:pic>
              </a:graphicData>
            </a:graphic>
          </wp:inline>
        </w:drawing>
      </w:r>
    </w:p>
    <w:p w:rsidR="005D1052" w:rsidRPr="001037EC" w:rsidRDefault="005D1052" w:rsidP="005D1052">
      <w:pPr>
        <w:pStyle w:val="Caption"/>
        <w:rPr>
          <w:b w:val="0"/>
        </w:rPr>
      </w:pPr>
      <w:bookmarkStart w:id="6" w:name="_Ref312106239"/>
      <w:bookmarkStart w:id="7" w:name="_Toc438590787"/>
      <w:bookmarkStart w:id="8" w:name="_Toc445718793"/>
      <w:r>
        <w:t xml:space="preserve">Figure </w:t>
      </w:r>
      <w:fldSimple w:instr=" STYLEREF 1 \s ">
        <w:r w:rsidR="00924C7D">
          <w:rPr>
            <w:noProof/>
          </w:rPr>
          <w:t>1</w:t>
        </w:r>
      </w:fldSimple>
      <w:r>
        <w:noBreakHyphen/>
      </w:r>
      <w:fldSimple w:instr=" SEQ Figure \* ARABIC \s 1 ">
        <w:r w:rsidR="00924C7D">
          <w:rPr>
            <w:noProof/>
          </w:rPr>
          <w:t>1</w:t>
        </w:r>
      </w:fldSimple>
      <w:bookmarkEnd w:id="6"/>
      <w:r>
        <w:t xml:space="preserve"> </w:t>
      </w:r>
      <w:bookmarkStart w:id="9" w:name="_Toc367971053"/>
      <w:r>
        <w:rPr>
          <w:b w:val="0"/>
        </w:rPr>
        <w:t>Classical bone tissue e</w:t>
      </w:r>
      <w:r w:rsidRPr="001037EC">
        <w:rPr>
          <w:b w:val="0"/>
        </w:rPr>
        <w:t>ngineering approach. Cells from the patient are implanted ont</w:t>
      </w:r>
      <w:r>
        <w:rPr>
          <w:b w:val="0"/>
        </w:rPr>
        <w:t>o 3D structures that mimic the extracellular m</w:t>
      </w:r>
      <w:r w:rsidRPr="001037EC">
        <w:rPr>
          <w:b w:val="0"/>
        </w:rPr>
        <w:t xml:space="preserve">atrix and guide the forming </w:t>
      </w:r>
      <w:r>
        <w:rPr>
          <w:b w:val="0"/>
        </w:rPr>
        <w:t>tissue</w:t>
      </w:r>
      <w:r w:rsidRPr="001037EC">
        <w:rPr>
          <w:b w:val="0"/>
        </w:rPr>
        <w:t>. Then, seeded scaffolds are cultured in bioreactor</w:t>
      </w:r>
      <w:r>
        <w:rPr>
          <w:b w:val="0"/>
        </w:rPr>
        <w:t>s</w:t>
      </w:r>
      <w:r w:rsidRPr="001037EC">
        <w:rPr>
          <w:b w:val="0"/>
        </w:rPr>
        <w:t xml:space="preserve"> to enhance tissue growth. The engineered-bone graft is impla</w:t>
      </w:r>
      <w:r>
        <w:rPr>
          <w:b w:val="0"/>
        </w:rPr>
        <w:t>nted at the fracture site and</w:t>
      </w:r>
      <w:r w:rsidRPr="001037EC">
        <w:rPr>
          <w:b w:val="0"/>
        </w:rPr>
        <w:t xml:space="preserve"> will degrade </w:t>
      </w:r>
      <w:r>
        <w:rPr>
          <w:b w:val="0"/>
        </w:rPr>
        <w:t>leaving</w:t>
      </w:r>
      <w:r w:rsidRPr="001037EC">
        <w:rPr>
          <w:b w:val="0"/>
        </w:rPr>
        <w:t xml:space="preserve"> only natural tissue.</w:t>
      </w:r>
      <w:bookmarkEnd w:id="7"/>
      <w:bookmarkEnd w:id="8"/>
      <w:bookmarkEnd w:id="9"/>
    </w:p>
    <w:p w:rsidR="005D1052" w:rsidRDefault="005D1052" w:rsidP="005D1052">
      <w:r>
        <w:t xml:space="preserve">On the other hand, the governing factors of bone tissue regeneration need to be identified. Currently, the use of in vivo </w:t>
      </w:r>
      <w:r w:rsidRPr="00845147">
        <w:t xml:space="preserve">tests </w:t>
      </w:r>
      <w:r>
        <w:t>to understand</w:t>
      </w:r>
      <w:r w:rsidRPr="00845147">
        <w:t xml:space="preserve"> bone regeneration holds ethical concerns. As an alternative, in vitro experiments can recreate in vivo scenarios where different conditions can be investigated</w:t>
      </w:r>
      <w:r>
        <w:t xml:space="preserve"> in order to generate essential knowledge and reproducible methods before the translation into the clinics. Nevertheless, due to the limited explanatory power of in vitro experiments in silico methods have emerged </w:t>
      </w:r>
      <w:r>
        <w:lastRenderedPageBreak/>
        <w:t xml:space="preserve">to create computer simulations able to supplement and extend current TE experimental techniques </w:t>
      </w:r>
      <w:r>
        <w:fldChar w:fldCharType="begin" w:fldLock="1"/>
      </w:r>
      <w:r>
        <w:instrText>ADDIN CSL_CITATION { "citationItems" : [ { "id" : "ITEM-1", "itemData" : { "author" : [ { "family" : "Lumsden", "given" : "Charles J" }, { "family" : "Ph", "given" : "D" } ], "id" : "ITEM-1", "issue" : "3", "issued" : { "date-parts" : [ [ "2005" ] ] }, "title" : "JOHN L. SEMPLE, M.D., NICHOLIS WOOLRIDGE, B.Sc. (A.A.M.), and CHARLES J. LUMSDEN, Ph.D.", "type" : "article-journal", "volume" : "11" }, "uris" : [ "http://www.mendeley.com/documents/?uuid=571f9ede-8c2f-46e5-9666-faad8f7f32a6" ] } ], "mendeley" : { "formattedCitation" : "[15]", "plainTextFormattedCitation" : "[15]", "previouslyFormattedCitation" : "[15]" }, "properties" : { "noteIndex" : 0 }, "schema" : "https://github.com/citation-style-language/schema/raw/master/csl-citation.json" }</w:instrText>
      </w:r>
      <w:r>
        <w:fldChar w:fldCharType="separate"/>
      </w:r>
      <w:r w:rsidRPr="00E836DB">
        <w:rPr>
          <w:noProof/>
        </w:rPr>
        <w:t>[15]</w:t>
      </w:r>
      <w:r>
        <w:fldChar w:fldCharType="end"/>
      </w:r>
      <w:r>
        <w:t>.</w:t>
      </w:r>
    </w:p>
    <w:p w:rsidR="005D1052" w:rsidRDefault="005D1052" w:rsidP="005D1052">
      <w:pPr>
        <w:pStyle w:val="Heading2"/>
      </w:pPr>
      <w:bookmarkStart w:id="10" w:name="_Toc440823167"/>
      <w:bookmarkStart w:id="11" w:name="_Toc420596678"/>
      <w:bookmarkStart w:id="12" w:name="_Toc310605573"/>
      <w:bookmarkStart w:id="13" w:name="_Toc310605868"/>
      <w:r>
        <w:t>In silico tissue engineering</w:t>
      </w:r>
      <w:bookmarkEnd w:id="10"/>
      <w:r>
        <w:t xml:space="preserve"> </w:t>
      </w:r>
      <w:bookmarkEnd w:id="11"/>
      <w:bookmarkEnd w:id="12"/>
      <w:bookmarkEnd w:id="13"/>
    </w:p>
    <w:p w:rsidR="005D1052" w:rsidRDefault="005D1052" w:rsidP="005D1052">
      <w:r>
        <w:t xml:space="preserve">Computational modelling has been introduced in TE to better understand cellular processes inside scaffolds during tissue regeneration. As opposed to experimental protocols that are based on trial and error approach without early time point information, computational tools enable predictions of the in vitro or in vivo behaviour. Therefore, computational modelling is a great strategy for the design of TE products such as scaffolds and bioreactors, and the optimization of the processes that regulate and enhance biological tissue growth </w:t>
      </w:r>
      <w:r>
        <w:fldChar w:fldCharType="begin" w:fldLock="1"/>
      </w:r>
      <w:r>
        <w:instrText>ADDIN CSL_CITATION { "citationItems" : [ { "id" : "ITEM-1", "itemData" : { "author" : [ { "family" : "Geris", "given" : "Liesbet" } ], "container-title" : "Computational Modeling in Tissue Engineering", "id" : "ITEM-1", "issued" : { "date-parts" : [ [ "2013" ] ] }, "page" : "1-15", "publisher" : "Springer", "title" : "In vivo, in vitro, in silico: computational tools for product and process design in tissue engineering", "type" : "chapter" }, "uris" : [ "http://www.mendeley.com/documents/?uuid=4de4159e-a3aa-4710-8049-9e1f4300705a" ] } ], "mendeley" : { "formattedCitation" : "[16]", "plainTextFormattedCitation" : "[16]", "previouslyFormattedCitation" : "[16]" }, "properties" : { "noteIndex" : 0 }, "schema" : "https://github.com/citation-style-language/schema/raw/master/csl-citation.json" }</w:instrText>
      </w:r>
      <w:r>
        <w:fldChar w:fldCharType="separate"/>
      </w:r>
      <w:r w:rsidRPr="006A3561">
        <w:rPr>
          <w:noProof/>
        </w:rPr>
        <w:t>[16]</w:t>
      </w:r>
      <w:r>
        <w:fldChar w:fldCharType="end"/>
      </w:r>
      <w:r>
        <w:t>.</w:t>
      </w:r>
    </w:p>
    <w:p w:rsidR="005D1052" w:rsidRDefault="005D1052" w:rsidP="005D1052">
      <w:r>
        <w:t xml:space="preserve">Finite Element (FE) modelling is a numerical technique that provides approximate solutions to partial differential equations. The domain is divided into a number of finite elements and the response of these elements in terms of strain and stress to structural loading is computed. FE simulations can be used to understand how the scaffold transfers global mechanical loading onto cells and relate the scaffold structural design to cell response </w:t>
      </w:r>
      <w:r>
        <w:fldChar w:fldCharType="begin" w:fldLock="1"/>
      </w:r>
      <w:r>
        <w:instrText>ADDIN CSL_CITATION { "citationItems" : [ { "id" : "ITEM-1", "itemData" : { "DOI" : "10.1007/s10237-012-0451-2", "abstract" : "It remains unclear how specific mechanical signals generated by applied dynamic compression (DC) regulate chondrocyte biosynthetic activity. It has previously been suggested that DC-induced interstitial fluid flow positively impacts cartilage-specific matrix production. Modifying fluid flow within dynamically compressed hydrogels therefore represents a promising approach to controlling chondrocyte behavior, which could potentially be achieved by changing the construct architecture. The objective of this study was to first determine the influence of construct architecture on the mechanical environment within dynamically compressed agarose hydrogels using finite element (FE) modeling and to then investigate how chondrocytes would respond to this altered environment. To modify construct architecture, an array of channels was introduced into the hydrogels. Increased magnitudes of fluid flow were predicted in the periphery of dynamically compressed solid hydrogels and also around the channels in the dynamically compressed channeled hydrogels. DC was found to significantly increase sGAG synthesis in solid constructs, which could be attributed at least in part to an increase in DNA. DC was also found to preferentially increase collagen accumulation in regions of solid and channeled constructs where FE modeling predicted higher levels of fluid flow, suggesting that this stimulus is important for promoting collagen production by chondrocytes embedded in agarose gels. In conclusion, this study demonstrates how the architecture of cell-seeded scaffolds or hydrogels can be modified to alter the spatial levels of biophysical cues throughout the construct, leading to greater collagen accumulation throughout the engineered tissue rather than preferentially in the construct periphery. This system also provides a novel approach to investigate how chondrocytes respond to altered levels of biophysical stimulation.", "author" : [ { "family" : "Mesallati", "given" : "Tariq" }, { "family" : "Buckley", "given" : "Conor T." }, { "family" : "Nagel", "given" : "Thomas" }, { "family" : "Kelly", "given" : "Daniel J." } ], "container-title" : "Biomechanics and Modeling in Mechanobiology", "id" : "ITEM-1", "issued" : { "date-parts" : [ [ "2013" ] ] }, "page" : "889-899", "title" : "Scaffold architecture determines chondrocyte response to externally applied dynamic compression", "type" : "article-journal", "volume" : "12" }, "uris" : [ "http://www.mendeley.com/documents/?uuid=0c6731c5-5758-4b54-8f7b-47480b05fb53" ] } ], "mendeley" : { "formattedCitation" : "[17]", "plainTextFormattedCitation" : "[17]", "previouslyFormattedCitation" : "[17]" }, "properties" : { "noteIndex" : 0 }, "schema" : "https://github.com/citation-style-language/schema/raw/master/csl-citation.json" }</w:instrText>
      </w:r>
      <w:r>
        <w:fldChar w:fldCharType="separate"/>
      </w:r>
      <w:r w:rsidRPr="00403550">
        <w:rPr>
          <w:noProof/>
        </w:rPr>
        <w:t>[17]</w:t>
      </w:r>
      <w:r>
        <w:fldChar w:fldCharType="end"/>
      </w:r>
      <w:r>
        <w:t xml:space="preserve">. Computational Fluid Dynamic (CFD) modelling also plays an important role to describe TE processes. CFD simulations can provide predictions of fluid flow through scaffold pores allowing the quantification of fluid-induced stresses at the cellular level and the transport of nutrients and oxygen onto cells </w:t>
      </w:r>
      <w:r>
        <w:fldChar w:fldCharType="begin" w:fldLock="1"/>
      </w:r>
      <w:r>
        <w:instrText>ADDIN CSL_CITATION { "citationItems" : [ { "id" : "ITEM-1", "itemData" : { "DOI" : "10.1002/term.1733", "author" : [ { "family" : "Vetsch", "given" : "Jolanda Rita" }, { "family" : "M\u00fcller", "given" : "Ralph" }, { "family" : "Hofmann", "given" : "Sandra" } ], "container-title" : "Journal of Tissue Engineering and Regenerative Medicine", "id" : "ITEM-1", "issue" : "8", "issued" : { "date-parts" : [ [ "2015" ] ] }, "page" : "903-917", "title" : "The evolution of simulation techniques for dynamic bone tissue engineering in bioreactors", "type" : "article-journal", "volume" : "9" }, "uris" : [ "http://www.mendeley.com/documents/?uuid=69b44a81-360e-4321-8c6a-397ac00e3162" ] } ], "mendeley" : { "formattedCitation" : "[18]", "plainTextFormattedCitation" : "[18]", "previouslyFormattedCitation" : "[18]" }, "properties" : { "noteIndex" : 0 }, "schema" : "https://github.com/citation-style-language/schema/raw/master/csl-citation.json" }</w:instrText>
      </w:r>
      <w:r>
        <w:fldChar w:fldCharType="separate"/>
      </w:r>
      <w:r w:rsidRPr="00403550">
        <w:rPr>
          <w:noProof/>
        </w:rPr>
        <w:t>[18]</w:t>
      </w:r>
      <w:r>
        <w:fldChar w:fldCharType="end"/>
      </w:r>
      <w:r>
        <w:t xml:space="preserve">. Moreover, the lattice approach that divides the domain into a discrete grid of points can be employed in order to describe individual cellular activity such as cell proliferation and migration within the scaffold domain </w:t>
      </w:r>
      <w:r>
        <w:fldChar w:fldCharType="begin" w:fldLock="1"/>
      </w:r>
      <w:r>
        <w:instrText>ADDIN CSL_CITATION { "citationItems" : [ { "id" : "ITEM-1", "itemData" : { "DOI" : "10.1007/8415", "author" : [ { "family" : "Olivares", "given" : "Andy L" }, { "family" : "Lacroix", "given" : "Damien" } ], "id" : "ITEM-1", "issue" : "March 2012", "issued" : { "date-parts" : [ [ "0" ] ] }, "page" : "107-126", "title" : "Computational Methods in the Modeling of Scaffolds for Tissue Engineering", "type" : "article-journal" }, "uris" : [ "http://www.mendeley.com/documents/?uuid=1f7de258-df1c-48d7-af51-75e0e24a798d" ] } ], "mendeley" : { "formattedCitation" : "[19]", "plainTextFormattedCitation" : "[19]", "previouslyFormattedCitation" : "[19]" }, "properties" : { "noteIndex" : 0 }, "schema" : "https://github.com/citation-style-language/schema/raw/master/csl-citation.json" }</w:instrText>
      </w:r>
      <w:r>
        <w:fldChar w:fldCharType="separate"/>
      </w:r>
      <w:r w:rsidRPr="00403550">
        <w:rPr>
          <w:noProof/>
        </w:rPr>
        <w:t>[19]</w:t>
      </w:r>
      <w:r>
        <w:fldChar w:fldCharType="end"/>
      </w:r>
      <w:r>
        <w:t xml:space="preserve">. Furthermore, </w:t>
      </w:r>
      <w:r w:rsidRPr="00EA10CC">
        <w:rPr>
          <w:color w:val="000000" w:themeColor="text1"/>
        </w:rPr>
        <w:t xml:space="preserve">the advancement of imaging techniques such as </w:t>
      </w:r>
      <w:r w:rsidRPr="00EA10CC">
        <w:rPr>
          <w:rFonts w:ascii="Calibri" w:hAnsi="Calibri"/>
          <w:color w:val="000000" w:themeColor="text1"/>
        </w:rPr>
        <w:t>μ</w:t>
      </w:r>
      <w:r w:rsidRPr="00EA10CC">
        <w:rPr>
          <w:color w:val="000000" w:themeColor="text1"/>
        </w:rPr>
        <w:t xml:space="preserve">-Computed Tomography (CT) enables </w:t>
      </w:r>
      <w:r w:rsidRPr="00F85CA9">
        <w:rPr>
          <w:color w:val="000000" w:themeColor="text1"/>
        </w:rPr>
        <w:t>the inclusion of digitalised 3D scaffolds into computational simulations yielding into more realistic results</w:t>
      </w:r>
      <w:r>
        <w:rPr>
          <w:color w:val="000000" w:themeColor="text1"/>
        </w:rPr>
        <w:t xml:space="preserve"> </w:t>
      </w:r>
      <w:r>
        <w:rPr>
          <w:color w:val="000000" w:themeColor="text1"/>
        </w:rPr>
        <w:fldChar w:fldCharType="begin" w:fldLock="1"/>
      </w:r>
      <w:r>
        <w:rPr>
          <w:color w:val="000000" w:themeColor="text1"/>
        </w:rPr>
        <w:instrText>ADDIN CSL_CITATION { "citationItems" : [ { "id" : "ITEM-1", "itemData" : { "DOI" : "10.1007/s10237-010-0256-0", "abstract" : "The control of the mechanical stimuli transmitted to the cells is critical for the design of functional scaffolds for tissue engineering. The objective of this study was to investigate the dynamics of the mechanical stimuli transmitted to the cells during tissue differentiation in an irregular morphology scaffold under compressive load and perfusion flow. A calcium phosphate-based glass porous scaffold was used. The solid phase and the fluid flow within the pores were modeled as linear elastic solid material and Newtonian fluid, respectively. In the fluid model, different levels of viscosity were used to simulate tissue differentiation. Compressive strain of 0.5% and fluid flow with constant inlet velocity of 10\u00a0\u03bcm/s or constant inlet pressure of 3\u00a0Pa were applied. Octahedral shear strain and fluid shear stress were used as mechano-regulatory stimuli. For constant inlet velocity, stimuli equivalent to bone were predicted in 80% of pore volume for the case of low tissue viscosity. For the cases of high viscosity, fluctuations between stimuli equivalent to tissue formation and cell death were predicted due to the increase in the fluid shear stress when tissue started to fill pores. When constant pressure was applied, stimuli equivalent to bone were predicted in 62% of pore volume when low tissue viscosity was used and 42% when high tissue viscosity was used. This study predicted critical variations of fluid shear stress when cells differentiated. If these variations are not controlled in vitro, they can impede the formation of new matured tissue.", "author" : [ { "family" : "Sandino", "given" : "Clara" }, { "family" : "Lacroix", "given" : "Damien" } ], "container-title" : "Biomechanics and modeling in mechanobiology", "id" : "ITEM-1", "issue" : "4", "issued" : { "date-parts" : [ [ "2011", "7" ] ] }, "page" : "565-76", "title" : "A dynamical study of the mechanical stimuli and tissue differentiation within a CaP scaffold based on micro-CT finite element models.", "type" : "article-journal", "volume" : "10" }, "uris" : [ "http://www.mendeley.com/documents/?uuid=a150bbe4-ffee-4446-9549-7186f169b301" ] } ], "mendeley" : { "formattedCitation" : "[20]", "plainTextFormattedCitation" : "[20]", "previouslyFormattedCitation" : "[20]" }, "properties" : { "noteIndex" : 0 }, "schema" : "https://github.com/citation-style-language/schema/raw/master/csl-citation.json" }</w:instrText>
      </w:r>
      <w:r>
        <w:rPr>
          <w:color w:val="000000" w:themeColor="text1"/>
        </w:rPr>
        <w:fldChar w:fldCharType="separate"/>
      </w:r>
      <w:r w:rsidRPr="00403550">
        <w:rPr>
          <w:noProof/>
          <w:color w:val="000000" w:themeColor="text1"/>
        </w:rPr>
        <w:t>[20]</w:t>
      </w:r>
      <w:r>
        <w:rPr>
          <w:color w:val="000000" w:themeColor="text1"/>
        </w:rPr>
        <w:fldChar w:fldCharType="end"/>
      </w:r>
      <w:r w:rsidRPr="00F85CA9">
        <w:rPr>
          <w:color w:val="000000" w:themeColor="text1"/>
        </w:rPr>
        <w:t>.</w:t>
      </w:r>
    </w:p>
    <w:p w:rsidR="005D1052" w:rsidRPr="000B3274" w:rsidRDefault="005D1052" w:rsidP="005D1052">
      <w:r>
        <w:lastRenderedPageBreak/>
        <w:t xml:space="preserve">It is noteworthy that TE should be tackled as a bidirectional multiscale problem (bottom-up and top-down) between the bioreactor macroscale conditions and the sub-cellular scale and both, mechanics and biology, should be included. The increase of computational power could potentially lead to models able to address these issues and predict tissue growth and phenotype. Nevertheless, computational models require comparison and validation with experimental findings which generally involves complex procedures requiring the development of specific experimental scenarios </w:t>
      </w:r>
      <w:r>
        <w:fldChar w:fldCharType="begin" w:fldLock="1"/>
      </w:r>
      <w:r>
        <w:instrText>ADDIN CSL_CITATION { "citationItems" : [ { "id" : "ITEM-1", "itemData" : { "author" : [ { "family" : "Raimondi", "given" : "Manuela Teresa" }, { "family" : "Causin", "given" : "Paola" }, { "family" : "Lagan\u00e0", "given" : "Matteo" }, { "family" : "Zunino", "given" : "Paolo" }, { "family" : "Sacco", "given" : "Riccardo" } ], "container-title" : "Computational Modeling in Tissue Engineering", "id" : "ITEM-1", "issued" : { "date-parts" : [ [ "2013" ] ] }, "page" : "267-285", "publisher" : "Springer", "title" : "Multiphysics computational modeling in cartilage tissue engineering", "type" : "chapter" }, "uris" : [ "http://www.mendeley.com/documents/?uuid=5cd3fc4a-60bf-4658-9e17-c76b370a0e93" ] } ], "mendeley" : { "formattedCitation" : "[21]", "plainTextFormattedCitation" : "[21]", "previouslyFormattedCitation" : "[21]" }, "properties" : { "noteIndex" : 0 }, "schema" : "https://github.com/citation-style-language/schema/raw/master/csl-citation.json" }</w:instrText>
      </w:r>
      <w:r>
        <w:fldChar w:fldCharType="separate"/>
      </w:r>
      <w:r w:rsidRPr="00FE48C1">
        <w:rPr>
          <w:noProof/>
        </w:rPr>
        <w:t>[21]</w:t>
      </w:r>
      <w:r>
        <w:fldChar w:fldCharType="end"/>
      </w:r>
      <w:r>
        <w:t>.</w:t>
      </w:r>
    </w:p>
    <w:p w:rsidR="005D1052" w:rsidRDefault="005D1052" w:rsidP="005D1052">
      <w:pPr>
        <w:pStyle w:val="Heading2"/>
      </w:pPr>
      <w:bookmarkStart w:id="14" w:name="_Toc440823168"/>
      <w:r>
        <w:t>Thesis proposal</w:t>
      </w:r>
      <w:bookmarkEnd w:id="14"/>
    </w:p>
    <w:p w:rsidR="005D1052" w:rsidRDefault="005D1052" w:rsidP="005D1052">
      <w:r>
        <w:t xml:space="preserve">TE products should be manufactured in a cost-effective manner ensuring safety and quality. In addition, more standard and automated manufacturing methods should be developed towards the </w:t>
      </w:r>
      <w:r w:rsidRPr="004A23A7">
        <w:t xml:space="preserve">translation of TE products into clinical application. Lack of control during the manufacturing process could deviate the fabricated scaffold from its intended design. </w:t>
      </w:r>
      <w:r w:rsidRPr="00F265DC">
        <w:t>To date, no quality criteria has been established by regulatory agencies to determine what tolerances in s</w:t>
      </w:r>
      <w:r>
        <w:t xml:space="preserve">caffold geometry are acceptable. Herein it is argued that the accuracy of fabrication methods should be defined by their capability to replicate the scaffold design without variability in the expected performance and therefore cell response. Variability in the geometry of scaffold products should not be underestimated without evaluating its impact on tissue growth. Small variations at the mesoscale could become more important when transferring down to the cell level perturbing cell behaviour. Thus, unexpected cell activity could lead to undesired tissue properties at higher scales. It is noteworthy that building the scaffold and placing cells onto it are the first steps in tissue construction. Scaffold geometry and the spatial distribution and density of cells are the initial conditions from which tissue starts developing. Lack of control at this stage could trigger undesired tissue implant outcomes. Irregularities in the geometry of the scaffold could influence the distribution of cells within the scaffold unit and the generated micromechanical stimuli throughout </w:t>
      </w:r>
      <w:r>
        <w:lastRenderedPageBreak/>
        <w:t xml:space="preserve">the scaffold microstructure. The interest of this thesis relies on the use of computational methods to gain understanding and control of this initial step in TE. In silico models can contribute to better control the scaffold fabrication process and the seeding of the scaffold with cells. The aim is to develop a computational approach to inspect fabricated scaffolds able to detect variations in the architecture and consequently in the initial conditions for cell seeding. The morphological inspection can help to identify the inaccuracies during the scaffold fabrication process and their repercussion on the local fluid dynamics during in vitro seeding. Thus, this methodology could give manufacturers valuable feedback to improve fabrication techniques and it could serve TE researchers to identify the possible source of noise during laboratory experiments originated by scaffold imperfections. In addition, the presented computational approach aims to explore and describe the mechanisms of cell deposition onto to these inspected geometries. Therefore, this in silico tool could provide realistic descriptions of this initial stage in the TE process. Furthermore, this computational framework would generate valuable information for TE researchers that is inaccessible in experimental setups. In fact, the development of such predictive in silico tool could help to design and optimise in vitro seeding methods avoiding expensive experimental trials and cell waste.  </w:t>
      </w:r>
    </w:p>
    <w:p w:rsidR="005D1052" w:rsidRDefault="005D1052" w:rsidP="005D1052">
      <w:r>
        <w:t>The general objectives of this thesis are investigated throughout the chapters addressing the following aspects:</w:t>
      </w:r>
    </w:p>
    <w:p w:rsidR="005D1052" w:rsidRDefault="005D1052" w:rsidP="005D1052">
      <w:pPr>
        <w:pStyle w:val="ListParagraph"/>
        <w:numPr>
          <w:ilvl w:val="0"/>
          <w:numId w:val="12"/>
        </w:numPr>
        <w:spacing w:after="240"/>
        <w:ind w:left="284" w:hanging="284"/>
        <w:contextualSpacing w:val="0"/>
      </w:pPr>
      <w:r w:rsidRPr="00334589">
        <w:t>In</w:t>
      </w:r>
      <w:r w:rsidRPr="0073153E">
        <w:t xml:space="preserve"> Chapter 2</w:t>
      </w:r>
      <w:r>
        <w:t>, the main concepts of TE scaffolds and in vitro bioreactors are discussed. Moreover, CFD strategies for the design and optimization of scaffold-bioreactor strategies are reviewed with more emphasis on cell seeding approaches. In addition, a brief review of experimental methods for the formulation and validation of CFD models in TE is presented.</w:t>
      </w:r>
      <w:r w:rsidRPr="0073153E">
        <w:t xml:space="preserve"> </w:t>
      </w:r>
    </w:p>
    <w:p w:rsidR="005D1052" w:rsidRDefault="005D1052" w:rsidP="005D1052">
      <w:pPr>
        <w:pStyle w:val="ListParagraph"/>
        <w:numPr>
          <w:ilvl w:val="0"/>
          <w:numId w:val="12"/>
        </w:numPr>
        <w:spacing w:after="240"/>
        <w:ind w:left="284" w:hanging="284"/>
        <w:contextualSpacing w:val="0"/>
      </w:pPr>
      <w:r w:rsidRPr="00334589">
        <w:t>In</w:t>
      </w:r>
      <w:r w:rsidRPr="00A91479">
        <w:t xml:space="preserve"> Chapter 3</w:t>
      </w:r>
      <w:r w:rsidRPr="00657897">
        <w:t xml:space="preserve">, a novel computational approach is </w:t>
      </w:r>
      <w:r>
        <w:t>presented for the</w:t>
      </w:r>
      <w:r w:rsidRPr="00657897">
        <w:t xml:space="preserve"> inspect</w:t>
      </w:r>
      <w:r>
        <w:t>ion of</w:t>
      </w:r>
      <w:r w:rsidRPr="00657897">
        <w:t xml:space="preserve"> regular </w:t>
      </w:r>
      <w:r>
        <w:t>Rapid Prototyping (</w:t>
      </w:r>
      <w:r w:rsidRPr="00657897">
        <w:t>RP</w:t>
      </w:r>
      <w:r>
        <w:t>)</w:t>
      </w:r>
      <w:r w:rsidRPr="00657897">
        <w:t xml:space="preserve"> scaffolds. The methodology analyses</w:t>
      </w:r>
      <w:r>
        <w:t xml:space="preserve"> the</w:t>
      </w:r>
      <w:r w:rsidRPr="00657897">
        <w:t xml:space="preserve"> effect of inter-sample st</w:t>
      </w:r>
      <w:r>
        <w:t>ructural variability of fabricated scaffolds on</w:t>
      </w:r>
      <w:r w:rsidRPr="00657897">
        <w:t xml:space="preserve"> the </w:t>
      </w:r>
      <w:r>
        <w:t>fluid dynamics at the cell microenvironment</w:t>
      </w:r>
      <w:r w:rsidRPr="00657897">
        <w:t>. A 3D</w:t>
      </w:r>
      <w:r>
        <w:t xml:space="preserve"> porous scaffold available in the market and presented </w:t>
      </w:r>
      <w:r>
        <w:lastRenderedPageBreak/>
        <w:t>as a product with regular and controlled internal microstructure is inspected with the proposed CFD-based protocol. Five samples are investigated to quantify inter-sample variability and deviations from the CAD (Computer Aided Design) design.</w:t>
      </w:r>
    </w:p>
    <w:p w:rsidR="005D1052" w:rsidRDefault="005D1052" w:rsidP="005D1052">
      <w:pPr>
        <w:pStyle w:val="ListParagraph"/>
        <w:numPr>
          <w:ilvl w:val="0"/>
          <w:numId w:val="12"/>
        </w:numPr>
        <w:spacing w:after="240"/>
        <w:ind w:left="284" w:hanging="284"/>
        <w:contextualSpacing w:val="0"/>
      </w:pPr>
      <w:r w:rsidRPr="00A91479">
        <w:t>Chapter 4</w:t>
      </w:r>
      <w:r>
        <w:t xml:space="preserve"> presents an experimental approach using </w:t>
      </w:r>
      <w:r w:rsidRPr="00A91479">
        <w:t>μ</w:t>
      </w:r>
      <w:r>
        <w:t>-Particle Image Velocimetry (PIV) to measure the local fluid dynamic conditions and cell motion inside a 3D scaffold. The experimental data is used to formulate and validate a CFD approach able to predict fluid flow behaviour and cell path at the scaffold pore level under hydrodynamic conditions.</w:t>
      </w:r>
    </w:p>
    <w:p w:rsidR="005D1052" w:rsidRDefault="005D1052" w:rsidP="005D1052">
      <w:pPr>
        <w:pStyle w:val="ListParagraph"/>
        <w:numPr>
          <w:ilvl w:val="0"/>
          <w:numId w:val="12"/>
        </w:numPr>
        <w:spacing w:after="240"/>
        <w:ind w:left="284" w:hanging="284"/>
        <w:contextualSpacing w:val="0"/>
      </w:pPr>
      <w:r w:rsidRPr="00334589">
        <w:t>In</w:t>
      </w:r>
      <w:r w:rsidRPr="00A91479">
        <w:t xml:space="preserve"> Chapter 5</w:t>
      </w:r>
      <w:r>
        <w:t>, the CFD model developed in Chapter 4 is applied to explore real in vitro cell seeding scenarios. Static and dynamic seeding strategies are investigated with good agreement with the experimental findings. The CFD simulations served to describe cell deposition under in vitro realistic conditions suggesting potential improvements in the experiments for the enhancement of cell seeding efficiency. In addition, the predictive power of the model is evaluated in order to define new pathways towards more realistic simulations.</w:t>
      </w:r>
    </w:p>
    <w:p w:rsidR="005D1052" w:rsidRDefault="005D1052" w:rsidP="005D1052">
      <w:pPr>
        <w:pStyle w:val="ListParagraph"/>
        <w:numPr>
          <w:ilvl w:val="0"/>
          <w:numId w:val="12"/>
        </w:numPr>
        <w:spacing w:after="240"/>
        <w:ind w:left="284" w:hanging="284"/>
        <w:contextualSpacing w:val="0"/>
      </w:pPr>
      <w:r w:rsidRPr="00A91479">
        <w:t xml:space="preserve">Chapter 6 </w:t>
      </w:r>
      <w:r w:rsidRPr="00334589">
        <w:t>is dedicated to</w:t>
      </w:r>
      <w:r>
        <w:t xml:space="preserve"> the</w:t>
      </w:r>
      <w:r w:rsidRPr="00334589">
        <w:t xml:space="preserve"> g</w:t>
      </w:r>
      <w:r>
        <w:t>eneral discussion of the thesis summarising the contributions and the limitations encountered.</w:t>
      </w:r>
    </w:p>
    <w:p w:rsidR="005D1052" w:rsidRDefault="005D1052" w:rsidP="005D1052">
      <w:pPr>
        <w:pStyle w:val="ListParagraph"/>
        <w:numPr>
          <w:ilvl w:val="0"/>
          <w:numId w:val="12"/>
        </w:numPr>
        <w:spacing w:after="240"/>
        <w:ind w:left="284" w:hanging="284"/>
        <w:contextualSpacing w:val="0"/>
      </w:pPr>
      <w:r w:rsidRPr="00A91479">
        <w:t xml:space="preserve"> </w:t>
      </w:r>
      <w:r>
        <w:t xml:space="preserve">In </w:t>
      </w:r>
      <w:r w:rsidRPr="00A91479">
        <w:t>Chapter 7</w:t>
      </w:r>
      <w:r>
        <w:t>, the k</w:t>
      </w:r>
      <w:r w:rsidRPr="00334589">
        <w:t xml:space="preserve">ey findings </w:t>
      </w:r>
      <w:r>
        <w:t xml:space="preserve">and limitations are revised and future prospects of this thesis are presented. </w:t>
      </w:r>
    </w:p>
    <w:p w:rsidR="005D1052" w:rsidRDefault="005D1052" w:rsidP="005D1052">
      <w:pPr>
        <w:spacing w:after="240"/>
        <w:ind w:firstLine="0"/>
        <w:sectPr w:rsidR="005D1052" w:rsidSect="00EB11EA">
          <w:headerReference w:type="even" r:id="rId19"/>
          <w:headerReference w:type="default" r:id="rId20"/>
          <w:footerReference w:type="even" r:id="rId21"/>
          <w:footerReference w:type="default" r:id="rId22"/>
          <w:headerReference w:type="first" r:id="rId23"/>
          <w:footerReference w:type="first" r:id="rId24"/>
          <w:pgSz w:w="11900" w:h="16840"/>
          <w:pgMar w:top="2268" w:right="1134" w:bottom="1701" w:left="2268" w:header="284" w:footer="454" w:gutter="0"/>
          <w:pgNumType w:start="1" w:chapSep="emDash"/>
          <w:cols w:space="708"/>
          <w:titlePg/>
          <w:docGrid w:linePitch="360"/>
        </w:sectPr>
      </w:pPr>
    </w:p>
    <w:p w:rsidR="005D1052" w:rsidRPr="00334589" w:rsidRDefault="005D1052" w:rsidP="005D1052">
      <w:pPr>
        <w:spacing w:after="240"/>
        <w:ind w:firstLine="0"/>
      </w:pPr>
    </w:p>
    <w:p w:rsidR="005D1052" w:rsidRPr="005945B3" w:rsidRDefault="005D1052" w:rsidP="005D1052"/>
    <w:p w:rsidR="005D1052" w:rsidRDefault="005D1052" w:rsidP="005D1052">
      <w:pPr>
        <w:ind w:firstLine="0"/>
        <w:sectPr w:rsidR="005D1052" w:rsidSect="00EB11EA">
          <w:headerReference w:type="first" r:id="rId25"/>
          <w:footerReference w:type="first" r:id="rId26"/>
          <w:pgSz w:w="11900" w:h="16840"/>
          <w:pgMar w:top="2268" w:right="1134" w:bottom="1701" w:left="2268" w:header="284" w:footer="454" w:gutter="0"/>
          <w:pgNumType w:chapSep="emDash"/>
          <w:cols w:space="708"/>
          <w:titlePg/>
          <w:docGrid w:linePitch="360"/>
        </w:sectPr>
      </w:pPr>
      <w:bookmarkStart w:id="15" w:name="_Toc420596681"/>
    </w:p>
    <w:p w:rsidR="005D1052" w:rsidRDefault="005D1052" w:rsidP="005D1052">
      <w:pPr>
        <w:pStyle w:val="Heading1"/>
      </w:pPr>
      <w:bookmarkStart w:id="16" w:name="_Toc310605576"/>
      <w:bookmarkStart w:id="17" w:name="_Toc310605871"/>
      <w:bookmarkStart w:id="18" w:name="_Toc440823169"/>
      <w:r>
        <w:lastRenderedPageBreak/>
        <w:t>Literature review</w:t>
      </w:r>
      <w:bookmarkEnd w:id="16"/>
      <w:bookmarkEnd w:id="17"/>
      <w:bookmarkEnd w:id="18"/>
    </w:p>
    <w:p w:rsidR="005D1052" w:rsidRPr="003537C0" w:rsidRDefault="005D1052" w:rsidP="005D1052">
      <w:bookmarkStart w:id="19" w:name="_Toc420596682"/>
      <w:bookmarkEnd w:id="15"/>
    </w:p>
    <w:p w:rsidR="005D1052" w:rsidRPr="00013517" w:rsidRDefault="005D1052" w:rsidP="005D1052">
      <w:pPr>
        <w:pStyle w:val="Quote"/>
        <w:rPr>
          <w:b/>
        </w:rPr>
      </w:pPr>
      <w:r w:rsidRPr="00013517">
        <w:rPr>
          <w:b/>
        </w:rPr>
        <w:t>Summary</w:t>
      </w:r>
    </w:p>
    <w:p w:rsidR="005D1052" w:rsidRPr="0018205F" w:rsidRDefault="005D1052" w:rsidP="005D1052">
      <w:pPr>
        <w:pStyle w:val="Quote"/>
      </w:pPr>
      <w:r>
        <w:t xml:space="preserve">This chapter reviews key aspects of TE for bone regeneration. Scaffold architecture and material selection are critical for the delivery of the adequate mechanical and biological performance during tissue development. The main strategies and challenges in scaffold design and fabrication are presented including the current state of TE scaffolds towards clinical application. In vitro bioreactors based on dynamic fluid flow are explained. These devices aim to provide the adequate mechanical and biological environment while tissue is forming within the scaffold. Computational techniques employed to optimise bioreactor-scaffold strategies are reviewed. Furthermore, this chapter includes a review of experimental methods for the characterization and measurement of fluid flow and cell motion inside microfluidic systems. </w:t>
      </w:r>
      <w:bookmarkStart w:id="20" w:name="_Toc310605577"/>
      <w:bookmarkStart w:id="21" w:name="_Toc310605872"/>
    </w:p>
    <w:p w:rsidR="005D1052" w:rsidRDefault="005D1052" w:rsidP="005D1052">
      <w:pPr>
        <w:pStyle w:val="Heading2"/>
      </w:pPr>
      <w:bookmarkStart w:id="22" w:name="_Toc440823170"/>
      <w:r>
        <w:t>Introduction</w:t>
      </w:r>
      <w:bookmarkEnd w:id="20"/>
      <w:bookmarkEnd w:id="21"/>
      <w:bookmarkEnd w:id="22"/>
    </w:p>
    <w:p w:rsidR="005D1052" w:rsidRDefault="005D1052" w:rsidP="005D1052">
      <w:pPr>
        <w:pStyle w:val="Heading3"/>
      </w:pPr>
      <w:bookmarkStart w:id="23" w:name="_Toc310605578"/>
      <w:bookmarkStart w:id="24" w:name="_Toc310605873"/>
      <w:bookmarkStart w:id="25" w:name="_Toc440823171"/>
      <w:r>
        <w:t>Bone structure and functionality</w:t>
      </w:r>
      <w:bookmarkEnd w:id="23"/>
      <w:bookmarkEnd w:id="24"/>
      <w:bookmarkEnd w:id="25"/>
    </w:p>
    <w:p w:rsidR="005D1052" w:rsidRDefault="005D1052" w:rsidP="005D1052">
      <w:r>
        <w:t xml:space="preserve">Bone as part of the musculoskeletal system has an important role to provide support in the human body, protect the organs, allow leverage, blood cell production and store minerals. To fulfil these functions, bone is organised in a complex and hierarchical structure which basic building block is mineralized collagen fibril. At the microscopic level, mineralized collagen fibrils can be arranged randomly forming woven bone or in regular alignments commonly known as lamellar bone found in healthy adult bone. At the tissue level, layers of lamellae are organised concentrically forming the osteons. Osteons are the main unit of the cortical bone tissue which is found at the outer part of bones and mainly in the diaphysis in long bones. Osteons enclose the Haversian </w:t>
      </w:r>
      <w:r>
        <w:lastRenderedPageBreak/>
        <w:t xml:space="preserve">canals that provide blood and nerve supply coming from the periosteum through the Volkmann canals. Furthermore, they contain mineral bone matrix which is maintained by the osteocytes that are located inside the lacunae found between layers of lamellae and communicated by canaliculi to other osteocytes. On the other hand, lamellar bone can also be arranged by rods forming a connected network known as trabeculae that resembles a sponge. This spatial arrangement of lamellae forms the cancellous bone tissue found in the epiphysis and metaphysis and the interior of the short and flat bones. The empty spaces between the trabeculae are filled with red marrow that supplies cells with nutrients in the lamellae and yellow marrow that stores lipids as energy reserve for the human body. Inside the trabeculae, osteocytes are embedded within the bone matrix as found in cortical tissue </w:t>
      </w:r>
      <w:r>
        <w:fldChar w:fldCharType="begin" w:fldLock="1"/>
      </w:r>
      <w:r>
        <w:instrText>ADDIN CSL_CITATION { "citationItems" : [ { "id" : "ITEM-1", "itemData" : { "DOI" : "10.1146/annurev.matsci.28.1.271", "ISBN" : "0084-6600", "abstract" : "\u25aa Abstract The term bone refers to a family of materials, all of which are built up of mineralized collagen fibrils. They have highly complex structures, described in terms of up to 7 hierarchical levels of organization. These materials have evolved to fulfill a variety of mechanical functions, for which the structures are presumably fine-tuned. Matching structure to function is a challenge. Here we review the structure-mechanical relations at each of the hierarchical levels of organization, highlighting wherever possible both underlying strategies and gaps in our knowledge. The insights gained from the study of these fascinating materials are not only important biologically, but may well provide novel ideas that can be applied to the design of synthetic materials.", "author" : [ { "family" : "Weiner", "given" : "S." }, { "family" : "Wagner", "given" : "H. D." } ], "container-title" : "Annual Review of Materials Science", "id" : "ITEM-1", "issued" : { "date-parts" : [ [ "1998" ] ] }, "page" : "271-298", "title" : "THE MATERIAL BONE: Structure-Mechanical Function Relations", "type" : "article-journal", "volume" : "28" }, "uris" : [ "http://www.mendeley.com/documents/?uuid=531a6a9e-8451-4a60-8848-9231484b8375" ] } ], "mendeley" : { "formattedCitation" : "[22]", "plainTextFormattedCitation" : "[22]", "previouslyFormattedCitation" : "[22]" }, "properties" : { "noteIndex" : 0 }, "schema" : "https://github.com/citation-style-language/schema/raw/master/csl-citation.json" }</w:instrText>
      </w:r>
      <w:r>
        <w:fldChar w:fldCharType="separate"/>
      </w:r>
      <w:r w:rsidRPr="00FE48C1">
        <w:rPr>
          <w:noProof/>
        </w:rPr>
        <w:t>[22]</w:t>
      </w:r>
      <w:r>
        <w:fldChar w:fldCharType="end"/>
      </w:r>
      <w:r>
        <w:t xml:space="preserve">. </w:t>
      </w:r>
    </w:p>
    <w:p w:rsidR="005D1052" w:rsidRDefault="005D1052" w:rsidP="005D1052"/>
    <w:p w:rsidR="005D1052" w:rsidRDefault="005D1052" w:rsidP="005D1052">
      <w:pPr>
        <w:pStyle w:val="Caption"/>
      </w:pPr>
      <w:r>
        <w:rPr>
          <w:noProof/>
          <w:lang w:eastAsia="en-GB"/>
        </w:rPr>
        <w:drawing>
          <wp:inline distT="0" distB="0" distL="0" distR="0" wp14:anchorId="44F8D327" wp14:editId="18C957D0">
            <wp:extent cx="3912795" cy="2562578"/>
            <wp:effectExtent l="0" t="0" r="0" b="0"/>
            <wp:docPr id="8196" name="Picture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e structure.png"/>
                    <pic:cNvPicPr/>
                  </pic:nvPicPr>
                  <pic:blipFill rotWithShape="1">
                    <a:blip r:embed="rId27">
                      <a:extLst>
                        <a:ext uri="{28A0092B-C50C-407E-A947-70E740481C1C}">
                          <a14:useLocalDpi xmlns:a14="http://schemas.microsoft.com/office/drawing/2010/main" val="0"/>
                        </a:ext>
                      </a:extLst>
                    </a:blip>
                    <a:srcRect t="-770" b="6462"/>
                    <a:stretch/>
                  </pic:blipFill>
                  <pic:spPr bwMode="auto">
                    <a:xfrm>
                      <a:off x="0" y="0"/>
                      <a:ext cx="3940335" cy="2580615"/>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rPr>
      </w:pPr>
      <w:bookmarkStart w:id="26" w:name="_Toc438590788"/>
      <w:bookmarkStart w:id="27" w:name="_Toc445718794"/>
      <w:r w:rsidRPr="00B97135">
        <w:t xml:space="preserve">Figure </w:t>
      </w:r>
      <w:fldSimple w:instr=" STYLEREF 1 \s ">
        <w:r w:rsidR="00924C7D">
          <w:rPr>
            <w:noProof/>
          </w:rPr>
          <w:t>2</w:t>
        </w:r>
      </w:fldSimple>
      <w:r>
        <w:noBreakHyphen/>
      </w:r>
      <w:fldSimple w:instr=" SEQ Figure \* ARABIC \s 1 ">
        <w:r w:rsidR="00924C7D">
          <w:rPr>
            <w:noProof/>
          </w:rPr>
          <w:t>1</w:t>
        </w:r>
      </w:fldSimple>
      <w:r>
        <w:t xml:space="preserve"> </w:t>
      </w:r>
      <w:r w:rsidRPr="005E0985">
        <w:rPr>
          <w:b w:val="0"/>
        </w:rPr>
        <w:t xml:space="preserve">Bone </w:t>
      </w:r>
      <w:r>
        <w:rPr>
          <w:b w:val="0"/>
        </w:rPr>
        <w:t xml:space="preserve">tissue </w:t>
      </w:r>
      <w:r w:rsidRPr="005E0985">
        <w:rPr>
          <w:b w:val="0"/>
        </w:rPr>
        <w:t xml:space="preserve">structure (Copyright </w:t>
      </w:r>
      <w:r w:rsidRPr="005E0985">
        <w:rPr>
          <w:rFonts w:cs="Times New Roman"/>
          <w:b w:val="0"/>
        </w:rPr>
        <w:t>©</w:t>
      </w:r>
      <w:r w:rsidRPr="005E0985">
        <w:rPr>
          <w:b w:val="0"/>
        </w:rPr>
        <w:t xml:space="preserve"> 2007 Pearson Education, Inc., publishing as Benjamin Cummings).</w:t>
      </w:r>
      <w:bookmarkEnd w:id="26"/>
      <w:bookmarkEnd w:id="27"/>
    </w:p>
    <w:p w:rsidR="005D1052" w:rsidRDefault="005D1052" w:rsidP="005D1052">
      <w:r>
        <w:t xml:space="preserve">Both bone tissue types are subjected to constant remodelling which consists on replacing the old micro-damaged bone by new one. In this manner, bone is capable to cope with stresses placed on it due to everyday physical activities. Moreover, bone </w:t>
      </w:r>
      <w:r>
        <w:lastRenderedPageBreak/>
        <w:t xml:space="preserve">remodelling allows maintaining bone strength and calcium homeostasis. Osteoclasts are responsible for bone resorption and osteoblasts synthesise new bone matrix that eventually will surround and isolate them becoming osteocytes. To sum up, osteoblasts form new bone tissue which is maintained by osteocytes and resorbed by osteoclasts </w:t>
      </w:r>
      <w:r>
        <w:fldChar w:fldCharType="begin" w:fldLock="1"/>
      </w:r>
      <w:r>
        <w:instrText>ADDIN CSL_CITATION { "citationItems" : [ { "id" : "ITEM-1", "itemData" : { "DOI" : "10.2215/CJN.04151206", "abstract" : "This review describes normal bone anatomy and physiology as an introduction to the subsequent articles in this section that discuss clinical applications of iliac crest bone biopsy. The normal anatomy and functions of the skeleton are reviewed first, followed by a general description of the processes of bone modeling and remodeling. The bone remodeling process regulates the gain and loss of bone mineral density in the adult skeleton and directly influences bone strength. Thorough understanding of the bone remodeling process is critical to appreciation of the value of and interpretation of the results of iliac crest bone histomorphometry. Osteoclast recruitment, activation, and bone resorption is discussed in some detail, followed by a review of osteoblast recruitment and the process of new bone formation. Next, the collagenous and noncollagenous protein components and function of bone extracellular matrix are summarized, followed by a description of the process of mineralization of newly formed bone matrix. The actions of biomechanical forces on bone are sensed by the osteocyte syncytium within bone via the canalicular network and intercellular gap junctions. Finally, concepts regarding bone remodeling, osteoclast and osteoblast function, extracellular matrix, matrix mineralization, and osteocyte function are synthesized in a summary of the currently understood functional determinants of bone strength. This information lays the groundwork for understanding the utility and clinical applications of iliac crest bone biopsy. ", "author" : [ { "family" : "Clarke", "given" : "Bart" } ], "container-title" : "Clinical Journal of the American Society of Nephrology : CJASN", "id" : "ITEM-1", "issue" : "Suppl 3", "issued" : { "date-parts" : [ [ "2008", "11" ] ] }, "page" : "S131-9", "title" : "Normal Bone Anatomy and Physiology", "type" : "article", "volume" : "3" }, "uris" : [ "http://www.mendeley.com/documents/?uuid=22f1f37a-b603-4d2a-b358-3e99a100a240" ] } ], "mendeley" : { "formattedCitation" : "[23]", "plainTextFormattedCitation" : "[23]", "previouslyFormattedCitation" : "[23]" }, "properties" : { "noteIndex" : 0 }, "schema" : "https://github.com/citation-style-language/schema/raw/master/csl-citation.json" }</w:instrText>
      </w:r>
      <w:r>
        <w:fldChar w:fldCharType="separate"/>
      </w:r>
      <w:r w:rsidRPr="00FE48C1">
        <w:rPr>
          <w:noProof/>
        </w:rPr>
        <w:t>[23]</w:t>
      </w:r>
      <w:r>
        <w:fldChar w:fldCharType="end"/>
      </w:r>
      <w:r>
        <w:t>.</w:t>
      </w:r>
    </w:p>
    <w:p w:rsidR="005D1052" w:rsidRDefault="005D1052" w:rsidP="005D1052">
      <w:pPr>
        <w:pStyle w:val="Heading3"/>
      </w:pPr>
      <w:bookmarkStart w:id="28" w:name="_Toc310605579"/>
      <w:bookmarkStart w:id="29" w:name="_Toc310605874"/>
      <w:bookmarkStart w:id="30" w:name="_Toc440823172"/>
      <w:r>
        <w:t>Bone healing</w:t>
      </w:r>
      <w:bookmarkEnd w:id="28"/>
      <w:bookmarkEnd w:id="29"/>
      <w:bookmarkEnd w:id="30"/>
    </w:p>
    <w:p w:rsidR="005D1052" w:rsidRDefault="005D1052" w:rsidP="005D1052">
      <w:r>
        <w:t xml:space="preserve">In addition to the remodelling capabilities, bone also has regenerative properties and it can restore bone shape and function in the event of bone fracture. After bony disruption, indirect bone healing occurs if there is relative motion between bone fragments. This process involves three different overlapping phases. First, there is the inflammatory phase where the blood vessels are ruptured and hematoma forms. At this stage, fibroblasts, small blood vessels and inflammatory cells infiltrate the hematoma forming granulation tissue </w:t>
      </w:r>
      <w:r>
        <w:fldChar w:fldCharType="begin" w:fldLock="1"/>
      </w:r>
      <w:r>
        <w:instrText>ADDIN CSL_CITATION { "citationItems" : [ { "id" : "ITEM-1", "itemData" : { "DOI" : "10.3389/fendo.2014.00211", "abstract" : "How mechanical forces influence the regeneration of bone remains an open question. Their effect has been demonstrated experimentally, which has allowed mathematical theories of mechanically driven tissue differentiation to be developed. Many simulations driven by these theories have been presented, however, validation of these models has remained difficult due to the number of independent parameters considered. An overview of these theories and models is presented along with a review of experimental studies and the factors they consider. Finally limitations of current experimental data and how this influences modeling are discussed and potential solutions are proposed.", "author" : [ { "family" : "Betts", "given" : "Duncan Colin" }, { "family" : "M\u00fcller", "given" : "Ralph" } ], "container-title" : "Frontiers in endocrinology", "id" : "ITEM-1", "issue" : "December", "issued" : { "date-parts" : [ [ "2014" ] ] }, "page" : "211", "title" : "Mechanical regulation of bone regeneration: theories, models, and experiments.", "type" : "article-journal", "volume" : "5" }, "uris" : [ "http://www.mendeley.com/documents/?uuid=81f6c5a8-63c0-4134-9bf9-64d540f59b16" ] } ], "mendeley" : { "formattedCitation" : "[24]", "plainTextFormattedCitation" : "[24]", "previouslyFormattedCitation" : "[24]" }, "properties" : { "noteIndex" : 0 }, "schema" : "https://github.com/citation-style-language/schema/raw/master/csl-citation.json" }</w:instrText>
      </w:r>
      <w:r>
        <w:fldChar w:fldCharType="separate"/>
      </w:r>
      <w:r w:rsidRPr="00FE48C1">
        <w:rPr>
          <w:noProof/>
        </w:rPr>
        <w:t>[24]</w:t>
      </w:r>
      <w:r>
        <w:fldChar w:fldCharType="end"/>
      </w:r>
      <w:r>
        <w:t xml:space="preserve">. This soft callus around the fracture side undergoes tissue differentiation during the reparative phase; intramembranous ossification initiates at the cortical bone and cartilage forms at the centre of the fracture to stabilise it </w:t>
      </w:r>
      <w:r>
        <w:fldChar w:fldCharType="begin" w:fldLock="1"/>
      </w:r>
      <w:r>
        <w:instrText>ADDIN CSL_CITATION { "citationItems" : [ { "id" : "ITEM-1", "itemData" : { "DOI" : "10.1016/j.injury.2011.03.031", "ISBN" : "1879-0267 (Electronic)\\r0020-1383 (Linking)", "abstract" : "The biology of fracture healing is a complex biological process that follows specific regenerative patterns and involves changes in the expression of several thousand genes. Although there is still much to be learned to fully comprehend the pathways of bone regeneration, the over-all pathways of both the anatomical and biochemical events have been thoroughly investigated. These efforts have provided a general understanding of how fracture healing occurs. Following the initial trauma, bone heals by either direct intramembranous or indirect fracture healing, which consists of both intramembranous and endochondral bone formation. The most common pathway is indirect healing, since direct bone healing requires an anatomical reduction and rigidly stable conditions, commonly only obtained by open reduction and internal fixation. However, when such conditions are achieved, the direct healing cascade allows the bone structure to immediately regenerate anatomical lamellar bone and the Haversian systems without any remodelling steps necessary. In all other non-stable conditions, bone healing follows a specific biological pathway. It involves an acute inflammatory response including the production and release of several important molecules, and the recruitment of mesenchymal stem cells in order to generate a primary cartilaginous callus. This primary callus later undergoes revascularisation and calcification, and is finally remodelled to fully restore a normal bone structure. In this article we summarise the basic biology of fracture healing. ?? 2011 Elsevier Ltd. All rights reserved.", "author" : [ { "family" : "Marsell", "given" : "Richard" }, { "family" : "Einhorn", "given" : "Thomas a." } ], "container-title" : "Injury", "id" : "ITEM-1", "issue" : "6", "issued" : { "date-parts" : [ [ "2011" ] ] }, "page" : "551-555", "publisher" : "Elsevier Ltd", "title" : "The biology of fracture healing", "type" : "article-journal", "volume" : "42" }, "uris" : [ "http://www.mendeley.com/documents/?uuid=646a841c-e950-423d-9223-f6a82ed119a2" ] } ], "mendeley" : { "formattedCitation" : "[25]", "plainTextFormattedCitation" : "[25]", "previouslyFormattedCitation" : "[25]" }, "properties" : { "noteIndex" : 0 }, "schema" : "https://github.com/citation-style-language/schema/raw/master/csl-citation.json" }</w:instrText>
      </w:r>
      <w:r>
        <w:fldChar w:fldCharType="separate"/>
      </w:r>
      <w:r w:rsidRPr="00FE48C1">
        <w:rPr>
          <w:noProof/>
        </w:rPr>
        <w:t>[25]</w:t>
      </w:r>
      <w:r>
        <w:fldChar w:fldCharType="end"/>
      </w:r>
      <w:r>
        <w:t xml:space="preserve">. Then after vascular invasion, cartilage is transformed into woven bone via endochondral ossification. Eventually, the hard callus bridges the fracture fragments while the remodelling phase takes place in order to transform woven bone into lamellar bone and to adapt bone to its original structure and mechanical strength </w:t>
      </w:r>
      <w:r>
        <w:fldChar w:fldCharType="begin" w:fldLock="1"/>
      </w:r>
      <w:r>
        <w:instrText>ADDIN CSL_CITATION { "citationItems" : [ { "id" : "ITEM-1", "itemData" : { "DOI" : "10.3171/foc.2001.10.4.2", "ISBN" : "1092-0684", "abstract" : "Our contemporary understanding of bone healing has evolved due to knowledge gleaned from a continuous interaction between basic laboratory investigations and clinical observations following procedures to augment healing of fractures, osseous defects, and unstable joints. The stages of bone healing parallel the early stages of bone development. The bone healing process is greatly influenced by a variety of systemic and local factors. A thorough understanding of the basic science of bone healing as well as the many factors that can affect it is critical to the management of a variety of musculoskeletal disorders. In particular, the evolving management of spinal disorders can greatly benefit from the advancement of our understanding of the principles of bone healing.", "author" : [ { "family" : "Kalfas", "given" : "I H" } ], "container-title" : "Neurosurgical focus", "id" : "ITEM-1", "issue" : "4", "issued" : { "date-parts" : [ [ "2001" ] ] }, "page" : "E1", "title" : "Principles of bone healing.", "type" : "article-journal", "volume" : "10" }, "uris" : [ "http://www.mendeley.com/documents/?uuid=eb458494-d983-4cc1-9eae-59da009f6c83" ] } ], "mendeley" : { "formattedCitation" : "[26]", "plainTextFormattedCitation" : "[26]", "previouslyFormattedCitation" : "[26]" }, "properties" : { "noteIndex" : 0 }, "schema" : "https://github.com/citation-style-language/schema/raw/master/csl-citation.json" }</w:instrText>
      </w:r>
      <w:r>
        <w:fldChar w:fldCharType="separate"/>
      </w:r>
      <w:r w:rsidRPr="00FE48C1">
        <w:rPr>
          <w:noProof/>
        </w:rPr>
        <w:t>[26]</w:t>
      </w:r>
      <w:r>
        <w:fldChar w:fldCharType="end"/>
      </w:r>
      <w:r>
        <w:t>.</w:t>
      </w:r>
    </w:p>
    <w:p w:rsidR="005D1052" w:rsidRDefault="005D1052" w:rsidP="005D1052">
      <w:r>
        <w:t xml:space="preserve">The mechanical stimuli sensed by cells during healing can modify the pathways of tissue differentiation. Therefore, the mechanical environment at the fracture site can strongly influence the healing outcome </w:t>
      </w:r>
      <w:r>
        <w:fldChar w:fldCharType="begin" w:fldLock="1"/>
      </w:r>
      <w:r>
        <w:instrText>ADDIN CSL_CITATION { "citationItems" : [ { "id" : "ITEM-1", "itemData" : { "DOI" : "10.2200/S00246ED1V01Y200912TIS004", "ISBN" : "9781608451692", "abstract" : "Abstract This eight-chapter monograph intends to present basic principles and applications of biomechanics in bone tissue engineering in order to assist tissue engineers in design and use of tissue-engineered products for repair and replacement of damaged/deformed bone tissues. Briefly, Chapter 1 gives an overall review of biomechanics in the field of bone tissue engineering. Chapter 2 provides detailed information regarding the composition and architecture of bone. Chapter 3 discusses the current methodologies for mechanical testing of bone properties (i.e., elastic, plastic, damage/fracture, viscoelastic/viscoplastic properties). Chapter 4 presents the current understanding of the mechanical behavior of bone and the associated underlying mechanisms. Chapter 5 discusses the structure and properties of scaffolds currently used for bone tissue engineering applications. Chapter 6 gives a brief discussion of current mechanical and structural tests of repair/tissue engineered bone tissues. Chapter 7 summarize...", "author" : [ { "family" : "Wang", "given" : "X." }, { "family" : "Nyman", "given" : "J.S." }, { "family" : "Dong", "given" : "X." }, { "family" : "Leng", "given" : "H." }, { "family" : "Reyes", "given" : "M." } ], "container-title" : "Synthesis Lectures on Tissue Engineering", "id" : "ITEM-1", "issued" : { "date-parts" : [ [ "2010" ] ] }, "page" : "1-225", "title" : "Fundamental Biomechanics in Bone Tissue Engineering", "type" : "book", "volume" : "2" }, "uris" : [ "http://www.mendeley.com/documents/?uuid=e038d77e-ce61-418d-b60c-efa4bdf9241d" ] } ], "mendeley" : { "formattedCitation" : "[27]", "plainTextFormattedCitation" : "[27]", "previouslyFormattedCitation" : "[27]" }, "properties" : { "noteIndex" : 0 }, "schema" : "https://github.com/citation-style-language/schema/raw/master/csl-citation.json" }</w:instrText>
      </w:r>
      <w:r>
        <w:fldChar w:fldCharType="separate"/>
      </w:r>
      <w:r w:rsidRPr="00FE48C1">
        <w:rPr>
          <w:noProof/>
        </w:rPr>
        <w:t>[27]</w:t>
      </w:r>
      <w:r>
        <w:fldChar w:fldCharType="end"/>
      </w:r>
      <w:r>
        <w:t xml:space="preserve">. Different theories have been proposed in the literature to define these mechanoregulatory processes. </w:t>
      </w:r>
      <w:r w:rsidRPr="009B7E30">
        <w:t xml:space="preserve">Pauwels </w:t>
      </w:r>
      <w:r w:rsidRPr="009B7E30">
        <w:fldChar w:fldCharType="begin" w:fldLock="1"/>
      </w:r>
      <w:r>
        <w:instrText>ADDIN CSL_CITATION { "citationItems" : [ { "id" : "ITEM-1", "itemData" : { "DOI" : "10.1089/ten.2006.12.ft-223", "ISBN" : "ten.2006.12.2843", "abstract" : "We developed a novel perfusion bioreactor that is capable of cultivating multiple 3-dimensional (3D) cellular constructs in one flow chamber with a total cross-section area of 20 cm(2). Two unique features integrated into the bioreactor provided a homogenous fluid flow along the bioreactor cross-section and maximal exposure of the cellular constructs to the perfusing medium. Mathematical modeling of the fluid flow regime in the perfusion bioreactor showed that integrating a flow-distributing mesh 1.5 cm upstream from the construct compartment imposed an equal medium flow and shear stress of 0.6 dynes /cm(2) along the entire cell construct cross-section area. The design of 95.8%open-pore-area fixing nets enabled the exposure of 99.88% of the cell construct volume to the perfusing medium. Cardiac cell constructs seeded with physiologically relevant cell density (0.7 x 10(8) cells/cm(3)) in alginate scaffolds developed into homogenous compacted cardiac tissue, as judged using cell staining with fluorescein diacetate and hematoxylin-eosin histology. The cell constructs maintained 80% viability for nearly 2 weeks, whereas in static-cultivated cell constructs, only 50% of the initial cells remained, as determined according to total DNA content and MTT viability assay. Medium perfusion resulted in better cell viability, presumably due to the convective-diffusive transport of oxygen, compared with oxygen diffusion within the static-cultivated cell constructs, as well as due to efficient removal of harmful cell secretions. It is envisioned that this bioreactor would be useful for 3D cultivation of different mammalian cells for purposes of tissue engineering or production of valuable biologicals.", "author" : [ { "family" : "Dvir", "given" : "Tal" }, { "family" : "Benishti", "given" : "Nessi" }, { "family" : "Shachar", "given" : "Michal" }, { "family" : "Cohen", "given" : "Smadar" } ], "container-title" : "Tissue engineering", "id" : "ITEM-1", "issue" : "10", "issued" : { "date-parts" : [ [ "2006" ] ] }, "page" : "2843-2852", "title" : "A novel perfusion bioreactor providing a homogenous milieu for tissue regeneration.", "type" : "article-journal", "volume" : "12" }, "uris" : [ "http://www.mendeley.com/documents/?uuid=c457a4d7-84c3-420f-a61e-dba09a170e53" ] } ], "mendeley" : { "formattedCitation" : "[28]", "plainTextFormattedCitation" : "[28]", "previouslyFormattedCitation" : "[28]" }, "properties" : { "noteIndex" : 0 }, "schema" : "https://github.com/citation-style-language/schema/raw/master/csl-citation.json" }</w:instrText>
      </w:r>
      <w:r w:rsidRPr="009B7E30">
        <w:fldChar w:fldCharType="separate"/>
      </w:r>
      <w:r w:rsidRPr="00FE48C1">
        <w:rPr>
          <w:noProof/>
        </w:rPr>
        <w:t>[28]</w:t>
      </w:r>
      <w:r w:rsidRPr="009B7E30">
        <w:fldChar w:fldCharType="end"/>
      </w:r>
      <w:r>
        <w:t xml:space="preserve"> was the first to hypothesise that mechanical forces guide bone healing suggesting that hydrostatic pressure and shear strain were the stimuli responsible for connective tissue differentiation. After him, other mechanoregulatory theories were presented such as the one of Claes and Heigle </w:t>
      </w:r>
      <w:r>
        <w:fldChar w:fldCharType="begin" w:fldLock="1"/>
      </w:r>
      <w:r>
        <w:instrText>ADDIN CSL_CITATION { "citationItems" : [ { "id" : "ITEM-1", "itemData" : { "abstract" : "A new quantitative tissue differentiation theory which relates the local tissue formation in a fracture gap to the local stress and strain is presented. Our hypothesis proposes that the amounts of strain and hydrostatic pressure along existing calcified surfaces in the fracture callus determine the differentiation of the callus tissue. The study compares the local strains and stresses in the callus as calculated from a finite element model with histological findings from an animal fracture model. The hypothesis predicts intramembranous bone formation for strains smaller approximately +/- 5% and hydrostatic pressures smaller than +/- 0.15 MPa. Endochondral ossification is associated with compressive pressures larger than about -0.15 MPa and strains smaller than +/- 15%. All other conditions seemed to lead to connective tissue or fibrous cartilage. The hypothesis enables a better understanding of the complex tissue differentiation seen in histological images and the mechanical conditions for healing delayed healing or nonunions.", "author" : [ { "family" : "Claes", "given" : "L E" }, { "family" : "Heigele", "given" : "C a" } ], "container-title" : "Journal of biomechanics", "id" : "ITEM-1", "issue" : "3", "issued" : { "date-parts" : [ [ "1999", "3" ] ] }, "page" : "255-66", "title" : "Magnitudes of local stress and strain along bony surfaces predict the course and type of fracture healing.", "type" : "article-journal", "volume" : "32" }, "uris" : [ "http://www.mendeley.com/documents/?uuid=ad54afaf-c6c2-43bd-b63f-0c56b771f487" ] } ], "mendeley" : { "formattedCitation" : "[29]", "plainTextFormattedCitation" : "[29]", "previouslyFormattedCitation" : "[29]" }, "properties" : { "noteIndex" : 0 }, "schema" : "https://github.com/citation-style-language/schema/raw/master/csl-citation.json" }</w:instrText>
      </w:r>
      <w:r>
        <w:fldChar w:fldCharType="separate"/>
      </w:r>
      <w:r w:rsidRPr="00FE48C1">
        <w:rPr>
          <w:noProof/>
        </w:rPr>
        <w:t>[29]</w:t>
      </w:r>
      <w:r>
        <w:fldChar w:fldCharType="end"/>
      </w:r>
      <w:r>
        <w:t xml:space="preserve"> where qualitative values of strain and hydrostatic </w:t>
      </w:r>
      <w:r>
        <w:lastRenderedPageBreak/>
        <w:t xml:space="preserve">pressure determined tissue phenotype or Prendergast et al. </w:t>
      </w:r>
      <w:r>
        <w:fldChar w:fldCharType="begin" w:fldLock="1"/>
      </w:r>
      <w:r>
        <w:instrText>ADDIN CSL_CITATION { "citationItems" : [ { "id" : "ITEM-1", "itemData" : { "DOI" : "http://dx.doi.org/10.1016/S0021-9290(96)00140-6", "abstract" : "If musculoskeletal tissues are indeed efficient for their mechanical function, it is most reasonable to assume that this is achieved because the mechanical environment in the tissue influences cell differentiation and expression. Although mechanical stimuli can influence the transport of bioactive factors, cell deformation and cytoskeletal strain, the question of whether or not they have the potential to regulate tissue differentiation sequences (for example, during fracture healing or embryogenesis) has not been answered.  To assess the feasibility of biophysical stimuli as mediators of tissue differentiation, we analysed interfacial tissue formation adjacent to a micromotion device implanted into the condyles of dogs. A biphasic finite element model was used and the mechanical environment in the tissue was characterised in terms of (i) forces opposing implant motion, (ii) relative velocity between constituents, (iii) fluid pressure, (iv) deformation of the tissue and (v) strain in the tissue. It was predicted that, as tissue differentiation progressed, subtle but systematic mechanical changes occur on cells in the interfacial tissue. Specifically, as the forces opposing motion increase, the implant changes from being controlled by the maximum-allowable displacement (motion-control) to being controlled by the maximum-available load (force-control). This causes a decrease in the velocity of the fluid phase relative to the solid phase and a drop in interstitial fluid pressure accompanied by a reduction in peri-prosthetic tissue strains. The variation of biophysical stimuli within the tissue can be plotted as \u2018mechano-regulatory pathway\u2019, which identifies the transition from motion-control to force-control as a branching event in the tissue differentiation sequence.", "author" : [ { "family" : "Prendergast", "given" : "P J" }, { "family" : "Huiskes", "given" : "R" }, { "family" : "S\u00f8balle", "given" : "K" } ], "container-title" : "Journal of Biomechanics", "id" : "ITEM-1", "issue" : "6", "issued" : { "date-parts" : [ [ "1997", "6" ] ] }, "page" : "539-548", "title" : "Biophysical stimuli on cells during tissue differentiation at implant interfaces", "type" : "article-journal", "volume" : "30" }, "uris" : [ "http://www.mendeley.com/documents/?uuid=f379c3cd-8ccc-4f4c-9113-9d32b1a99faa" ] } ], "mendeley" : { "formattedCitation" : "[30]", "plainTextFormattedCitation" : "[30]", "previouslyFormattedCitation" : "[30]" }, "properties" : { "noteIndex" : 0 }, "schema" : "https://github.com/citation-style-language/schema/raw/master/csl-citation.json" }</w:instrText>
      </w:r>
      <w:r>
        <w:fldChar w:fldCharType="separate"/>
      </w:r>
      <w:r w:rsidRPr="00FE48C1">
        <w:rPr>
          <w:noProof/>
        </w:rPr>
        <w:t>[30]</w:t>
      </w:r>
      <w:r>
        <w:fldChar w:fldCharType="end"/>
      </w:r>
      <w:r>
        <w:t xml:space="preserve"> who considered the stimuli due to the relative velocity of the interstitial fluid as a mechanical stimulus regulating tissue differentiation. Unfortunately, the type of mechanical stimuli as well as the magnitude that helps bone to regenerate is still unknown. Ideally, by identifying the mechanoregulatory routes of bone healing, fracture fixation methods could be optimised to provide the most suitable biomechanical milieu in order to accelerate and ensure fracture union </w:t>
      </w:r>
      <w:r>
        <w:fldChar w:fldCharType="begin" w:fldLock="1"/>
      </w:r>
      <w:r>
        <w:instrText>ADDIN CSL_CITATION { "citationItems" : [ { "id" : "ITEM-1", "itemData" : { "DOI" : "10.1002/jor.21362", "abstract" : "In this study, a three-dimensional (3D) computational simulation of bone regeneration was performed in a human tibia under realistic muscle loading. The simulation was achieved using a discrete lattice modeling approach combined with a mechanoregulation algorithm to describe the cellular processes involved in the healing process-namely proliferation, migration, apoptosis, and differentiation of cells. The main phases of fracture healing were predicted by the simulation, including the bone resorption phase, and there was a qualitative agreement between the temporal changes in interfragmentary strain and bending stiffness by comparison to experimental data and clinical results. Bone healing was simulated beyond the reparative phase by modeling the transition of woven bone into lamellar bone. Because the simulation has been shown to work with realistic anatomical 3D geometry and muscle loading, it demonstrates the potential of simulation tools for patient-specific pre-operative treatment planning.", "author" : [ { "family" : "Byrne", "given" : "Damien P" }, { "family" : "Lacroix", "given" : "Damien" }, { "family" : "Prendergast", "given" : "Patrick J" } ], "container-title" : "Journal of orthopaedic research : official publication of the Orthopaedic Research Society", "id" : "ITEM-1", "issue" : "10", "issued" : { "date-parts" : [ [ "2011", "10" ] ] }, "page" : "1496-503", "title" : "Simulation of fracture healing in the tibia: mechanoregulation of cell activity using a lattice modeling approach.", "type" : "article-journal", "volume" : "29" }, "uris" : [ "http://www.mendeley.com/documents/?uuid=9e02bd95-ab56-4472-81cf-00f919c86c08" ] } ], "mendeley" : { "formattedCitation" : "[31]", "plainTextFormattedCitation" : "[31]", "previouslyFormattedCitation" : "[31]" }, "properties" : { "noteIndex" : 0 }, "schema" : "https://github.com/citation-style-language/schema/raw/master/csl-citation.json" }</w:instrText>
      </w:r>
      <w:r>
        <w:fldChar w:fldCharType="separate"/>
      </w:r>
      <w:r w:rsidRPr="00FE48C1">
        <w:rPr>
          <w:noProof/>
        </w:rPr>
        <w:t>[31]</w:t>
      </w:r>
      <w:r>
        <w:fldChar w:fldCharType="end"/>
      </w:r>
      <w:r>
        <w:t>.</w:t>
      </w:r>
    </w:p>
    <w:p w:rsidR="005D1052" w:rsidRDefault="005D1052" w:rsidP="005D1052">
      <w:pPr>
        <w:pStyle w:val="Heading3"/>
      </w:pPr>
      <w:bookmarkStart w:id="31" w:name="_Toc310605580"/>
      <w:bookmarkStart w:id="32" w:name="_Toc310605875"/>
      <w:bookmarkStart w:id="33" w:name="_Toc440823173"/>
      <w:r>
        <w:t>The role of tissue engineering in bone fracture repair</w:t>
      </w:r>
      <w:bookmarkEnd w:id="31"/>
      <w:bookmarkEnd w:id="32"/>
      <w:bookmarkEnd w:id="33"/>
    </w:p>
    <w:p w:rsidR="005D1052" w:rsidRDefault="005D1052" w:rsidP="005D1052">
      <w:r>
        <w:t xml:space="preserve">Unfortunately, inappropriate fracture mechanical stability </w:t>
      </w:r>
      <w:r>
        <w:fldChar w:fldCharType="begin" w:fldLock="1"/>
      </w:r>
      <w:r>
        <w:instrText>ADDIN CSL_CITATION { "citationItems" : [ { "id" : "ITEM-1", "itemData" : { "DOI" : "10.1016/j.bone.2007.12.223", "ISBN" : "8756-3282 (Print)\\n1873-2763 (Linking)", "abstract" : "Non-unions and delayed healing are still prevalent complications in fracture and bone defect healing. Both mechanical stability and age are known to influence this process. However, it remains unclear which factor dominates and how they interact. Within this study, we sought a link between both factors. In 36 female Sprague-Dawley rats, the left femur was osteotomized, distracted to an osteotomy gap of 1.5 mm and externally fixated. Variation of age (12 vs. 52 weeks - biologically challenging) and fixator stiffness (mechanically challenging) resulted in 4 groups (each 9 animals): YS: young semi-rigid, OS: old semi-rigid, YR: young rigid and OR: old rigid. Qualitative and quantitative radiographical analyses were performed at weeks 2, 4 and 6 after surgery. Six weeks post-op, rats were sacrificed and femora were harvested for biomechanical testing (torsional stiffness (TS) and maximum torque at failure (MTF)). Six weeks after surgery, TS showed a significant interaction between age and fixation stiffness (p&lt;0.0001). TS in YR was significantly higher than that in the other groups (YS: p&lt;0.001; OR: p&lt;0.001; OS: p&lt;0.001). Additionally, YS showed a significantly higher TS compared to the OS (p=0.006) and OR (p=0.046). Testing of MTF showed a significant interaction of both variables (p=0.0002) and led to significant differences between OR and YS (p&lt;0.001), OS (p=0.046) and YR (p&lt;0.001). The YR showed a higher MTF compared to YS (p=0.012) and OS (p=0.001), whereas OR's MTF was inferior compared to OS. At 2-week follow-up, YR (p=0.006), and at 6-week follow-up, YS and YR (p=0.032) showed significantly higher radiographic scores. At 2-week follow-up, YS's callus was larger than that of the old groups (OS: p=0.025; OR: p=0.003). In YR a significantly smaller callus was observed compared to YS at time points 4 and 6 weeks (p=0.002 for both) and compared to OS at 6-week follow-up (p=0.03). The effect of age seems to invert the effect of mechanical properties of the callus, which was not correlated to callus size. Optimization of mechanics alone seems to be not sufficient. The underlying mechanisms and causes of the age-related influences and their clinical counterparts need to be further investigated.", "author" : [ { "family" : "Strube", "given" : "Patrick" }, { "family" : "Sentuerk", "given" : "Ufuk" }, { "family" : "Riha", "given" : "Thomas" }, { "family" : "Kaspar", "given" : "Katharina" }, { "family" : "Mueller", "given" : "Michael" }, { "family" : "Kasper", "given" : "Grit" }, { "family" : "Matziolis", "given" : "Georg" }, { "family" : "Duda", "given" : "Georg N" }, { "family" : "Perka", "given" : "Carsten" } ], "container-title" : "Bone", "id" : "ITEM-1", "issued" : { "date-parts" : [ [ "2008" ] ] }, "page" : "758-64", "title" : "Influence of age and mechanical stability on bone defect healing: age reverses mechanical effects.", "type" : "article-journal", "volume" : "42" }, "uris" : [ "http://www.mendeley.com/documents/?uuid=fe2f7988-1c8e-4872-9459-386f08c50136" ] } ], "mendeley" : { "formattedCitation" : "[32]", "plainTextFormattedCitation" : "[32]", "previouslyFormattedCitation" : "[32]" }, "properties" : { "noteIndex" : 0 }, "schema" : "https://github.com/citation-style-language/schema/raw/master/csl-citation.json" }</w:instrText>
      </w:r>
      <w:r>
        <w:fldChar w:fldCharType="separate"/>
      </w:r>
      <w:r w:rsidRPr="00FE48C1">
        <w:rPr>
          <w:noProof/>
        </w:rPr>
        <w:t>[32]</w:t>
      </w:r>
      <w:r>
        <w:fldChar w:fldCharType="end"/>
      </w:r>
      <w:r>
        <w:t xml:space="preserve"> and other factors such as infection or tumors can be the cause of healing delay or open fracture </w:t>
      </w:r>
      <w:r>
        <w:fldChar w:fldCharType="begin" w:fldLock="1"/>
      </w:r>
      <w:r>
        <w:instrText>ADDIN CSL_CITATION { "citationItems" : [ { "id" : "ITEM-1", "itemData" : { "DOI" : "10.1016/S0002-9610(98)00184-6", "ISBN" : "0002-9610 (Print)", "abstract" : "Chronic wounds will often heal in a short period of time if factors that inhibit wound healing are identified and managed. Recombinant growth factor therapy may provide an added stimulus to healing in certain types of chronic wounds. However, there remains no substitute for a physiologic environment conducive to tissue repair and regeneration, without which the efficacy of growth factor therapy is questionable. Some of the most commonly encountered and clinically significant impediments to wound healing include wound hypoxia, infection, presence of debris and necrotic tissue, use of anti-inflammatory medications, a diet deficient in vitamins or minerals, or general nutritional deficiencies, tumors, environmental factors, and metabolic disorders, such as diabetes mellitus. Treatment of chronic wounds should be directed against the main etiologic factors responsible for the wound. Moreover, factors that may impede healing must be identified and, if possible, corrected, for healing to occur.", "author" : [ { "family" : "Stadelmann", "given" : "Wayne K." }, { "family" : "Digenis", "given" : "Alexander G." }, { "family" : "Tobin", "given" : "Gordon R." } ], "container-title" : "The American Journal of Surgery", "id" : "ITEM-1", "issued" : { "date-parts" : [ [ "1998" ] ] }, "page" : "39-47S", "title" : "Impediments to wound healing -", "type" : "article-journal", "volume" : "176" }, "uris" : [ "http://www.mendeley.com/documents/?uuid=2a9daba7-694c-468b-ba6b-e9c71c341563" ] } ], "mendeley" : { "formattedCitation" : "[33]", "plainTextFormattedCitation" : "[33]", "previouslyFormattedCitation" : "[33]" }, "properties" : { "noteIndex" : 0 }, "schema" : "https://github.com/citation-style-language/schema/raw/master/csl-citation.json" }</w:instrText>
      </w:r>
      <w:r>
        <w:fldChar w:fldCharType="separate"/>
      </w:r>
      <w:r w:rsidRPr="00FE48C1">
        <w:rPr>
          <w:noProof/>
        </w:rPr>
        <w:t>[33]</w:t>
      </w:r>
      <w:r>
        <w:fldChar w:fldCharType="end"/>
      </w:r>
      <w:r>
        <w:t xml:space="preserve">. In order to bridge and repair open fracture, the gold standard solution for surgeons is the implantation of autographs due to its biocompatibility. However, the donor source is limited and in the case of </w:t>
      </w:r>
      <w:r w:rsidRPr="00686556">
        <w:t>allographs</w:t>
      </w:r>
      <w:r>
        <w:t xml:space="preserve"> they present risk of pathogen transmission. On the other hand, artificial prosthesis can be a viable solution although their performance can be altered over time due to implant wear </w:t>
      </w:r>
      <w:r>
        <w:fldChar w:fldCharType="begin" w:fldLock="1"/>
      </w:r>
      <w:r>
        <w:instrText>ADDIN CSL_CITATION { "citationItems" : [ { "id" : "ITEM-1", "itemData" : { "author" : [ { "family" : "Linden", "given" : "Joel" } ], "container-title" : "Nature", "id" : "ITEM-1", "issue" : "7406", "issued" : { "date-parts" : [ [ "2012", "7", "12" ] ] }, "note" : "10.1038/487179a", "page" : "179-180", "publisher" : "Nature Publishing Group, a division of Macmillan Publishers Limited. All Rights Reserved.", "title" : "Translational medicine: Longer life for artificial joints", "type" : "article-journal", "volume" : "487" }, "uris" : [ "http://www.mendeley.com/documents/?uuid=a6236547-b623-47df-997a-49d0adc1a292" ] } ], "mendeley" : { "formattedCitation" : "[34]", "plainTextFormattedCitation" : "[34]", "previouslyFormattedCitation" : "[34]" }, "properties" : { "noteIndex" : 0 }, "schema" : "https://github.com/citation-style-language/schema/raw/master/csl-citation.json" }</w:instrText>
      </w:r>
      <w:r>
        <w:fldChar w:fldCharType="separate"/>
      </w:r>
      <w:r w:rsidRPr="00FE48C1">
        <w:rPr>
          <w:noProof/>
        </w:rPr>
        <w:t>[34]</w:t>
      </w:r>
      <w:r>
        <w:fldChar w:fldCharType="end"/>
      </w:r>
      <w:r>
        <w:t xml:space="preserve">. As a promising alternative, the interdisciplinary TE field emerged to provide solutions for tissue creation, restoration and repair. TE aims to develop functional biological tissue substitutes based on patient-specific cells </w:t>
      </w:r>
      <w:r>
        <w:fldChar w:fldCharType="begin" w:fldLock="1"/>
      </w:r>
      <w:r>
        <w:instrText>ADDIN CSL_CITATION { "citationItems" : [ { "id" : "ITEM-1", "itemData" : { "DOI" : "10.1126/science.8493529", "abstract" : "While elastic modulus is tunable in tissue engineering scaffolds, it is substantially more challenging to tune the Poisson's ratio of scaffolds. In certain biological applications, scaffolds with a tunable Poisson's ratio may be more suitable for emulating the behavior of native tissue mechanics. Here, we design and fabricate a scaffold, which exhibits simultaneous negative and positive Poisson's ratio behavior. Custom-made digital micro-mirror device stereolithography was used to fabricate single- and multiple-layer scaffolds using polyethylene glycol-based biomaterial. These scaffolds are composed of pore structures having special geometries, and deformation mechanisms, which can be tuned to exhibit both negative Poisson's ratio (NPR) and positive Poisson's ratio (PPR) behavior in a side-to-side or top-to-bottom configuration. Strain measurement results demonstrate that analytical deformation models and simulations accurately predict the Poisson's ratios of both the NPR and PPR regions. This hybrid Poisson's ratio property can be imparted to any photocurable material, and potentially be applicable in a variety of biomedical applications.", "author" : [ { "family" : "Langer", "given" : "Robert" }, { "family" : "Vacanti", "given" : "Joseph P" } ], "container-title" : "Science", "id" : "ITEM-1", "issued" : { "date-parts" : [ [ "1993" ] ] }, "page" : "920-926", "title" : "- ARTICLES Tissue Engineering", "type" : "article-journal", "volume" : "260" }, "uris" : [ "http://www.mendeley.com/documents/?uuid=4068984f-2814-41b1-94ea-4b0b49f3c17d" ] } ], "mendeley" : { "formattedCitation" : "[11]", "plainTextFormattedCitation" : "[11]", "previouslyFormattedCitation" : "[11]" }, "properties" : { "noteIndex" : 0 }, "schema" : "https://github.com/citation-style-language/schema/raw/master/csl-citation.json" }</w:instrText>
      </w:r>
      <w:r>
        <w:fldChar w:fldCharType="separate"/>
      </w:r>
      <w:r w:rsidRPr="00EB2696">
        <w:rPr>
          <w:noProof/>
        </w:rPr>
        <w:t>[11]</w:t>
      </w:r>
      <w:r>
        <w:fldChar w:fldCharType="end"/>
      </w:r>
      <w:r>
        <w:t>.</w:t>
      </w:r>
    </w:p>
    <w:p w:rsidR="005D1052" w:rsidRDefault="005D1052" w:rsidP="005D1052">
      <w:r>
        <w:t xml:space="preserve">In TE, scaffolds-based strategies seem to be a promising solution to generate biological bone substitutes. Scaffolds can stabilise the fracture while guiding tissue formation by means of biophysical cues. More importantly, scaffolds serve as temporal supports that will be fully replaced ultimately by newly-formed tissue. The mechanical forces that govern tissue differentiation during tissue development inside scaffolds are not well understood yet; scaffold material and architecture determine the stimuli at the cell level thereby playing an important role to promote cell activity and bone formation. This chapter aims to provide an overview of the main requirements of scaffold design and fabrication to deliver the expected mechanical performance. It also reviews the </w:t>
      </w:r>
      <w:r>
        <w:lastRenderedPageBreak/>
        <w:t>methods presented in the literature to find the best solution towards its clinical application.</w:t>
      </w:r>
    </w:p>
    <w:p w:rsidR="005D1052" w:rsidRDefault="005D1052" w:rsidP="005D1052">
      <w:r>
        <w:t xml:space="preserve">It is noteworthy that the environment to which scaffold and cells are exposed during tissue growth is generally controlled by bioreactors. Bioreactors are devices in which biological processes carry out under monitored and controlled operating conditions </w:t>
      </w:r>
      <w:r>
        <w:fldChar w:fldCharType="begin" w:fldLock="1"/>
      </w:r>
      <w:r>
        <w:instrText>ADDIN CSL_CITATION { "citationItems" : [ { "id" : "ITEM-1", "itemData" : { "DOI" : "10.1016/j.tibtech.2003.12.001", "abstract" : "Ex vivo engineering of living tissues is a rapidly developing area with the potential to impact significantly on a wide-range of biomedical applications. Major obstacles to the generation of functional tissues and their widespread clinical use are related to a limited understanding of the regulatory role of specific physicochemical culture parameters on tissue development, and the high manufacturing costs of the few commercially available engineered tissue products. By enabling reproducible and controlled changes of specific environmental factors, bioreactor systems provide both the technological means to reveal fundamental mechanisms of cell function in a 3D environment, and the potential to improve the quality of engineered tissues. In addition, by automating and standardizing tissue manufacture in controlled closed systems, bioreactors could reduce production costs, thus facilitating a wider use of engineered tissues.", "author" : [ { "family" : "Martin", "given" : "Ivan" }, { "family" : "Wendt", "given" : "David" }, { "family" : "Heberer", "given" : "Michael" } ], "container-title" : "Trends in biotechnology", "id" : "ITEM-1", "issue" : "2", "issued" : { "date-parts" : [ [ "2004", "2" ] ] }, "page" : "80-6", "title" : "The role of bioreactors in tissue engineering.", "type" : "article-journal", "volume" : "22" }, "uris" : [ "http://www.mendeley.com/documents/?uuid=44cc16d7-f210-4dd3-a4f3-dc58e7678690" ] } ], "mendeley" : { "formattedCitation" : "[35]", "plainTextFormattedCitation" : "[35]", "previouslyFormattedCitation" : "[35]" }, "properties" : { "noteIndex" : 0 }, "schema" : "https://github.com/citation-style-language/schema/raw/master/csl-citation.json" }</w:instrText>
      </w:r>
      <w:r>
        <w:fldChar w:fldCharType="separate"/>
      </w:r>
      <w:r w:rsidRPr="00FE48C1">
        <w:rPr>
          <w:noProof/>
        </w:rPr>
        <w:t>[35]</w:t>
      </w:r>
      <w:r>
        <w:fldChar w:fldCharType="end"/>
      </w:r>
      <w:r>
        <w:t xml:space="preserve">. These devices can help to optimise TE processes such as scaffold cell seeding which represents a critical step in tissue formation </w:t>
      </w:r>
      <w:r>
        <w:fldChar w:fldCharType="begin" w:fldLock="1"/>
      </w:r>
      <w:r>
        <w:instrText>ADDIN CSL_CITATION { "citationItems" : [ { "id" : "ITEM-1", "itemData" : { "DOI" : "10.1002/bit.10759", "ISBN" : "0006-3592 (Print)\\n0006-3592 (Linking)", "abstract" : "We developed a bioreactor for automated cell seeding of three-dimensional scaffolds by continuous perfusion of a cell suspension through the scaffold pores in oscillating directions. Using quantitative biochemical and image analysis techniques, we then evaluated the efficiency and uniformity of perfusion seeding of Polyactive foams as compared to conventional static and spinner flask methods. Finally, we assessed the efficacy of the perfusion seeding technique for different scaffolds and cell types. Perfusion seeding of chondrocytes into Polyactive foams resulted in \"viable cell seeding efficiencies,\" defined as the percentages of initially loaded cells that were seeded and remained viable, that were significantly higher (75 +/- 6%) than those by static (57% +/- 5%) and spinner flask seeding (55% +/- 8%). In addition, as compared to static and spinner flask methods, cells seeded by perfusion were respectively 2.6-fold and 3.8-fold more uniformly distributed and formed more homogeneously sized cell clusters. Chondrocytes seeded by perfusion into Hyaff-11 nonwoven meshes were 26% and 63%, respectively, more uniformly distributed than following static and spinner flask seeding. Bone marrow stromal cells seeded by perfusion into ChronOS porous ceramics were homogeneously distributed throughout the scaffold volume, while following the static method, cells were found only near the top surface of the ceramic. In summary, we demonstrated that our cell seeding perfusion bioreactor generated constructs with remarkably uniform cell distributions at high efficiencies, and was effective for a variety of scaffolds and different mesenchymal cell types.", "author" : [ { "family" : "Wendt", "given" : "D." }, { "family" : "Marsano", "given" : "a." }, { "family" : "Jakob", "given" : "M." }, { "family" : "Heberer", "given" : "M." }, { "family" : "Martin", "given" : "Ivan" } ], "container-title" : "Biotechnology and Bioengineering", "id" : "ITEM-1", "issued" : { "date-parts" : [ [ "2003" ] ] }, "page" : "205-214", "title" : "Oscillating perfusion of cell suspensions through three-dimensional scaffolds enhances cell seeding efficiency and uniformity", "type" : "article-journal", "volume" : "84" }, "uris" : [ "http://www.mendeley.com/documents/?uuid=faba75ae-a331-4601-96cb-077c80fb94fe" ] } ], "mendeley" : { "formattedCitation" : "[36]", "plainTextFormattedCitation" : "[36]", "previouslyFormattedCitation" : "[36]" }, "properties" : { "noteIndex" : 0 }, "schema" : "https://github.com/citation-style-language/schema/raw/master/csl-citation.json" }</w:instrText>
      </w:r>
      <w:r>
        <w:fldChar w:fldCharType="separate"/>
      </w:r>
      <w:r w:rsidRPr="00FE48C1">
        <w:rPr>
          <w:noProof/>
        </w:rPr>
        <w:t>[36]</w:t>
      </w:r>
      <w:r>
        <w:fldChar w:fldCharType="end"/>
      </w:r>
      <w:r>
        <w:t>. However at this stage, more work needs to be done to fully exploit their potential for bone tissue regeneration. In this chapter, static and dynamic bioreactor designs are reviewed as well as the computational methods developed in order to improve the bioreactor conditions for scaffold cell seeding.</w:t>
      </w:r>
    </w:p>
    <w:p w:rsidR="005D1052" w:rsidRDefault="005D1052" w:rsidP="005D1052">
      <w:pPr>
        <w:pStyle w:val="Heading2"/>
      </w:pPr>
      <w:bookmarkStart w:id="34" w:name="_Toc310605581"/>
      <w:bookmarkStart w:id="35" w:name="_Toc310605876"/>
      <w:bookmarkStart w:id="36" w:name="_Toc440823174"/>
      <w:r>
        <w:t>Scaffolds</w:t>
      </w:r>
      <w:bookmarkEnd w:id="34"/>
      <w:bookmarkEnd w:id="35"/>
      <w:bookmarkEnd w:id="36"/>
    </w:p>
    <w:p w:rsidR="005D1052" w:rsidRDefault="005D1052" w:rsidP="005D1052">
      <w:r>
        <w:t xml:space="preserve">Scaffolds aim to mimic the bone extracellular matrix and serve as temporal support for cells to form new tissue. Scaffolds should be able to promote and guide cell attachment, cell growth and cell differentiation under laboratory settings. Moreover after implantation, scaffolds are expected to support angiogenesis, cope with physiological loadings and degrade at proper rates so the newly formed tissue can assume its indented function </w:t>
      </w:r>
      <w:r>
        <w:fldChar w:fldCharType="begin" w:fldLock="1"/>
      </w:r>
      <w:r>
        <w:instrText>ADDIN CSL_CITATION { "citationItems" : [ { "id" : "ITEM-1", "itemData" : { "DOI" : "10.1089/ten.teb.2010.0704", "ISBN" : "19373368", "abstract" : "As life expectancy increases, malfunction or loss of tissue caused by injury or disease leads to reduced quality of life in many patients at significant socioeconomic cost. Even though major progress has been made in the field of bone tissue engineering, present therapies, such as bone grafts, still have limitations. Current research on biodegradable polymers is emerging, combining these structures with osteogenic cells, as an alternative to autologous bone grafts. Different types of biodegradable materials have been proposed for the preparation of three-dimensional porous scaffolds for bone tissue engineering. Among them, natural polymers are one of the most attractive options, mainly due to their similarities with extracellular matrix, chemical versatility, good biological performance, and inherent cellular interactions. In this review, special attention is given to chitosan as a biomaterial for bone tissue engineering applications. An extensive literature survey was performed on the preparation of chitosan scaffolds and their in vitro biological performance as well as their potential to facilitate in vivo bone regeneration. The present review also aims to offer the reader a general overview of all components needed to engineer new bone tissue. It gives a brief background on bone biology, followed by an explanation of all components in bone tissue engineering, as well as describing different tissue engineering strategies. Moreover, also discussed are the typical models used to evaluate in vitro functionality of a tissue-engineered construct and in vivo models to assess the potential to regenerate bone tissue are discussed.", "author" : [ { "family" : "Costa-Pinto", "given" : "Ana Rita" }, { "family" : "Reis", "given" : "Rui L." }, { "family" : "Neves", "given" : "Nuno M." } ], "container-title" : "Tissue Engineering Part B: Reviews", "id" : "ITEM-1", "issue" : "5", "issued" : { "date-parts" : [ [ "2011" ] ] }, "page" : "331-347", "title" : "Scaffolds Based Bone Tissue Engineering: The Role of Chitosan", "type" : "article-journal", "volume" : "17" }, "uris" : [ "http://www.mendeley.com/documents/?uuid=b33b5f65-6ff8-4c3b-9b86-a858c8354ed7" ] } ], "mendeley" : { "formattedCitation" : "[37]", "plainTextFormattedCitation" : "[37]", "previouslyFormattedCitation" : "[37]" }, "properties" : { "noteIndex" : 0 }, "schema" : "https://github.com/citation-style-language/schema/raw/master/csl-citation.json" }</w:instrText>
      </w:r>
      <w:r>
        <w:fldChar w:fldCharType="separate"/>
      </w:r>
      <w:r w:rsidRPr="00FE48C1">
        <w:rPr>
          <w:noProof/>
        </w:rPr>
        <w:t>[37]</w:t>
      </w:r>
      <w:r>
        <w:fldChar w:fldCharType="end"/>
      </w:r>
      <w:r w:rsidRPr="00B07F18">
        <w:t>.</w:t>
      </w:r>
      <w:r>
        <w:t xml:space="preserve"> To achieve these goals, scaffolds should meet the following requirements: suitable surface morphology and physicochemical properties to enhance cell attachment and cell signalling, high porosity and pore interconnectivity to allow cell ingrowth, adequate cell nutrient-waste exchange and neovascularization, optimal pore size and geometry to encourage tissue regeneration, nontoxic degradable material to avoid implant rejection, and optimal mechanical properties to stand in vivo forces </w:t>
      </w:r>
      <w:r>
        <w:fldChar w:fldCharType="begin" w:fldLock="1"/>
      </w:r>
      <w:r>
        <w:instrText>ADDIN CSL_CITATION { "citationItems" : [ { "id" : "ITEM-1", "itemData" : { "DOI" : "10.1016/j.tibtech.2004.10.004", "ISBN" : "0167-7799", "abstract" : "Tissue engineering aims to produce patient-specific biological substitutes in an attempt to circumvent the limitations of existing clinical treatments for damaged tissue or organs. The main regenerative tissue engineering approach involves transplantation of cells onto scaffolds. The scaffold attempts to mimic the function of the natural extracellular matrix, providing a temporary template for the growth of target tissues. Scaffolds should have suitable architecture and strength to serve their intended function. This paper presents a comprehensive review of the fabrication methods, including conventional, mainly manual, techniques and advanced processing methods such as rapid prototyping (RP) techniques. The potential and challenges of scaffold-based technology are discussed from the perspective of RP technology.", "author" : [ { "family" : "Yeong", "given" : "Wai-Yee" }, { "family" : "Chua", "given" : "Chee-Kai" }, { "family" : "Leong", "given" : "Kah-Fai" }, { "family" : "Chandrasekaran", "given" : "Margam" } ], "container-title" : "Trends in biotechnology", "id" : "ITEM-1", "issued" : { "date-parts" : [ [ "2004" ] ] }, "page" : "643-652", "title" : "Rapid prototyping in tissue engineering: challenges and potential.", "type" : "article-journal", "volume" : "22" }, "uris" : [ "http://www.mendeley.com/documents/?uuid=91f4c7ac-5252-4c58-ba9e-853a8362327e" ] } ], "mendeley" : { "formattedCitation" : "[38]", "plainTextFormattedCitation" : "[38]", "previouslyFormattedCitation" : "[38]" }, "properties" : { "noteIndex" : 0 }, "schema" : "https://github.com/citation-style-language/schema/raw/master/csl-citation.json" }</w:instrText>
      </w:r>
      <w:r>
        <w:fldChar w:fldCharType="separate"/>
      </w:r>
      <w:r w:rsidRPr="00FE48C1">
        <w:rPr>
          <w:noProof/>
        </w:rPr>
        <w:t>[38]</w:t>
      </w:r>
      <w:r>
        <w:fldChar w:fldCharType="end"/>
      </w:r>
      <w:r>
        <w:t>.</w:t>
      </w:r>
    </w:p>
    <w:p w:rsidR="005D1052" w:rsidRDefault="005D1052" w:rsidP="005D1052">
      <w:pPr>
        <w:pStyle w:val="Heading3"/>
      </w:pPr>
      <w:bookmarkStart w:id="37" w:name="_Toc310605582"/>
      <w:bookmarkStart w:id="38" w:name="_Toc310605877"/>
      <w:bookmarkStart w:id="39" w:name="_Toc440823175"/>
      <w:r>
        <w:lastRenderedPageBreak/>
        <w:t xml:space="preserve">Scaffold </w:t>
      </w:r>
      <w:bookmarkEnd w:id="37"/>
      <w:bookmarkEnd w:id="38"/>
      <w:r>
        <w:t>architecture</w:t>
      </w:r>
      <w:bookmarkEnd w:id="39"/>
    </w:p>
    <w:p w:rsidR="005D1052" w:rsidRDefault="005D1052" w:rsidP="005D1052">
      <w:r>
        <w:t xml:space="preserve">Scaffold architecture is responsible for transferring the global mechanical loadings to cells. By controlling scaffold architecture it is possible to identify the influence of structural parameters in the cell mechanical environment and cellular responses. TE scaffolds can be designed using CAD methods to have control over key architectural factors such as scaffold porosity, pore shape and pore size. In addition, CAD designs can be directly manufactured by rapid prototyping </w:t>
      </w:r>
      <w:r w:rsidRPr="00EF770D">
        <w:t xml:space="preserve">methods (see section </w:t>
      </w:r>
      <w:r w:rsidRPr="00EF770D">
        <w:fldChar w:fldCharType="begin"/>
      </w:r>
      <w:r w:rsidRPr="00EF770D">
        <w:instrText xml:space="preserve"> REF _Ref438585435 \r \h </w:instrText>
      </w:r>
      <w:r>
        <w:instrText xml:space="preserve"> \* MERGEFORMAT </w:instrText>
      </w:r>
      <w:r w:rsidRPr="00EF770D">
        <w:fldChar w:fldCharType="separate"/>
      </w:r>
      <w:r w:rsidR="00924C7D">
        <w:t>2.2.3</w:t>
      </w:r>
      <w:r w:rsidRPr="00EF770D">
        <w:fldChar w:fldCharType="end"/>
      </w:r>
      <w:r w:rsidRPr="00EF770D">
        <w:t>).</w:t>
      </w:r>
      <w:r>
        <w:t xml:space="preserve"> However, the elaboration of CAD-based designs can be time-consuming as it involves complex manual handling. As a solution, </w:t>
      </w:r>
      <w:r w:rsidRPr="009F315C">
        <w:t>Chua et al.</w:t>
      </w:r>
      <w:r>
        <w:t xml:space="preserve"> </w:t>
      </w:r>
      <w:r>
        <w:fldChar w:fldCharType="begin" w:fldLock="1"/>
      </w:r>
      <w:r>
        <w:instrText>ADDIN CSL_CITATION { "citationItems" : [ { "id" : "ITEM-1", "itemData" : { "DOI" : "10.1007/s001700300035", "ISBN" : "0268-3768", "abstract" : "Rapid prototyping (RP) techniques have been found to be advantageous for tissue engineering (TE) scaffold fabrication due to their ability to address and overcome the problems of uncontrollable microstructure and the feasibility issues of complex three-dimensional structures found in conventional processing techniques. This research proposes a novel approach for TE scaffold manufacture using RP techniques. The approach involves the integration of medical imaging devices (CT/MRI) for the acquisition of anatomic structural data, three-dimensional CAD modelling for designing and creating the digital scaffold models and RP for fabricating the physical scaffolds. To aid the user in CAD modelling, a standard parametric library of scaffold structures is designed and developed. With the library, a user can select the geometry of the scaffold unit cell and size it to suit the end application of the TE scaffold. A developed application program will then assemble the scaffold structure from the selected unit cell, following the surface profile of the anatomic structure to be replicated. A physical scaffold will then be built using an RP system.&amp;nbsp;&amp;nbsp;", "author" : [ { "family" : "Chua", "given" : "C. K." }, { "family" : "Leong", "given" : "K. F." }, { "family" : "Cheah", "given" : "C. M." }, { "family" : "Chua", "given" : "S. W." } ], "container-title" : "International Journal of Advanced Manufacturing Technology", "id" : "ITEM-1", "issued" : { "date-parts" : [ [ "2003" ] ] }, "page" : "302-312", "title" : "Development of a tissue engineering scaffold structure library for rapid prototyping. Part 2: Parametric library and assembly program", "type" : "article-journal", "volume" : "21" }, "uris" : [ "http://www.mendeley.com/documents/?uuid=301a2f04-c7af-400a-9abe-e9512f2e4974" ] } ], "mendeley" : { "formattedCitation" : "[39]", "plainTextFormattedCitation" : "[39]", "previouslyFormattedCitation" : "[39]" }, "properties" : { "noteIndex" : 0 }, "schema" : "https://github.com/citation-style-language/schema/raw/master/csl-citation.json" }</w:instrText>
      </w:r>
      <w:r>
        <w:fldChar w:fldCharType="separate"/>
      </w:r>
      <w:r w:rsidRPr="00FE48C1">
        <w:rPr>
          <w:noProof/>
        </w:rPr>
        <w:t>[39]</w:t>
      </w:r>
      <w:r>
        <w:fldChar w:fldCharType="end"/>
      </w:r>
      <w:r>
        <w:t xml:space="preserve"> developed a parametric library based on polyhedral unit cells that can be sized and assembled to form different scaffold architectures. On the other hand, other researchers preferred to design continuous and optimised cells based on triply minimal surfaces such as gyroid or diamond architectures </w:t>
      </w:r>
      <w:r>
        <w:fldChar w:fldCharType="begin" w:fldLock="1"/>
      </w:r>
      <w:r>
        <w:instrText>ADDIN CSL_CITATION { "citationItems" : [ { "id" : "ITEM-1", "itemData" : { "DOI" : "10.1016/j.actbio.2013.10.024", "author" : [ { "family" : "Giannitelli", "given" : "S M" }, { "family" : "Accoto", "given" : "D" }, { "family" : "Trombetta", "given" : "M" }, { "family" : "Rainer", "given" : "A" } ], "container-title" : "Acta Biomaterialia", "id" : "ITEM-1", "issue" : "2", "issued" : { "date-parts" : [ [ "2014" ] ] }, "page" : "580-594", "publisher" : "Acta Materialia Inc.", "title" : "Acta Biomaterialia Current trends in the design of scaffolds for computer-aided tissue engineering", "type" : "article-journal", "volume" : "10" }, "uris" : [ "http://www.mendeley.com/documents/?uuid=3e2f13a5-458e-4868-a0d1-6618e0c523c5" ] } ], "mendeley" : { "formattedCitation" : "[40]", "plainTextFormattedCitation" : "[40]", "previouslyFormattedCitation" : "[40]" }, "properties" : { "noteIndex" : 0 }, "schema" : "https://github.com/citation-style-language/schema/raw/master/csl-citation.json" }</w:instrText>
      </w:r>
      <w:r>
        <w:fldChar w:fldCharType="separate"/>
      </w:r>
      <w:r w:rsidRPr="00FE48C1">
        <w:rPr>
          <w:noProof/>
        </w:rPr>
        <w:t>[40]</w:t>
      </w:r>
      <w:r>
        <w:fldChar w:fldCharType="end"/>
      </w:r>
      <w:r>
        <w:t xml:space="preserve"> arguing that those shapes can be found in nature. The performance of CAD and triply minimal surfaces designs were investigated by Olivares et al. </w:t>
      </w:r>
      <w:r>
        <w:fldChar w:fldCharType="begin" w:fldLock="1"/>
      </w:r>
      <w:r>
        <w:instrText>ADDIN CSL_CITATION { "citationItems" : [ { "id" : "ITEM-1", "itemData" : { "DOI" : "10.1016/j.biomaterials.2009.07.041", "abstract" : "Tissue engineering scaffolds provide temporary mechanical support for tissue regeneration and transfer global mechanical load to mechanical stimuli to cells through its architecture. In this study the interactions between scaffold pore morphology, mechanical stimuli developed at the cell microscopic level, and culture conditions applied at the macroscopic scale are studied on two regular scaffold structures. Gyroid and hexagonal scaffolds of 55% and 70% porosity were modeled in a finite element analysis and were submitted to an inlet fluid flow or compressive strain. A mechanoregulation theory based on scaffold shear strain and fluid shear stress was applied for determining the influence of each structures on the mechanical stimuli on initial conditions. Results indicate that the distribution of shear stress induced by fluid perfusion is very dependent on pore distribution within the scaffold. Gyroid architectures provide a better accessibility of the fluid than hexagonal structures. Based on the mechanoregulation theory, the differentiation process in these structures was more sensitive to inlet fluid flow than axial strain of the scaffold. This study provides a computational approach to determine the mechanical stimuli at the cellular level when cells are cultured in a bioreactor and to relate mechanical stimuli with cell differentiation.", "author" : [ { "family" : "Olivares", "given" : "Andy L" }, { "family" : "Marsal", "given" : "Elia" }, { "family" : "Planell", "given" : "Josep a" }, { "family" : "Lacroix", "given" : "Damien" } ], "container-title" : "Biomaterials", "id" : "ITEM-1", "issue" : "30", "issued" : { "date-parts" : [ [ "2009", "10" ] ] }, "page" : "6142-9", "title" : "Finite element study of scaffold architecture design and culture conditions for tissue engineering.", "type" : "article-journal", "volume" : "30" }, "uris" : [ "http://www.mendeley.com/documents/?uuid=869c84bc-e5c6-4472-be87-816c391dd62d" ] } ], "mendeley" : { "formattedCitation" : "[41]", "plainTextFormattedCitation" : "[41]", "previouslyFormattedCitation" : "[41]" }, "properties" : { "noteIndex" : 0 }, "schema" : "https://github.com/citation-style-language/schema/raw/master/csl-citation.json" }</w:instrText>
      </w:r>
      <w:r>
        <w:fldChar w:fldCharType="separate"/>
      </w:r>
      <w:r w:rsidRPr="00FE48C1">
        <w:rPr>
          <w:noProof/>
        </w:rPr>
        <w:t>[41]</w:t>
      </w:r>
      <w:r>
        <w:fldChar w:fldCharType="end"/>
      </w:r>
      <w:r>
        <w:t>. The mechanical and mass transport properties of a hexagonal prism-based design and a scaffold with gyroid pores were examined by FE and CFD methods. As a result, gyroid-based structures seem to provide better access for the fluid which facilitates cell seeding and the transport of nutrients and oxygen for cells. On the other hand, hexagonal prism pores result in more homogeneous mechanical stimuli on the scaffold surface so less variability in cell response can be expected.</w:t>
      </w:r>
    </w:p>
    <w:p w:rsidR="005D1052" w:rsidRDefault="005D1052" w:rsidP="005D1052">
      <w:r>
        <w:t xml:space="preserve">In addition to FE and CFD methods, scaffold properties can be calculated based on the unit cell design using the asymptotic homogenization theory that scales up physical variables of interest from the unit cell to the effective global scaffold properties </w:t>
      </w:r>
      <w:r>
        <w:fldChar w:fldCharType="begin" w:fldLock="1"/>
      </w:r>
      <w:r>
        <w:instrText>ADDIN CSL_CITATION { "citationItems" : [ { "id" : "ITEM-1", "itemData" : { "DOI" : "10.1038/nmat1683", "ISBN" : "1476-1122", "abstract" : "A paradigm shift is taking place in medicine from using synthetic implants and tissue grafts to a tissue engineering approach that uses degradable porous material scaffolds integrated with biological cells or molecules to regenerate tissues. This new paradigm requires scaffolds that balance temporary mechanical function with mass transport to aid biological delivery and tissue regeneration. Little is known quantitatively about this balance as early scaffolds were not fabricated with precise porous architecture. Recent advances in both computational topology design (CTD) and solid free-form fabrication (SFF) have made it possible to create scaffolds with controlled architecture. This paper reviews the integration of CTD with SFF to build designer tissue-engineering scaffolds. It also details the mechanical properties and tissue regeneration achieved using designer scaffolds. Finally, future directions are suggested for using designer scaffolds with in vivo experimentation to optimize tissue-engineering treatments, and coupling designer scaffolds with cell printing to create designer material/biofactor hybrids.", "author" : [ { "family" : "Hollister", "given" : "Scott J" } ], "container-title" : "Nature materials", "id" : "ITEM-1", "issued" : { "date-parts" : [ [ "2005" ] ] }, "page" : "518-524", "title" : "Porous scaffold design for tissue engineering.", "type" : "article-journal", "volume" : "4" }, "uris" : [ "http://www.mendeley.com/documents/?uuid=56b4653c-2d9e-4f25-8cbb-91dec666c0eb" ] } ], "mendeley" : { "formattedCitation" : "[42]", "plainTextFormattedCitation" : "[42]", "previouslyFormattedCitation" : "[42]" }, "properties" : { "noteIndex" : 0 }, "schema" : "https://github.com/citation-style-language/schema/raw/master/csl-citation.json" }</w:instrText>
      </w:r>
      <w:r>
        <w:fldChar w:fldCharType="separate"/>
      </w:r>
      <w:r w:rsidRPr="00FE48C1">
        <w:rPr>
          <w:noProof/>
        </w:rPr>
        <w:t>[42]</w:t>
      </w:r>
      <w:r>
        <w:fldChar w:fldCharType="end"/>
      </w:r>
      <w:r>
        <w:t xml:space="preserve">. However, quantifying scaffold properties after the design stage can lead to a time-consuming trial and error approach. Dias et al. </w:t>
      </w:r>
      <w:r>
        <w:fldChar w:fldCharType="begin" w:fldLock="1"/>
      </w:r>
      <w:r>
        <w:instrText>ADDIN CSL_CITATION { "citationItems" : [ { "id" : "ITEM-1", "itemData" : { "DOI" : "10.1016/j.medengphy.2014.02.010", "abstract" : "In bone tissue engineering, the scaffold has not only to allow the diffusion of cells, nutrients and oxygen but also provide adequate mechanical support. One way to ensure the scaffold has the right properties is to use computational tools to design such a scaffold coupled with additive manufacturing to build the scaffolds to the resulting optimized design specifications. In this study a topology optimization algorithm is proposed as a technique to design scaffolds that meet specific requirements for mass transport and mechanical load bearing. Several micro-structures obtained computationally are presented. Designed scaffolds were then built using selective laser sintering and the actual features of the fabricated scaffolds were measured and compared to the designed values. It was possible to obtain scaffolds with an internal geometry that reasonably matched the computational design (within 14% of porosity target, 40% for strut size and 55% for throat size in the building direction and 15% for strut size and 17% for throat size perpendicular to the building direction). These results support the use of these kind of computational algorithms to design optimized scaffolds with specific target properties and confirm the value of these techniques for bone tissue engineering. \u00a9 2014 IPEM.", "author" : [ { "family" : "Dias", "given" : "Marta R." }, { "family" : "Guedes", "given" : "Jos\u00e9 M." }, { "family" : "Flanagan", "given" : "Colleen L." }, { "family" : "Hollister", "given" : "Scott J." }, { "family" : "Fernandes", "given" : "Paulo R." } ], "container-title" : "Medical Engineering and Physics", "id" : "ITEM-1", "issue" : "4", "issued" : { "date-parts" : [ [ "2014" ] ] }, "page" : "448-457", "publisher" : "Institute of Physics and Engineering in Medicine", "title" : "Optimization of scaffold design for bone tissue engineering: A computational and experimental study", "type" : "article-journal", "volume" : "36" }, "uris" : [ "http://www.mendeley.com/documents/?uuid=b8636c02-bbc8-4e44-8614-8697b3ecd640" ] } ], "mendeley" : { "formattedCitation" : "[43]", "plainTextFormattedCitation" : "[43]", "previouslyFormattedCitation" : "[43]" }, "properties" : { "noteIndex" : 0 }, "schema" : "https://github.com/citation-style-language/schema/raw/master/csl-citation.json" }</w:instrText>
      </w:r>
      <w:r>
        <w:fldChar w:fldCharType="separate"/>
      </w:r>
      <w:r w:rsidRPr="00FE48C1">
        <w:rPr>
          <w:noProof/>
        </w:rPr>
        <w:t>[43]</w:t>
      </w:r>
      <w:r>
        <w:fldChar w:fldCharType="end"/>
      </w:r>
      <w:r>
        <w:t xml:space="preserve"> developed a topology optimization tool based on the homogenization theory in order to generate new architectures to attain target scaffold permeability and elastic properties. The cell unit is defined by distributing the material within a given design domain to optimise permeability with </w:t>
      </w:r>
      <w:r>
        <w:lastRenderedPageBreak/>
        <w:t>constraints in mechanical properties or on the other way around. Finally, the unit cell is repeated periodically assuming bone as regular porous media.</w:t>
      </w:r>
    </w:p>
    <w:p w:rsidR="005D1052" w:rsidRDefault="005D1052" w:rsidP="005D1052"/>
    <w:p w:rsidR="005D1052" w:rsidRDefault="005D1052" w:rsidP="005D1052">
      <w:pPr>
        <w:keepNext/>
        <w:ind w:firstLine="0"/>
        <w:jc w:val="center"/>
      </w:pPr>
      <w:r>
        <w:rPr>
          <w:noProof/>
          <w:lang w:eastAsia="en-GB"/>
        </w:rPr>
        <w:drawing>
          <wp:inline distT="0" distB="0" distL="0" distR="0" wp14:anchorId="7F3A7577" wp14:editId="00B94B33">
            <wp:extent cx="3448050" cy="3973339"/>
            <wp:effectExtent l="0" t="0" r="0" b="8255"/>
            <wp:docPr id="8206" name="Picture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ares.png"/>
                    <pic:cNvPicPr/>
                  </pic:nvPicPr>
                  <pic:blipFill>
                    <a:blip r:embed="rId28">
                      <a:extLst>
                        <a:ext uri="{28A0092B-C50C-407E-A947-70E740481C1C}">
                          <a14:useLocalDpi xmlns:a14="http://schemas.microsoft.com/office/drawing/2010/main" val="0"/>
                        </a:ext>
                      </a:extLst>
                    </a:blip>
                    <a:stretch>
                      <a:fillRect/>
                    </a:stretch>
                  </pic:blipFill>
                  <pic:spPr>
                    <a:xfrm>
                      <a:off x="0" y="0"/>
                      <a:ext cx="3448050" cy="3973339"/>
                    </a:xfrm>
                    <a:prstGeom prst="rect">
                      <a:avLst/>
                    </a:prstGeom>
                  </pic:spPr>
                </pic:pic>
              </a:graphicData>
            </a:graphic>
          </wp:inline>
        </w:drawing>
      </w:r>
    </w:p>
    <w:p w:rsidR="005D1052" w:rsidRPr="005E0985" w:rsidRDefault="005D1052" w:rsidP="005D1052">
      <w:pPr>
        <w:pStyle w:val="Caption"/>
        <w:rPr>
          <w:b w:val="0"/>
        </w:rPr>
      </w:pPr>
      <w:bookmarkStart w:id="40" w:name="_Toc438590789"/>
      <w:bookmarkStart w:id="41" w:name="_Toc445718795"/>
      <w:r>
        <w:t xml:space="preserve">Figure </w:t>
      </w:r>
      <w:fldSimple w:instr=" STYLEREF 1 \s ">
        <w:r w:rsidR="00924C7D">
          <w:rPr>
            <w:noProof/>
          </w:rPr>
          <w:t>2</w:t>
        </w:r>
      </w:fldSimple>
      <w:r>
        <w:noBreakHyphen/>
      </w:r>
      <w:fldSimple w:instr=" SEQ Figure \* ARABIC \s 1 ">
        <w:r w:rsidR="00924C7D">
          <w:rPr>
            <w:noProof/>
          </w:rPr>
          <w:t>2</w:t>
        </w:r>
      </w:fldSimple>
      <w:r>
        <w:t xml:space="preserve"> </w:t>
      </w:r>
      <w:r w:rsidRPr="005E0985">
        <w:rPr>
          <w:b w:val="0"/>
        </w:rPr>
        <w:t>Scaffold designs evaluated by Olivares et al. [41] based on hexahedral prism units (a) and gyroid pores (b)</w:t>
      </w:r>
      <w:r>
        <w:rPr>
          <w:b w:val="0"/>
        </w:rPr>
        <w:t>.</w:t>
      </w:r>
      <w:bookmarkEnd w:id="40"/>
      <w:bookmarkEnd w:id="41"/>
    </w:p>
    <w:p w:rsidR="005D1052" w:rsidRDefault="005D1052" w:rsidP="005D1052">
      <w:r>
        <w:t xml:space="preserve">Nevertheless, bone tissue consists of a hierarchical structure with mechanical properties that change at different levels. Hence, scaffold design needs to ensure control over different scales in order to understand the mechanical properties of bone material. Yoo </w:t>
      </w:r>
      <w:r>
        <w:fldChar w:fldCharType="begin" w:fldLock="1"/>
      </w:r>
      <w:r>
        <w:instrText>ADDIN CSL_CITATION { "citationItems" : [ { "id" : "ITEM-1", "itemData" : { "DOI" : "10.1016/j.msec.2012.12.092", "abstract" : "This paper presented an effective method for the three-dimensional (3D) hierarchical porous scaffold design for tissue engineering. To achieve such a hierarchical porous structure with accurately controlled internal pore architectures, the recursive intersection Boolean operation (RIBO) was proposed in order to satisfy computational efficiency and biological function requirements of a porous scaffold. After generating the distance field (DF) for the given anatomic model and required pore architectures, the recursive DF modifications enable us to design hierarchical porous scaffolds with complex combinations of pore morphologies. A variety of experimental results showed that the proposed hierarchical porous scaffold design method has the potential benefits for accurately controlling both the porosity and the pore architecture gradients while preserving the advantages of triply periodic minimal surface pore geometries. \u00a9 2013 Elsevier B.V. All Rights Reserved.", "author" : [ { "family" : "Yoo", "given" : "Dongjin" } ], "container-title" : "Materials Science and Engineering C", "id" : "ITEM-1", "issue" : "3", "issued" : { "date-parts" : [ [ "2013" ] ] }, "page" : "1759-1772", "publisher" : "Elsevier B.V.", "title" : "New paradigms in hierarchical porous scaffold design for tissue engineering", "type" : "article-journal", "volume" : "33" }, "uris" : [ "http://www.mendeley.com/documents/?uuid=63140a89-558e-4e24-a4ba-bb57508130aa" ] } ], "mendeley" : { "formattedCitation" : "[44]", "plainTextFormattedCitation" : "[44]", "previouslyFormattedCitation" : "[44]" }, "properties" : { "noteIndex" : 0 }, "schema" : "https://github.com/citation-style-language/schema/raw/master/csl-citation.json" }</w:instrText>
      </w:r>
      <w:r>
        <w:fldChar w:fldCharType="separate"/>
      </w:r>
      <w:r w:rsidRPr="00FE48C1">
        <w:rPr>
          <w:noProof/>
        </w:rPr>
        <w:t>[44]</w:t>
      </w:r>
      <w:r>
        <w:fldChar w:fldCharType="end"/>
      </w:r>
      <w:r>
        <w:t xml:space="preserve"> presented a novel hierarchical scaffold design tool that combines recursive intersection Boolean operations and triply periodic minimal surface based pore geometries that controls porosity and pore architecture gradients. In addition to the hierarchical architecture, this method can also design a scaffold that fits within an </w:t>
      </w:r>
      <w:r>
        <w:lastRenderedPageBreak/>
        <w:t>anatomical shape by using the distance field technique. Therefore, the principles of designing a personalised implant with a geometry that has a good fit inside the defect and an internal architecture that provides optimised scaffold mechanical properties were introduced.</w:t>
      </w:r>
    </w:p>
    <w:p w:rsidR="005D1052" w:rsidRDefault="005D1052" w:rsidP="005D1052">
      <w:r>
        <w:t xml:space="preserve">It is noteworthy that scaffold degrades while being replaced by neo-tissue so its architecture will vary during time. Therefore, scaffold should provide an optimal performance over time. The degradation rates depend on the material selected for scaffold fabrication which in combination with the architecture design will determine the mechanical properties during the regeneration process </w:t>
      </w:r>
      <w:r>
        <w:fldChar w:fldCharType="begin" w:fldLock="1"/>
      </w:r>
      <w:r>
        <w:instrText>ADDIN CSL_CITATION { "citationItems" : [ { "id" : "ITEM-1", "itemData" : { "DOI" : "10.1016/j.biomaterials.2011.03.064", "ISBN" : "0142-9612", "abstract" : "Biodegradable scaffolds play a critical role in therapeutic tissue engineering, in which the matrix degradation and tissue ingrowth are of particular importance for determining the ongoing performance of tissue-scaffold system during regenerative process. This paper aims to explore the mechanobiological process within biodegradable scaffolds, where the representative volume element (RVE) is extracted from periodic scaffold micro-architectures as a base-cell design model. The degradation of scaffold matrix is modeled in terms of a stochastic hydrolysis process enhanced by diffusion-controlled autocatalysis; and the tissue ingrowth is modeled through the mechano-regulatory theory. By using the finite element based homogenization technique and topology optimization approach, the effective properties of various periodic scaffold structures are obtained. To explore the effect of scaffold design on the mechanobiological evolutions of tissue-scaffold systems, different scaffold architectures are considered for polymer degradation and tissue regeneration. It is found that the different tissues can grow into the degraded voids inside the polymer matrix. It is demonstrated that the design of scaffold architecture has a considerable impact on the tissue regeneration outcome, which exhibits the importance of implementing different criteria in scaffold micro-structural design, before being fabricated via rapid prototyping technique, e.g. solid free-form fabrication (SFF). This study models such an interactive process of scaffold degradation and tissue growth, thereby providing some new insights into design of biodegradable scaffold micro-architecture for tissue engineering. ?? 2011 Elsevier Ltd.", "author" : [ { "family" : "Chen", "given" : "Yuhang" }, { "family" : "Zhou", "given" : "Shiwei" }, { "family" : "Li", "given" : "Qing" } ], "container-title" : "Biomaterials", "id" : "ITEM-1", "issue" : "22", "issued" : { "date-parts" : [ [ "2011" ] ] }, "page" : "5003-5014", "publisher" : "Elsevier Ltd", "title" : "Microstructure design of biodegradable scaffold and its effect on tissue regeneration", "type" : "article-journal", "volume" : "32" }, "uris" : [ "http://www.mendeley.com/documents/?uuid=b672aa0e-4453-4921-a353-673ab6fcc4db" ] } ], "mendeley" : { "formattedCitation" : "[45]", "manualFormatting" : "[25, ", "plainTextFormattedCitation" : "[45]", "previouslyFormattedCitation" : "[45]" }, "properties" : { "noteIndex" : 0 }, "schema" : "https://github.com/citation-style-language/schema/raw/master/csl-citation.json" }</w:instrText>
      </w:r>
      <w:r>
        <w:fldChar w:fldCharType="separate"/>
      </w:r>
      <w:r>
        <w:rPr>
          <w:noProof/>
        </w:rPr>
        <w:t>[4</w:t>
      </w:r>
      <w:r w:rsidRPr="00FC0B68">
        <w:rPr>
          <w:noProof/>
        </w:rPr>
        <w:t>5</w:t>
      </w:r>
      <w:r>
        <w:rPr>
          <w:noProof/>
        </w:rPr>
        <w:t xml:space="preserve">, </w:t>
      </w:r>
      <w:r>
        <w:fldChar w:fldCharType="end"/>
      </w:r>
      <w:r w:rsidRPr="00FC0B68">
        <w:fldChar w:fldCharType="begin" w:fldLock="1"/>
      </w:r>
      <w:r>
        <w:instrText>ADDIN CSL_CITATION { "citationItems" : [ { "id" : "ITEM-1", "itemData" : { "DOI" : "10.1002/term.497", "author" : [ { "family" : "Saito", "given" : "Eiji" }, { "family" : "Liao", "given" : "Elly E" }, { "family" : "Hu", "given" : "Wei-Wen" }, { "family" : "Krebsbach", "given" : "Paul H" }, { "family" : "Hollister", "given" : "Scott J" } ], "container-title" : "Journal of Tissue Engineering and Regenerative Medicine", "id" : "ITEM-1", "issue" : "2", "issued" : { "date-parts" : [ [ "2013" ] ] }, "page" : "99-111", "publisher" : "John Wiley &amp; Sons, Ltd", "title" : "Effects of designed PLLA and 50:50 PLGA scaffold architectures on bone formation in vivo", "type" : "article-journal", "volume" : "7" }, "uris" : [ "http://www.mendeley.com/documents/?uuid=c3418302-e708-4153-9758-2dd05db61829" ] } ], "mendeley" : { "formattedCitation" : "[46]", "manualFormatting" : "26]", "plainTextFormattedCitation" : "[46]", "previouslyFormattedCitation" : "[46]" }, "properties" : { "noteIndex" : 0 }, "schema" : "https://github.com/citation-style-language/schema/raw/master/csl-citation.json" }</w:instrText>
      </w:r>
      <w:r w:rsidRPr="00FC0B68">
        <w:fldChar w:fldCharType="separate"/>
      </w:r>
      <w:r>
        <w:rPr>
          <w:noProof/>
        </w:rPr>
        <w:t>4</w:t>
      </w:r>
      <w:r w:rsidRPr="00FC0B68">
        <w:rPr>
          <w:noProof/>
        </w:rPr>
        <w:t>6]</w:t>
      </w:r>
      <w:r w:rsidRPr="00FC0B68">
        <w:fldChar w:fldCharType="end"/>
      </w:r>
      <w:r w:rsidRPr="00FC0B68">
        <w:t>.</w:t>
      </w:r>
    </w:p>
    <w:p w:rsidR="005D1052" w:rsidRDefault="005D1052" w:rsidP="005D1052"/>
    <w:p w:rsidR="005D1052" w:rsidRDefault="005D1052" w:rsidP="005D1052">
      <w:pPr>
        <w:keepNext/>
        <w:ind w:firstLine="0"/>
      </w:pPr>
      <w:r>
        <w:rPr>
          <w:noProof/>
          <w:lang w:eastAsia="en-GB"/>
        </w:rPr>
        <w:drawing>
          <wp:inline distT="0" distB="0" distL="0" distR="0" wp14:anchorId="5F868578" wp14:editId="46BB314C">
            <wp:extent cx="5040172" cy="3733227"/>
            <wp:effectExtent l="0" t="0" r="8255" b="635"/>
            <wp:docPr id="8208" name="Picture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genization.png"/>
                    <pic:cNvPicPr/>
                  </pic:nvPicPr>
                  <pic:blipFill rotWithShape="1">
                    <a:blip r:embed="rId29">
                      <a:extLst>
                        <a:ext uri="{28A0092B-C50C-407E-A947-70E740481C1C}">
                          <a14:useLocalDpi xmlns:a14="http://schemas.microsoft.com/office/drawing/2010/main" val="0"/>
                        </a:ext>
                      </a:extLst>
                    </a:blip>
                    <a:srcRect t="-1593"/>
                    <a:stretch/>
                  </pic:blipFill>
                  <pic:spPr bwMode="auto">
                    <a:xfrm>
                      <a:off x="0" y="0"/>
                      <a:ext cx="5044960" cy="3736773"/>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5E0985" w:rsidRDefault="005D1052" w:rsidP="005D1052">
      <w:pPr>
        <w:pStyle w:val="Caption"/>
        <w:rPr>
          <w:b w:val="0"/>
        </w:rPr>
      </w:pPr>
      <w:bookmarkStart w:id="42" w:name="_Toc438590790"/>
      <w:bookmarkStart w:id="43" w:name="_Toc445718796"/>
      <w:r>
        <w:t xml:space="preserve">Figure </w:t>
      </w:r>
      <w:fldSimple w:instr=" STYLEREF 1 \s ">
        <w:r w:rsidR="00924C7D">
          <w:rPr>
            <w:noProof/>
          </w:rPr>
          <w:t>2</w:t>
        </w:r>
      </w:fldSimple>
      <w:r>
        <w:noBreakHyphen/>
      </w:r>
      <w:fldSimple w:instr=" SEQ Figure \* ARABIC \s 1 ">
        <w:r w:rsidR="00924C7D">
          <w:rPr>
            <w:noProof/>
          </w:rPr>
          <w:t>3</w:t>
        </w:r>
      </w:fldSimple>
      <w:r>
        <w:t xml:space="preserve"> </w:t>
      </w:r>
      <w:r w:rsidRPr="005E0985">
        <w:rPr>
          <w:b w:val="0"/>
        </w:rPr>
        <w:t>Effect of the design</w:t>
      </w:r>
      <w:r>
        <w:rPr>
          <w:b w:val="0"/>
        </w:rPr>
        <w:t>ed</w:t>
      </w:r>
      <w:r w:rsidRPr="005E0985">
        <w:rPr>
          <w:b w:val="0"/>
        </w:rPr>
        <w:t xml:space="preserve"> unit cell (a) on the effective normalised elastic moduli (b) and permeability (c) calculate</w:t>
      </w:r>
      <w:r>
        <w:rPr>
          <w:b w:val="0"/>
        </w:rPr>
        <w:t>d</w:t>
      </w:r>
      <w:r w:rsidRPr="005E0985">
        <w:rPr>
          <w:b w:val="0"/>
        </w:rPr>
        <w:t xml:space="preserve"> by the homogenization theory [42].</w:t>
      </w:r>
      <w:bookmarkEnd w:id="42"/>
      <w:bookmarkEnd w:id="43"/>
    </w:p>
    <w:p w:rsidR="005D1052" w:rsidRDefault="005D1052" w:rsidP="005D1052">
      <w:pPr>
        <w:keepNext/>
        <w:ind w:firstLine="0"/>
        <w:jc w:val="center"/>
      </w:pPr>
      <w:r>
        <w:rPr>
          <w:noProof/>
          <w:lang w:eastAsia="en-GB"/>
        </w:rPr>
        <w:lastRenderedPageBreak/>
        <w:drawing>
          <wp:inline distT="0" distB="0" distL="0" distR="0" wp14:anchorId="165F1AB6" wp14:editId="59907362">
            <wp:extent cx="3628340" cy="4152979"/>
            <wp:effectExtent l="0" t="0" r="0" b="0"/>
            <wp:docPr id="8207" name="Picture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o.png"/>
                    <pic:cNvPicPr/>
                  </pic:nvPicPr>
                  <pic:blipFill>
                    <a:blip r:embed="rId30">
                      <a:extLst>
                        <a:ext uri="{28A0092B-C50C-407E-A947-70E740481C1C}">
                          <a14:useLocalDpi xmlns:a14="http://schemas.microsoft.com/office/drawing/2010/main" val="0"/>
                        </a:ext>
                      </a:extLst>
                    </a:blip>
                    <a:stretch>
                      <a:fillRect/>
                    </a:stretch>
                  </pic:blipFill>
                  <pic:spPr bwMode="auto">
                    <a:xfrm>
                      <a:off x="0" y="0"/>
                      <a:ext cx="3626462" cy="4150829"/>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4676E9" w:rsidRDefault="005D1052" w:rsidP="005D1052">
      <w:pPr>
        <w:pStyle w:val="Caption"/>
        <w:rPr>
          <w:b w:val="0"/>
        </w:rPr>
      </w:pPr>
      <w:bookmarkStart w:id="44" w:name="_Toc438590791"/>
      <w:bookmarkStart w:id="45" w:name="_Toc445718797"/>
      <w:r>
        <w:t xml:space="preserve">Figure </w:t>
      </w:r>
      <w:fldSimple w:instr=" STYLEREF 1 \s ">
        <w:r w:rsidR="00924C7D">
          <w:rPr>
            <w:noProof/>
          </w:rPr>
          <w:t>2</w:t>
        </w:r>
      </w:fldSimple>
      <w:r>
        <w:noBreakHyphen/>
      </w:r>
      <w:fldSimple w:instr=" SEQ Figure \* ARABIC \s 1 ">
        <w:r w:rsidR="00924C7D">
          <w:rPr>
            <w:noProof/>
          </w:rPr>
          <w:t>4</w:t>
        </w:r>
      </w:fldSimple>
      <w:r>
        <w:t xml:space="preserve"> </w:t>
      </w:r>
      <w:r w:rsidRPr="005E0985">
        <w:rPr>
          <w:b w:val="0"/>
        </w:rPr>
        <w:t>Hierarchical bone scaffold design proposed by Yoo et al. [44] based on triply periodic numeric surface based geometries that fits within the fracture site</w:t>
      </w:r>
      <w:r w:rsidRPr="004676E9">
        <w:rPr>
          <w:b w:val="0"/>
        </w:rPr>
        <w:t>.</w:t>
      </w:r>
      <w:bookmarkEnd w:id="44"/>
      <w:bookmarkEnd w:id="45"/>
    </w:p>
    <w:p w:rsidR="005D1052" w:rsidRDefault="005D1052" w:rsidP="005D1052">
      <w:pPr>
        <w:pStyle w:val="Heading3"/>
      </w:pPr>
      <w:bookmarkStart w:id="46" w:name="_Toc310605583"/>
      <w:bookmarkStart w:id="47" w:name="_Toc310605878"/>
      <w:bookmarkStart w:id="48" w:name="_Toc440823176"/>
      <w:r>
        <w:t>Scaffold material</w:t>
      </w:r>
      <w:bookmarkEnd w:id="46"/>
      <w:bookmarkEnd w:id="47"/>
      <w:bookmarkEnd w:id="48"/>
    </w:p>
    <w:p w:rsidR="005D1052" w:rsidRDefault="005D1052" w:rsidP="005D1052">
      <w:r>
        <w:t>Another concern related to the scaffold design is the selection of the biomaterial. Most important are ceramics, natural polymers and synthetic biodegradable polymers. Ceramics such as hydroxyapatite (HA) and tri-calcium phosphate (TCP) have been used for bone regeneration applications due to the chemical and structural similarity to the mineral phase of native bone.</w:t>
      </w:r>
      <w:r w:rsidRPr="002B4AA1">
        <w:t xml:space="preserve"> </w:t>
      </w:r>
      <w:r>
        <w:t xml:space="preserve">However, their clinical application is limited because of their brittleness and difficulty of shaping for implantation </w:t>
      </w:r>
      <w:r>
        <w:fldChar w:fldCharType="begin" w:fldLock="1"/>
      </w:r>
      <w:r>
        <w:instrText>ADDIN CSL_CITATION { "citationItems" : [ { "id" : "ITEM-1", "itemData" : { "DOI" : "10.1016/j.biomaterials.2009.11.050", "author" : [ { "family" : "Dorozhkin", "given" : "Sergey V." } ], "container-title" : "Biomaterials", "id" : "ITEM-1", "issue" : "7", "issued" : { "date-parts" : [ [ "2010" ] ] }, "page" : "1465-1485", "publisher" : "Elsevier Ltd", "title" : "Bioceramics of calcium orthophosphates", "type" : "article-journal", "volume" : "31" }, "uris" : [ "http://www.mendeley.com/documents/?uuid=7544da6c-bec1-4cee-bca4-f1eb70947bf2" ] } ], "mendeley" : { "formattedCitation" : "[47]", "plainTextFormattedCitation" : "[47]", "previouslyFormattedCitation" : "[47]" }, "properties" : { "noteIndex" : 0 }, "schema" : "https://github.com/citation-style-language/schema/raw/master/csl-citation.json" }</w:instrText>
      </w:r>
      <w:r>
        <w:fldChar w:fldCharType="separate"/>
      </w:r>
      <w:r w:rsidRPr="00FE48C1">
        <w:rPr>
          <w:noProof/>
        </w:rPr>
        <w:t>[47]</w:t>
      </w:r>
      <w:r>
        <w:fldChar w:fldCharType="end"/>
      </w:r>
      <w:r>
        <w:t xml:space="preserve">. Natural polymers such as collagen and fibrin are biological active and biocompatible but they exhibit poor mechanical properties and require screening and purification to avoid pathogen transmission </w:t>
      </w:r>
      <w:r>
        <w:fldChar w:fldCharType="begin" w:fldLock="1"/>
      </w:r>
      <w:r>
        <w:instrText>ADDIN CSL_CITATION { "citationItems" : [ { "id" : "ITEM-1", "itemData" : { "DOI" : "10.1016/j.progpolymsci.2010.01.006", "author" : [ { "family" : "Puppi", "given" : "D." }, { "family" : "Chiellini", "given" : "F." }, { "family" : "Piras", "given" : "a.M." }, { "family" : "Chiellini", "given" : "E." } ], "container-title" : "Progress in Polymer Science", "id" : "ITEM-1", "issue" : "4", "issued" : { "date-parts" : [ [ "2010" ] ] }, "page" : "403-440", "publisher" : "Elsevier Ltd", "title" : "Polymeric materials for bone and cartilage repair", "type" : "article-journal", "volume" : "35" }, "uris" : [ "http://www.mendeley.com/documents/?uuid=05de1f59-37fa-4c82-8657-85e6046bf74e" ] } ], "mendeley" : { "formattedCitation" : "[48]", "plainTextFormattedCitation" : "[48]", "previouslyFormattedCitation" : "[48]" }, "properties" : { "noteIndex" : 0 }, "schema" : "https://github.com/citation-style-language/schema/raw/master/csl-citation.json" }</w:instrText>
      </w:r>
      <w:r>
        <w:fldChar w:fldCharType="separate"/>
      </w:r>
      <w:r w:rsidRPr="00FE48C1">
        <w:rPr>
          <w:noProof/>
        </w:rPr>
        <w:t>[48]</w:t>
      </w:r>
      <w:r>
        <w:fldChar w:fldCharType="end"/>
      </w:r>
      <w:r>
        <w:t xml:space="preserve">. Synthetic polymers have potential advantages over natural polymers </w:t>
      </w:r>
      <w:r>
        <w:lastRenderedPageBreak/>
        <w:t>in terms of load-bearing properties and also fabrication flexibility that enables a tailored architecture, controllable degradation characteristics and surface properties. The most extensively used are Poly-(glycol-acid) (PGA), Poly-(latic-acid) (PLA</w:t>
      </w:r>
      <w:r w:rsidRPr="0097136C">
        <w:t xml:space="preserve">), Polycaprolactone (PCL) and Pelyethylene Glycol (PGE) </w:t>
      </w:r>
      <w:r w:rsidRPr="0097136C">
        <w:fldChar w:fldCharType="begin" w:fldLock="1"/>
      </w:r>
      <w:r>
        <w:instrText>ADDIN CSL_CITATION { "citationItems" : [ { "id" : "ITEM-1", "itemData" : { "DOI" : "10.1016/j.compositesb.2006.06.014", "author" : [ { "family" : "Cheung", "given" : "Hoi-Yan" }, { "family" : "Lau", "given" : "Kin-Tak" }, { "family" : "Lu", "given" : "Tung-Po" }, { "family" : "Hui", "given" : "David" } ], "container-title" : "Composites Part B: Engineering", "id" : "ITEM-1", "issue" : "3", "issued" : { "date-parts" : [ [ "2007", "4" ] ] }, "page" : "291-300", "title" : "A critical review on polymer-based bio-engineered materials for scaffold development", "type" : "article-journal", "volume" : "38" }, "uris" : [ "http://www.mendeley.com/documents/?uuid=3545425c-1f8e-4e7c-8866-5d5bb8df7218" ] } ], "mendeley" : { "formattedCitation" : "[49]", "plainTextFormattedCitation" : "[49]", "previouslyFormattedCitation" : "[49]" }, "properties" : { "noteIndex" : 0 }, "schema" : "https://github.com/citation-style-language/schema/raw/master/csl-citation.json" }</w:instrText>
      </w:r>
      <w:r w:rsidRPr="0097136C">
        <w:fldChar w:fldCharType="separate"/>
      </w:r>
      <w:r w:rsidRPr="00FE48C1">
        <w:rPr>
          <w:noProof/>
        </w:rPr>
        <w:t>[49]</w:t>
      </w:r>
      <w:r w:rsidRPr="0097136C">
        <w:fldChar w:fldCharType="end"/>
      </w:r>
      <w:r w:rsidRPr="0097136C">
        <w:t xml:space="preserve"> from which PGA, PLA and their co-polymer poly(lactic-co-glycolic acid)</w:t>
      </w:r>
      <w:r>
        <w:t xml:space="preserve"> </w:t>
      </w:r>
      <w:r w:rsidRPr="0097136C">
        <w:t xml:space="preserve">(PLGA) have obtained approval for certain </w:t>
      </w:r>
      <w:r>
        <w:t>biomedical</w:t>
      </w:r>
      <w:r w:rsidRPr="0097136C">
        <w:t xml:space="preserve"> application </w:t>
      </w:r>
      <w:r w:rsidRPr="0097136C">
        <w:fldChar w:fldCharType="begin" w:fldLock="1"/>
      </w:r>
      <w:r>
        <w:instrText>ADDIN CSL_CITATION { "citationItems" : [ { "id" : "ITEM-1", "itemData" : { "DOI" : "10.1002/mabi.201100466", "ISBN" : "1616-5195", "abstract" : "Scaffolds (artificial ECMs) play a pivotal role in the process of regenerating tissues in 3D. Biodegradable synthetic polymers are the most widely used scaffolding materials. However, synthetic polymers usually lack the biological cues found in the natural extracellular matrix. Significant efforts have been made to synthesize biodegradable polymers with functional groups that are used to couple bioactive agents. Presenting bioactive agents on scaffolding surfaces is the most efficient way to elicit desired cell/material interactions. This paper reviews recent advancements in the development of functionalized biodegradable polymer scaffolds for tissue engineering, emphasizing the syntheses of functional biodegradable polymers, and surface modification of polymeric scaffolds.", "author" : [ { "family" : "Liu", "given" : "Xiaohua" }, { "family" : "Holzwarth", "given" : "Jeremy M" }, { "family" : "Ma", "given" : "Peter X" } ], "container-title" : "Macromolecular Bioscience", "id" : "ITEM-1", "issued" : { "date-parts" : [ [ "2012" ] ] }, "page" : "911-919", "title" : "Functionalized Synthetic Biodegradable Polymer Scaffolds for Tissue Engineering", "type" : "article-journal", "volume" : "12" }, "uris" : [ "http://www.mendeley.com/documents/?uuid=6a0435c8-9f39-45bd-9e41-d8a64d17b702" ] } ], "mendeley" : { "formattedCitation" : "[50]", "plainTextFormattedCitation" : "[50]", "previouslyFormattedCitation" : "[50]" }, "properties" : { "noteIndex" : 0 }, "schema" : "https://github.com/citation-style-language/schema/raw/master/csl-citation.json" }</w:instrText>
      </w:r>
      <w:r w:rsidRPr="0097136C">
        <w:fldChar w:fldCharType="separate"/>
      </w:r>
      <w:r w:rsidRPr="00FE48C1">
        <w:rPr>
          <w:noProof/>
        </w:rPr>
        <w:t>[50]</w:t>
      </w:r>
      <w:r w:rsidRPr="0097136C">
        <w:fldChar w:fldCharType="end"/>
      </w:r>
      <w:r w:rsidRPr="0097136C">
        <w:t>. Despite their good mechanical performance</w:t>
      </w:r>
      <w:r>
        <w:t>, these materials lack of biological cues and osteoconductive properties.</w:t>
      </w:r>
    </w:p>
    <w:p w:rsidR="005D1052" w:rsidRDefault="005D1052" w:rsidP="005D1052">
      <w:r>
        <w:t xml:space="preserve">Ceramics, natural polymers and synthetic polymers present certain advantages and specific drawbacks individually. By the appropriate combination of these materials it is possible to overcome their limitations and create hybrid materials with improved mechanical, chemical and biological properties </w:t>
      </w:r>
      <w:r>
        <w:fldChar w:fldCharType="begin" w:fldLock="1"/>
      </w:r>
      <w:r>
        <w:instrText>ADDIN CSL_CITATION { "citationItems" : [ { "id" : "ITEM-1", "itemData" : { "DOI" : "10.1016/j.msec.2014.12.007", "abstract" : "Engineering biomaterial scaffolds that promote attachment and growth of mesenchymal stem cells in three dimensions is a crucial parameter for successful bone tissue engineering. Towards this direction, a lot of research effort has focused recently into the development of three-dimensional porous scaffolds, aiming to elicit positive cellular behavior. However, the fabrication of three-dimensional tissue scaffolds with a precise geometry and complex micro- and nano-features, supporting cell in-growth remains a challenge. In this study we report on a positive cellular response of human bone marrow-derived (BM) mesenchymal stem cells (MSCs) onto hybrid material scaffolds consisting of methacryloxypropyl trimethoxysilane, zirconium propoxide, and 2-(dimethylamino)ethyl methacrylate (DMAEMA). First, we use Direct fs Laser Writing, a 3D scaffolding technology to fabricate the complex structures. Subsequently, we investigate the morphology, viability and proliferation of BM-MSCs onto the hybrid scaffolds and examine the cellular response from different donors. Finally, we explore the effect of the materials' chemical composition on cell proliferation, employing three different material surfaces: (i) a hybrid consisting of methacryloxypropyl trimethoxysilane, zirconium propoxide and 50mol% DMAEMA, (ii) a hybrid material comprising methacryloxypropyl trimethoxysilane and zirconium propoxide, and (iii) a purely organic polyDMAEMA. Our results show a strong adhesion of BM-MSCs onto the hybrid material containing 50% DMAEMA from the first 2h after seeding, and up to several days, and a proliferation increase after 14 and 21days, similar to the polystyrene control, independent of cell donor. These findings support the potential use of our proposed cell\u2013material combination in bone tissue engineering.", "author" : [ { "family" : "Chatzinikolaidou", "given" : "Maria" }, { "family" : "Rekstyte", "given" : "Sima" }, { "family" : "Danilevicius", "given" : "Paulius" }, { "family" : "Pontikoglou", "given" : "Charalampos" }, { "family" : "Papadaki", "given" : "Helen" }, { "family" : "Farsari", "given" : "Maria" }, { "family" : "Vamvakaki", "given" : "Maria" } ], "container-title" : "Materials Science and Engineering: C", "id" : "ITEM-1", "issued" : { "date-parts" : [ [ "2015" ] ] }, "page" : "301-309", "publisher" : "Elsevier B.V.", "title" : "Adhesion and growth of human bone marrow mesenchymal stem cells on precise-geometry 3D organic\u2013inorganic composite scaffolds for bone repair", "type" : "article-journal", "volume" : "48" }, "uris" : [ "http://www.mendeley.com/documents/?uuid=2dd1a36c-1737-4dc1-af31-9d46ae2fa6df" ] }, { "id" : "ITEM-2", "itemData" : { "DOI" : "Doi 10.1039/C2sm00033d", "ISBN" : "1744-683X", "abstract" : "It is well known that bone has excellent mechanical properties through its hierarchical structure and that design of new materials should take inspiration from its structure, especially those that will be used as synthetic bone grafts. However it has not yet been possible to mimic the complex structure. Here we present new organic-inorganic hybrid scaffolds produced by a sol-gel foaming process with the aim of producing materials that mimic the trabecular structure of bone and take inspiration from the nanocomposite structure. Poly(gamma-glutamic acid) (gamma-PGA) was chosen as the organic component because it is a polypeptide that can be functionalised and can degrade by enzyme action. The gamma-PGA chains and bioactive silica were covalently bonded to each other (class II hybrid) through an organosilane coupling agent, glycidoxypropyl trimethoxysilane (GPTMS). This was key to obtaining a hybrid with good mechanical properties and homogeneous integration of inorganic and organic chains at the nanoscale. The effect of the degree of covalent coupling on mechanical properties and dissolution rate of the hybrids was investigated. Hybrids with a covalent coupling between 2 and 10 glutamic acid units per GPTMS molecule showed optimal mechanical properties and polymer release into TRIS-buffer solution. Polymer release was much slower from these hybrids than from those with lower amounts of covalent coupling. Monoliths of these compositions were not toxic to the SaOs-2 osteosarcoma cell line and supported cell attachment and growth. Foaming of the optimised hybrid composition was performed to produce porous 3D scaffolds. The modal pore and interconnect diameters were quantified to be 297 and 111 mm respectively, using micro-computed tomography (mu CT) and image analysis, showing the pore network to mimic that of cancellous bone.", "author" : [ { "family" : "Poologasundarampillai", "given" : "G" }, { "family" : "Yu", "given" : "B" }, { "family" : "Tsigkou", "given" : "O" }, { "family" : "Valliant", "given" : "E" }, { "family" : "Yue", "given" : "S" }, { "family" : "Lee", "given" : "P D" }, { "family" : "Hamilton", "given" : "R W" }, { "family" : "Stevens", "given" : "M M" }, { "family" : "Kasuga", "given" : "T" }, { "family" : "Jones", "given" : "J R" } ], "container-title" : "Soft Matter", "id" : "ITEM-2", "issued" : { "date-parts" : [ [ "2012" ] ] }, "page" : "4822-4832", "title" : "Bioactive silica-poly(gamma-glutamic acid) hybrids for bone regeneration: effect of covalent coupling on dissolution and mechanical properties and fabrication of porous scaffolds", "type" : "article-journal", "volume" : "8" }, "uris" : [ "http://www.mendeley.com/documents/?uuid=0968c0f3-6961-4397-bf19-977032ffc5e8" ] } ], "mendeley" : { "formattedCitation" : "[51], [52]", "manualFormatting" : "[17, 18]", "plainTextFormattedCitation" : "[51], [52]", "previouslyFormattedCitation" : "[51,52]" }, "properties" : { "noteIndex" : 0 }, "schema" : "https://github.com/citation-style-language/schema/raw/master/csl-citation.json" }</w:instrText>
      </w:r>
      <w:r>
        <w:fldChar w:fldCharType="separate"/>
      </w:r>
      <w:r>
        <w:rPr>
          <w:noProof/>
        </w:rPr>
        <w:t>[51, 52</w:t>
      </w:r>
      <w:r w:rsidRPr="00180EDD">
        <w:rPr>
          <w:noProof/>
        </w:rPr>
        <w:t>]</w:t>
      </w:r>
      <w:r>
        <w:fldChar w:fldCharType="end"/>
      </w:r>
      <w:r>
        <w:t xml:space="preserve">. Hybrid materials permit to tune the desired properties in order to produce optimal scaffolds for tissue engineering. Ahn et al. </w:t>
      </w:r>
      <w:r>
        <w:fldChar w:fldCharType="begin" w:fldLock="1"/>
      </w:r>
      <w:r>
        <w:instrText>ADDIN CSL_CITATION { "citationItems" : [ { "id" : "ITEM-1", "itemData" : { "DOI" : "10.1039/c2jm33310d", "author" : [ { "family" : "Ahn", "given" : "SeungHyun" }, { "family" : "Kim", "given" : "YongBok" }, { "family" : "Lee", "given" : "HyeongJin" }, { "family" : "Kim", "given" : "GeunHyung" } ], "container-title" : "Journal of Materials Chemistry", "id" : "ITEM-1", "issued" : { "date-parts" : [ [ "2012" ] ] }, "page" : "15901", "title" : "A new hybrid scaffold constructed of solid freeform-fabricated PCL struts and collagen struts for bone tissue regeneration: fabrication, mechanical properties, and cellular activity", "type" : "article-journal", "volume" : "22" }, "uris" : [ "http://www.mendeley.com/documents/?uuid=9af16f60-252d-4b18-9a07-625eb93f2b15" ] } ], "mendeley" : { "formattedCitation" : "[53]", "plainTextFormattedCitation" : "[53]", "previouslyFormattedCitation" : "[53]" }, "properties" : { "noteIndex" : 0 }, "schema" : "https://github.com/citation-style-language/schema/raw/master/csl-citation.json" }</w:instrText>
      </w:r>
      <w:r>
        <w:fldChar w:fldCharType="separate"/>
      </w:r>
      <w:r w:rsidRPr="00FE48C1">
        <w:rPr>
          <w:noProof/>
        </w:rPr>
        <w:t>[53]</w:t>
      </w:r>
      <w:r>
        <w:fldChar w:fldCharType="end"/>
      </w:r>
      <w:r>
        <w:t xml:space="preserve"> produced a hybrid 3D scaffold compounded by PCL and collagen struts in order to combine the good mechanical properties of the PCL and the biological capabilities of the collagen. Moreover, the hybrid scaffold was compared to pure PCL and collagen scaffolds; the hybrid scaffold exhibited higher Young’s modulus than the only collagen scaffold and higher biological activity of osteoblast-like cells (MG63) than the PCL-based scaffold. A similar hybrid scaffold was presented by Lee et al. </w:t>
      </w:r>
      <w:r>
        <w:fldChar w:fldCharType="begin" w:fldLock="1"/>
      </w:r>
      <w:r>
        <w:instrText>ADDIN CSL_CITATION { "citationItems" : [ { "id" : "ITEM-1", "itemData" : { "DOI" : "10.1002/jbm.b.31809", "ISBN" : "1552-4981 (Electronic)\\r1552-4973 (Linking)", "abstract" : "Biomedical scaffolds used in bone tissue engineering should have various properties including appropriate bioactivity, mechanical strength, and morphologically optimized pore structures. Collagen has been well known as a good biomaterial for various types of tissue regeneration, but its usage has been limited due to its low mechanical property and rapid degradation. In this work, a new hybrid scaffold consisting of polycaprolactone (PCL) and collagen is proposed for bone tissue regeneration. The PCL enhances the mechanical properties of the hybrid scaffold and controls the pore structure. Layered collagen nanofibers were used to enhance the initial cell attachment and proliferation. The results showed that the hybrid scaffold yielded better mechanical properties of pure PCL scaffold as well as enhanced biological activity than the pure PCL scaffold did. The effect of pore size on bone regeneration was investigated using two hybrid scaffolds with pore sizes of 200 \u00b1 20 and 300 \u00b1 27 \u03bcm. After post-seeding for 7 days, the cell proliferation with pore size, 200 \u00b1 20 \u03bcm, was greater than that with pore size, 300 \u00b1 27 \u03bcm, due to the high surface area of the scaffold.", "author" : [ { "family" : "Lee", "given" : "Hyeongjin" }, { "family" : "Yeo", "given" : "Myunggu" }, { "family" : "Ahn", "given" : "SeungHyun" }, { "family" : "Kang", "given" : "Dong-Oan" }, { "family" : "Jang", "given" : "Chul Ho" }, { "family" : "Lee", "given" : "Haengnam" }, { "family" : "Park", "given" : "Gil-Moon" }, { "family" : "Kim", "given" : "Geun Hyung" } ], "container-title" : "Journal of biomedical materials research. Part B, Applied biomaterials", "id" : "ITEM-1", "issued" : { "date-parts" : [ [ "2011" ] ] }, "page" : "263-70", "title" : "Designed hybrid scaffolds consisting of polycaprolactone microstrands and electrospun collagen-nanofibers for bone tissue regeneration.", "type" : "article-journal", "volume" : "97" }, "uris" : [ "http://www.mendeley.com/documents/?uuid=98a218b9-05e5-4c18-b752-62449faa317e" ] } ], "mendeley" : { "formattedCitation" : "[54]", "plainTextFormattedCitation" : "[54]", "previouslyFormattedCitation" : "[54]" }, "properties" : { "noteIndex" : 0 }, "schema" : "https://github.com/citation-style-language/schema/raw/master/csl-citation.json" }</w:instrText>
      </w:r>
      <w:r>
        <w:fldChar w:fldCharType="separate"/>
      </w:r>
      <w:r w:rsidRPr="00FE48C1">
        <w:rPr>
          <w:noProof/>
        </w:rPr>
        <w:t>[54]</w:t>
      </w:r>
      <w:r>
        <w:fldChar w:fldCharType="end"/>
      </w:r>
      <w:r>
        <w:t xml:space="preserve"> with a regular distribution of PCL struts but instead collagen appeared as crosslinked nanofibres filling the empty voids. The hybrid scaffold showed better mechanical properties and cellular response than the pure PCL scaffold and the way the collagen fibres were distributed enhanced cell attachment and proliferation inside the scaffold. A different approach was followed by Yu et al. </w:t>
      </w:r>
      <w:r>
        <w:fldChar w:fldCharType="begin" w:fldLock="1"/>
      </w:r>
      <w:r>
        <w:instrText>ADDIN CSL_CITATION { "citationItems" : [ { "id" : "ITEM-1", "itemData" : { "DOI" : "10.1002/app", "ISBN" : "0124002005", "abstract" : "Organic\u2013inorganic polyvinylidene fluoride (PVDF)\u2013titanium dioxide (TiO2) composite hollow fiber ultrafiltration (UF) membranes were prepared by TiO2 sol\u2013 gel method and blending method, respectively. The membranes were characterized in terms of microstructure, hydrophilicity, permeation performance, thermal stability, and mechanical strength. The experimental results indicated that PVDF\u2013TiO2 composite UF membranes exhibited significant differences in surface properties and intrinsic properties because of the addition of inorganic particles. The TiO2 particles improved the membrane strength and thermal stability of PVDF\u2013TiO2 composite UF membranes. In particular, hydrophilicity and permeability increased dramatically with the increase of TiO2, whereas the retention property of UF membranes was nearly unchanged. However, high TiO2 concentration induced the aggregation of particles, resulting in the decline of hydrophilicity and permeability. Compared with PVDF\u2013TiO2 composite hollow fiber UF membranes prepared by TiO2 blending method, PVDF\u2013TiO2 composite hollow fiber UF membranes prepared by TiO2 sol\u2013gel method formed a dispersed inorganic network, and the stronger interaction between inorganic network and polymeric chains led to TiO2 particles being uniformly dispersed in UF membranes.", "author" : [ { "family" : "Yu", "given" : "Li YUn" }, { "family" : "Shen", "given" : "Hong Mei" }, { "family" : "Xu", "given" : "Zhen Liang" } ], "container-title" : "Journal of Applied Physics", "id" : "ITEM-1", "issued" : { "date-parts" : [ [ "2009" ] ] }, "page" : "1763-1772", "title" : "PVDF\u2013TiO2 Composite Hollow Fiber Ultrafiltration Membranes Prepared by TiO2 Sol\u2013Gel Method and Blending Method", "type" : "article-journal", "volume" : "113" }, "uris" : [ "http://www.mendeley.com/documents/?uuid=eb963ba4-04db-415a-974c-0261ef80c3f8" ] } ], "mendeley" : { "formattedCitation" : "[55]", "plainTextFormattedCitation" : "[55]", "previouslyFormattedCitation" : "[55]" }, "properties" : { "noteIndex" : 0 }, "schema" : "https://github.com/citation-style-language/schema/raw/master/csl-citation.json" }</w:instrText>
      </w:r>
      <w:r>
        <w:fldChar w:fldCharType="separate"/>
      </w:r>
      <w:r w:rsidRPr="00FE48C1">
        <w:rPr>
          <w:noProof/>
        </w:rPr>
        <w:t>[55]</w:t>
      </w:r>
      <w:r>
        <w:fldChar w:fldCharType="end"/>
      </w:r>
      <w:r>
        <w:t xml:space="preserve"> that mixed PCL and PGA nanofibres using a electrospinning 2-eject system and investigated the effect of the PGA content on the global mechanical and chemical properties of the structure. As a result, by increasing the PGA concentration it was possible to increase the average diameter, porosity, hydrophilicity and tensile strength of the nanofibrous scaffold. Another design was presented by Igwe et al. </w:t>
      </w:r>
      <w:r>
        <w:fldChar w:fldCharType="begin" w:fldLock="1"/>
      </w:r>
      <w:r>
        <w:instrText>ADDIN CSL_CITATION { "citationItems" : [ { "id" : "ITEM-1", "itemData" : { "DOI" : "10.1002/term.1506", "author" : [ { "family" : "Igwe", "given" : "John C" }, { "family" : "Mikael", "given" : "Paiyz E" }, { "family" : "Nukavarapu", "given" : "Syam P" } ], "container-title" : "Journal of Tissue Engineering and Regenerative Medicine", "id" : "ITEM-1", "issue" : "2", "issued" : { "date-parts" : [ [ "2014" ] ] }, "page" : "131-142", "title" : "Design, fabrication and in vitro evaluation of a novel polymer-hydrogel hybrid scaffold for bone tissue engineering", "type" : "article-journal", "volume" : "8" }, "uris" : [ "http://www.mendeley.com/documents/?uuid=348f3787-5539-4749-a296-520dd76109fa" ] } ], "mendeley" : { "formattedCitation" : "[56]", "plainTextFormattedCitation" : "[56]", "previouslyFormattedCitation" : "[56]" }, "properties" : { "noteIndex" : 0 }, "schema" : "https://github.com/citation-style-language/schema/raw/master/csl-citation.json" }</w:instrText>
      </w:r>
      <w:r>
        <w:fldChar w:fldCharType="separate"/>
      </w:r>
      <w:r w:rsidRPr="00FE48C1">
        <w:rPr>
          <w:noProof/>
        </w:rPr>
        <w:t>[56]</w:t>
      </w:r>
      <w:r>
        <w:fldChar w:fldCharType="end"/>
      </w:r>
      <w:r>
        <w:t xml:space="preserve"> consisting of a combination of a composite polymer of </w:t>
      </w:r>
      <w:r w:rsidRPr="004C392A">
        <w:t>PLGA/nano</w:t>
      </w:r>
      <w:r>
        <w:t>-HA with Arginine-Alanine-Aspartic Acid-Alanine</w:t>
      </w:r>
      <w:r w:rsidRPr="00423925">
        <w:rPr>
          <w:vertAlign w:val="subscript"/>
        </w:rPr>
        <w:t>4</w:t>
      </w:r>
      <w:r>
        <w:t xml:space="preserve"> (RADA-16) self-assembling peptide hydrogel. In </w:t>
      </w:r>
      <w:r>
        <w:lastRenderedPageBreak/>
        <w:t xml:space="preserve">vitro results confirmed the osteoinductivity potential of the scaffold due to the native environment inside the scaffold pores provided by the presence of hydrogel which contained bone morphogenetic protein 2 (rhBMP2). In addition, the scaffold porous matrix could support bone formation mechanically with a compressive modulus (65.38 </w:t>
      </w:r>
      <w:r>
        <w:rPr>
          <w:rFonts w:ascii="Calibri" w:hAnsi="Calibri"/>
        </w:rPr>
        <w:t xml:space="preserve">± </w:t>
      </w:r>
      <w:r>
        <w:t xml:space="preserve">16 MPa) and strength (5.1 </w:t>
      </w:r>
      <w:r>
        <w:rPr>
          <w:rFonts w:ascii="Calibri" w:hAnsi="Calibri"/>
        </w:rPr>
        <w:t>±</w:t>
      </w:r>
      <w:r>
        <w:t xml:space="preserve"> 0.97 MPa) in the lower range of trabecular bone in humans. </w:t>
      </w:r>
      <w:r w:rsidRPr="00282919">
        <w:t>Mikae</w:t>
      </w:r>
      <w:r>
        <w:t xml:space="preserve">l et al. </w:t>
      </w:r>
      <w:r>
        <w:fldChar w:fldCharType="begin" w:fldLock="1"/>
      </w:r>
      <w:r>
        <w:instrText>ADDIN CSL_CITATION { "citationItems" : [ { "id" : "ITEM-1", "itemData" : { "DOI" : "10.1088/1748-6041/9/3/035001", "author" : [ { "family" : "Mikael", "given" : "Paiyz E" }, { "family" : "Amini", "given" : "Ami R" }, { "family" : "Basu", "given" : "Joysurya" }, { "family" : "Josefina Arellano-Jimenez", "given" : "M" }, { "family" : "Laurencin", "given" : "Cato T" }, { "family" : "Sanders", "given" : "Mary M" }, { "family" : "Barry Carter", "given" : "C" }, { "family" : "Nukavarapu", "given" : "Syam P" } ], "container-title" : "Biomedical Materials", "id" : "ITEM-1", "issued" : { "date-parts" : [ [ "2014" ] ] }, "page" : "035001", "title" : "Functionalized carbon nanotube reinforced scaffolds for bone regenerative engineering: fabrication, &lt;i&gt;in vitro&lt;/i&gt; and &lt;i&gt;in vivo&lt;/i&gt; evaluation", "type" : "article-journal", "volume" : "9" }, "uris" : [ "http://www.mendeley.com/documents/?uuid=9d350c49-ace3-4009-8b10-97b6ed3e85c7" ] } ], "mendeley" : { "formattedCitation" : "[57]", "plainTextFormattedCitation" : "[57]", "previouslyFormattedCitation" : "[57]" }, "properties" : { "noteIndex" : 0 }, "schema" : "https://github.com/citation-style-language/schema/raw/master/csl-citation.json" }</w:instrText>
      </w:r>
      <w:r>
        <w:fldChar w:fldCharType="separate"/>
      </w:r>
      <w:r w:rsidRPr="00FE48C1">
        <w:rPr>
          <w:noProof/>
        </w:rPr>
        <w:t>[57]</w:t>
      </w:r>
      <w:r>
        <w:fldChar w:fldCharType="end"/>
      </w:r>
      <w:r>
        <w:t xml:space="preserve"> argued that matching the mechanical properties of PLGA scaffolds with human cortical bone remains challenging. Therefore, they developed a strategy were a PLGA microsphere 3D scaffold was reinforced with carbon-nanotubes at the weak microsphere-to-microsphere contact regions increasing the Young’s modulus up to 510.99 </w:t>
      </w:r>
      <w:r>
        <w:rPr>
          <w:rFonts w:ascii="Calibri" w:hAnsi="Calibri"/>
        </w:rPr>
        <w:t>±</w:t>
      </w:r>
      <w:r>
        <w:t xml:space="preserve"> 108 MPa and the compressive strength up to 35.24 </w:t>
      </w:r>
      <w:r>
        <w:rPr>
          <w:rFonts w:ascii="Calibri" w:hAnsi="Calibri"/>
        </w:rPr>
        <w:t>±</w:t>
      </w:r>
      <w:r>
        <w:t xml:space="preserve">1.6 MPa. Furthermore, the scaffold was being able to deliver good cellular behaviour and biocompatibility during in vivo tests. However, less emphasis has been placed into hybrid materials which constituents are bioceramics. </w:t>
      </w:r>
      <w:r w:rsidRPr="00282919">
        <w:t>Torres</w:t>
      </w:r>
      <w:r>
        <w:t xml:space="preserve"> et al. </w:t>
      </w:r>
      <w:r>
        <w:fldChar w:fldCharType="begin" w:fldLock="1"/>
      </w:r>
      <w:r>
        <w:instrText>ADDIN CSL_CITATION { "citationItems" : [ { "id" : "ITEM-1", "itemData" : { "DOI" : "10.1016/j.msec.2013.07.003", "abstract" : "The regeneration of large bone defects remains a challenging scenario from a therapeutic point of view. In fact, the currently available bone substitutes are often limited by poor tissue integration and severe host inflammatory responses, which eventually lead to surgical removal. In an attempt to address these issues, herein we evaluated the importance of alginate incorporation in the production of improved and tunable \u03b2-tricalcium phosphate (\u03b2-TCP) and hydroxyapatite (HA) three-dimensional (3D) porous scaffolds to be used as temporary templates for bone regeneration. Different bioceramic combinations were tested in order to investigate optimal scaffold architectures. Additionally, 3D \u03b2-TCP/HA vacuum-coated with alginate, presented improved compressive strength, fracture toughness and Young's modulus, to values similar to those of native bone. The hybrid 3D polymeric-bioceramic scaffolds also supported osteoblast adhesion, maturation and proliferation, as demonstrated by fluorescence microscopy. To the best of our knowledge this is the first time that a 3D scaffold produced with this combination of biomaterials is described. Altogether, our results emphasize that this hybrid scaffold presents promising characteristics for its future application in bone regeneration.", "author" : [ { "family" : "Torres", "given" : "a L" }, { "family" : "Gaspar", "given" : "V M" }, { "family" : "Serra", "given" : "I R" }, { "family" : "Diogo", "given" : "G S" }, { "family" : "Fradique", "given" : "R" }, { "family" : "Silva", "given" : "a P" }, { "family" : "Correia", "given" : "I J" } ], "container-title" : "Materials science &amp; engineering. C, Materials for biological applications", "id" : "ITEM-1", "issue" : "7", "issued" : { "date-parts" : [ [ "2013" ] ] }, "page" : "4460-9", "publisher" : "Elsevier B.V.", "title" : "Bioactive polymeric-ceramic hybrid 3D scaffold for application in bone tissue regeneration.", "type" : "article-journal", "volume" : "33" }, "uris" : [ "http://www.mendeley.com/documents/?uuid=d643c481-dc8c-46f2-bb3e-1bcaae94438f" ] } ], "mendeley" : { "formattedCitation" : "[58]", "plainTextFormattedCitation" : "[58]", "previouslyFormattedCitation" : "[58]" }, "properties" : { "noteIndex" : 0 }, "schema" : "https://github.com/citation-style-language/schema/raw/master/csl-citation.json" }</w:instrText>
      </w:r>
      <w:r>
        <w:fldChar w:fldCharType="separate"/>
      </w:r>
      <w:r w:rsidRPr="00FE48C1">
        <w:rPr>
          <w:noProof/>
        </w:rPr>
        <w:t>[58]</w:t>
      </w:r>
      <w:r>
        <w:fldChar w:fldCharType="end"/>
      </w:r>
      <w:r>
        <w:t xml:space="preserve"> proved the potential that hold these materials for bone tissue engineering if modified with polymers. A </w:t>
      </w:r>
      <w:r>
        <w:rPr>
          <w:rFonts w:ascii="Calibri" w:hAnsi="Calibri"/>
        </w:rPr>
        <w:t>β</w:t>
      </w:r>
      <w:r>
        <w:t xml:space="preserve">-TCP/HA scaffold which mineral composition mimics the bone tissue native structure was coated with alginate to reduce the brittleness, increase osteoblast activity and improve the mechanical properties to match cancellous bone values (compressive strength 3181 </w:t>
      </w:r>
      <w:r>
        <w:rPr>
          <w:rFonts w:ascii="Calibri" w:hAnsi="Calibri"/>
        </w:rPr>
        <w:t>±</w:t>
      </w:r>
      <w:r>
        <w:t xml:space="preserve"> 561.93 MPa).</w:t>
      </w:r>
    </w:p>
    <w:p w:rsidR="005D1052" w:rsidRDefault="005D1052" w:rsidP="005D1052">
      <w:r>
        <w:t>It is noteworthy the material makes the scaffold an active participant during the tissue regeneration process and it is at the surface where cell-scaffold interactions occur. Hence, the design of nanoscale materials seems a promising strategy to control a variety of cellular events at the scaffold surface</w:t>
      </w:r>
      <w:r w:rsidRPr="006E1BD5">
        <w:t xml:space="preserve"> </w:t>
      </w:r>
      <w:r w:rsidRPr="006E1BD5">
        <w:fldChar w:fldCharType="begin" w:fldLock="1"/>
      </w:r>
      <w:r>
        <w:instrText>ADDIN CSL_CITATION { "citationItems" : [ { "id" : "ITEM-1", "itemData" : { "DOI" : "10.1002/jbm.a.34539", "ISBN" : "1552-4965", "abstract" : "It has been demonstrated that nanostructured materials, compared with conventional materials, may promote greater amounts of specific protein interactions, thereby more efficiently stimulating new bone formation. It has also been indicated that, when features or ingredients of scaffolds are nanoscaled, a variety of interactions can be stimulated at the cellular level. Some of those interactions induce favorable cellular functions while others may leads to toxicity. This review presents the mechanism of interactions between nanoscaled materials and cells and focuses on the current research status of nanostructured scaffolds for bone tissue engineering. Firstly, the main requirements for bone tissue engineering scaffolds were discussed. Then, the mechanism by which nanoscaled materials promote new bone formation was explained, following which the current research status of main types of nanostructured scaffolds for bone tissue engineering was reviewed and discussed.", "author" : [ { "family" : "Li", "given" : "Xiaoming" }, { "family" : "Wang", "given" : "Lu" }, { "family" : "Fan", "given" : "Yubo" }, { "family" : "Feng", "given" : "Qingling" }, { "family" : "Cui", "given" : "Fu-Zhai" }, { "family" : "Watari", "given" : "Fumio" } ], "container-title" : "Journal of biomedical materials research. Part A", "id" : "ITEM-1", "issued" : { "date-parts" : [ [ "2013" ] ] }, "page" : "2424-35", "title" : "Nanostructured scaffolds for bone tissue engineering.", "type" : "article-journal", "volume" : "101" }, "uris" : [ "http://www.mendeley.com/documents/?uuid=e559ac51-46ff-4574-a376-943b5540b029" ] } ], "mendeley" : { "formattedCitation" : "[59]", "plainTextFormattedCitation" : "[59]", "previouslyFormattedCitation" : "[59]" }, "properties" : { "noteIndex" : 0 }, "schema" : "https://github.com/citation-style-language/schema/raw/master/csl-citation.json" }</w:instrText>
      </w:r>
      <w:r w:rsidRPr="006E1BD5">
        <w:fldChar w:fldCharType="separate"/>
      </w:r>
      <w:r w:rsidRPr="00FE48C1">
        <w:rPr>
          <w:noProof/>
        </w:rPr>
        <w:t>[59]</w:t>
      </w:r>
      <w:r w:rsidRPr="006E1BD5">
        <w:fldChar w:fldCharType="end"/>
      </w:r>
      <w:r w:rsidRPr="006E1BD5">
        <w:t xml:space="preserve">. </w:t>
      </w:r>
      <w:r>
        <w:t xml:space="preserve">Nanomaterials can resemble the bone nanostructure and provide a suitable environment to transmit signals to cells enabling the control of cell behaviour. These materials exhibit higher surface area to volume ratio and wettability than micro-structure materials promoting protein adsorption and cell function although this could eventually lead to toxicity. In addition, scaffold nanotopography can modulate cell activity due to cells adjusting its cytoskeleton in response to the presence of nanofeatures </w:t>
      </w:r>
      <w:r>
        <w:fldChar w:fldCharType="begin" w:fldLock="1"/>
      </w:r>
      <w:r>
        <w:instrText>ADDIN CSL_CITATION { "citationItems" : [ { "id" : "ITEM-1", "itemData" : { "ISBN" : "14732262 (ISSN)", "abstract" : "This study investigated how the design of surface topography may stimulate stem cell differentiation towards a neural lineage. To this end, hydrogenated amorphous carbon (a-C:H) groove topographies with width/spacing ridges ranging from 80/40\u03bcm, 40/30\u03bcm and 30/20\u03bcm and depth of 24 nm were used as a single mechanotransducer stimulus to generate neural cells from human bone marrow mesenchymal stem cells (hBM-MSCs) in vitro. As comparative experiments, soluble brain-derived neurotrophic factor (BDNF) was used as additional biochemical inducer agent. Despite simultaneous presence of a-C:H micropatterned nanoridges and soluble BDNF resulted in the highest percentage of neuronal-like differentiated cells our findings demonstrate that the surface topography with micropatterned nanoridge width/spacing of 40/30\u03bcm (single stimulus) induced hBM-MSCs to acquire neuronal characteristics in the absence of differentiating agents. On the other hand, the alternative a-C:H ridge dimensions tested failed to induce stem cell differentiation towards neuronal properties, thereby suggesting the occurrence of a mechanotransducer effect exerted by optimal nano/microstructure dimensions on the hBM-MSCs responses.", "author" : [ { "family" : "D'Angelo", "given" : "F" }, { "family" : "Armentano", "given" : "I" }, { "family" : "Mattioli", "given" : "S" }, { "family" : "Crispoltoni", "given" : "L" }, { "family" : "Tiribuzi", "given" : "R" }, { "family" : "Cerulli", "given" : "G G" }, { "family" : "Palmerini", "given" : "C A" }, { "family" : "Kenny", "given" : "J M" }, { "family" : "Martino", "given" : "S" }, { "family" : "Orlacchio", "given" : "A" } ], "container-title" : "European cells &amp; materials", "id" : "ITEM-1", "issued" : { "date-parts" : [ [ "2010" ] ] }, "page" : "231-244", "title" : "Micropatterned hydrogenated amorphous carbon guides mesenchymal stem cells towards neuronal differentiation.", "type" : "article-journal", "volume" : "20" }, "uris" : [ "http://www.mendeley.com/documents/?uuid=fa69f5b8-3f93-4480-98d6-e2238ddee908" ] } ], "mendeley" : { "formattedCitation" : "[60]", "manualFormatting" : "[26", "plainTextFormattedCitation" : "[60]", "previouslyFormattedCitation" : "[60]" }, "properties" : { "noteIndex" : 0 }, "schema" : "https://github.com/citation-style-language/schema/raw/master/csl-citation.json" }</w:instrText>
      </w:r>
      <w:r>
        <w:fldChar w:fldCharType="separate"/>
      </w:r>
      <w:r w:rsidRPr="00047871">
        <w:rPr>
          <w:noProof/>
        </w:rPr>
        <w:t>[</w:t>
      </w:r>
      <w:r>
        <w:rPr>
          <w:noProof/>
        </w:rPr>
        <w:t>60</w:t>
      </w:r>
      <w:r>
        <w:fldChar w:fldCharType="end"/>
      </w:r>
      <w:r>
        <w:t xml:space="preserve">, </w:t>
      </w:r>
      <w:r>
        <w:fldChar w:fldCharType="begin" w:fldLock="1"/>
      </w:r>
      <w:r>
        <w:instrText>ADDIN CSL_CITATION { "citationItems" : [ { "id" : "ITEM-1", "itemData" : { "DOI" : "10.1007/s11517-010-0657-3", "ISBN" : "1741-0444 (Electronic)\\r0140-0118 (Linking)", "abstract" : "The phenomenon that cells respond to chemical and topographic cues in their surroundings has been widely examined and exploited in many fields ranging from basic life science research to biomedical therapeutics. Adhesion promoting molecules such as poly-L-lysine (PLL) and fibronectin (Fn) are commonly used for in vitro cell assays to promote cell spreading/proliferation on tissue culture plastic and to enhance the biocompatibility of biomedical devices. Likewise, engineered topography is often used to guide cell growth and differentiation. Little is known about how these cues affect the biomechanical properties of cells and subsequent cell function. In this study we have applied atomic force microscopy (AFM) to investigate these biomechanical properties. In the first stage of the study we formulated a rigorous approach to quantify cellular elasticity using AFM. Operational factors, including indentation depth and speed, and mathematical models for data fitting have been systematically evaluated. We then quantified how PLL, Fn and microtopography affected cellular elasticity and the organization of the cytoskeleton. Cellular elasticity after 1 day in culture was greater on a Fn-coated surface as compared to PLL or glass. These statistically significant differences disappeared after two more days in culture. In contrast, the significantly higher elasticity associated with cells grown on micrometric grooves remained for at least 3 days. This work sheds light on the apparently simple but debatable questions: \"Are engineered chemical cues eventually masked by a cell's own matrix proteins and so only exert short-term influence? Does engineered topography as well as engineered chemistry affect cell elasticity?\"", "author" : [ { "family" : "McPhee", "given" : "Gordon" }, { "family" : "Dalby", "given" : "Matthew J." }, { "family" : "Riehle", "given" : "Mathis" }, { "family" : "Yin", "given" : "Huabing" } ], "container-title" : "Medical and Biological Engineering and Computing", "id" : "ITEM-1", "issued" : { "date-parts" : [ [ "2010" ] ] }, "page" : "1043-1053", "title" : "Can common adhesion molecules and microtopography affect cellular elasticity? A combined atomic force microscopy and optical study", "type" : "article-journal", "volume" : "48" }, "uris" : [ "http://www.mendeley.com/documents/?uuid=8f6667bd-08cc-40e9-b4f4-95fe9bc49661" ] } ], "mendeley" : { "formattedCitation" : "[61]", "manualFormatting" : "27]", "plainTextFormattedCitation" : "[61]", "previouslyFormattedCitation" : "[61]" }, "properties" : { "noteIndex" : 0 }, "schema" : "https://github.com/citation-style-language/schema/raw/master/csl-citation.json" }</w:instrText>
      </w:r>
      <w:r>
        <w:fldChar w:fldCharType="separate"/>
      </w:r>
      <w:r>
        <w:rPr>
          <w:noProof/>
        </w:rPr>
        <w:t>61</w:t>
      </w:r>
      <w:r w:rsidRPr="00047871">
        <w:rPr>
          <w:noProof/>
        </w:rPr>
        <w:t>]</w:t>
      </w:r>
      <w:r>
        <w:fldChar w:fldCharType="end"/>
      </w:r>
      <w:r>
        <w:t xml:space="preserve">. Roohani et al. </w:t>
      </w:r>
      <w:r>
        <w:fldChar w:fldCharType="begin" w:fldLock="1"/>
      </w:r>
      <w:r>
        <w:instrText>ADDIN CSL_CITATION { "citationItems" : [ { "id" : "ITEM-1", "itemData" : { "DOI" : "10.1016/j.actbio.2011.10.009", "ISBN" : "1878-7568 (Electronic)\\r1742-7061 (Linking)", "abstract" : "We here present the first successful report on combining nanostructured silk and poly(-caprolactone) (PCL) with a ceramic scaffold to produce a composite scaffold that is highly porous (porosity ???85%, pore size ???500 ??m, ???100% interconnectivity), strong and non-brittle with a surface that resembles extracellular matrix (ECM). The ECM-like surface was developed by self-assembly of nanofibrous structured silk (20-80 nm diameter, similar to native collagen found in ECM) over a thin PCL layer which is coated on biphasic calcium phosphate (BCP) scaffolds. The effects of different concentrations of silk solution on the mechanical and physical properties of the scaffolds were also comprehensively examined. Our results showed that using silk only (irrespective of concentration) for the modification of ceramic scaffolds could drastically reduce the compressive strength of the modified scaffolds in aqueous media, and the modification made a limited contribution to improving scaffold toughness. Using PCL/nanostructured silk the compressive strength and modulus of the modified scaffolds reached 0.42 MPa (compared with 0.07 MPa for BCP) and ???25 MPa (compared with 5 MPa for BCP), respectively. The failure strain of the modified scaffold increased more than 6% compared with a BCP scaffold (failure strain of less than 1%), indicating a transformation from brittle to elastic behavior. The cytocompatibility of ECM-like composite scaffolds was investigated by studying the attachment, morphology, proliferation and bone-related gene expression of primary human bone-derived cells. Cells cultured on the developed scaffolds for 7 days had significant up-regulation of cell proliferation (???1.6-fold higher, P &lt; 0.001) and osteogenic gene expression levels (collagen type I, osteocalcin and bone sialoprotein) compared with the other groups tested. ?? 2011 Acta Materialia Inc. Published by Elsevier Ltd. All rights reserved.", "author" : [ { "family" : "Roohani-Esfahani", "given" : "S. I." }, { "family" : "Lu", "given" : "Z. F." }, { "family" : "Li", "given" : "J. J." }, { "family" : "Ellis-Behnke", "given" : "R." }, { "family" : "Kaplan", "given" : "D. L." }, { "family" : "Zreiqat", "given" : "H." } ], "container-title" : "Acta Biomaterialia", "id" : "ITEM-1", "issued" : { "date-parts" : [ [ "2012" ] ] }, "page" : "302-312", "title" : "Effect of self-assembled nanofibrous silk/polycaprolactone layer on the osteoconductivity and mechanical properties of biphasic calcium phosphate scaffolds", "type" : "article-journal", "volume" : "8" }, "uris" : [ "http://www.mendeley.com/documents/?uuid=8b704e81-94fd-4185-b85e-f06b810b2285" ] } ], "mendeley" : { "formattedCitation" : "[62]", "plainTextFormattedCitation" : "[62]", "previouslyFormattedCitation" : "[62]" }, "properties" : { "noteIndex" : 0 }, "schema" : "https://github.com/citation-style-language/schema/raw/master/csl-citation.json" }</w:instrText>
      </w:r>
      <w:r>
        <w:fldChar w:fldCharType="separate"/>
      </w:r>
      <w:r w:rsidRPr="00FE48C1">
        <w:rPr>
          <w:noProof/>
        </w:rPr>
        <w:t>[62]</w:t>
      </w:r>
      <w:r>
        <w:fldChar w:fldCharType="end"/>
      </w:r>
      <w:r>
        <w:t xml:space="preserve"> presented a biphasic calcium phosphate (BCP) scaffold coated with a nanofibrous silk </w:t>
      </w:r>
      <w:r>
        <w:lastRenderedPageBreak/>
        <w:t xml:space="preserve">layer mimicking the nanostructure of the ECM. However, a PCL layer had to be introduced as an intermediate layer in order to adhere the silk layer to the ceramic scaffold and increase the mechanical strength. This illustrates the difficulty to deliver a hierarchical design from the nano level able to generate the adequate strength. A more sophisticated nanostructure was elaborated by Guo et al. </w:t>
      </w:r>
      <w:r>
        <w:fldChar w:fldCharType="begin" w:fldLock="1"/>
      </w:r>
      <w:r>
        <w:instrText>ADDIN CSL_CITATION { "citationItems" : [ { "id" : "ITEM-1", "itemData" : { "DOI" : "10.1039/C5TB00175G", "ISBN" : "8621643219", "author" : [ { "family" : "Guo", "given" : "Ya-Ping" }, { "family" : "Guan", "given" : "Jun-Jie" }, { "family" : "Yang", "given" : "Jun" }, { "family" : "Wang", "given" : "Yang" }, { "family" : "Zhang", "given" : "Chang-Qing" }, { "family" : "Ke", "given" : "Qin-Fei" } ], "container-title" : "J. Mater. Chem. B", "id" : "ITEM-1", "issued" : { "date-parts" : [ [ "2015" ] ] }, "page" : "4679-4689", "publisher" : "Royal Society of Chemistry", "title" : "Hybrid nanostructured hydroxyapatite\u2013chitosan composite scaffold: bioinspired fabrication, mechanical properties and biological properties", "type" : "article-journal", "volume" : "3" }, "uris" : [ "http://www.mendeley.com/documents/?uuid=1c445399-a0b6-48fc-af3d-16837df34309" ] } ], "mendeley" : { "formattedCitation" : "[63]", "plainTextFormattedCitation" : "[63]", "previouslyFormattedCitation" : "[63]" }, "properties" : { "noteIndex" : 0 }, "schema" : "https://github.com/citation-style-language/schema/raw/master/csl-citation.json" }</w:instrText>
      </w:r>
      <w:r>
        <w:fldChar w:fldCharType="separate"/>
      </w:r>
      <w:r w:rsidRPr="00FE48C1">
        <w:rPr>
          <w:noProof/>
        </w:rPr>
        <w:t>[63]</w:t>
      </w:r>
      <w:r>
        <w:fldChar w:fldCharType="end"/>
      </w:r>
      <w:r>
        <w:t xml:space="preserve"> where HA nanorods were coated by chitosan (CS) fibres. The nanorods were perpendicularly oriented to the CS fibre in order to increase the mechanical properties of the composite scaffold. Furthermore, the HA nanostructure at the scaffold surface improved osteoconductivity and showed higher alkaline phosphatase activity and mineralization deposition than on the pure CS scaffold. However, the inclusion of this HA layer decreased the pore size and permeability of the scaffold. As a consequence, the fabrication of scaffolds with nanofeatures while matching desired properties at the macro level remains challenging.</w:t>
      </w:r>
    </w:p>
    <w:p w:rsidR="005D1052" w:rsidRDefault="005D1052" w:rsidP="005D1052">
      <w:pPr>
        <w:pStyle w:val="Heading3"/>
      </w:pPr>
      <w:bookmarkStart w:id="49" w:name="_Toc310605584"/>
      <w:bookmarkStart w:id="50" w:name="_Toc310605879"/>
      <w:bookmarkStart w:id="51" w:name="_Ref438585435"/>
      <w:bookmarkStart w:id="52" w:name="_Toc440823177"/>
      <w:r>
        <w:t>Scaffold manufacturing</w:t>
      </w:r>
      <w:bookmarkEnd w:id="49"/>
      <w:bookmarkEnd w:id="50"/>
      <w:bookmarkEnd w:id="51"/>
      <w:bookmarkEnd w:id="52"/>
    </w:p>
    <w:p w:rsidR="005D1052" w:rsidRDefault="005D1052" w:rsidP="005D1052">
      <w:r>
        <w:t xml:space="preserve">Scaffold manufacturing methods should deliver patterned architectures while processing biomaterials suitable for bone regeneration. RP techniques can fabricate controlled architectures since they build a physical model directly from the CAD data in a layer-by-layer manner. In addition, these methods have shown their potential to fabricate scaffolds with a wide range of materials achieving weight-bearing characteristics and high biological activity </w:t>
      </w:r>
      <w:r>
        <w:fldChar w:fldCharType="begin" w:fldLock="1"/>
      </w:r>
      <w:r>
        <w:instrText>ADDIN CSL_CITATION { "citationItems" : [ { "id" : "ITEM-1", "itemData" : { "DOI" : "10.1016/j.tibtech.2004.10.004", "ISBN" : "0167-7799", "abstract" : "Tissue engineering aims to produce patient-specific biological substitutes in an attempt to circumvent the limitations of existing clinical treatments for damaged tissue or organs. The main regenerative tissue engineering approach involves transplantation of cells onto scaffolds. The scaffold attempts to mimic the function of the natural extracellular matrix, providing a temporary template for the growth of target tissues. Scaffolds should have suitable architecture and strength to serve their intended function. This paper presents a comprehensive review of the fabrication methods, including conventional, mainly manual, techniques and advanced processing methods such as rapid prototyping (RP) techniques. The potential and challenges of scaffold-based technology are discussed from the perspective of RP technology.", "author" : [ { "family" : "Yeong", "given" : "Wai-Yee" }, { "family" : "Chua", "given" : "Chee-Kai" }, { "family" : "Leong", "given" : "Kah-Fai" }, { "family" : "Chandrasekaran", "given" : "Margam" } ], "container-title" : "Trends in biotechnology", "id" : "ITEM-1", "issued" : { "date-parts" : [ [ "2004" ] ] }, "page" : "643-652", "title" : "Rapid prototyping in tissue engineering: challenges and potential.", "type" : "article-journal", "volume" : "22" }, "uris" : [ "http://www.mendeley.com/documents/?uuid=b03e6ec0-3511-42af-8f62-c0cfc97f41ca" ] } ], "mendeley" : { "formattedCitation" : "[38]", "plainTextFormattedCitation" : "[38]", "previouslyFormattedCitation" : "[64]" }, "properties" : { "noteIndex" : 0 }, "schema" : "https://github.com/citation-style-language/schema/raw/master/csl-citation.json" }</w:instrText>
      </w:r>
      <w:r>
        <w:fldChar w:fldCharType="separate"/>
      </w:r>
      <w:r w:rsidRPr="00A15EFA">
        <w:rPr>
          <w:noProof/>
        </w:rPr>
        <w:t>[64]</w:t>
      </w:r>
      <w:r>
        <w:fldChar w:fldCharType="end"/>
      </w:r>
      <w:r>
        <w:t>. The major RP techniques to fabricate scaffolds are: adhesion bonding, laser sintering, photo-polymerization and melt extrusion deposition.</w:t>
      </w:r>
    </w:p>
    <w:p w:rsidR="005D1052" w:rsidRDefault="005D1052" w:rsidP="005D1052">
      <w:r>
        <w:t xml:space="preserve">In </w:t>
      </w:r>
      <w:r w:rsidRPr="00761A15">
        <w:t>adhesion bonding,</w:t>
      </w:r>
      <w:r>
        <w:rPr>
          <w:b/>
        </w:rPr>
        <w:t xml:space="preserve"> </w:t>
      </w:r>
      <w:r>
        <w:t xml:space="preserve">powder particles are selectively bonded at each layer by a binder material which is deposited via ink-jet printing. </w:t>
      </w:r>
      <w:r w:rsidRPr="00761A15">
        <w:t>3D printing is an example of this method</w:t>
      </w:r>
      <w:r>
        <w:rPr>
          <w:b/>
        </w:rPr>
        <w:t xml:space="preserve"> </w:t>
      </w:r>
      <w:r>
        <w:t xml:space="preserve">which can build scaffolds with designed porous interconnected geometries although the binding material can limit the resolution of the fabrication process and generally the pore size cannot go below 300 </w:t>
      </w:r>
      <w:r>
        <w:rPr>
          <w:rFonts w:ascii="Calibri" w:hAnsi="Calibri"/>
        </w:rPr>
        <w:t>μ</w:t>
      </w:r>
      <w:r>
        <w:t xml:space="preserve">m. In addition, in some cases the binder residue can cause alterations during sintering and lead to toxicity </w:t>
      </w:r>
      <w:r>
        <w:fldChar w:fldCharType="begin" w:fldLock="1"/>
      </w:r>
      <w:r>
        <w:instrText>ADDIN CSL_CITATION { "citationItems" : [ { "id" : "ITEM-1", "itemData" : { "DOI" : "10.1016/j.mattod.2013.11.017", "ISBN" : "13697021", "abstract" : "With the advent of additive manufacturing technologies in the mid 1980s, many applications benefited from the faster processing of products without the need for specific tooling or dies. However, the application of such techniques in the area of biomedical devices has been slow due to the stringent performance criteria and concerns related to reproducibility and part quality, when new technologies are in their infancy. However, the use of additive manufacturing technologies in bone tissue engineering has been growing in recent years. Among the different technology options, three dimensional printing (3DP) is becoming popular due to the ability to directly print porous scaffolds with designed shape, controlled chemistry and interconnected porosity. Some of these inorganic scaffolds are biodegradable and have proven ideal for bone tissue engineering, sometimes even with site specific growth factor/drug delivery abilities. This review article focuses on recent advances in 3D printed bone tissue engineering scaffolds along with current challenges and future directions. ?? 2013 Elsevier Ltd.", "author" : [ { "family" : "Bose", "given" : "Susmita" }, { "family" : "Vahabzadeh", "given" : "Sahar" }, { "family" : "Bandyopadhyay", "given" : "Amit" } ], "container-title" : "Materials Today", "id" : "ITEM-1", "issue" : "12", "issued" : { "date-parts" : [ [ "2013" ] ] }, "page" : "496-504", "publisher" : "Elsevier Ltd.", "title" : "Bone tissue engineering using 3D printing", "type" : "article-journal", "volume" : "16" }, "uris" : [ "http://www.mendeley.com/documents/?uuid=dfd88969-4f8c-412a-9d78-531ba73a93e9" ] } ], "mendeley" : { "formattedCitation" : "[64]", "plainTextFormattedCitation" : "[64]", "previouslyFormattedCitation" : "[65]" }, "properties" : { "noteIndex" : 0 }, "schema" : "https://github.com/citation-style-language/schema/raw/master/csl-citation.json" }</w:instrText>
      </w:r>
      <w:r>
        <w:fldChar w:fldCharType="separate"/>
      </w:r>
      <w:r w:rsidRPr="00A15EFA">
        <w:rPr>
          <w:noProof/>
        </w:rPr>
        <w:t>[65]</w:t>
      </w:r>
      <w:r>
        <w:fldChar w:fldCharType="end"/>
      </w:r>
      <w:r>
        <w:t xml:space="preserve">. Binder solutions </w:t>
      </w:r>
      <w:r>
        <w:lastRenderedPageBreak/>
        <w:t xml:space="preserve">need to be optimised; Inzana et al. </w:t>
      </w:r>
      <w:r>
        <w:fldChar w:fldCharType="begin" w:fldLock="1"/>
      </w:r>
      <w:r>
        <w:instrText>ADDIN CSL_CITATION { "citationItems" : [ { "id" : "ITEM-1", "itemData" : { "DOI" : "10.1016/j.biomaterials.2014.01.064", "author" : [ { "family" : "Inzana", "given" : "Jason a." }, { "family" : "Olvera", "given" : "Diana" }, { "family" : "Fuller", "given" : "Seth M." }, { "family" : "Kelly", "given" : "James P." }, { "family" : "Graeve", "given" : "Olivia a." }, { "family" : "Schwarz", "given" : "Edward M." }, { "family" : "Kates", "given" : "Stephen L." }, { "family" : "Awad", "given" : "Hani a." } ], "container-title" : "Biomaterials", "id" : "ITEM-1", "issue" : "13", "issued" : { "date-parts" : [ [ "2014" ] ] }, "page" : "4026-4034", "publisher" : "Elsevier Ltd", "title" : "3D printing of composite calcium phosphate and collagen scaffolds for bone regeneration", "type" : "article-journal", "volume" : "35" }, "uris" : [ "http://www.mendeley.com/documents/?uuid=b0f39ef3-0e85-465e-8f88-f6d2489f3461" ] } ], "mendeley" : { "formattedCitation" : "[65]", "plainTextFormattedCitation" : "[65]", "previouslyFormattedCitation" : "[66]" }, "properties" : { "noteIndex" : 0 }, "schema" : "https://github.com/citation-style-language/schema/raw/master/csl-citation.json" }</w:instrText>
      </w:r>
      <w:r>
        <w:fldChar w:fldCharType="separate"/>
      </w:r>
      <w:r w:rsidRPr="00A15EFA">
        <w:rPr>
          <w:noProof/>
        </w:rPr>
        <w:t>[66]</w:t>
      </w:r>
      <w:r>
        <w:fldChar w:fldCharType="end"/>
      </w:r>
      <w:r>
        <w:t xml:space="preserve"> formulated a phosphoric acid-based solution with 8.75 wt% concentration to maximise biocompatibility and mechanical strength and Butscher et al. </w:t>
      </w:r>
      <w:r>
        <w:fldChar w:fldCharType="begin" w:fldLock="1"/>
      </w:r>
      <w:r>
        <w:instrText>ADDIN CSL_CITATION { "citationItems" : [ { "id" : "ITEM-1", "itemData" : { "DOI" : "10.1016/j.actbio.2011.08.027", "author" : [ { "family" : "Butscher", "given" : "Andre" }, { "family" : "Bohner", "given" : "Marc" }, { "family" : "Roth", "given" : "Christian" }, { "family" : "Ernstberger", "given" : "Annika" }, { "family" : "Heuberger", "given" : "Roman" }, { "family" : "Doebelin", "given" : "Nicola" }, { "family" : "Rudolf von Rohr", "given" : "Philipp" }, { "family" : "M\u00fcller", "given" : "Ralph" } ], "container-title" : "Acta Biomaterialia", "id" : "ITEM-1", "issue" : "1", "issued" : { "date-parts" : [ [ "2012" ] ] }, "page" : "373-385", "publisher" : "Acta Materialia Inc.", "title" : "Printability of calcium phosphate powders for three-dimensional printing of tissue engineering scaffolds", "type" : "article-journal", "volume" : "8" }, "uris" : [ "http://www.mendeley.com/documents/?uuid=d3aeff3f-e5e4-4df7-ae7e-63b45aab478a" ] } ], "mendeley" : { "formattedCitation" : "[66]", "plainTextFormattedCitation" : "[66]", "previouslyFormattedCitation" : "[67]" }, "properties" : { "noteIndex" : 0 }, "schema" : "https://github.com/citation-style-language/schema/raw/master/csl-citation.json" }</w:instrText>
      </w:r>
      <w:r>
        <w:fldChar w:fldCharType="separate"/>
      </w:r>
      <w:r w:rsidRPr="00A15EFA">
        <w:rPr>
          <w:noProof/>
        </w:rPr>
        <w:t>[67]</w:t>
      </w:r>
      <w:r>
        <w:fldChar w:fldCharType="end"/>
      </w:r>
      <w:r>
        <w:t xml:space="preserve"> demonstrated that the binder has to be carefully selected with regard to the wettability of the powder material as it strongly influences the final resolution and mechanical properties.</w:t>
      </w:r>
    </w:p>
    <w:p w:rsidR="005D1052" w:rsidRDefault="005D1052" w:rsidP="005D1052">
      <w:r>
        <w:t>S</w:t>
      </w:r>
      <w:r w:rsidRPr="001524D4">
        <w:t>elective laser sintering (SLS)</w:t>
      </w:r>
      <w:r w:rsidRPr="00A52A7D">
        <w:t xml:space="preserve"> technique</w:t>
      </w:r>
      <w:r>
        <w:t xml:space="preserve"> is another category of RP manufacturing</w:t>
      </w:r>
      <w:r w:rsidRPr="00A52A7D">
        <w:t xml:space="preserve"> that consists of an infrared laser beam </w:t>
      </w:r>
      <w:r>
        <w:t>that hits</w:t>
      </w:r>
      <w:r w:rsidRPr="00A52A7D">
        <w:t xml:space="preserve"> on a layer</w:t>
      </w:r>
      <w:r>
        <w:t xml:space="preserve"> of powder at pre-defined positions raising the local temperature to reach the glass transition temperature thereby causing particle-to–particle bonding. This technique can fabricate composite scaffolds as shown by the study of Tan et al. </w:t>
      </w:r>
      <w:r>
        <w:fldChar w:fldCharType="begin" w:fldLock="1"/>
      </w:r>
      <w:r>
        <w:instrText>ADDIN CSL_CITATION { "citationItems" : [ { "id" : "ITEM-1", "itemData" : { "DOI" : "10.1016/S0142-9612(03)00131-5", "author" : [ { "family" : "Tan", "given" : "K.H" }, { "family" : "Chua", "given" : "C.K" }, { "family" : "Leong", "given" : "K.F" }, { "family" : "Cheah", "given" : "C.M" }, { "family" : "Cheang", "given" : "P" }, { "family" : "Abu Bakar", "given" : "M.S" }, { "family" : "Cha", "given" : "S.W" } ], "container-title" : "Biomaterials", "id" : "ITEM-1", "issued" : { "date-parts" : [ [ "2003" ] ] }, "page" : "3115-3123", "title" : "Scaffold development using selective laser sintering of polyetheretherketone\u2013hydroxyapatite biocomposite blends", "type" : "article-journal", "volume" : "24" }, "uris" : [ "http://www.mendeley.com/documents/?uuid=7e127a29-5795-43b9-8ee8-b9b497af1ab0" ] } ], "mendeley" : { "formattedCitation" : "[67]", "plainTextFormattedCitation" : "[67]", "previouslyFormattedCitation" : "[68]" }, "properties" : { "noteIndex" : 0 }, "schema" : "https://github.com/citation-style-language/schema/raw/master/csl-citation.json" }</w:instrText>
      </w:r>
      <w:r>
        <w:fldChar w:fldCharType="separate"/>
      </w:r>
      <w:r w:rsidRPr="00A15EFA">
        <w:rPr>
          <w:noProof/>
        </w:rPr>
        <w:t>[68]</w:t>
      </w:r>
      <w:r>
        <w:fldChar w:fldCharType="end"/>
      </w:r>
      <w:r>
        <w:t xml:space="preserve"> who built a polymer-ceramic scaffold made of Polyetherether</w:t>
      </w:r>
      <w:r w:rsidRPr="002E60CC">
        <w:t>ketone</w:t>
      </w:r>
      <w:r>
        <w:t xml:space="preserve"> and HA. Duan et al. </w:t>
      </w:r>
      <w:r>
        <w:fldChar w:fldCharType="begin" w:fldLock="1"/>
      </w:r>
      <w:r>
        <w:instrText>ADDIN CSL_CITATION { "citationItems" : [ { "id" : "ITEM-1", "itemData" : { "DOI" : "10.1016/j.actbio.2010.06.024", "ISBN" : "1742-7061", "abstract" : "Bionanocomposites formed by combining biodegradable polymers and nanosized osteoconductive inorganic solids have been regarded as promising biomimetic systems which possess much improved structural and functional properties for bone tissue regeneration. In this study three-dimensional nanocomposite scaffolds based on calcium phosphate (Ca-P)/poly(hydroxybutyrate-co- hydroxyvalerate) (PHBV) and carbonated hydroxyapatite (CHAp)/poly(l-lactic acid) (PLLA) nanocomposite microspheres were successfully fabricated using selective laser sintering, which is a rapid prototyping technology. The sintered scaffolds had controlled material microstructure, totally interconnected porous structure and high porosity. The morphology and mechanical properties of Ca-P/PHBV and CHAp/PLLA nanocomposite scaffolds as well as PHBV and PLLA polymer scaffolds were studied. In vitro biological evaluation showed that SaOS-2 cells had high cell viability and normal morphology and phenotype after 3 and 7 days culture on all scaffolds. The incorporation of Ca-P nanoparticles significantly improved cell proliferation and alkaline phosphatase activity for Ca-P/PHBV scaffolds, whereas CHAp/PLLA nanocomposite scaffolds exhibited a similar level of cell response compared with PLLA polymer scaffolds. The nanocomposite scaffolds provide a biomimetic environment for osteoblastic cell attachment, proliferation and differentiation and have great potential for bone tissue engineering applications. \u00a9 2010 Acta Materialia Inc. Published by Elsevier Ltd. All rights reserved.", "author" : [ { "family" : "Duan", "given" : "Bin" }, { "family" : "Wang", "given" : "Min" }, { "family" : "Zhou", "given" : "Wen You" }, { "family" : "Cheung", "given" : "Wai Lam" }, { "family" : "Li", "given" : "Zhao Yang" }, { "family" : "Lu", "given" : "William W." } ], "container-title" : "Acta Biomaterialia", "id" : "ITEM-1", "issue" : "12", "issued" : { "date-parts" : [ [ "2010" ] ] }, "page" : "4495-4505", "publisher" : "Acta Materialia Inc.", "title" : "Three-dimensional nanocomposite scaffolds fabricated via selective laser sintering for bone tissue engineering", "type" : "article-journal", "volume" : "6" }, "uris" : [ "http://www.mendeley.com/documents/?uuid=725177b4-52a9-48b7-8359-a422bc4209a5" ] } ], "mendeley" : { "formattedCitation" : "[68]", "plainTextFormattedCitation" : "[68]", "previouslyFormattedCitation" : "[69]" }, "properties" : { "noteIndex" : 0 }, "schema" : "https://github.com/citation-style-language/schema/raw/master/csl-citation.json" }</w:instrText>
      </w:r>
      <w:r>
        <w:fldChar w:fldCharType="separate"/>
      </w:r>
      <w:r w:rsidRPr="00A15EFA">
        <w:rPr>
          <w:noProof/>
        </w:rPr>
        <w:t>[69]</w:t>
      </w:r>
      <w:r>
        <w:fldChar w:fldCharType="end"/>
      </w:r>
      <w:r>
        <w:t xml:space="preserve"> also fabricated a hybrid scaffold based on nanocomposite spheres with 800 </w:t>
      </w:r>
      <w:r>
        <w:rPr>
          <w:rFonts w:ascii="Calibri" w:hAnsi="Calibri"/>
        </w:rPr>
        <w:t>μ</w:t>
      </w:r>
      <w:r>
        <w:t xml:space="preserve">m scaffold pore size and a surface nanotopography suitable for cellular activity. Furthermore, a conventional SLS system was modified by Shuai et al. </w:t>
      </w:r>
      <w:r>
        <w:fldChar w:fldCharType="begin" w:fldLock="1"/>
      </w:r>
      <w:r>
        <w:instrText>ADDIN CSL_CITATION { "citationItems" : [ { "id" : "ITEM-1", "itemData" : { "DOI" : "10.1088/0957-4484/22/28/285703", "author" : [ { "family" : "Shuai", "given" : "Cijun" }, { "family" : "Gao", "given" : "Chengde" }, { "family" : "Nie", "given" : "Yi" }, { "family" : "Hu", "given" : "Huanlong" }, { "family" : "Zhou", "given" : "Ying" }, { "family" : "Peng", "given" : "Shuping" } ], "container-title" : "Nanotechnology", "id" : "ITEM-1", "issued" : { "date-parts" : [ [ "2011" ] ] }, "page" : "285703", "title" : "Structure and properties of nano-hydroxypatite scaffolds for bone tissue engineering with a selective laser sintering system", "type" : "article-journal", "volume" : "22" }, "uris" : [ "http://www.mendeley.com/documents/?uuid=e24c1b46-bd5b-4e53-9b02-665fa103356e" ] } ], "mendeley" : { "formattedCitation" : "[69]", "plainTextFormattedCitation" : "[69]", "previouslyFormattedCitation" : "[70]" }, "properties" : { "noteIndex" : 0 }, "schema" : "https://github.com/citation-style-language/schema/raw/master/csl-citation.json" }</w:instrText>
      </w:r>
      <w:r>
        <w:fldChar w:fldCharType="separate"/>
      </w:r>
      <w:r w:rsidRPr="00A15EFA">
        <w:rPr>
          <w:noProof/>
        </w:rPr>
        <w:t>[70]</w:t>
      </w:r>
      <w:r>
        <w:fldChar w:fldCharType="end"/>
      </w:r>
      <w:r>
        <w:t xml:space="preserve"> in order to achieve scaffold shapes based on non-uniform rational B-Spline which hold the potential to fabricate scaffolds that fits the fracture site.</w:t>
      </w:r>
    </w:p>
    <w:p w:rsidR="005D1052" w:rsidRPr="00967669" w:rsidRDefault="005D1052" w:rsidP="005D1052">
      <w:r>
        <w:t xml:space="preserve">Another method employed for the fabrication of scaffolds is the spatial controlled photo-polymerization of liquid photo-sensitive resins. </w:t>
      </w:r>
      <w:r w:rsidRPr="009C3B57">
        <w:t>Stereolithography (SLA)</w:t>
      </w:r>
      <w:r>
        <w:t xml:space="preserve"> was the first commercially available RP technique of this category and it has been extensively used for the fabrication of regular scaffolds. Hybrid scaffolds can be also built by this method, for instance Arcaute et al. </w:t>
      </w:r>
      <w:r>
        <w:fldChar w:fldCharType="begin" w:fldLock="1"/>
      </w:r>
      <w:r>
        <w:instrText>ADDIN CSL_CITATION { "citationItems" : [ { "id" : "ITEM-1", "itemData" : { "DOI" : "10.1016/j.actbio.2009.08.017", "ISBN" : "1878-7568 (Electronic)\\r1742-7061 (Linking)", "abstract" : "Challenges remain in tissue engineering to control the spatial, mechanical, temporal and biochemical architectures of scaffolds. Unique capabilities of stereolithography (SL) for fabricating multi-material spatially controlled bioactive scaffolds were explored in this work. To accomplish multi-material builds, a mini-vat setup was designed allowing for self-aligning X-Y registration during fabrication. The mini-vat setup allowed the part to be easily removed and rinsed, and different photocrosslinkable solutions to be easily removed and added to the vat. Two photocrosslinkable hydrogel biopolymers, poly(ethylene glycol) dimethacrylate (PEG-dma, MW 1000) and poly(ethylene glycol) diacrylate (PEG-da, MW 3400), were used as the primary scaffold materials. Multi-material scaffolds were fabricated by including controlled concentrations of fluorescently labeled dextran, fluorescently labeled bioactive PEG or bioactive PEG in different regions of the scaffold. The presence of the fluorescent component in specific regions of the scaffold was analyzed with fluorescent microscopy, while human dermal fibroblast cells were seeded on top of the fabricated scaffolds with selective bioactivity and phase contrast microscopy images were used to show specific localization of cells in the regions patterned with bioactive PEG. Multi-material spatial control was successfully demonstrated in features down to 500 ??m. In addition, the equilibrium swelling behavior of the two biopolymers after SL fabrication was determined and used to design constructs with the specified dimensions at the swollen state. The use of multi-material SL and the relative ease of conjugating different bioactive ligands or growth factors to PEG allows for the fabrication of tailored three-dimensional constructs with specified spatially controlled bioactivity. ?? 2009 Acta Materialia Inc.", "author" : [ { "family" : "Arcaute", "given" : "Karina" }, { "family" : "Mann", "given" : "Brenda" }, { "family" : "Wicker", "given" : "Ryan" } ], "container-title" : "Acta Biomaterialia", "id" : "ITEM-1", "issue" : "3", "issued" : { "date-parts" : [ [ "2010" ] ] }, "page" : "1047-1054", "publisher" : "Acta Materialia Inc.", "title" : "Stereolithography of spatially controlled multi-material bioactive poly(ethylene glycol) scaffolds", "type" : "article-journal", "volume" : "6" }, "uris" : [ "http://www.mendeley.com/documents/?uuid=d8c1c05d-26ce-41b2-b407-ed89db4eedde" ] } ], "mendeley" : { "formattedCitation" : "[70]", "plainTextFormattedCitation" : "[70]", "previouslyFormattedCitation" : "[71]" }, "properties" : { "noteIndex" : 0 }, "schema" : "https://github.com/citation-style-language/schema/raw/master/csl-citation.json" }</w:instrText>
      </w:r>
      <w:r>
        <w:fldChar w:fldCharType="separate"/>
      </w:r>
      <w:r w:rsidRPr="00A15EFA">
        <w:rPr>
          <w:noProof/>
        </w:rPr>
        <w:t>[71]</w:t>
      </w:r>
      <w:r>
        <w:fldChar w:fldCharType="end"/>
      </w:r>
      <w:r>
        <w:t xml:space="preserve"> developed a multimaterial SLA system applied to photocrosslinkable biopolymers enhancing the scaffold properties and resolving features down to 500 µm. The resolution of the SLA system depends on the beam diameter which can go down to 500 nm </w:t>
      </w:r>
      <w:r>
        <w:fldChar w:fldCharType="begin" w:fldLock="1"/>
      </w:r>
      <w:r>
        <w:instrText>ADDIN CSL_CITATION { "citationItems" : [ { "id" : "ITEM-1", "itemData" : { "DOI" : "10.1007/s10856-008-3567-2", "ISBN" : "0957-4530 (Print)\\n0957-4530 (Linking)", "abstract" : "Poly(propylene fumarate) (PPF) is an ultraviolet-curable and biodegradable polymer with potential applications for bone regeneration. In this study, we designed and fabricated three-dimensional (3D) porous scaffolds based on a PPF polymer network using micro-stereolithography (MSTL). The 3D scaffold was well fabricated with a highly interconnected porous structure and porosity of 65%. These results provide a new scaffold fabrication method for tissue engineering. Surface modification is a commonly used and effective method for improving the surface characteristics of biomaterials without altering their bulk properties that avoids the expense and long time associated with the development of new biomaterials. Therefore, we examined surface modification of 3D scaffolds by applying accelerated biomimetic apatite and arginine-glycine-aspartic acid (RGD) peptide coating to promote cell behavior. The apatite coating uniformly covered the scaffold surface after immersion for 24 h in 5-fold simulated body fluid (5SBF) and then the RGD peptide was applied. Finally, the coated 3D scaffolds were seeded with MC3T3-E1 pre-osteoblasts and their biologic properties were evaluated using an MTS assay and histologic staining. We found that 3D PPF/diethyl fumarate (DEF) scaffolds fabricated with MSTL and biomimetic apatite coating can be potentially used in bone tissue engineering.", "author" : [ { "family" : "Lan", "given" : "Phung Xuan" }, { "family" : "Lee", "given" : "Jin Woo" }, { "family" : "Seol", "given" : "Young Joon" }, { "family" : "Cho", "given" : "Dong W." } ], "container-title" : "Journal of Materials Science: Materials in Medicine", "id" : "ITEM-1", "issued" : { "date-parts" : [ [ "2009" ] ] }, "page" : "271-279", "title" : "Development of 3D PPF/DEF scaffolds using micro-stereolithography and surface modification", "type" : "article-journal", "volume" : "20" }, "uris" : [ "http://www.mendeley.com/documents/?uuid=2c84433b-959f-43da-b469-03c64ae8fafb" ] } ], "mendeley" : { "formattedCitation" : "[71]", "plainTextFormattedCitation" : "[71]", "previouslyFormattedCitation" : "[72]" }, "properties" : { "noteIndex" : 0 }, "schema" : "https://github.com/citation-style-language/schema/raw/master/csl-citation.json" }</w:instrText>
      </w:r>
      <w:r>
        <w:fldChar w:fldCharType="separate"/>
      </w:r>
      <w:r w:rsidRPr="00A15EFA">
        <w:rPr>
          <w:noProof/>
        </w:rPr>
        <w:t>[72]</w:t>
      </w:r>
      <w:r>
        <w:fldChar w:fldCharType="end"/>
      </w:r>
      <w:r>
        <w:t xml:space="preserve">. Because SLA can only be employed to photo-curable materials, indirect SLA has been investigated in order to fabricate scaffolds with a large variety of biomaterials and well defined internal microstructures. This method consists of producing a negative resin mold by SLA first, casting the material inside the mold and finally sacrificing the mold to obtain the desired scaffold </w:t>
      </w:r>
      <w:r>
        <w:fldChar w:fldCharType="begin" w:fldLock="1"/>
      </w:r>
      <w:r>
        <w:instrText>ADDIN CSL_CITATION { "citationItems" : [ { "id" : "ITEM-1", "itemData" : { "DOI" : "10.1155/2015/859456", "author" : [ { "family" : "Du", "given" : "Dajiang" }, { "family" : "Asaoka", "given" : "Teruo" }, { "family" : "Shinohara", "given" : "Makoto" }, { "family" : "Kageyama", "given" : "Tomonori" }, { "family" : "Ushida", "given" : "Takashi" }, { "family" : "Furukawa", "given" : "Katsuko Sakai" } ], "id" : "ITEM-1", "issued" : { "date-parts" : [ [ "2015" ] ] }, "title" : "Microstereolithography-Based Fabrication of Anatomically Shaped Beta-Tricalcium Phosphate Scaffolds for Bone Tissue Engineering", "type" : "article-journal", "volume" : "2015" }, "uris" : [ "http://www.mendeley.com/documents/?uuid=3bb554a2-a569-4a3a-b5b4-f649b40dbd40" ] } ], "mendeley" : { "formattedCitation" : "[72]", "plainTextFormattedCitation" : "[72]", "previouslyFormattedCitation" : "[73]" }, "properties" : { "noteIndex" : 0 }, "schema" : "https://github.com/citation-style-language/schema/raw/master/csl-citation.json" }</w:instrText>
      </w:r>
      <w:r>
        <w:fldChar w:fldCharType="separate"/>
      </w:r>
      <w:r w:rsidRPr="00A15EFA">
        <w:rPr>
          <w:noProof/>
        </w:rPr>
        <w:t>[73]</w:t>
      </w:r>
      <w:r>
        <w:fldChar w:fldCharType="end"/>
      </w:r>
      <w:r>
        <w:t>.</w:t>
      </w:r>
    </w:p>
    <w:p w:rsidR="005D1052" w:rsidRDefault="005D1052" w:rsidP="005D1052">
      <w:r>
        <w:lastRenderedPageBreak/>
        <w:t xml:space="preserve">Photocurable resins typically do not have approval for clinical commercialisation and biodegradable polymers shows better advantages for TE applications. A wide range of thermoplastic polymers can be processed by Fused Deposition modelling (FDM) for scaffold fabrication; the material is pre-heated into a semi molten temperature and then extruded through a nozzle forming strands. Some studies have shown the capability of this method to fabricate hybrid scaffolds, for example Korpela et al. </w:t>
      </w:r>
      <w:r>
        <w:fldChar w:fldCharType="begin" w:fldLock="1"/>
      </w:r>
      <w:r>
        <w:instrText>ADDIN CSL_CITATION { "citationItems" : [ { "id" : "ITEM-1", "itemData" : { "DOI" : "10.1002/jbm.b.32863", "ISBN" : "1552-4981", "abstract" : "Three-dimensional printing (3DP) refers to a group of additive manufacturing techniques that can be utilized in tissue engineering applications. Fused deposition modeling (FDM) is a 3DP method capable of using common thermoplastic polymers. However, the scope of materials applicable for FDM has not been fully recognized. The purpose of this study was to examine the creation of biodegradable porous scaffold structures using different materials in FDM and to determine the compressive properties and the fibroblast cell response of the structures. To the best of our knowledge, the printability of a poly(\u03b5-caprolactone)/bioactive glass (PCL/BAG) composite and L-lactide/\u03b5-caprolactone 75/25 mol % copolymer (PLC) was demonstrated for the first time. Scanning electron microscope (SEM) images showed BAG particles at the surface of the printed PCL/BAG scaffolds. Compressive testing showed the possibility of altering the compressive stiffness of a scaffold without changing the compressive modulus. Compressive properties were significantly dependent on porosity level and structural geometry. Fibroblast proliferation was significantly higher in polylactide than in PCL or PCL/BAG composite. Optical microscope images and SEM images showed the viability of the cells, which demonstrated the biocompatibility of the structures.", "author" : [ { "family" : "Korpela", "given" : "Jyrki" }, { "family" : "Kokkari", "given" : "Anne" }, { "family" : "Korhonen", "given" : "Harri" }, { "family" : "Malin", "given" : "Minna" }, { "family" : "Narhi", "given" : "Timo" }, { "family" : "Seppalea", "given" : "Jukka" } ], "container-title" : "Journal of Biomedical Materials Research - Part B Applied Biomaterials", "id" : "ITEM-1", "issued" : { "date-parts" : [ [ "2013" ] ] }, "page" : "610-619", "title" : "Biodegradable and bioactive porous scaffold structures prepared using fused deposition modeling", "type" : "article-journal", "volume" : "101" }, "uris" : [ "http://www.mendeley.com/documents/?uuid=4f8820e6-d326-46c4-862a-fcd3eb8620f0" ] } ], "mendeley" : { "formattedCitation" : "[73]", "plainTextFormattedCitation" : "[73]", "previouslyFormattedCitation" : "[74]" }, "properties" : { "noteIndex" : 0 }, "schema" : "https://github.com/citation-style-language/schema/raw/master/csl-citation.json" }</w:instrText>
      </w:r>
      <w:r>
        <w:fldChar w:fldCharType="separate"/>
      </w:r>
      <w:r w:rsidRPr="00A15EFA">
        <w:rPr>
          <w:noProof/>
        </w:rPr>
        <w:t>[74]</w:t>
      </w:r>
      <w:r>
        <w:fldChar w:fldCharType="end"/>
      </w:r>
      <w:r>
        <w:t xml:space="preserve"> built a PCL-bioactive glass scaffold which showed biocompatibility and mechanical integrity. However, the high temperatures involved in the process are detrimental for scaffold </w:t>
      </w:r>
      <w:r w:rsidRPr="00AD2E47">
        <w:t>material bioactivity</w:t>
      </w:r>
      <w:r>
        <w:t>. As an alternative, low temperature deposition manufacturing liquefies the material without the need of heating and then it extrudes and deposits the material on the working platform. This process involves temperatures under 0</w:t>
      </w:r>
      <w:r>
        <w:rPr>
          <w:rFonts w:ascii="Calibri" w:hAnsi="Calibri"/>
        </w:rPr>
        <w:t>°</w:t>
      </w:r>
      <w:r>
        <w:t xml:space="preserve">C which preserves scaffold bioactivity </w:t>
      </w:r>
      <w:r w:rsidRPr="00E40CCF">
        <w:fldChar w:fldCharType="begin" w:fldLock="1"/>
      </w:r>
      <w:r>
        <w:instrText>ADDIN CSL_CITATION { "citationItems" : [ { "id" : "ITEM-1", "itemData" : { "DOI" : "10.4103/0019-5413.114927", "abstract" : "BACKGROUND:: In bone tissue engineering, extracellular matrix exerts critical influence on cellular interaction with porous biomaterial and the apatite playing an important role in the bonding process of biomaterial to bone tissue. The aim of this study was to observe the therapeutic effects of hybrid rapid prototyping (RP) scaffolds comprising polylactic-co-glycolic acid (PLGA), \u03b2-tricalciumphosphate (\u03b2-TCP), collagen I and apatite (PLGA/\u03b2-TCP-collagen I/apatite) on segmental bone defects in conjunction with combination with bone marrow mesenchymal stem cells (BMSCs). MATERIALS AND METHODS:: BMSCs were seeded into the hybrid RP scaffolds to repair 15 mm defect in the radius of rabbits. Radiograph, microcomputed tomography and histology were used to evaluate new bone formation. RESULTS:: Radiographic analysis done from 12 to 36 weeks postoperative period demonstrated that new bone formed at the radial defect site and continues to increase until the medullary cavity is recanalized and remodelling is complete. The bone defect remained unconnected in the original RP scaffolds (PLGA/\u03b2-TCP) during the whole study. Histological observations conformed to the radiographic images. In hybrid RP scaffold group, woven bone united the radial defect at 12 weeks and consecutively remodeled into lamellar bone 24 weeks postoperation and finally matured into cortical bone with normal marrow cavity after another 12 weeks. No bone formation but connective tissue has been detected in RP scaffold at the same time. CONCLUSION:: Collagen I/apatite sponge composite coating could improve new bone formation in vivo. The hybrid RP scaffold of PLGA/\u03b2-TCP skeleton with collagen I/apatite sponge composite coating is a promising candidate for bone tissue engineering. ", "author" : [ { "family" : "Pang", "given" : "Long" }, { "family" : "Hao", "given" : "Wei" }, { "family" : "Jiang", "given" : "Ming" }, { "family" : "Huang", "given" : "Jianguo" }, { "family" : "Yan", "given" : "Yongnian" }, { "family" : "Hu", "given" : "Yunyu" } ], "container-title" : "Indian Journal of Orthopaedics", "id" : "ITEM-1", "issue" : "4", "issued" : { "date-parts" : [ [ "2013" ] ] }, "page" : "388-394", "title" : "Bony defect repair in rabbit using hybrid rapid prototyping polylactic-co-glycolic acid/\u03b2-tricalciumphosphate collagen I/apatite scaffold and bone marrow mesenchymal stem cells", "type" : "article", "volume" : "47" }, "uris" : [ "http://www.mendeley.com/documents/?uuid=6db475da-7d1f-4cc2-9a49-1bac5b42f8e2" ] } ], "mendeley" : { "formattedCitation" : "[74]", "plainTextFormattedCitation" : "[74]", "previouslyFormattedCitation" : "[75]" }, "properties" : { "noteIndex" : 0 }, "schema" : "https://github.com/citation-style-language/schema/raw/master/csl-citation.json" }</w:instrText>
      </w:r>
      <w:r w:rsidRPr="00E40CCF">
        <w:fldChar w:fldCharType="separate"/>
      </w:r>
      <w:r w:rsidRPr="00A15EFA">
        <w:rPr>
          <w:noProof/>
        </w:rPr>
        <w:t>[75]</w:t>
      </w:r>
      <w:r w:rsidRPr="00E40CCF">
        <w:fldChar w:fldCharType="end"/>
      </w:r>
      <w:r>
        <w:t xml:space="preserve">. An important drawback of melting extrusion techniques is the smoothness present on the surface of the fibres not suitable for cell attachment and proliferation. In order to overcome this barrier, melting extrusion has been complemented with conventional techniques such as electrospinning where high voltage is applied to a melt solution to produce a non-woven nano or micro-structure that mimics the ECM </w:t>
      </w:r>
      <w:r>
        <w:fldChar w:fldCharType="begin" w:fldLock="1"/>
      </w:r>
      <w:r>
        <w:instrText>ADDIN CSL_CITATION { "citationItems" : [ { "id" : "ITEM-1", "itemData" : { "DOI" : "10.1016/S0142-9612(02)00635-X", "ISBN" : "0142-9612 (Print)", "abstract" : "Microporous, non-woven poly(??-caprolactone) (PCL) scaffolds were made by electrostatic fiber spinning. In this process, polymer fibers with diameters down to the nanometer range, or nanofibers, are formed by subjecting a fluid jet to a high electric field. Mesenchymal stem cells (MSCs) derived from the bone marrow of neonatal rats were cultured, expanded and seeded on electrospun PCL scaffolds. The cell-polymer constructs were cultured with osteogenic supplements under dynamic culture conditions for up to 4 weeks. The cell-polymer constructs maintained the size and shape of the original scaffolds. Scanning electron microscopy (SEM), histological and immunohistochemical examinations were performed. Penetration of cells and abundant extracellular matrix were observed in the cell-polymer constructs after 1 week. SEM showed that the surfaces of the cell-polymer constructs were covered with cell multilayers at 4 weeks. In addition, mineralization and type I collagen were observed at 4 weeks. This suggests that electrospun PCL is a potential candidate scaffold for bone tissue engineering. ?? 2003 Elsevier Science Ltd. All rights reserved.", "author" : [ { "family" : "Yoshimoto", "given" : "H." }, { "family" : "Shin", "given" : "Y. M." }, { "family" : "Terai", "given" : "H." }, { "family" : "Vacanti", "given" : "J. P." } ], "container-title" : "Biomaterials", "id" : "ITEM-1", "issued" : { "date-parts" : [ [ "2003" ] ] }, "page" : "2077-2082", "title" : "A biodegradable nanofiber scaffold by electrospinning and its potential for bone tissue engineering", "type" : "article-journal", "volume" : "24" }, "uris" : [ "http://www.mendeley.com/documents/?uuid=2df92ba7-8c16-4760-a6a9-fcb72e442500" ] } ], "mendeley" : { "formattedCitation" : "[75]", "plainTextFormattedCitation" : "[75]", "previouslyFormattedCitation" : "[76]" }, "properties" : { "noteIndex" : 0 }, "schema" : "https://github.com/citation-style-language/schema/raw/master/csl-citation.json" }</w:instrText>
      </w:r>
      <w:r>
        <w:fldChar w:fldCharType="separate"/>
      </w:r>
      <w:r w:rsidRPr="00A15EFA">
        <w:rPr>
          <w:noProof/>
        </w:rPr>
        <w:t>[76]</w:t>
      </w:r>
      <w:r>
        <w:fldChar w:fldCharType="end"/>
      </w:r>
      <w:r>
        <w:t xml:space="preserve">. This combination allows control over architecture from the nano to macro scaffold levels. Nandakumar et al. </w:t>
      </w:r>
      <w:r>
        <w:fldChar w:fldCharType="begin" w:fldLock="1"/>
      </w:r>
      <w:r>
        <w:instrText>ADDIN CSL_CITATION { "citationItems" : [ { "id" : "ITEM-1", "itemData" : { "DOI" : "10.4161/biom.23705", "ISBN" : "2159-2535 (Electronic)\\r2159-2527 (Linking)", "abstract" : "Combining technologies to engineer scaffolds that can offer physical and chemical cues to cells is an attractive approach in tissue engineering and regenerative medicine. In this study, we have fabricated polymer-ceramic hybrid scaffolds for bone regeneration by combining rapid prototyping (RP), electrospinning (ESP) and a biomimetic coating method in order to provide mechanical support and a physico-chemical environment mimicking both the organic and inorganic phases of bone extracellular matrix (ECM). poly(ethylene oxide terephthalate)-poly(buthylene terephthalate) (PEOT/PBT) block copolymer was used to produce three dimensional scaffolds by combining 3D fiber (3DF) deposition, and ESP, and these constructs were then coated with a Ca-P layer in a simulated physiological solution. Scaffold morphology and composition were studied using scanning electron microscopy (SEM) coupled to energy dispersive X-ray analyzer (EDX) and Fourier tranform Infrared Spectroscopy (FTIR). Bone marrow derived human mesenchymal stromal cells (hMSCs) were cultured on coated and uncoated 3DF and 3DF + ESP scaffolds for up to 21 d in basic and mineralization medium and cell attachment, proliferation, and expression of genes related to osteogenesis were assessed. Cells attached, proliferated and secreted ECM on all the scaffolds. there were no significant differences in metabolic activity among the different groups on days 7 and 21. Coated 3DF scaffolds showed a significantly higher DNA amount in basic medium at 21 d compared with the coated 3DF + ESP scaffolds, whereas in mineralization medium, the presence of coating in 3DF+ESP scaffolds led to a significant decrease in the amount of DNA. An effect of combining different scaffolding technologies and material types on expression of a number of osteogenic markers (cbfa1, BMP-2, OP, OC and ON) was observed, suggesting the potential use of this approach in bone tissue engineering. [ABSTRACT FROM AUTHOR]", "author" : [ { "family" : "Nandakumar", "given" : "Anandkumar" }, { "family" : "Barradas", "given" : "Ana" }, { "family" : "de Boer", "given" : "Jan" }, { "family" : "Moroni", "given" : "Lorenzo" }, { "family" : "van Blitterswijk", "given" : "Clemens" }, { "family" : "Habibovic", "given" : "Pamela" } ], "container-title" : "Biomatter", "id" : "ITEM-1", "issue" : "December 2015", "issued" : { "date-parts" : [ [ "2013" ] ] }, "page" : "1-13", "title" : "Combining technologies to create bioactive hybrid scaffolds for bone tissue engineering.", "type" : "article-journal", "volume" : "3" }, "uris" : [ "http://www.mendeley.com/documents/?uuid=10bef83e-ce2a-473a-a0d0-e00ec7234054" ] } ], "mendeley" : { "formattedCitation" : "[76]", "plainTextFormattedCitation" : "[76]", "previouslyFormattedCitation" : "[77]" }, "properties" : { "noteIndex" : 0 }, "schema" : "https://github.com/citation-style-language/schema/raw/master/csl-citation.json" }</w:instrText>
      </w:r>
      <w:r>
        <w:fldChar w:fldCharType="separate"/>
      </w:r>
      <w:r w:rsidRPr="00A15EFA">
        <w:rPr>
          <w:noProof/>
        </w:rPr>
        <w:t>[77]</w:t>
      </w:r>
      <w:r>
        <w:fldChar w:fldCharType="end"/>
      </w:r>
      <w:r>
        <w:t xml:space="preserve"> developed a system to create the skeleton of the scaffold by melting extrusion deposition at the same time electrospinning is applied to coat the scaffold struts with a mesh that resembles the ECM. A similar method was presented by Seon Kim and Kim </w:t>
      </w:r>
      <w:r>
        <w:fldChar w:fldCharType="begin" w:fldLock="1"/>
      </w:r>
      <w:r>
        <w:instrText>ADDIN CSL_CITATION { "citationItems" : [ { "id" : "ITEM-1", "itemData" : { "DOI" : "10.1016/j.carbpol.2014.08.008", "abstract" : "Micro/nanofibrous scaffolds have been used widely in biomedical applications because the micro/nano-scale fibres resemble natural extracellular matrix and the high surface-to-volume ratio encourages cellular activities (attachment and proliferation). However, poor mechanical properties, low controllability of various shapes and difficulties in obtaining controllable pore structure have been obstacles to their use in hard-tissue regeneration. To overcome these shortcomings, we suggest a new composite system, which uses a combination method of wet electrospinning, rapid prototyping and a physical punching process. Using the process, we obtained polycaprolactone (PCL)/alginate composite scaffolds, consisting of electrospun PCL/alginate fibres and micro-sized PCL struts, with mean pore sizes of 821 \u00b1 55 \u03bcm. To show the feasibility of the scaffolds for hard-tissue regeneration, the scaffolds were assessed not only for physical properties, including hydrophilicity, water absorption, and tensile and compressive strength, but also in vitro cellular responses (cell viability and proliferation) and osteogenic differentiation (alkaline phosphatase (ALP) activity, and mineralisation) by culturing with pre-osteoblasts (MC3T3-E1 cells). With the reinforcing micro-sized PCL struts, the elastic modulus of the PCL/alginate scaffold was significantly improved versus a pure PCL scaffold. Additionally, due to the alginate component in the fibrous scaffold, they showed significantly enhanced hydrophilic behaviour, water absorption (\u223c8-fold) and significant biological activities (\u223c1.6-fold for cell viability at 7 days, \u223c2.3-fold for ALP activity at 14 days and \u223c6.4-fold for calcium mineralisation at 14 days) compared with those of a pure PCL fibrous scaffold.", "author" : [ { "family" : "Kim", "given" : "Min Seong" }, { "family" : "Kim", "given" : "GeunHyung" } ], "container-title" : "Carbohydrate polymers", "id" : "ITEM-1", "issued" : { "date-parts" : [ [ "2014" ] ] }, "page" : "213-21", "publisher" : "Elsevier Ltd.", "title" : "Three-dimensional electrospun polycaprolactone (PCL)/alginate hybrid composite scaffolds.", "type" : "article-journal", "volume" : "114" }, "uris" : [ "http://www.mendeley.com/documents/?uuid=e0015db3-a1ea-4062-b769-814b7c1abed6" ] } ], "mendeley" : { "formattedCitation" : "[77]", "plainTextFormattedCitation" : "[77]", "previouslyFormattedCitation" : "[78]" }, "properties" : { "noteIndex" : 0 }, "schema" : "https://github.com/citation-style-language/schema/raw/master/csl-citation.json" }</w:instrText>
      </w:r>
      <w:r>
        <w:fldChar w:fldCharType="separate"/>
      </w:r>
      <w:r w:rsidRPr="00A15EFA">
        <w:rPr>
          <w:noProof/>
        </w:rPr>
        <w:t>[78]</w:t>
      </w:r>
      <w:r>
        <w:fldChar w:fldCharType="end"/>
      </w:r>
      <w:r>
        <w:t xml:space="preserve"> but the scaffold fibres were coated by wet electrospinning which provides a better spatial distribution of the nanofibres. Instead, Kim et al. </w:t>
      </w:r>
      <w:r>
        <w:fldChar w:fldCharType="begin" w:fldLock="1"/>
      </w:r>
      <w:r>
        <w:instrText>ADDIN CSL_CITATION { "citationItems" : [ { "id" : "ITEM-1", "itemData" : { "DOI" : "10.1039/c1jm13712c", "author" : [ { "family" : "Kim", "given" : "Geun Hyung" }, { "family" : "Ahn", "given" : "Seung Hyun" }, { "family" : "Lee", "given" : "Hyeong Jin" }, { "family" : "Lee", "given" : "SuYeon" }, { "family" : "Cho", "given" : "Youngseok" }, { "family" : "Chun", "given" : "Wook" } ], "container-title" : "Journal of Materials Chemistry", "id" : "ITEM-1", "issued" : { "date-parts" : [ [ "2011" ] ] }, "page" : "19138", "title" : "A new hybrid scaffold using rapid prototyping and electrohydrodynamic direct writing for bone tissue regeneration", "type" : "article-journal", "volume" : "21" }, "uris" : [ "http://www.mendeley.com/documents/?uuid=0bffdfcc-c666-480d-9624-a3865ca66d2d" ] } ], "mendeley" : { "formattedCitation" : "[78]", "plainTextFormattedCitation" : "[78]", "previouslyFormattedCitation" : "[79]" }, "properties" : { "noteIndex" : 0 }, "schema" : "https://github.com/citation-style-language/schema/raw/master/csl-citation.json" }</w:instrText>
      </w:r>
      <w:r>
        <w:fldChar w:fldCharType="separate"/>
      </w:r>
      <w:r w:rsidRPr="00A15EFA">
        <w:rPr>
          <w:noProof/>
        </w:rPr>
        <w:t>[79]</w:t>
      </w:r>
      <w:r>
        <w:fldChar w:fldCharType="end"/>
      </w:r>
      <w:r>
        <w:t xml:space="preserve"> applied electrohydrodynamic direct writing to print microsized threads on the surface of PCL struts in order to stimulate cell response. In summary, these hybrid manufacturing methods can control scaffold architecture and mechanical properties by RP and cellular microenvironment through conventional methods.</w:t>
      </w:r>
    </w:p>
    <w:p w:rsidR="005D1052" w:rsidRDefault="005D1052" w:rsidP="005D1052">
      <w:pPr>
        <w:keepNext/>
        <w:ind w:firstLine="0"/>
        <w:jc w:val="center"/>
      </w:pPr>
      <w:r>
        <w:rPr>
          <w:noProof/>
          <w:lang w:eastAsia="en-GB"/>
        </w:rPr>
        <w:lastRenderedPageBreak/>
        <w:drawing>
          <wp:inline distT="0" distB="0" distL="0" distR="0" wp14:anchorId="15A76A72" wp14:editId="52AB43D9">
            <wp:extent cx="4511267" cy="3081655"/>
            <wp:effectExtent l="0" t="0" r="10160" b="0"/>
            <wp:docPr id="8215" name="Picture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M.png"/>
                    <pic:cNvPicPr/>
                  </pic:nvPicPr>
                  <pic:blipFill>
                    <a:blip r:embed="rId31">
                      <a:extLst>
                        <a:ext uri="{28A0092B-C50C-407E-A947-70E740481C1C}">
                          <a14:useLocalDpi xmlns:a14="http://schemas.microsoft.com/office/drawing/2010/main" val="0"/>
                        </a:ext>
                      </a:extLst>
                    </a:blip>
                    <a:stretch>
                      <a:fillRect/>
                    </a:stretch>
                  </pic:blipFill>
                  <pic:spPr>
                    <a:xfrm>
                      <a:off x="0" y="0"/>
                      <a:ext cx="4511267" cy="3081655"/>
                    </a:xfrm>
                    <a:prstGeom prst="rect">
                      <a:avLst/>
                    </a:prstGeom>
                  </pic:spPr>
                </pic:pic>
              </a:graphicData>
            </a:graphic>
          </wp:inline>
        </w:drawing>
      </w:r>
    </w:p>
    <w:p w:rsidR="005D1052" w:rsidRPr="005E0985" w:rsidRDefault="005D1052" w:rsidP="005D1052">
      <w:pPr>
        <w:pStyle w:val="Caption"/>
        <w:rPr>
          <w:b w:val="0"/>
        </w:rPr>
      </w:pPr>
      <w:bookmarkStart w:id="53" w:name="_Toc438590792"/>
      <w:bookmarkStart w:id="54" w:name="_Toc445718798"/>
      <w:r>
        <w:t xml:space="preserve">Figure </w:t>
      </w:r>
      <w:fldSimple w:instr=" STYLEREF 1 \s ">
        <w:r w:rsidR="00924C7D">
          <w:rPr>
            <w:noProof/>
          </w:rPr>
          <w:t>2</w:t>
        </w:r>
      </w:fldSimple>
      <w:r>
        <w:noBreakHyphen/>
      </w:r>
      <w:fldSimple w:instr=" SEQ Figure \* ARABIC \s 1 ">
        <w:r w:rsidR="00924C7D">
          <w:rPr>
            <w:noProof/>
          </w:rPr>
          <w:t>5</w:t>
        </w:r>
      </w:fldSimple>
      <w:r>
        <w:t xml:space="preserve"> </w:t>
      </w:r>
      <w:r w:rsidRPr="005E0985">
        <w:rPr>
          <w:b w:val="0"/>
        </w:rPr>
        <w:t xml:space="preserve">a) Fused Deposition Modeling platform. b) The material is extruded through a nozzle forming struts. c) Regular scaffold fabricated by FDM </w:t>
      </w:r>
      <w:r w:rsidRPr="005E0985">
        <w:rPr>
          <w:b w:val="0"/>
        </w:rPr>
        <w:fldChar w:fldCharType="begin" w:fldLock="1"/>
      </w:r>
      <w:r>
        <w:rPr>
          <w:b w:val="0"/>
        </w:rPr>
        <w:instrText>ADDIN CSL_CITATION { "citationItems" : [ { "id" : "ITEM-1", "itemData" : { "DOI" : "10.1039/c4nr02041c", "ISBN" : "2040-3364", "abstract" : "Three-dimensional (3D) printing is a fabrication method that enables creation of structures from digital models. Among the different structures fabricated by 3D printing methods, helical microstructures attracted the attention of the researchers due to their potential in different fields such as MEMS, lab-on-a-chip systems, microelectronics and telecommunications. Here we review different types of 3D printing methods capable of fabricating 3D freeform helical microstructures. The techniques including two more common microfabrication methods (i.e., focused ion beam chemical vapour deposition and microstereolithography) and also five methods based on computer-controlled robotic direct deposition of ink filament (i.e., fused deposition modeling, meniscus-confined electrodeposition, conformal printing on a rotating mandrel, UV-assisted and solvent-cast 3D printings) and their advantages and disadvantages regarding their utilization for the fabrication of helical microstructures are discussed. Focused ion beam chemical vapour deposition and microstereolithography techniques enable the fabrication of very precise shapes with a resolution down to \u223c100 nm. However, these techniques may have material constraints (e.g., low viscosity) and/or may need special process conditions (e.g., vacuum chamber) and expensive equipment. The five other techniques based on robotic extrusion of materials through a nozzle are relatively cost-effective, however show lower resolution and less precise features. The popular fused deposition modeling method offers a wide variety of printable materials but the helical microstructures manufactured featured a less precise geometry compared to the other printing methods discussed in this review. The UV-assisted and the solvent-cast 3D printing methods both demonstrated high performance for the printing of 3D freeform structures such as the helix shape. However, the compatible materials used in these methods were limited to UV-curable polymers and polylactic acid (PLA), respectively. Meniscus-confined electrodeposition is a flexible, low cost technique that is capable of fabricating 3D structures both in nano- and microscales including freeform helical microstructures (down to few microns) under room conditions using metals. However, the metals suitable for this technique are limited to those that can be electrochemically deposited with the use of an electrolyte solution. The highest precision on the helix geometry was achieved using the c\u2026", "author" : [ { "family" : "Farahani", "given" : "R D" }, { "family" : "Chizari", "given" : "K" }, { "family" : "Therriault", "given" : "D" } ], "container-title" : "Nanoscale", "id" : "ITEM-1", "issued" : { "date-parts" : [ [ "2014" ] ] }, "page" : "10470-85", "publisher" : "Royal Society of Chemistry", "title" : "Three-dimensional printing of freeform helical microstructures: a review.", "type" : "article-journal", "volume" : "6" }, "uris" : [ "http://www.mendeley.com/documents/?uuid=c690ff1b-1c25-480f-86db-be3f7941ae67" ] } ], "mendeley" : { "formattedCitation" : "[79]", "plainTextFormattedCitation" : "[79]", "previouslyFormattedCitation" : "[80]" }, "properties" : { "noteIndex" : 0 }, "schema" : "https://github.com/citation-style-language/schema/raw/master/csl-citation.json" }</w:instrText>
      </w:r>
      <w:r w:rsidRPr="005E0985">
        <w:rPr>
          <w:b w:val="0"/>
        </w:rPr>
        <w:fldChar w:fldCharType="separate"/>
      </w:r>
      <w:r w:rsidRPr="00A15EFA">
        <w:rPr>
          <w:b w:val="0"/>
          <w:noProof/>
        </w:rPr>
        <w:t>[80]</w:t>
      </w:r>
      <w:r w:rsidRPr="005E0985">
        <w:rPr>
          <w:b w:val="0"/>
        </w:rPr>
        <w:fldChar w:fldCharType="end"/>
      </w:r>
      <w:r w:rsidRPr="005E0985">
        <w:rPr>
          <w:b w:val="0"/>
        </w:rPr>
        <w:t>.</w:t>
      </w:r>
      <w:bookmarkEnd w:id="53"/>
      <w:bookmarkEnd w:id="54"/>
    </w:p>
    <w:p w:rsidR="005D1052" w:rsidRDefault="005D1052" w:rsidP="005D1052">
      <w:r>
        <w:t xml:space="preserve">On the other hand, the direct printing of proteins and cells can be applied in scaffold fabrication. Xu et al. </w:t>
      </w:r>
      <w:r>
        <w:fldChar w:fldCharType="begin" w:fldLock="1"/>
      </w:r>
      <w:r>
        <w:instrText>ADDIN CSL_CITATION { "citationItems" : [ { "id" : "ITEM-1", "itemData" : { "DOI" : "10.1088/1758-5082/5/1/015001", "author" : [ { "family" : "Xu", "given" : "Tao" }, { "family" : "Binder", "given" : "Kyle W" }, { "family" : "Albanna", "given" : "Mohammad Z" }, { "family" : "Dice", "given" : "Dennis" }, { "family" : "Zhao", "given" : "Weixin" }, { "family" : "Yoo", "given" : "James J" }, { "family" : "Atala", "given" : "Anthony" } ], "container-title" : "Biofabrication", "id" : "ITEM-1", "issued" : { "date-parts" : [ [ "2013" ] ] }, "page" : "015001", "title" : "Hybrid printing of mechanically and biologically improved constructs for cartilage tissue engineering applications", "type" : "article-journal", "volume" : "5" }, "uris" : [ "http://www.mendeley.com/documents/?uuid=a60dbc5e-a4a7-4d06-a1b7-e27cf8f7d337" ] } ], "mendeley" : { "formattedCitation" : "[80]", "plainTextFormattedCitation" : "[80]", "previouslyFormattedCitation" : "[81]" }, "properties" : { "noteIndex" : 0 }, "schema" : "https://github.com/citation-style-language/schema/raw/master/csl-citation.json" }</w:instrText>
      </w:r>
      <w:r>
        <w:fldChar w:fldCharType="separate"/>
      </w:r>
      <w:r w:rsidRPr="00A15EFA">
        <w:rPr>
          <w:noProof/>
        </w:rPr>
        <w:t>[81]</w:t>
      </w:r>
      <w:r>
        <w:fldChar w:fldCharType="end"/>
      </w:r>
      <w:r>
        <w:t xml:space="preserve"> developed a hybrid printing system where a electrospinning device is combined with an inkjet printing platform. Hence, </w:t>
      </w:r>
      <w:r w:rsidRPr="00A54166">
        <w:t>cells</w:t>
      </w:r>
      <w:r>
        <w:t xml:space="preserve"> suspended in hydrogel can be deposited into PCL nanofibres which form the main scaffold structure. However, the mechanical properties of the nanostructured scaffold were only suitable for cartilage tissue replacements. Electrospinning nanofibres are deposited randomly on the receptor which complicates the ability to control scaffold architecture and mechanical properties. </w:t>
      </w:r>
      <w:r w:rsidRPr="000C3905">
        <w:rPr>
          <w:noProof/>
        </w:rPr>
        <w:t>Chanthakulchan</w:t>
      </w:r>
      <w:r>
        <w:rPr>
          <w:noProof/>
        </w:rPr>
        <w:t xml:space="preserve"> et al.</w:t>
      </w:r>
      <w:r>
        <w:t xml:space="preserve"> </w:t>
      </w:r>
      <w:r>
        <w:fldChar w:fldCharType="begin" w:fldLock="1"/>
      </w:r>
      <w:r>
        <w:instrText>ADDIN CSL_CITATION { "citationItems" : [ { "id" : "ITEM-1", "itemData" : { "DOI" : "10.1108/RPJ-11-2013-0119", "author" : [ { "family" : "Chanthakulchan", "given" : "Apinya" }, { "family" : "Koomsap", "given" : "Pisut" }, { "family" : "Auyson", "given" : "Kampanat" }, { "family" : "Supaphol", "given" : "Pitt" } ], "container-title" : "Rapid Prototyping Journal", "id" : "ITEM-1", "issued" : { "date-parts" : [ [ "2015" ] ] }, "page" : "329-339", "title" : "Development of an electrospinning-based rapid prototyping for scaffold fabrication", "type" : "article-journal", "volume" : "21" }, "uris" : [ "http://www.mendeley.com/documents/?uuid=6f1b407c-1c3d-4272-a238-2e9d477094c4" ] } ], "mendeley" : { "formattedCitation" : "[81]", "plainTextFormattedCitation" : "[81]", "previouslyFormattedCitation" : "[82]" }, "properties" : { "noteIndex" : 0 }, "schema" : "https://github.com/citation-style-language/schema/raw/master/csl-citation.json" }</w:instrText>
      </w:r>
      <w:r>
        <w:fldChar w:fldCharType="separate"/>
      </w:r>
      <w:r w:rsidRPr="00A15EFA">
        <w:rPr>
          <w:noProof/>
        </w:rPr>
        <w:t>[82]</w:t>
      </w:r>
      <w:r>
        <w:fldChar w:fldCharType="end"/>
      </w:r>
      <w:r>
        <w:t xml:space="preserve"> fused the concepts of electrospinning and FDM to develop a system able to align the nanofibres in pre-defined patterns although further investigations are required to improve control over scaffold thickness and thereby mechanical characteristics.</w:t>
      </w:r>
    </w:p>
    <w:p w:rsidR="005D1052" w:rsidRDefault="005D1052" w:rsidP="005D1052">
      <w:r>
        <w:t xml:space="preserve">The material chosen can restrict the manufacturing technique so RP methods are evolving towards the generation of hybrid systems able to deliver composite scaffolds with control from nano to macro-scale . RP techniques hold great potential for the future </w:t>
      </w:r>
      <w:r>
        <w:lastRenderedPageBreak/>
        <w:t xml:space="preserve">of tissue engineering but scaffolds must be manufactured as all medical devices; in a way that ensures both the safety of the product as well as the reproducibility and high quality standard of the production. This includes design, materials used and the whole process of production. Scaffold manufacturing should be defined as a process chain with demands on documentation, including inspection plan, and quality control </w:t>
      </w:r>
      <w:r>
        <w:fldChar w:fldCharType="begin" w:fldLock="1"/>
      </w:r>
      <w:r>
        <w:instrText>ADDIN CSL_CITATION { "citationItems" : [ { "id" : "ITEM-1", "itemData" : { "DOI" : "10.1007/s00068-006-6047-8", "ISBN" : "1439-0590", "abstract" : "Almost 20 years after the invention of tissue enginee- ring, autogenous bone grafting has remained the fa- vored strategy for the treatment of bone defects. As an alternative, a vast variety of bone substitutes has been developed and is available for clinical use. The ongoing search for bone substitutes, however, reflects the limi- tations imposed to both autogenous and allogenous bone grafts as well as to bone substitute materials. The concept of tissue engineering holds great promise for the future treatment of osseous defects. Research in this interdisciplinary field is carried out to find a way of producing biologic substitutes as functional tissue replacement. For this, functionally active cells are applied on supporting scaffolds under controlled stimulation with growth factors. Scaffolds are tempo- rary matrices for bone growth and provide a specific environment and architecture for tissue development. Ideally, scaffolds favor cellular attachment, growth and differentiation in vitro and in vivo. Especially ceramics and biodegradable polymers are widely used and have been tested in various animal studies. Yet, to allow for precise production of specific custom-made scaffolds, rapid prototyping (RP) techniques have recently drawn a lot of attention. Using these methods scaffolds with a predefined, well-controlled internal and external archi- tecture mimicking the structure of natural bone can be generated. Although biocompatibility of the materials used in the process and the structural resolution that can be technically achieved so far limit the range of use, rapid manufacturing techniques do offer great opportunities to generate suitable scaffolds for bone tissue engineering in the near future.", "author" : [ { "family" : "Schicker", "given" : "Matthias" }, { "family" : "Seitz", "given" : "Hermann" }, { "family" : "Drosse", "given" : "Inga" }, { "family" : "Seitz", "given" : "Sebastian" }, { "family" : "Mutschler", "given" : "Wolf" } ], "container-title" : "European Journal of Trauma", "id" : "ITEM-1", "issue" : "2", "issued" : { "date-parts" : [ [ "2006" ] ] }, "page" : "114-124", "title" : "Biomaterials as scaffold for bone tissue engineering", "type" : "article-journal", "volume" : "32" }, "uris" : [ "http://www.mendeley.com/documents/?uuid=bb8cbc30-4d7e-47d1-b350-03b9373af87c" ] } ], "mendeley" : { "formattedCitation" : "[82]", "plainTextFormattedCitation" : "[82]", "previouslyFormattedCitation" : "[83]" }, "properties" : { "noteIndex" : 0 }, "schema" : "https://github.com/citation-style-language/schema/raw/master/csl-citation.json" }</w:instrText>
      </w:r>
      <w:r>
        <w:fldChar w:fldCharType="separate"/>
      </w:r>
      <w:r w:rsidRPr="00A15EFA">
        <w:rPr>
          <w:noProof/>
        </w:rPr>
        <w:t>[83]</w:t>
      </w:r>
      <w:r>
        <w:fldChar w:fldCharType="end"/>
      </w:r>
      <w:r>
        <w:t>.</w:t>
      </w:r>
    </w:p>
    <w:p w:rsidR="005D1052" w:rsidRDefault="005D1052" w:rsidP="005D1052">
      <w:pPr>
        <w:pStyle w:val="Heading3"/>
      </w:pPr>
      <w:bookmarkStart w:id="55" w:name="_Toc440823178"/>
      <w:r>
        <w:t>Scaffold characterization</w:t>
      </w:r>
      <w:bookmarkEnd w:id="55"/>
    </w:p>
    <w:p w:rsidR="005D1052" w:rsidRDefault="005D1052" w:rsidP="005D1052">
      <w:r>
        <w:t>Fabricated scaffolds should be characterised and inspected in order to evaluate the real outcome of the whole design and production process. The resulting samples are expected to replicate the design architecture and deliver the intended biomechanical performance. RP techniques for scaffold production are currently developing and valuable feedback from the fabricated samples can enhance such manufacturing techniques. RP methods must ensure the fabrication of samples that meet the CAD design specifications, pre-defined mechanical and permeability properties and desired cellular behaviour. Moreover, the fabrication process should produce samples without variability among them or from batch-to-batch. Herein, more emphasis will be applied to the architectural and mechanical characterization of fabricated scaffolds.</w:t>
      </w:r>
    </w:p>
    <w:p w:rsidR="005D1052" w:rsidRDefault="005D1052" w:rsidP="005D1052">
      <w:pPr>
        <w:pStyle w:val="Heading4"/>
      </w:pPr>
      <w:bookmarkStart w:id="56" w:name="_Ref438585953"/>
      <w:bookmarkStart w:id="57" w:name="_Toc440823179"/>
      <w:r>
        <w:t>Scaffold architecture</w:t>
      </w:r>
      <w:bookmarkEnd w:id="56"/>
      <w:bookmarkEnd w:id="57"/>
    </w:p>
    <w:p w:rsidR="005D1052" w:rsidRDefault="005D1052" w:rsidP="005D1052">
      <w:r w:rsidRPr="00CC7FAE">
        <w:t>Some studies have characterized fabricated scaffold</w:t>
      </w:r>
      <w:r>
        <w:t>s</w:t>
      </w:r>
      <w:r w:rsidRPr="00CC7FAE">
        <w:t xml:space="preserve"> by scanning electron microscopy (SEM) </w:t>
      </w:r>
      <w:r>
        <w:t>that</w:t>
      </w:r>
      <w:r w:rsidRPr="00CC7FAE">
        <w:t xml:space="preserve"> provides </w:t>
      </w:r>
      <w:r>
        <w:t xml:space="preserve">two-dimensional (2D) images with </w:t>
      </w:r>
      <w:r w:rsidRPr="00CC7FAE">
        <w:t xml:space="preserve">high </w:t>
      </w:r>
      <w:r>
        <w:t xml:space="preserve">resolution and contrast </w:t>
      </w:r>
      <w:r>
        <w:fldChar w:fldCharType="begin" w:fldLock="1"/>
      </w:r>
      <w:r>
        <w:instrText>ADDIN CSL_CITATION { "citationItems" : [ { "id" : "ITEM-1", "itemData" : { "DOI" : "10.1016/j.msec.2012.12.015", "abstract" : "In the present study, composite nanofibrous tissue engineering-scaffold consisting of polycaprolactone and gelatin, was fabricated by electrospinning method, using a new cost-effective solvent mixture: chloroform/methanol for polycaprolactone (PCL) and acetic acid for gelatin. The morphology of the nanofibrous scaffold was investigated by using field emission scanning electron microscopy (FE-SEM) which clearly indicates that the morphology of nanofibers was influenced by the weight ratio of PCL to gelatin in the solution. Uniform fibers were produced only when the weight ratio of PCL/gelatin is sufficiently high (10:1). The scaffold was further characterized by Fourier transform infrared (FT-IR) spectroscopy, thermogravimetric (TG) analysis, and X-ray diffraction (XRD). FT-IR and TG analysis indicated some interactions between PCL and gelatin molecules within the scaffold, while XRD results demonstrated crystalline nature of PCL/gelatin composite scaffold. Cytotoxicity effect of scaffold on L929 mouse fibroblast cells was evaluated by MTT assay and cell proliferation on the scaffold was confirmed by DNA quantification. Positive results of MTT assay and DNA quantification L929 mouse fibroblast cells indicated that the scaffold made from the combination of natural polymer (gelatin) and synthetic polymer (PCL) may serve as a good candidate for tissue engineering applications. \u00a9 2012 Elsevier B.V. All Rights Reserved.", "author" : [ { "family" : "Gautam", "given" : "Sneh" }, { "family" : "Dinda", "given" : "Amit Kumar" }, { "family" : "Mishra", "given" : "Narayan Chandra" } ], "container-title" : "Materials Science and Engineering C", "id" : "ITEM-1", "issue" : "3", "issued" : { "date-parts" : [ [ "2013" ] ] }, "page" : "1228-1235", "publisher" : "Elsevier B.V.", "title" : "Fabrication and characterization of PCL/gelatin composite nanofibrous scaffold for tissue engineering applications by electrospinning method", "type" : "article-journal", "volume" : "33" }, "uris" : [ "http://www.mendeley.com/documents/?uuid=e34b55b9-aa10-4798-be24-ee9c1590ddd2" ] } ], "mendeley" : { "formattedCitation" : "[83]", "plainTextFormattedCitation" : "[83]", "previouslyFormattedCitation" : "[84]" }, "properties" : { "noteIndex" : 0 }, "schema" : "https://github.com/citation-style-language/schema/raw/master/csl-citation.json" }</w:instrText>
      </w:r>
      <w:r>
        <w:fldChar w:fldCharType="separate"/>
      </w:r>
      <w:r w:rsidRPr="00A15EFA">
        <w:rPr>
          <w:noProof/>
        </w:rPr>
        <w:t>[84]</w:t>
      </w:r>
      <w:r>
        <w:fldChar w:fldCharType="end"/>
      </w:r>
      <w:r>
        <w:t xml:space="preserve">. However, despite the great magnification of this method scaffold samples need to be coated with gold by using a sputter coater before the image acquisition and in order to obtain internal morphological information the samples need to be cut. In addition, this invasive method does not permit the full characterization of 3D samples. µCT-scanning is a non-destructive solution widely used by researchers for the entire scaffold characterization since it permits the generation of a 3D stack from a serial of sample cross-sectional images </w:t>
      </w:r>
      <w:r>
        <w:fldChar w:fldCharType="begin" w:fldLock="1"/>
      </w:r>
      <w:r>
        <w:instrText>ADDIN CSL_CITATION { "citationItems" : [ { "id" : "ITEM-1", "itemData" : { "DOI" : "10.1007/s10856-012-4738-8", "abstract" : "Three dimensional tissue engineered scaffolds for the treatment of critical defect have been usually fabricated by salt leaching or gas forming technique. However, it is not easy for cells to penetrate the scaffolds due to the poor interconnectivity of pores. To overcome these current limitations we utilized a rapid prototyping (RP) technique for fabricating tissue engineered scaffolds to treat critical defects. The RP technique resulted in the uniform distribution and systematic connection of pores, which enabled cells to penetrate the scaffold. Two kinds of materials were used. They were poly(\u03b5-caprolactone) (PCL) and poly(D, L-lactic-glycolic acid) (PLGA), where PCL is known to have longer degradation time than PLGA. In vitro tests supported the biocompatibility of the scaffolds. A 12-week animal study involving various examinations of rabbit tibias such as micro-CT and staining showed that both PCL and PLGA resulted in successful bone regeneration. As expected, PLGA degraded faster than PCL, and consequently the tissues generated in the PLGA group were less dense than those in the PCL group. We concluded that slower degradation is preferable in bone tissue engineering, especially when treating critical defects, as mechanical support is needed until full regeneration has occurred.", "author" : [ { "family" : "Park", "given" : "So Hee" }, { "family" : "Park", "given" : "Dae Sung" }, { "family" : "Shin", "given" : "Ji Won" }, { "family" : "Kang", "given" : "Yun Gyeong" }, { "family" : "Kim", "given" : "Hyung Keun" }, { "family" : "Yoon", "given" : "Taek Rim" }, { "family" : "Shin", "given" : "Jung-Woog" } ], "container-title" : "Journal of materials science. Materials in medicine", "id" : "ITEM-1", "issue" : "11", "issued" : { "date-parts" : [ [ "2012", "11" ] ] }, "page" : "2671-8", "title" : "Scaffolds for bone tissue engineering fabricated from two different materials by the rapid prototyping technique: PCL versus PLGA.", "type" : "article-journal", "volume" : "23" }, "uris" : [ "http://www.mendeley.com/documents/?uuid=8fe396f2-4542-47fd-91fd-9ab35bccd3d7" ] } ], "mendeley" : { "formattedCitation" : "[84]", "plainTextFormattedCitation" : "[84]", "previouslyFormattedCitation" : "[85]" }, "properties" : { "noteIndex" : 0 }, "schema" : "https://github.com/citation-style-language/schema/raw/master/csl-citation.json" }</w:instrText>
      </w:r>
      <w:r>
        <w:fldChar w:fldCharType="separate"/>
      </w:r>
      <w:r w:rsidRPr="00A15EFA">
        <w:rPr>
          <w:noProof/>
        </w:rPr>
        <w:t>[85]</w:t>
      </w:r>
      <w:r>
        <w:fldChar w:fldCharType="end"/>
      </w:r>
      <w:r>
        <w:t>. M</w:t>
      </w:r>
      <w:r w:rsidRPr="008248B2">
        <w:t xml:space="preserve">agnetic resonance imaging (MRI) </w:t>
      </w:r>
      <w:r>
        <w:t xml:space="preserve">also allows the </w:t>
      </w:r>
      <w:r>
        <w:lastRenderedPageBreak/>
        <w:t xml:space="preserve">development of 3D models from a series of 2D images. However, this technique generally provides less resolution than µCT imaging and it is more effective to differentiate soft tissues in clinical scenarios. Mather et al. </w:t>
      </w:r>
      <w:r>
        <w:fldChar w:fldCharType="begin" w:fldLock="1"/>
      </w:r>
      <w:r>
        <w:instrText>ADDIN CSL_CITATION { "citationItems" : [ { "id" : "ITEM-1", "itemData" : { "DOI" : "10.1088/1748-6041/3/1/015011", "ISBN" : "1748-605X (Electronic)", "abstract" : "Tissue scaffolds are integral to many regenerative medicine therapies, providing suitable environments for tissue regeneration. In order to assess their suitability, methods to routinely and reproducibly characterize scaffolds are needed. Scaffold structures are typically complex, and thus their characterization is far from trivial. The work presented in this paper is centred on the application of the principles of scaffold characterization outlined in guidelines developed by ASTM International. Specifically, this work demonstrates the capabilities of different imaging modalities and analysis techniques used to characterize scaffolds fabricated from poly(lactic-co-glycolic acid) using supercritical carbon dioxide. Three structurally different scaffolds were used. The scaffolds were imaged using: scanning electron microscopy, micro x-ray computed tomography, magnetic resonance imaging and terahertz pulsed imaging. In each case two-dimensional images were obtained from which scaffold properties were determined using image processing. The findings of this work highlight how the chosen imaging modality and image-processing technique can influence the results of scaffold characterization. It is concluded that in order to obtain useful results from image-based scaffold characterization, an imaging methodology providing sufficient contrast and resolution must be used along with robust image segmentation methods to allow intercomparison of results.", "author" : [ { "family" : "Mather", "given" : "Melissa L" }, { "family" : "Morgan", "given" : "Stephen P" }, { "family" : "White", "given" : "Lisa J" }, { "family" : "Tai", "given" : "Hongyun" }, { "family" : "Kockenberger", "given" : "Walter" }, { "family" : "Howdle", "given" : "Steven M" }, { "family" : "Shakesheff", "given" : "Kevin M" }, { "family" : "Crowe", "given" : "John a" } ], "container-title" : "Biomedical materials (Bristol, England)", "id" : "ITEM-1", "issued" : { "date-parts" : [ [ "2008" ] ] }, "page" : "015011", "title" : "Image-based characterization of foamed polymeric tissue scaffolds.", "type" : "article-journal", "volume" : "3" }, "uris" : [ "http://www.mendeley.com/documents/?uuid=aeedbcbe-3ec0-43ca-bae4-e994fbd632ef" ] } ], "mendeley" : { "formattedCitation" : "[85]", "plainTextFormattedCitation" : "[85]", "previouslyFormattedCitation" : "[86]" }, "properties" : { "noteIndex" : 0 }, "schema" : "https://github.com/citation-style-language/schema/raw/master/csl-citation.json" }</w:instrText>
      </w:r>
      <w:r>
        <w:fldChar w:fldCharType="separate"/>
      </w:r>
      <w:r w:rsidRPr="00A15EFA">
        <w:rPr>
          <w:noProof/>
        </w:rPr>
        <w:t>[86]</w:t>
      </w:r>
      <w:r>
        <w:fldChar w:fldCharType="end"/>
      </w:r>
      <w:r>
        <w:t xml:space="preserve"> compared the previous imaging techniques with terahertz pulsed imaging showing the good contrast image data of this method although the terahertz radiation is not as penetrating in the scaffold material as the x-rays resulting in low lateral resolution.</w:t>
      </w:r>
    </w:p>
    <w:p w:rsidR="005D1052" w:rsidRDefault="005D1052" w:rsidP="005D1052">
      <w:r>
        <w:t xml:space="preserve">Imaging segmentation softwares </w:t>
      </w:r>
      <w:r w:rsidRPr="001960FB">
        <w:t xml:space="preserve">allow converting the generated µCT/MRI images </w:t>
      </w:r>
      <w:r>
        <w:t xml:space="preserve">into 3D data. </w:t>
      </w:r>
      <w:r w:rsidRPr="00E12C93">
        <w:t xml:space="preserve">The acquired images </w:t>
      </w:r>
      <w:r>
        <w:t xml:space="preserve">represent sample cross-sections </w:t>
      </w:r>
      <w:r w:rsidRPr="00E12C93">
        <w:t>compounded by grey-scale pixels</w:t>
      </w:r>
      <w:r>
        <w:t xml:space="preserve">. These images are stacked to recreate the scanned volume and the scaffold region is segmented by selecting the pixels within a specific threshold of grey-scale values </w:t>
      </w:r>
      <w:r>
        <w:fldChar w:fldCharType="begin" w:fldLock="1"/>
      </w:r>
      <w:r>
        <w:instrText>ADDIN CSL_CITATION { "citationItems" : [ { "id" : "ITEM-1", "itemData" : { "DOI" : "10.1089/ten.TEB.2013.0751", "abstract" : "Bone diseases and injuries are highly incapacitating and result in a high demand for tissue substitutes with specific biomechanical and structural features. Tissue engineering has already proven to be effective in regenerating bone tissue but has not yet been able to become an economically viable solution due to the complexity of the tissue which is very difficult to be replicated, eventually requiring the utilization of highly labour-intensive processes. Process automation is seen as the solution for mass production of cellularized bone tissue substitutes at an affordable cost by being able to reduce human intervention as well as reducing product variability. The combination of tools such as medical imaging, computer-aided fabrication and bioreactor technologies, which are currently used in tissue engineering, shows potential to generate automated production ecosystems which will in turn enable the generation of commercially available products with widespread clinical application.", "author" : [ { "family" : "Costa", "given" : "Pedro F" }, { "family" : "Martins", "given" : "Albino" }, { "family" : "Neves", "given" : "Nuno M" }, { "family" : "Gomes", "given" : "Manuela" }, { "family" : "Reis", "given" : "Rui L" } ], "container-title" : "Tissue engineering. Part B, Reviews", "id" : "ITEM-1", "issue" : "6", "issued" : { "date-parts" : [ [ "2014" ] ] }, "page" : "567-577", "title" : "Automating the processing steps for obtaining bone tissue engineered substitutes: from imaging tools to bioreactors.", "type" : "article-journal", "volume" : "20" }, "uris" : [ "http://www.mendeley.com/documents/?uuid=8c65621a-bb38-477b-a036-e0bc9d09fa06" ] } ], "mendeley" : { "formattedCitation" : "[86]", "plainTextFormattedCitation" : "[86]", "previouslyFormattedCitation" : "[87]" }, "properties" : { "noteIndex" : 0 }, "schema" : "https://github.com/citation-style-language/schema/raw/master/csl-citation.json" }</w:instrText>
      </w:r>
      <w:r>
        <w:fldChar w:fldCharType="separate"/>
      </w:r>
      <w:r w:rsidRPr="00A15EFA">
        <w:rPr>
          <w:noProof/>
        </w:rPr>
        <w:t>[87]</w:t>
      </w:r>
      <w:r>
        <w:fldChar w:fldCharType="end"/>
      </w:r>
      <w:r>
        <w:t xml:space="preserve">. To fully characterize scaffold architecture, key parameters such as pore size, porosity, interconnectivity, volume and surface area need to be quantified from the segmented scaffold region. Despite the advantage of current imaging techniques to offer accurate 3D representations of actual scaffolds, sometimes the methods applied for the structural characterization of µCT-based models are not that accurate and need to be further developed. Many studies carry out manual measurements of structural variables such as pore size throughout the entire scaffold </w:t>
      </w:r>
      <w:r>
        <w:fldChar w:fldCharType="begin" w:fldLock="1"/>
      </w:r>
      <w:r>
        <w:instrText>ADDIN CSL_CITATION { "citationItems" : [ { "id" : "ITEM-1", "itemData" : { "DOI" : "10.1002/jbm.a.35320", "abstract" : "The aim of this study was to mimic the specific structure of bone and fabricate a biomimetic nano-hydroxyapatite (HA)/chitosan (Cs)/gelatin scaffolds using combination of particle leaching and freeze drying methods eliminating mold effects. To achieve an optimum structure, scaffolds with different gelatin/Cs weight ratio were fabricated. Morphological characterization of scaffolds by scanning electron microscopy method showed highly interconnected porous structures similar to cancellous bone with mean pore size ranging from 140 to 190 \u03bcm. Nano-HA crystals were dispersed homogeneously in the polymer matrix according to the energy-dispersive X-ray spectroscopy and transmission electron microscopy images. Fourier transform infrared and X-ray diffraction results disclosed that chemical interactions were formed between nano-HA, Cs, gelatin and crystallinity of each material decreased with blending. It was found that increasing the gelatin content significantly improved water uptake, degradation rate as well as attachment, infiltration and proliferation of Saos2 cells to the scaffolds. The presented results confirm that the designed biomimetic nano-HA /Cs/gelatin scaffolds can be used as promising substitutes for bone tissue engineering. \u00a9 2014 Wiley Periodicals, Inc. J Biomed Mater Res Part A, 2014.", "author" : [ { "family" : "Jamalpoor", "given" : "Zahra" }, { "family" : "Mirzadeh", "given" : "Hamid" }, { "family" : "Joghataei", "given" : "Mohammad Taghi" }, { "family" : "Zeini", "given" : "Darya" }, { "family" : "Bagheri-Khoulenjani", "given" : "Shadab" }, { "family" : "Nourani", "given" : "Mohammad Reza" } ], "container-title" : "Journal of biomedical materials research. Part A", "id" : "ITEM-1", "issued" : { "date-parts" : [ [ "2014" ] ] }, "page" : "1-11", "title" : "Fabrication of cancellous biomimetic chitosan-based nanocomposite scaffolds applying a combinational method for bone tissue engineering.", "type" : "article-journal" }, "uris" : [ "http://www.mendeley.com/documents/?uuid=31e0c5ee-4e74-411a-a56d-8f607212f140" ] } ], "mendeley" : { "formattedCitation" : "[87]", "plainTextFormattedCitation" : "[87]", "previouslyFormattedCitation" : "[88]" }, "properties" : { "noteIndex" : 0 }, "schema" : "https://github.com/citation-style-language/schema/raw/master/csl-citation.json" }</w:instrText>
      </w:r>
      <w:r>
        <w:fldChar w:fldCharType="separate"/>
      </w:r>
      <w:r w:rsidRPr="00A15EFA">
        <w:rPr>
          <w:noProof/>
        </w:rPr>
        <w:t>[88]</w:t>
      </w:r>
      <w:r>
        <w:fldChar w:fldCharType="end"/>
      </w:r>
      <w:r>
        <w:t xml:space="preserve">. This is a time consuming approach that can become a significant source of error due to human handling. Other studies applied specific algorithms from the same commercial softwares used for µCT reconstructions to characterize scaffolds. For instance, </w:t>
      </w:r>
      <w:r w:rsidRPr="009B7E30">
        <w:t xml:space="preserve">Melchels et al. </w:t>
      </w:r>
      <w:r w:rsidRPr="009B7E30">
        <w:fldChar w:fldCharType="begin" w:fldLock="1"/>
      </w:r>
      <w:r>
        <w:instrText>ADDIN CSL_CITATION { "citationItems" : [ { "id" : "ITEM-1", "itemData" : { "DOI" : "10.1016/j.biomaterials.2010.05.068", "abstract" : "The technologies employed for the preparation of conventional tissue engineering scaffolds restrict the materials choice and the extent to which the architecture can be designed. Here we show the versatility of stereolithography with respect to materials and freedom of design. Porous scaffolds are designed with computer software and built with either a poly(D,L-lactide)-based resin or a poly(D,L-lactide-co-epsilon-caprolactone)-based resin. Characterisation of the scaffolds by micro-computed tomography shows excellent reproduction of the designs. The mechanical properties are evaluated in compression, and show good agreement with finite element predictions. The mechanical properties of scaffolds can be controlled by the combination of material and scaffold pore architecture. The presented technology and materials enable an accurate preparation of tissue engineering scaffolds with a large freedom of design, and properties ranging from rigid and strong to highly flexible and elastic.", "author" : [ { "family" : "Melchels", "given" : "Ferry P W" }, { "family" : "Bertoldi", "given" : "Katia" }, { "family" : "Gabbrielli", "given" : "Ruggero" }, { "family" : "Velders", "given" : "Aldrik H" }, { "family" : "Feijen", "given" : "Jan" }, { "family" : "Grijpma", "given" : "Dirk W" } ], "container-title" : "Biomaterials", "id" : "ITEM-1", "issue" : "27", "issued" : { "date-parts" : [ [ "2010", "9" ] ] }, "page" : "6909-16", "publisher" : "Elsevier Ltd", "title" : "Mathematically defined tissue engineering scaffold architectures prepared by stereolithography.", "type" : "article-journal", "volume" : "31" }, "uris" : [ "http://www.mendeley.com/documents/?uuid=57d6bbdd-d141-4779-9ed5-dd74b5986ca7" ] } ], "mendeley" : { "formattedCitation" : "[88]", "plainTextFormattedCitation" : "[88]", "previouslyFormattedCitation" : "[89]" }, "properties" : { "noteIndex" : 0 }, "schema" : "https://github.com/citation-style-language/schema/raw/master/csl-citation.json" }</w:instrText>
      </w:r>
      <w:r w:rsidRPr="009B7E30">
        <w:fldChar w:fldCharType="separate"/>
      </w:r>
      <w:r w:rsidRPr="00A15EFA">
        <w:rPr>
          <w:noProof/>
        </w:rPr>
        <w:t>[89]</w:t>
      </w:r>
      <w:r w:rsidRPr="009B7E30">
        <w:fldChar w:fldCharType="end"/>
      </w:r>
      <w:r>
        <w:t xml:space="preserve"> used the GE MicroView software (General Electric) to fit the largest sphere in each empty void which diameter corresponds with the pore size. This data was later used to quantify other structural factors such as porosity using numerical algorithms in Matlab. </w:t>
      </w:r>
    </w:p>
    <w:p w:rsidR="005D1052" w:rsidRPr="00DA5844" w:rsidRDefault="005D1052" w:rsidP="005D1052">
      <w:r>
        <w:t>Nevertheless</w:t>
      </w:r>
      <w:r w:rsidRPr="00631C37">
        <w:t>,</w:t>
      </w:r>
      <w:r>
        <w:t xml:space="preserve"> the 3D characterization of scaffold surface topography is also necessary as it has a strong impact on cellular activity. Unfortunately, current scaffold digitalization methods present limitations in terms of resolution to include the surface topography. Moreover, improving resolution to include smaller geometrical features implies a decrease on the captured field of view. Atomic Force Microscopy (AFM) has </w:t>
      </w:r>
      <w:r>
        <w:lastRenderedPageBreak/>
        <w:t xml:space="preserve">been used for the generation of 3D surface topography maps. A cantilever beam is in contact with the surface specimen and by measuring its deflection the surface topography can be scanned </w:t>
      </w:r>
      <w:r>
        <w:fldChar w:fldCharType="begin" w:fldLock="1"/>
      </w:r>
      <w:r>
        <w:instrText>ADDIN CSL_CITATION { "citationItems" : [ { "id" : "ITEM-1", "itemData" : { "DOI" : "10.1089/ten.TEC.2013.0701", "abstract" : "Melt-plotted poly(\u025b-caprolactone) (PCL) has been widely applied in various tissue regenerations. However, its hydrophobic nature has hindered its usage in wider tissue engineering applications. In this study, we present the development of a porous and multilayered PCL scaffold, which shows outstanding hydrophilic properties and has a roughened surface consisting of homogeneously distributed nanosized pits. The scaffold was obtained using an innovative oxygen plasma treatment. This technology can induce variable nanoscale surface roughness, which is difficult from traditional plasma treatment. Osteoblast-like cells were cultured on the scaffolds and several cellular responses (cell viability, fluorescence images [live/dead cells, nucleus, and actin cytoskeleton], ALP activity, and calcium mineralization) were assessed for untreated PCL and conventionally plasma-treated PCL scaffolds. The data indicated that an appropriate roughness (654\u00b191\u2009nm) of the PCL scaffold processed with the new plasma treatment induced more advantageous responses for the cells, compared with untreated scaffolds and traditional plasma-treated scaffolds.", "author" : [ { "family" : "Jeon", "given" : "HoJun" }, { "family" : "Lee", "given" : "Hyeongjin" }, { "family" : "Kim", "given" : "GeunHyung" } ], "container-title" : "Tissue engineering. Part C, Methods", "id" : "ITEM-1", "issue" : "12", "issued" : { "date-parts" : [ [ "2014" ] ] }, "page" : "951-63", "title" : "A Surface-Modified Poly(\u025b-caprolactone) Scaffold Comprising Variable Nanosized Surface-Roughness Using a Plasma Treatment.", "type" : "article-journal", "volume" : "20" }, "uris" : [ "http://www.mendeley.com/documents/?uuid=056826bf-cfa5-4db4-b448-1b60cd27b1c2" ] } ], "mendeley" : { "formattedCitation" : "[89]", "plainTextFormattedCitation" : "[89]", "previouslyFormattedCitation" : "[90]" }, "properties" : { "noteIndex" : 0 }, "schema" : "https://github.com/citation-style-language/schema/raw/master/csl-citation.json" }</w:instrText>
      </w:r>
      <w:r>
        <w:fldChar w:fldCharType="separate"/>
      </w:r>
      <w:r w:rsidRPr="00A15EFA">
        <w:rPr>
          <w:noProof/>
        </w:rPr>
        <w:t>[90]</w:t>
      </w:r>
      <w:r>
        <w:fldChar w:fldCharType="end"/>
      </w:r>
      <w:r>
        <w:t>.</w:t>
      </w:r>
    </w:p>
    <w:p w:rsidR="005D1052" w:rsidRDefault="005D1052" w:rsidP="005D1052">
      <w:pPr>
        <w:pStyle w:val="Heading4"/>
      </w:pPr>
      <w:bookmarkStart w:id="58" w:name="_Toc440823180"/>
      <w:r>
        <w:t>Scaffold performance</w:t>
      </w:r>
      <w:bookmarkEnd w:id="58"/>
      <w:r>
        <w:t xml:space="preserve"> </w:t>
      </w:r>
    </w:p>
    <w:p w:rsidR="005D1052" w:rsidRDefault="005D1052" w:rsidP="005D1052">
      <w:r w:rsidRPr="00615F6F">
        <w:t>Scaffold mechanical behaviour can be evaluated through compression tests. Luczynski</w:t>
      </w:r>
      <w:r>
        <w:t xml:space="preserve"> et al. </w:t>
      </w:r>
      <w:r w:rsidRPr="00615F6F">
        <w:fldChar w:fldCharType="begin" w:fldLock="1"/>
      </w:r>
      <w:r>
        <w:instrText>ADDIN CSL_CITATION { "citationItems" : [ { "id" : "ITEM-1", "itemData" : { "DOI" : "10.1002/jbm.a.34316", "ISBN" : "1549-3296", "abstract" : "This paper is concerned with reliable and physically sound elasticity determination of rapid-prototyped tissue engineering scaffolds made of poly-L-lactide (PLLA), with and without small portions of tricalcium phosphate (TCP) inclusions. At the level of overall scaffolds, that is, that of several millimeters, multiple uniaxial loading-unloading (quasistatic) tests were performed, giving access to the scaffolds' Young's moduli, through stress-strain characteristics during unloading. In addition, acoustic tests with 0.05 MHz frequency delivered an independent access to elastic properties, in terms of the normal components of the scaffolds' stiffness tensors. The latter strongly correlate, in a linear fashion, with the Young's moduli from the unloading tests, revealing porosity independence of Poisson's ratio. The magnitude of the latter is in full agreement with literature data on polymers. Both of these facts underline that both ultrasound tests and quasistatic unloading tests reliably provide the elastic properties of tissue engineering scaffolds.", "author" : [ { "family" : "Luczynski", "given" : "Krzysztof W." }, { "family" : "Brynk", "given" : "Tomasz" }, { "family" : "Ostrowska", "given" : "Barbara" }, { "family" : "Swieszkowski", "given" : "Wojciech" }, { "family" : "Reihsner", "given" : "Roland" }, { "family" : "Hellmich", "given" : "Christian" } ], "container-title" : "Journal of Biomedical Materials Research - Part A", "id" : "ITEM-1", "issued" : { "date-parts" : [ [ "2013" ] ] }, "page" : "138-144", "title" : "Consistent quasistatic and acoustic elasticity determination of poly-L-lactide-based rapid-prototyped tissue engineering scaffolds", "type" : "article-journal", "volume" : "101 A" }, "uris" : [ "http://www.mendeley.com/documents/?uuid=2e8e0e1e-fe85-4b5b-ada0-f68525836944" ] } ], "mendeley" : { "formattedCitation" : "[90]", "plainTextFormattedCitation" : "[90]", "previouslyFormattedCitation" : "[91]" }, "properties" : { "noteIndex" : 0 }, "schema" : "https://github.com/citation-style-language/schema/raw/master/csl-citation.json" }</w:instrText>
      </w:r>
      <w:r w:rsidRPr="00615F6F">
        <w:fldChar w:fldCharType="separate"/>
      </w:r>
      <w:r w:rsidRPr="00A15EFA">
        <w:rPr>
          <w:noProof/>
        </w:rPr>
        <w:t>[91]</w:t>
      </w:r>
      <w:r w:rsidRPr="00615F6F">
        <w:fldChar w:fldCharType="end"/>
      </w:r>
      <w:r>
        <w:t xml:space="preserve"> carried out a multiple uniaxial loading-unloading test on a regular PLLA-TCP scaffold fabricated by FDM. Strain-stress characteristic were extracted during loading arguing the importance of assessing scaffold elasticity since it determines the spatial stress distribution in porous architectures. Moreover, due to the fact that classical mechanical testing could eventually lead to plastic deformation at the load transfer platens as a consequence of friction, they compared this method with a non invasive ultrasound test finding good agreement. </w:t>
      </w:r>
      <w:r w:rsidRPr="00A21244">
        <w:t>Wieding et</w:t>
      </w:r>
      <w:r>
        <w:t xml:space="preserve"> al. </w:t>
      </w:r>
      <w:r>
        <w:fldChar w:fldCharType="begin" w:fldLock="1"/>
      </w:r>
      <w:r>
        <w:instrText>ADDIN CSL_CITATION { "citationItems" : [ { "id" : "ITEM-1", "itemData" : { "DOI" : "10.3390/ma5081336", "abstract" : "Restoration of segmental defects in long bones remains a challenging task in orthopedic surgery. Although autologous bone is still the \u2018Gold Standard\u2019 because of its high biocompatibility, it has nevertheless been associated with several disadvantages. Consequently, artificial materials, such as calcium phosphate and titanium, have been considered for the treatment of bone defects. In the present study, the mechanical properties of three different scaffold designs were investigated. The scaffolds were made of titanium alloy (Ti6Al4V), fabricated by means of an additive manufacturing process with defined pore geometry and porosities of approximately 70%. Two scaffolds exhibited rectangular struts, orientated in the direction of loading. The struts for the third scaffold were orientated diagonal to the load direction, and featured a circular cross-section. Material properties were calculated from stress-strain relationships under axial compression testing. In vitro cell testing was undertaken with human osteoblasts on scaffolds fabricated using the same manufacturing process. Although the scaffolds exhibited different strut geometry, the mechanical properties of ultimate compressive strength were similar (145\u2013164 MPa) and in the range of human cortical bone. Test results for elastic modulus revealed values between 3.7 and 6.7 GPa. In vitro testing demonstrated proliferation and spreading of bone cells on the scaffold surface.", "author" : [ { "family" : "Wieding", "given" : "Jan" }, { "family" : "Jonitz", "given" : "Anika" }, { "family" : "Bader", "given" : "Rainer" } ], "container-title" : "Materials", "id" : "ITEM-1", "issued" : { "date-parts" : [ [ "2012" ] ] }, "page" : "1336-1347", "title" : "The effect of structural design on mechanical properties and cellular response of additive manufactured titanium scaffolds", "type" : "article-journal", "volume" : "5" }, "uris" : [ "http://www.mendeley.com/documents/?uuid=ab650a84-a944-45a5-987b-98abdae421ca" ] } ], "mendeley" : { "formattedCitation" : "[91]", "plainTextFormattedCitation" : "[91]", "previouslyFormattedCitation" : "[92]" }, "properties" : { "noteIndex" : 0 }, "schema" : "https://github.com/citation-style-language/schema/raw/master/csl-citation.json" }</w:instrText>
      </w:r>
      <w:r>
        <w:fldChar w:fldCharType="separate"/>
      </w:r>
      <w:r w:rsidRPr="00A15EFA">
        <w:rPr>
          <w:noProof/>
        </w:rPr>
        <w:t>[92]</w:t>
      </w:r>
      <w:r>
        <w:fldChar w:fldCharType="end"/>
      </w:r>
      <w:r>
        <w:t xml:space="preserve"> characterised mechanically SLS-fabricated scaffolds based on </w:t>
      </w:r>
      <w:r w:rsidRPr="009146A9">
        <w:t>Ti6A4l4V</w:t>
      </w:r>
      <w:r>
        <w:t xml:space="preserve"> with different orientation of the struts with regard to the load direction. The specimens were tested under axial compression until mechanical failure in order to evaluate the mechanical properties including structural modulus, ultimate compressive strength and strain. Compression tests were also applied by Eshraghi and Das </w:t>
      </w:r>
      <w:r>
        <w:fldChar w:fldCharType="begin" w:fldLock="1"/>
      </w:r>
      <w:r>
        <w:instrText>ADDIN CSL_CITATION { "citationItems" : [ { "id" : "ITEM-1", "itemData" : { "DOI" : "10.1016/j.actbio.2012.04.022", "ISBN" : "1878-7568 (Electronic)\\r1742-7061 (Linking)", "abstract" : "Bioresorbable scaffolds with mechanical properties suitable for bone tissue engineering were fabricated from polycaprolactone (PCL) and hydroxyapatite (HA) by selective laser sintering (SLS) and modeled by finite-element analysis (FEA). Both solid gage parts and scaffolds having 1-D, 2-D and 3-D orthogonal, periodic porous architectures were made with 0, 10, 20 and 30 vol.% HA. PCL:HA scaffolds manufactured by SLS had nearly full density (99%) in the designed solid regions and had excellent geometric and dimensional control. Through optimization of the SLS process, the compressive moduli for our solid gage parts and scaffolds are the highest reported in the literature for additive manufacturing. The compressive moduli of solid gage parts were 299.3, 311.2, 415.5 and 498.3 MPa for PCL:HA loading at 100:0, 90:10, 80:20 and 70:30, respectively. The compressive effective stiffness tended to increase as the loading of HA was increased and the designed porosity was lowered. In the case of the most 3-D porous scaffold, the compressive modulus more than doubled from 14.9 to 36.2 MPa when changing the material from 100:0 to 70:30 PCL:HA. A micromechanical FEA model was developed to investigate the reinforcement effect of HA loading on the compressive modulus of the bulk material. Using a first-principles based approach, the random distribution of HA particles in a solidified PCL matrix was modeled for any HA loading to predict the bulk mechanical properties of the composites. The bulk mechanical properties were also used for FEA of the scaffold geometries. The results of the FEA were found to be in good agreement with experimental mechanical testing. The development of patient- and site-specific composite tissue-engineering constructs with tailored properties can be seen as a direct extension of this work on computational design, a priori modeling of mechanical properties and direct digital manufacturing. \u00a9 2012 Acta Materialia Inc. Published by Elsevier Ltd. All rights reserved.", "author" : [ { "family" : "Eshraghi", "given" : "Shaun" }, { "family" : "Das", "given" : "Suman" } ], "container-title" : "Acta Biomaterialia", "id" : "ITEM-1", "issue" : "8", "issued" : { "date-parts" : [ [ "2012" ] ] }, "page" : "3138-3143", "publisher" : "Acta Materialia Inc.", "title" : "Micromechanical finite-element modeling and experimental characterization of the compressive mechanical properties of polycaprolactone-hydroxyapatite composite scaffolds prepared by selective laser sintering for bone tissue engineering", "type" : "article-journal", "volume" : "8" }, "uris" : [ "http://www.mendeley.com/documents/?uuid=539a25c8-a3f4-4e88-9331-d2bdbbd9b985" ] } ], "mendeley" : { "formattedCitation" : "[92]", "plainTextFormattedCitation" : "[92]", "previouslyFormattedCitation" : "[93]" }, "properties" : { "noteIndex" : 0 }, "schema" : "https://github.com/citation-style-language/schema/raw/master/csl-citation.json" }</w:instrText>
      </w:r>
      <w:r>
        <w:fldChar w:fldCharType="separate"/>
      </w:r>
      <w:r w:rsidRPr="00A15EFA">
        <w:rPr>
          <w:noProof/>
        </w:rPr>
        <w:t>[93]</w:t>
      </w:r>
      <w:r>
        <w:fldChar w:fldCharType="end"/>
      </w:r>
      <w:r>
        <w:t xml:space="preserve"> to investigate the effect of loading a pure PCL scaffold with HA on the compressive effective stiffness. Moreover, a FE model was developed in order to predict the bulk mechanical properties of composite scaffolds with different loadings. However, this model was developed based on the ideal CAD geometry. By the inclusion of the </w:t>
      </w:r>
      <w:r>
        <w:rPr>
          <w:rFonts w:ascii="Calibri" w:hAnsi="Calibri"/>
        </w:rPr>
        <w:t>μ</w:t>
      </w:r>
      <w:r>
        <w:t xml:space="preserve">CT-based scaffold geometry in the FE simulations it is possible to quantify the mechanical behaviour of the actual scaffold in a wide range of scenarios. FE simulations have the potential to substitute experimental tests in order to characterize scaffold mechanical performance after the fabrication process. Ren et al. </w:t>
      </w:r>
      <w:r>
        <w:fldChar w:fldCharType="begin" w:fldLock="1"/>
      </w:r>
      <w:r>
        <w:instrText>ADDIN CSL_CITATION { "citationItems" : [ { "id" : "ITEM-1", "itemData" : { "DOI" : "10.1007/s10856-011-4469-2", "abstract" : "Hydroxyapatite ceramics have been widely investigated for bone regeneration due to their high biocompatibility. However, few studies focus on their mechanical characteristics after implantation. In this study, the finite element (FE) method was used to evaluate the mechanical properties of a fully interconnected porous hydroxyapatite (IPHA) over time of implantation. Based on the micro-CT images obtained from the experiments dealing with IPHA implanted into rabbit femoral condyles, three-dimensional FE models of IPHA (1, 5, 12, 24, and 48 weeks after implantation) were developed. FE analysis indicated that the elastic modulus gradually increased from 1 week and reached the peak value at 24 weeks, and then it kept at high level until 48 weeks postoperatively. In addition, as a local biomechanical response, strain energy density became to distribute evenly over time after the implantation. Results confirmed that the mechanical properties of IPHA are strongly correlated to bone ingrowth. The efficiency of the proposed numerical approach was validated in combination with experimental studies, and the feasibility of applying this approach to study such implanted porous bioceramics was proved.", "author" : [ { "family" : "Ren", "given" : "Li Mei" }, { "family" : "Arahira", "given" : "Takaaki" }, { "family" : "Todo", "given" : "Mitsugu" }, { "family" : "Yoshikawa", "given" : "Hideki" }, { "family" : "Myoui", "given" : "Akira" } ], "container-title" : "Journal of Materials Science: Materials in Medicine", "id" : "ITEM-1", "issued" : { "date-parts" : [ [ "2012" ] ] }, "page" : "463-472", "title" : "Biomechanical evaluation of porous bioactive ceramics after implantation: Micro CT-based three-dimensional finite element analysis", "type" : "article-journal", "volume" : "23" }, "uris" : [ "http://www.mendeley.com/documents/?uuid=8bd33627-4b5d-4e5f-86e3-8243eb97e74b" ] } ], "mendeley" : { "formattedCitation" : "[93]", "plainTextFormattedCitation" : "[93]", "previouslyFormattedCitation" : "[94]" }, "properties" : { "noteIndex" : 0 }, "schema" : "https://github.com/citation-style-language/schema/raw/master/csl-citation.json" }</w:instrText>
      </w:r>
      <w:r>
        <w:fldChar w:fldCharType="separate"/>
      </w:r>
      <w:r w:rsidRPr="00A15EFA">
        <w:rPr>
          <w:noProof/>
        </w:rPr>
        <w:t>[94]</w:t>
      </w:r>
      <w:r>
        <w:fldChar w:fldCharType="end"/>
      </w:r>
      <w:r>
        <w:t xml:space="preserve"> carried out </w:t>
      </w:r>
      <w:r>
        <w:rPr>
          <w:rFonts w:ascii="Calibri" w:hAnsi="Calibri"/>
        </w:rPr>
        <w:t>μ</w:t>
      </w:r>
      <w:r>
        <w:t xml:space="preserve">CT-based FE simulations to report the mechanical properties of an interconnected porous HA scaffold after animal implantation over time. Lohfeld et al. </w:t>
      </w:r>
      <w:r>
        <w:fldChar w:fldCharType="begin" w:fldLock="1"/>
      </w:r>
      <w:r>
        <w:instrText>ADDIN CSL_CITATION { "citationItems" : [ { "id" : "ITEM-1", "itemData" : { "DOI" : "10.1007/s10856-014-5376-0", "author" : [ { "family" : "Lohfeld", "given" : "S." }, { "family" : "Cahill", "given" : "S." }, { "family" : "Doyle", "given" : "H." }, { "family" : "McHugh", "given" : "P. E." } ], "container-title" : "Journal of Materials Science: Materials in Medicine", "id" : "ITEM-1", "issued" : { "date-parts" : [ [ "2015" ] ] }, "title" : "Improving the finite element model accuracy of tissue engineering scaffolds produced by selective laser sintering", "type" : "article-journal", "volume" : "26" }, "uris" : [ "http://www.mendeley.com/documents/?uuid=5ea5d37a-08cb-4bc0-a8d4-6a0196a65f57" ] } ], "mendeley" : { "formattedCitation" : "[94]", "plainTextFormattedCitation" : "[94]", "previouslyFormattedCitation" : "[95]" }, "properties" : { "noteIndex" : 0 }, "schema" : "https://github.com/citation-style-language/schema/raw/master/csl-citation.json" }</w:instrText>
      </w:r>
      <w:r>
        <w:fldChar w:fldCharType="separate"/>
      </w:r>
      <w:r w:rsidRPr="00A15EFA">
        <w:rPr>
          <w:noProof/>
        </w:rPr>
        <w:t>[95]</w:t>
      </w:r>
      <w:r>
        <w:fldChar w:fldCharType="end"/>
      </w:r>
      <w:r>
        <w:t xml:space="preserve"> compared FE results based on </w:t>
      </w:r>
      <w:r>
        <w:rPr>
          <w:rFonts w:ascii="Calibri" w:hAnsi="Calibri"/>
        </w:rPr>
        <w:t>μ</w:t>
      </w:r>
      <w:r>
        <w:t xml:space="preserve">CT scans with experimental mechanical tests for the analysis of a group of PCL-TCP scaffolds produced by SLS with different architecture </w:t>
      </w:r>
      <w:r>
        <w:lastRenderedPageBreak/>
        <w:t>designs. In this case, they discovered that the lack of predictive power of the FE model for some of the models was due to the input elastic modulus. The same input was applied to all models and it was found to be dependent on the energy density applied during the sintering of the powder material which determines the powder binding strength. To better understand this, nanoindentation tests were proposed to determine the local elastic moduli and generate more accurate FE models.</w:t>
      </w:r>
    </w:p>
    <w:p w:rsidR="005D1052" w:rsidRDefault="005D1052" w:rsidP="005D1052">
      <w:r>
        <w:t xml:space="preserve">On the other hand, permeability determines the mass and species transport properties of porous scaffolds. In addition, it influences the biophysical stimuli at the cell level induced by the fluid flowing through the scaffold pores. Permeability is related to the scaffold porosity and pore interconnectivity and it determines the ease at which the fluid flows through the scaffold pores. Experimental methods have been employed to assess the permeability of fabricated scaffolds. For instance, Ochoa et al. </w:t>
      </w:r>
      <w:r>
        <w:fldChar w:fldCharType="begin" w:fldLock="1"/>
      </w:r>
      <w:r>
        <w:instrText>ADDIN CSL_CITATION { "citationItems" : [ { "id" : "ITEM-1", "itemData" : { "DOI" : "10.1016/j.jbiomech.2008.10.030", "ISBN" : "0021-9290 (Print) 0021-9290 (Linking)", "abstract" : "Permeability is a key parameter for microstructural design of scaffolds, since it is related to their capability for waste removal and nutrients/oxygen supply. In this framework, Darcy's experiments were carried out in order to determine the relationship between the pressure drop gradient and the fluid flow velocity in Bioglass-based scaffolds to obtain the scaffold's permeability. Using deionised water as working fluid, the measured average permeability value on scaffolds of 90-95% porosity was 1.96 x 10(-9) m(2). This value lies in the published range of permeability values for trabecular bone.", "author" : [ { "family" : "Ochoa", "given" : "Ignacio" }, { "family" : "Sanz-Herrera", "given" : "Jos\u00e9 a" }, { "family" : "Garc\u00eda-Aznar", "given" : "Jos\u00e9 M" }, { "family" : "Doblar\u00e9", "given" : "Manuel" }, { "family" : "Yunos", "given" : "Darmawati Mohamad" }, { "family" : "Boccaccini", "given" : "Aldo R" } ], "container-title" : "Journal of biomechanics", "id" : "ITEM-1", "issued" : { "date-parts" : [ [ "2009" ] ] }, "page" : "257-60", "title" : "Permeability evaluation of 45S5 Bioglass-based scaffolds for bone tissue engineering.", "type" : "article-journal", "volume" : "42" }, "uris" : [ "http://www.mendeley.com/documents/?uuid=8e93bf17-24bf-43a1-b064-ae951179435c" ] } ], "mendeley" : { "formattedCitation" : "[95]", "plainTextFormattedCitation" : "[95]", "previouslyFormattedCitation" : "[96]" }, "properties" : { "noteIndex" : 0 }, "schema" : "https://github.com/citation-style-language/schema/raw/master/csl-citation.json" }</w:instrText>
      </w:r>
      <w:r>
        <w:fldChar w:fldCharType="separate"/>
      </w:r>
      <w:r w:rsidRPr="00A15EFA">
        <w:rPr>
          <w:noProof/>
        </w:rPr>
        <w:t>[96]</w:t>
      </w:r>
      <w:r>
        <w:fldChar w:fldCharType="end"/>
      </w:r>
      <w:r>
        <w:t xml:space="preserve"> calculated the permeability of a bioglass-based foam scaffold by generating a controlled flow through the scaffold using a peristaltic pump in combination with a fluid damper. Permeability could be obtained by Darcy’s law knowing the pressure drop that occurs due to the resistance of the scaffold to the flow under the specific flow rate applied. Truscello et al. </w:t>
      </w:r>
      <w:r>
        <w:fldChar w:fldCharType="begin" w:fldLock="1"/>
      </w:r>
      <w:r>
        <w:instrText>ADDIN CSL_CITATION { "citationItems" : [ { "id" : "ITEM-1", "itemData" : { "DOI" : "10.1016/j.actbio.2011.12.021", "ISBN" : "1878-7568 (Electronic)\\n1742-7061 (Linking)", "abstract" : "Scaffold permeability is a key parameter combining geometrical features such as pore shape, size and interconnectivity, porosity and specific surface area. It can influence the success of bone tissue engineering scaffolds, by affecting oxygen and nutrient transport, cell seeding efficiency, in vitro three-dimensional (3D) cell culture and, ultimately, the amount of bone formation. An accurate and efficient prediction of scaffold permeability would be highly useful as part of a scaffold design process. The aim of this study was (i) to determine the accuracy of computational fluid dynamics (CFD) models for prediction of the permeability coefficient of three different regular Ti6Al4V scaffolds (each having a different porosity) by comparison with experimentally measured values and (ii) to verify the validity of the semi-empirical Kozeny equation to calculate the permeability analytically. To do so, five CFD geometrical models per scaffold porosity were built, based on different geometrical inputs: either based on the scaffold's computer-aided design (CAD) or derived from 3D microfocus X-ray computed tomography (micro-CT) data of the additive manufactured (AM) scaffolds. For the latter the influence of the spatial image resolution and the image analysis algorithm used to determine the scaffold's architectural features on the predicted permeability was analysed. CFD models based on high-resolution micro-CT images could predict the permeability coefficients of the studied scaffolds: depending on scaffold porosity and image analysis algorithm, relative differences between measured and predicted permeability values were between 2% and 27%. Finally, the analytical Kozeny equation was found to be valid. A linear correlation between the ratio \u03a6(3)/S(s)(2) and the permeability coefficient k was found for the predicted (by means of CFD) as well as measured values (relative difference of 16.4% between respective Kozeny coefficients), thus resulting in accurate and efficient calculation of the permeability of regular AM scaffolds.", "author" : [ { "family" : "Truscello", "given" : "S" }, { "family" : "Kerckhofs", "given" : "G" }, { "family" : "Van Bael", "given" : "S" }, { "family" : "Pyka", "given" : "G" }, { "family" : "Schrooten", "given" : "J" }, { "family" : "Van Oosterwyck", "given" : "H" } ], "container-title" : "Acta biomaterialia", "id" : "ITEM-1", "issue" : "4", "issued" : { "date-parts" : [ [ "2012" ] ] }, "page" : "1648-58", "publisher" : "Acta Materialia Inc.", "title" : "Prediction of permeability of regular scaffolds for skeletal tissue engineering: a combined computational and experimental study.", "type" : "article-journal", "volume" : "8" }, "uris" : [ "http://www.mendeley.com/documents/?uuid=eaf85595-b875-4c7e-8ba2-68611a9da74a" ] } ], "mendeley" : { "formattedCitation" : "[96]", "plainTextFormattedCitation" : "[96]", "previouslyFormattedCitation" : "[97]" }, "properties" : { "noteIndex" : 0 }, "schema" : "https://github.com/citation-style-language/schema/raw/master/csl-citation.json" }</w:instrText>
      </w:r>
      <w:r>
        <w:fldChar w:fldCharType="separate"/>
      </w:r>
      <w:r w:rsidRPr="00A15EFA">
        <w:rPr>
          <w:noProof/>
        </w:rPr>
        <w:t>[97]</w:t>
      </w:r>
      <w:r>
        <w:fldChar w:fldCharType="end"/>
      </w:r>
      <w:r>
        <w:t xml:space="preserve"> applied a similar method to calculate the permeability of a regular RP </w:t>
      </w:r>
      <w:r w:rsidRPr="009146A9">
        <w:t>Ti6A4l4V</w:t>
      </w:r>
      <w:r>
        <w:t xml:space="preserve"> scaffold which served to test the predictive power of a CFD model based on </w:t>
      </w:r>
      <w:r>
        <w:rPr>
          <w:rFonts w:ascii="Calibri" w:hAnsi="Calibri"/>
        </w:rPr>
        <w:t>μ</w:t>
      </w:r>
      <w:r>
        <w:t xml:space="preserve">CT data. CFD simulations can characterise the performance of scaffolds under fluid flow avoiding time consuming and expensive experimental trials. Shear stress and pressure distributions over scaffold surface can be calculated through </w:t>
      </w:r>
      <w:r>
        <w:rPr>
          <w:rFonts w:ascii="Calibri" w:hAnsi="Calibri"/>
        </w:rPr>
        <w:t>μ</w:t>
      </w:r>
      <w:r>
        <w:t xml:space="preserve">CT-based simulations reporting local variations at the cell scale </w:t>
      </w:r>
      <w:r>
        <w:fldChar w:fldCharType="begin" w:fldLock="1"/>
      </w:r>
      <w:r w:rsidR="003F0BD9">
        <w:instrText>ADDIN CSL_CITATION { "citationItems" : [ { "id" : "ITEM-1", "itemData" : { "DOI" : "10.1016/j.jbiomech.2012.04.015", "ISBN" : "0021-9290", "ISSN" : "1873-2380", "PMID" : "22541942", "abstract" : "Fluid mechanical stimuli are known to upregulate cell differentiation and matrix formation. Since wall shear stress plays an important role various studies tried to estimate the scaffold fluid dynamic environment. However, because of the geometrical complexity, nearly all studies created their CFD model based on a submodel of the entire scaffold assuming that the model covers heterogeneity sufficiently. However to the authors' knowledge no study exist providing guidelines in this matter. In a previous study we demonstrated that submodels are influenced by the boundary conditions, inevitable when flow channels are chopped off. For the current study we therefore developed \u03bcCT based models of two complete scaffold geometries (one titanium and one hydroxyapatite). Imposing a 0.04 ml/min flow rate resulted in a surface area averaged wall shear stress of 1.41 mPa for titanium and 1.09 mPa for hydroxyapatite. In order to get insight in required model size we subdivided the domain in regions of different size. From our results we propose a model size between 6 and 10 times the average pore size. The wall shears stress should be calculated on a region at least one pore size away from the boundaries. These guidelines could be of use for computationally more costly simulations where it is not possible to simulate the complete scaffold domain.", "author" : [ { "dropping-particle" : "", "family" : "Maes", "given" : "F", "non-dropping-particle" : "", "parse-names" : false, "suffix" : "" }, { "dropping-particle" : "", "family" : "Claessens", "given" : "T", "non-dropping-particle" : "", "parse-names" : false, "suffix" : "" }, { "dropping-particle" : "", "family" : "Moesen", "given" : "M", "non-dropping-particle" : "", "parse-names" : false, "suffix" : "" }, { "dropping-particle" : "", "family" : "Oosterwyck", "given" : "H", "non-dropping-particle" : "Van", "parse-names" : false, "suffix" : "" }, { "dropping-particle" : "", "family" : "Ransbeeck", "given" : "P", "non-dropping-particle" : "Van", "parse-names" : false, "suffix" : "" }, { "dropping-particle" : "", "family" : "Verdonck", "given" : "P", "non-dropping-particle" : "", "parse-names" : false, "suffix" : "" } ], "container-title" : "Journal of biomechanics", "id" : "ITEM-1", "issue" : "9", "issued" : { "date-parts" : [ [ "2012" ] ] }, "page" : "1586-92", "publisher" : "Elsevier", "title" : "Computational models for wall shear stress estimation in scaffolds: a comparative study of two complete geometries.", "type" : "article-journal", "volume" : "45" }, "uris" : [ "http://www.mendeley.com/documents/?uuid=1b0b2973-1304-4c08-9bae-174b5564be47" ] }, { "id" : "ITEM-2", "itemData" : { "DOI" : "10.1089/ten.tea.2008.0204", "ISBN" : "1937-3341", "ISSN" : "1937-3341", "PMID" : "18831686", "abstract" : "The increasing demand for bone grafts, combined with their limited availability and potential risks, has led to much new research in bone tissue engineering. Current strategies of bone tissue engineering commonly use cell-seeded scaffolds and flow perfusion bioreactors to stimulate the cells to produce bone tissue suitable for implantation into the patient's body. The aim of this study was to quantify and compare the wall shear stresses in two bone tissue engineering scaffold types (collagen-glycosaminoglycan (CG) and calcium phosphate) exposed to fluid flow in a perfusion bioreactor. Based on micro-computed tomography images, three-dimensional numerical computational fluid dynamics (CFD) models of the two scaffold types were developed to calculate the wall shear stresses within the scaffolds. For a given flow rate (normalized according to the cross-sectional area of the scaffolds), shear stress was 2.8 times as high in the CG as in the calcium-phosphate scaffold. This is due to the differences in scaffold geometry, particularly the pore size (CG pore size approximately 96 microm, calcium phosphate pore size approximately 350 microm). The numerically obtained results were compared with those from an analytical method that researchers use widely experimentalists to determine perfusion flow rates in bioreactors. Our CFD simulations revealed that the cells in both scaffold types were exposed to a wide range of wall shear stresses throughout the scaffolds and that the analytical method predicted shear stresses 12% to 21% greater than those predicted using the CFD method. This study demonstrated that the wall shear stresses in calcium phosphate scaffolds (745.2 mPa) are approximately 40 times as high as in CG scaffolds (19.4 mPa) when flow rates are applied that have been experimentally used to stimulate the release of prostaglandin E(2). These findings indicate the importance of using accurate computational models to estimate shear stress and determine experimental conditions in perfusion bioreactors for tissue engineering.", "author" : [ { "dropping-particle" : "", "family" : "Jungreuthmayer", "given" : "Christian", "non-dropping-particle" : "", "parse-names" : false, "suffix" : "" }, { "dropping-particle" : "", "family" : "Donahue", "given" : "Seth W", "non-dropping-particle" : "", "parse-names" : false, "suffix" : "" }, { "dropping-particle" : "", "family" : "Jaasma", "given" : "Michael J", "non-dropping-particle" : "", "parse-names" : false, "suffix" : "" }, { "dropping-particle" : "", "family" : "Al-Munajjed", "given" : "Amir a", "non-dropping-particle" : "", "parse-names" : false, "suffix" : "" }, { "dropping-particle" : "", "family" : "Zanghellini", "given" : "J\u00fcrgen", "non-dropping-particle" : "", "parse-names" : false, "suffix" : "" }, { "dropping-particle" : "", "family" : "Kelly", "given" : "Daniel J", "non-dropping-particle" : "", "parse-names" : false, "suffix" : "" }, { "dropping-particle" : "", "family" : "O'Brien", "given" : "Fergal J", "non-dropping-particle" : "", "parse-names" : false, "suffix" : "" } ], "container-title" : "Tissue engineering. Part A", "id" : "ITEM-2", "issue" : "5", "issued" : { "date-parts" : [ [ "2009" ] ] }, "page" : "1141-1149", "title" : "A comparative study of shear stresses in collagen-glycosaminoglycan and calcium phosphate scaffolds in bone tissue-engineering bioreactors.", "type" : "article-journal", "volume" : "15" }, "uris" : [ "http://www.mendeley.com/documents/?uuid=78837b5f-9318-47ae-8b2d-5e2eeceee663" ] } ], "mendeley" : { "formattedCitation" : "[97], [98]", "manualFormatting" : "[98, ", "plainTextFormattedCitation" : "[97], [98]", "previouslyFormattedCitation" : "[98,99]" }, "properties" : { "noteIndex" : 0 }, "schema" : "https://github.com/citation-style-language/schema/raw/master/csl-citation.json" }</w:instrText>
      </w:r>
      <w:r>
        <w:fldChar w:fldCharType="separate"/>
      </w:r>
      <w:r w:rsidRPr="00076054">
        <w:rPr>
          <w:noProof/>
        </w:rPr>
        <w:t>[</w:t>
      </w:r>
      <w:r w:rsidR="003F0BD9">
        <w:rPr>
          <w:noProof/>
        </w:rPr>
        <w:t>98</w:t>
      </w:r>
      <w:r>
        <w:rPr>
          <w:noProof/>
        </w:rPr>
        <w:t xml:space="preserve">, </w:t>
      </w:r>
      <w:r>
        <w:fldChar w:fldCharType="end"/>
      </w:r>
      <w:r w:rsidR="003F0BD9">
        <w:t>99]</w:t>
      </w:r>
      <w:r>
        <w:t xml:space="preserve">. Moreover, the access to these measurements during experimental trials is limited due to the scaffold geometry and channels size where only mean shear stress values can be reported by analytical approaches </w:t>
      </w:r>
      <w:r>
        <w:fldChar w:fldCharType="begin" w:fldLock="1"/>
      </w:r>
      <w:r>
        <w:instrText>ADDIN CSL_CITATION { "citationItems" : [ { "id" : "ITEM-1", "itemData" : { "ISBN" : "1713348535", "abstract" : "Culture of seeded osteoblastic cells in three-dimensional osteoconductive scaffolds in vitro is a promising approach to produce an osteoinductive material for repair of bone defects. However, culture of cells in scaffolds sufficiently large to bridge critical-sized defects is a challenge for tissue engineers. Diffusion may not be sufficient to supply nutrients into large scaffolds and consequently cells may grow preferentially at the periphery under static culture conditions. Three alternative culturing schemes that convect media were considered: a spinner flask, a rotary vessel, and a perfusion flow system. Poly(DL-lactic-co-glycolic acid) (PLGA) foam discs (12.7 mm diameter, 6.0 mm thick, 78.8% porous) were seeded with osteoblastic marrow stromal cells and cultured in the presence of dexamethasone and L-ascorbic acid for 7 and 14 days. Cell numbers per foam were found to be similar with all culturing schemes indicating that cell growth could not be enhanced by convection, but histological analysis indicated that the rotary vessel and flow system produced a more uniform distribution of cells throughout the foams. Alkaline phosphatase (ALP) activity per cell was higher with culture in the flow system and spinner flask after 7 days, while no differences in osteocalcin (OC) activity per cell were observed among culturing methods after 14 days in culture. Based on the higher ALP activity and better cell uniformity throughout the cultured foams, the flow system appears to be the superior culturing method, although equally important is the fact that in none of the tests did any of the alternative culturing techniques underperform the static controls. Thus, this study demonstrates that culturing techniques that utilize fluid flow, and in particular the flow perfusion system, improve the properties of the seeded cells over those maintained in static culture.", "author" : [ { "family" : "Goldstein", "given" : "a S" }, { "family" : "Juarez", "given" : "T M" }, { "family" : "Helmke", "given" : "C D" }, { "family" : "Gustin", "given" : "M C" }, { "family" : "Mikos", "given" : "a G" } ], "container-title" : "Biomaterials", "id" : "ITEM-1", "issue" : "11", "issued" : { "date-parts" : [ [ "2001", "6" ] ] }, "page" : "1279-88", "title" : "Effect of convection on osteoblastic cell growth and function in biodegradable polymer foam scaffolds.", "type" : "article-journal", "volume" : "22" }, "uris" : [ "http://www.mendeley.com/documents/?uuid=776397cb-d5a4-40ce-bae8-897840c8f2b9" ] } ], "mendeley" : { "formattedCitation" : "[99]", "manualFormatting" : "[63, ", "plainTextFormattedCitation" : "[99]", "previouslyFormattedCitation" : "[100]" }, "properties" : { "noteIndex" : 0 }, "schema" : "https://github.com/citation-style-language/schema/raw/master/csl-citation.json" }</w:instrText>
      </w:r>
      <w:r>
        <w:fldChar w:fldCharType="separate"/>
      </w:r>
      <w:r w:rsidRPr="005B7D14">
        <w:rPr>
          <w:noProof/>
        </w:rPr>
        <w:t>[</w:t>
      </w:r>
      <w:r w:rsidR="003F0BD9">
        <w:rPr>
          <w:noProof/>
        </w:rPr>
        <w:t>100</w:t>
      </w:r>
      <w:r>
        <w:rPr>
          <w:noProof/>
        </w:rPr>
        <w:t xml:space="preserve">, </w:t>
      </w:r>
      <w:r>
        <w:fldChar w:fldCharType="end"/>
      </w:r>
      <w:r>
        <w:fldChar w:fldCharType="begin" w:fldLock="1"/>
      </w:r>
      <w:r>
        <w:instrText>ADDIN CSL_CITATION { "citationItems" : [ { "id" : "ITEM-1", "itemData" : { "DOI" : "10.1161/01.ATV.20.10.2220", "ISBN" : "1079-5642\\n1524-4636", "abstract" : "A 3D collagen gel model was developed to simulate interstitial fluid flow and to assess the importance of this flow on the biochemical production rates of vascular smooth muscle cells (SMCs). Rat aortic SMCs were suspended in type I collagen, and the gel was supported by nylon fibers that allowed a 9-cm length of the SMC-gel model to withstand 90 cm H(2)O differential pressure over a 6-hour period without significant compaction. Up to 1 dyne/cm(2) shear stress on the suspended SMCs could be induced by the pressure-driven interstitial flow. The suspended SMCs were globular, had a diameter of approximately 10 microm, and were distributed uniformly throughout the gel. The collagen fibers formed a network that was connected randomly with the surface of SMCs and nylon fibers. The diameter of the collagen fibers was approximately 100 nm, and the concentration of collagen was 2.5 mg/mL. Using these parameters, fiber matrix theory predicted a Darcy permeability coefficient (K:(p)) of 1.22x10(-)(8) cm(2), which was close to the measured value of K:(p). The production rates of prostaglandin (PG) I(2) and PGE(2) were used as markers of biochemical responsiveness of SMCs to fluid shear stress. Both PGI(2) and PGE(2) production rates under 1 dyne/cm(2) shear stress were significantly elevated relative to static (no-flow) controls. The production rates, however, were approximately 10 times lower than observed when the same cells were plated on collagen-treated glass slides (2D model) and exposed to the same level of shear stress by use of a rotating disk apparatus. The results indicate that interstitial flow can affect SMC biology and that SMCs are more quiescent in 3D cultures than in 2D cultures. The 3D collagen gel model should be useful for future studies of interstitial flow effects on SMC function.", "author" : [ { "family" : "Wang", "given" : "S" }, { "family" : "Tarbell", "given" : "J M" } ], "container-title" : "Arteriosclerosis, thrombosis, and vascular biology", "id" : "ITEM-1", "issued" : { "date-parts" : [ [ "2000" ] ] }, "page" : "2220-2225", "title" : "Effect of fluid flow on smooth muscle cells in a 3-dimensional collagen gel model.", "type" : "article-journal", "volume" : "20" }, "uris" : [ "http://www.mendeley.com/documents/?uuid=a971ff34-cc6e-4b04-968f-9c2eb4d3157a" ] } ], "mendeley" : { "formattedCitation" : "[100]", "manualFormatting" : "64]", "plainTextFormattedCitation" : "[100]", "previouslyFormattedCitation" : "[101]" }, "properties" : { "noteIndex" : 0 }, "schema" : "https://github.com/citation-style-language/schema/raw/master/csl-citation.json" }</w:instrText>
      </w:r>
      <w:r>
        <w:fldChar w:fldCharType="separate"/>
      </w:r>
      <w:r w:rsidR="003F0BD9">
        <w:rPr>
          <w:noProof/>
        </w:rPr>
        <w:t>101</w:t>
      </w:r>
      <w:r w:rsidRPr="005B7D14">
        <w:rPr>
          <w:noProof/>
        </w:rPr>
        <w:t>]</w:t>
      </w:r>
      <w:r>
        <w:fldChar w:fldCharType="end"/>
      </w:r>
      <w:r>
        <w:t>.</w:t>
      </w:r>
    </w:p>
    <w:p w:rsidR="005D1052" w:rsidRPr="00ED0E6A" w:rsidRDefault="005D1052" w:rsidP="005D1052">
      <w:pPr>
        <w:pStyle w:val="Heading3"/>
      </w:pPr>
      <w:bookmarkStart w:id="59" w:name="_Toc440823181"/>
      <w:r w:rsidRPr="00ED0E6A">
        <w:lastRenderedPageBreak/>
        <w:t>Scaffold production standardization and inspection protocols</w:t>
      </w:r>
      <w:bookmarkEnd w:id="59"/>
    </w:p>
    <w:p w:rsidR="005D1052" w:rsidRDefault="005D1052" w:rsidP="005D1052">
      <w:r>
        <w:t xml:space="preserve">Despite the fact that RP methods have demonstrated their feasibility to build scaffolds with control over architecture and attain biophysical properties, the scalability of the production process for commercialization purposes and the translation into the clinics remain challenging. The steps involved in the production of scaffolds need to conform the regulations established by the FDA for clinical application </w:t>
      </w:r>
      <w:r>
        <w:fldChar w:fldCharType="begin" w:fldLock="1"/>
      </w:r>
      <w:r>
        <w:instrText>ADDIN CSL_CITATION { "citationItems" : [ { "id" : "ITEM-1", "itemData" : { "DOI" : "10.1002/adma.200802977", "author" : [ { "family" : "Hollister", "given" : "Scott J." } ], "container-title" : "Advanced Materials", "id" : "ITEM-1", "issued" : { "date-parts" : [ [ "2009" ] ] }, "page" : "3330-3342", "title" : "Scaffold Design and Manufacturing: From Concept to Clinic", "type" : "article-journal", "volume" : "21" }, "uris" : [ "http://www.mendeley.com/documents/?uuid=8f2fdc18-c50e-48e5-9134-9367da776fb2" ] } ], "mendeley" : { "formattedCitation" : "[101]", "plainTextFormattedCitation" : "[101]", "previouslyFormattedCitation" : "[102]" }, "properties" : { "noteIndex" : 0 }, "schema" : "https://github.com/citation-style-language/schema/raw/master/csl-citation.json" }</w:instrText>
      </w:r>
      <w:r>
        <w:fldChar w:fldCharType="separate"/>
      </w:r>
      <w:r w:rsidRPr="00A15EFA">
        <w:rPr>
          <w:noProof/>
        </w:rPr>
        <w:t>[102]</w:t>
      </w:r>
      <w:r>
        <w:fldChar w:fldCharType="end"/>
      </w:r>
      <w:r>
        <w:t xml:space="preserve">. One of the key translational aspects is the regulation of the manufacturing process which must ensure quality and reproducibility. Control over fabrication parameters such as laser beam energy density in SLS is essential to deliver the expected design and ensure the consistency among scaffold samples </w:t>
      </w:r>
      <w:r>
        <w:fldChar w:fldCharType="begin" w:fldLock="1"/>
      </w:r>
      <w:r>
        <w:instrText>ADDIN CSL_CITATION { "citationItems" : [ { "id" : "ITEM-1", "itemData" : { "DOI" : "10.1007/s10856-014-5376-0", "author" : [ { "family" : "Lohfeld", "given" : "S." }, { "family" : "Cahill", "given" : "S." }, { "family" : "Doyle", "given" : "H." }, { "family" : "McHugh", "given" : "P. E." } ], "container-title" : "Journal of Materials Science: Materials in Medicine", "id" : "ITEM-1", "issued" : { "date-parts" : [ [ "2015" ] ] }, "title" : "Improving the finite element model accuracy of tissue engineering scaffolds produced by selective laser sintering", "type" : "article-journal", "volume" : "26" }, "uris" : [ "http://www.mendeley.com/documents/?uuid=5ea5d37a-08cb-4bc0-a8d4-6a0196a65f57" ] } ], "mendeley" : { "formattedCitation" : "[94]", "plainTextFormattedCitation" : "[94]", "previouslyFormattedCitation" : "[95]" }, "properties" : { "noteIndex" : 0 }, "schema" : "https://github.com/citation-style-language/schema/raw/master/csl-citation.json" }</w:instrText>
      </w:r>
      <w:r>
        <w:fldChar w:fldCharType="separate"/>
      </w:r>
      <w:r w:rsidRPr="00A15EFA">
        <w:rPr>
          <w:noProof/>
        </w:rPr>
        <w:t>[95]</w:t>
      </w:r>
      <w:r>
        <w:fldChar w:fldCharType="end"/>
      </w:r>
      <w:r>
        <w:t xml:space="preserve">. Domingos et al. </w:t>
      </w:r>
      <w:r>
        <w:fldChar w:fldCharType="begin" w:fldLock="1"/>
      </w:r>
      <w:r>
        <w:instrText>ADDIN CSL_CITATION { "citationItems" : [ { "id" : "ITEM-1", "itemData" : { "DOI" : "10.1108/13552541211193502", "author" : [ { "family" : "Domingos", "given" : "M." }, { "family" : "Chiellini", "given" : "F." }, { "family" : "Gloria", "given" : "a." }, { "family" : "Ambrosio", "given" : "L." }, { "family" : "Bartolo", "given" : "P." }, { "family" : "Chiellini", "given" : "E." } ], "container-title" : "Rapid Prototyping Journal", "id" : "ITEM-1", "issue" : "1", "issued" : { "date-parts" : [ [ "2012" ] ] }, "page" : "56-67", "title" : "Effect of process parameters on the morphological and mechanical properties of 3D Bioextruded poly(?-caprolactone) scaffolds", "type" : "article-journal", "volume" : "18" }, "uris" : [ "http://www.mendeley.com/documents/?uuid=200b7dad-6e80-4678-9a1c-fad6846b937c" ] } ], "mendeley" : { "formattedCitation" : "[102]", "plainTextFormattedCitation" : "[102]", "previouslyFormattedCitation" : "[103]" }, "properties" : { "noteIndex" : 0 }, "schema" : "https://github.com/citation-style-language/schema/raw/master/csl-citation.json" }</w:instrText>
      </w:r>
      <w:r>
        <w:fldChar w:fldCharType="separate"/>
      </w:r>
      <w:r w:rsidRPr="00A15EFA">
        <w:rPr>
          <w:noProof/>
        </w:rPr>
        <w:t>[103]</w:t>
      </w:r>
      <w:r>
        <w:fldChar w:fldCharType="end"/>
      </w:r>
      <w:r>
        <w:t xml:space="preserve"> performed a sensitive analysis of the process parameters of a FDM system reporting significant effect of the temperature and fibre deposition velocity on the scaffold porous microstructure. Moreover, inspection of the fabricated scaffolds is required to guarantee that they represent the intended design. Garret et al. </w:t>
      </w:r>
      <w:r>
        <w:fldChar w:fldCharType="begin" w:fldLock="1"/>
      </w:r>
      <w:r>
        <w:instrText>ADDIN CSL_CITATION { "citationItems" : [ { "id" : "ITEM-1", "itemData" : { "DOI" : "10.1002/jbm.b.31361", "abstract" : "Titanium scaffolds with controlled microarchitecture have been developed for load bearing orthopedic applications. The controlled microarchitecture refers to a repeating array of unit-cells, composed of sintered titanium powder, which make up the scaffold structure. The objective of this current research was to characterize the mechanical performance of three scaffolds with increasing porosity, using finite element analysis (FEA) and to compare the results with experimental data. Scaffolds were scanned using microcomputed tomography and FEA models were generated from the resulting computer models. Macroscale and unit-cell models of the scaffolds were created. The material properties of the sintered titanium powders were first evaluated in mechanical tests and the data used in the FEA. The macroscale and unit-cell FEA models proved to be a good predictor of Young's modulus and yield strength. Although macroscale models showed similar failure patterns and an expected trend in UCS, strain at UCS did not compare well with experimental data. Since a rapid prototyping method was used to create the scaffolds, the original CAD geometries of the scaffold were also evaluated using FEA but they did not reflect the mechanical properties of the physical scaffolds. This indicates that at present, determining the actual geometry of the scaffold through computed tomography imaging is important. Finally, a fatigue analysis was performed on the scaffold to simulate the loading conditions it would experience as a spinal interbody fusion device.", "author" : [ { "family" : "Ryan", "given" : "Garrett" }, { "family" : "McGarry", "given" : "Patrick" }, { "family" : "Pandit", "given" : "Abhay" }, { "family" : "Apatsidis", "given" : "Dimitrios" } ], "container-title" : "Journal of biomedical materials research. Part B, Applied biomaterials", "id" : "ITEM-1", "issue" : "2", "issued" : { "date-parts" : [ [ "2009", "8" ] ] }, "page" : "894-906", "title" : "Analysis of the mechanical behavior of a titanium scaffold with a repeating unit-cell substructure.", "type" : "article-journal", "volume" : "90" }, "uris" : [ "http://www.mendeley.com/documents/?uuid=6ea42271-a39b-4806-a181-eff144ee52d5" ] } ], "mendeley" : { "formattedCitation" : "[103]", "plainTextFormattedCitation" : "[103]", "previouslyFormattedCitation" : "[104]" }, "properties" : { "noteIndex" : 0 }, "schema" : "https://github.com/citation-style-language/schema/raw/master/csl-citation.json" }</w:instrText>
      </w:r>
      <w:r>
        <w:fldChar w:fldCharType="separate"/>
      </w:r>
      <w:r w:rsidRPr="00A15EFA">
        <w:rPr>
          <w:noProof/>
        </w:rPr>
        <w:t>[104]</w:t>
      </w:r>
      <w:r>
        <w:fldChar w:fldCharType="end"/>
      </w:r>
      <w:r>
        <w:t xml:space="preserve"> built a regular scaffold by indirect 3D printing and reported mismatch between the fabricated sample and the intended design. According to them, that was the reason for the disagreement found between CAD-based FE analyses and compression tests performed on the sample. </w:t>
      </w:r>
    </w:p>
    <w:p w:rsidR="005D1052" w:rsidRDefault="005D1052" w:rsidP="005D1052">
      <w:r>
        <w:t>Scaffold design, manufacture and inspection require well defined protocols to meet Good Manufacturing Practice (GMP) and safety standards. However, there are no clear standard guidelines yet from the FDA to control the fabrication process and assess final scaffold products. Podshivalov et al</w:t>
      </w:r>
      <w:r w:rsidRPr="00072262">
        <w:t xml:space="preserve">. </w:t>
      </w:r>
      <w:r w:rsidRPr="00072262">
        <w:fldChar w:fldCharType="begin" w:fldLock="1"/>
      </w:r>
      <w:r>
        <w:instrText>ADDIN CSL_CITATION { "citationItems" : [ { "id" : "ITEM-1", "itemData" : { "DOI" : "10.1016/j.procir.2013.01.049", "author" : [ { "family" : "Podshivalov", "given" : "Lev" }, { "family" : "Gomes", "given" : "Cynthia M." }, { "family" : "Zocca", "given" : "Andrea" }, { "family" : "Guenster", "given" : "Jens" }, { "family" : "Bar-Yoseph", "given" : "Pinhas" }, { "family" : "Fischer", "given" : "Anath" } ], "container-title" : "Procedia CIRP", "id" : "ITEM-1", "issued" : { "date-parts" : [ [ "2013", "1" ] ] }, "page" : "247-252", "publisher" : "Elsevier B.V.", "title" : "Design, Analysis and Additive Manufacturing of Porous Structures for Biocompatible Micro-Scale Scaffolds", "type" : "article-journal", "volume" : "5" }, "uris" : [ "http://www.mendeley.com/documents/?uuid=bd43702d-1aae-4760-8230-06e183f4d7d0" ] } ], "mendeley" : { "formattedCitation" : "[104]", "plainTextFormattedCitation" : "[104]", "previouslyFormattedCitation" : "[105]" }, "properties" : { "noteIndex" : 0 }, "schema" : "https://github.com/citation-style-language/schema/raw/master/csl-citation.json" }</w:instrText>
      </w:r>
      <w:r w:rsidRPr="00072262">
        <w:fldChar w:fldCharType="separate"/>
      </w:r>
      <w:r w:rsidRPr="00A15EFA">
        <w:rPr>
          <w:noProof/>
        </w:rPr>
        <w:t>[105]</w:t>
      </w:r>
      <w:r w:rsidRPr="00072262">
        <w:fldChar w:fldCharType="end"/>
      </w:r>
      <w:r w:rsidRPr="003923E5">
        <w:t xml:space="preserve"> </w:t>
      </w:r>
      <w:r>
        <w:t xml:space="preserve">proposed a regulatory procedure to fabricate patient-specific scaffolds; designing a patient-specific scaffold from CT data, fabrication by RP methods and scaffold shape and mechanical properties verification. Nevertheless, drafting a regulatory model for the FDA approval is challenging. For instance, </w:t>
      </w:r>
      <w:r w:rsidRPr="009E1BC4">
        <w:t>Morrison et al.</w:t>
      </w:r>
      <w:r>
        <w:t xml:space="preserve"> </w:t>
      </w:r>
      <w:r>
        <w:fldChar w:fldCharType="begin" w:fldLock="1"/>
      </w:r>
      <w:r>
        <w:instrText>ADDIN CSL_CITATION { "citationItems" : [ { "id" : "ITEM-1", "itemData" : { "DOI" : "10.1111/cts.12315", "author" : [ { "family" : "Morrison", "given" : "Robert J." }, { "family" : "Kashlan", "given" : "Khaled N." }, { "family" : "Flanangan", "given" : "Colleen L." }, { "family" : "Wright", "given" : "Jeanne K." }, { "family" : "Green", "given" : "Glenn E." }, { "family" : "Hollister", "given" : "Scott J." }, { "family" : "Weatherwax", "given" : "Kevin J." } ], "container-title" : "Clinical and Translational Science", "id" : "ITEM-1", "issue" : "5", "issued" : { "date-parts" : [ [ "2015" ] ] }, "page" : "594-600", "title" : "Regulatory Considerations in the Design and Manufacturing of Implantable 3D-Printed Medical Devices", "type" : "article-journal", "volume" : "8" }, "uris" : [ "http://www.mendeley.com/documents/?uuid=659d3a57-8630-4860-8f13-6d60bcfb9644" ] } ], "mendeley" : { "formattedCitation" : "[105]", "plainTextFormattedCitation" : "[105]", "previouslyFormattedCitation" : "[106]" }, "properties" : { "noteIndex" : 0 }, "schema" : "https://github.com/citation-style-language/schema/raw/master/csl-citation.json" }</w:instrText>
      </w:r>
      <w:r>
        <w:fldChar w:fldCharType="separate"/>
      </w:r>
      <w:r w:rsidRPr="00A15EFA">
        <w:rPr>
          <w:noProof/>
        </w:rPr>
        <w:t>[106]</w:t>
      </w:r>
      <w:r>
        <w:fldChar w:fldCharType="end"/>
      </w:r>
      <w:r>
        <w:t xml:space="preserve"> proposed the design and production of a tracheobronchial splint to treat tracheobronchomalacia based on GMP conditions. For such purpose, they confronted the challenges involved in the regulatory pathway </w:t>
      </w:r>
      <w:r>
        <w:lastRenderedPageBreak/>
        <w:t>towards its clinical application. This medical device was considered as a class III device therefore it had to pass Humanitarian Use Device program and Investigational Device Exemption approval for a FDA-regulated human clinical trial prior to its commercialization. However, it consists of an isolated case and more standard protocols should be designed for a wide range scaffold-based therapies.</w:t>
      </w:r>
    </w:p>
    <w:p w:rsidR="005D1052" w:rsidRDefault="005D1052" w:rsidP="005D1052">
      <w:pPr>
        <w:pStyle w:val="Heading2"/>
        <w:jc w:val="left"/>
      </w:pPr>
      <w:bookmarkStart w:id="60" w:name="_Toc310605586"/>
      <w:bookmarkStart w:id="61" w:name="_Toc310605881"/>
      <w:bookmarkStart w:id="62" w:name="_Toc440823182"/>
      <w:r>
        <w:t>Bioreactors</w:t>
      </w:r>
      <w:bookmarkEnd w:id="60"/>
      <w:bookmarkEnd w:id="61"/>
      <w:bookmarkEnd w:id="62"/>
    </w:p>
    <w:p w:rsidR="005D1052" w:rsidRDefault="005D1052" w:rsidP="005D1052">
      <w:r>
        <w:t xml:space="preserve">To mitigate static culture limitations, in vitro bioreactors have been designed to improve cell seeding on 3D scaffolds and enhance metabolic delivery through dynamic culture and controlled environmental conditions. Furthermore, cells can be exposed to shear stress which plays a beneficial role for ECM deposition and cell response and phenotype. These devices that benefit from fluid dynamics can be divided into four main groups: rotating wall vessels, spinner flasks, compression force-induced suction devices and </w:t>
      </w:r>
      <w:r w:rsidRPr="005E0985">
        <w:t xml:space="preserve">perfusion systems (see </w:t>
      </w:r>
      <w:r w:rsidRPr="005E0985">
        <w:fldChar w:fldCharType="begin"/>
      </w:r>
      <w:r w:rsidRPr="005E0985">
        <w:instrText xml:space="preserve"> REF _Ref438585896 \h </w:instrText>
      </w:r>
      <w:r>
        <w:instrText xml:space="preserve"> \* MERGEFORMAT </w:instrText>
      </w:r>
      <w:r w:rsidRPr="005E0985">
        <w:fldChar w:fldCharType="separate"/>
      </w:r>
      <w:r w:rsidR="00924C7D">
        <w:t xml:space="preserve">Figure </w:t>
      </w:r>
      <w:r w:rsidR="00924C7D">
        <w:rPr>
          <w:noProof/>
        </w:rPr>
        <w:t>2</w:t>
      </w:r>
      <w:r w:rsidR="00924C7D">
        <w:rPr>
          <w:noProof/>
        </w:rPr>
        <w:noBreakHyphen/>
        <w:t>6</w:t>
      </w:r>
      <w:r w:rsidRPr="005E0985">
        <w:fldChar w:fldCharType="end"/>
      </w:r>
      <w:r w:rsidRPr="005E0985">
        <w:t>). Rotating</w:t>
      </w:r>
      <w:r>
        <w:t xml:space="preserve"> wall vessels are comprised of two concentric cylinders. The stationary inner cylinder is responsible for gas exchange and the outer cylinder rotates generating a dynamic laminar flow. The induced hydrodynamic environment enhances the mixing properties of scaffolds freely suspended in culture medium at the annular space </w:t>
      </w:r>
      <w:r>
        <w:fldChar w:fldCharType="begin" w:fldLock="1"/>
      </w:r>
      <w:r>
        <w:instrText>ADDIN CSL_CITATION { "citationItems" : [ { "id" : "ITEM-1", "itemData" : { "DOI" : "10.1002/jbm.a.34340", "author" : [ { "family" : "Nishi", "given" : "Masanori" }, { "family" : "Matsumoto", "given" : "Rena" }, { "family" : "Dong", "given" : "Jian" }, { "family" : "Uemura", "given" : "Toshimasa" } ], "container-title" : "Journal of Biomedical Materials Research Part A", "id" : "ITEM-1", "issued" : { "date-parts" : [ [ "2013" ] ] }, "page" : "421-427", "title" : "Engineered bone tissue associated with vascularization utilizing a rotating wall vessel bioreactor", "type" : "article-journal", "volume" : "101A" }, "uris" : [ "http://www.mendeley.com/documents/?uuid=849b8da3-34fb-4968-bd17-72b78f9bbeb7" ] } ], "mendeley" : { "formattedCitation" : "[106]", "plainTextFormattedCitation" : "[106]", "previouslyFormattedCitation" : "[107]" }, "properties" : { "noteIndex" : 0 }, "schema" : "https://github.com/citation-style-language/schema/raw/master/csl-citation.json" }</w:instrText>
      </w:r>
      <w:r>
        <w:fldChar w:fldCharType="separate"/>
      </w:r>
      <w:r w:rsidRPr="00A15EFA">
        <w:rPr>
          <w:noProof/>
        </w:rPr>
        <w:t>[107]</w:t>
      </w:r>
      <w:r>
        <w:fldChar w:fldCharType="end"/>
      </w:r>
      <w:r>
        <w:t xml:space="preserve">. In spinner flasks, scaffolds are fixed to needles and exposed to convective forces induced by a magnetic stirrer placed at the bottom of the cylindrical flask. Vunjak-Novakovic et al. </w:t>
      </w:r>
      <w:r>
        <w:fldChar w:fldCharType="begin" w:fldLock="1"/>
      </w:r>
      <w:r>
        <w:instrText>ADDIN CSL_CITATION { "citationItems" : [ { "id" : "ITEM-1", "itemData" : { "DOI" : "10.1021/bp970120j", "abstract" : "Cell seeding of three-dimensional polymer scaffolds is the first step of the cultivation of engineered tissues in bioreactors. Seeding requirements of large scaffolds to make implants for potential clinical use include: (a) high yield, to maximize the utilization of donor cells, (b) high kinetic rate, to minimize the time in suspension for anchorage-dependent and shear-sensitive cells, and (c) high and spatially uniform distribution of attached cells, for rapid and uniform tissue regeneration. Highly porous, fibrous polyglycolic acid scaffolds, 5-10 mm in diameter and 2-5 mm thick, were seeded with bovine articular chondrocytes in well-mixed spinner flasks. Essentially, all cells attached throughout the scaffold volume within 1 day. Mixing promoted the formation of 20-32-micron diameter cell aggregates that enhanced the kinetics of cell attachment without compromising the uniformity of cell distribution. The kinetics and possible mechanisms of cell seeding were related to the formation of cell aggregates by a simple mathematical model that can be used to optimize seeding conditions for cartilage tissue engineering.", "author" : [ { "family" : "Vunjak-Novakovic", "given" : "G" }, { "family" : "Obradovic", "given" : "B" }, { "family" : "Martin", "given" : "I" }, { "family" : "Bursac", "given" : "P M" }, { "family" : "Langer", "given" : "R" }, { "family" : "Freed", "given" : "L E" } ], "container-title" : "Biotechnology progress", "id" : "ITEM-1", "issue" : "2", "issued" : { "date-parts" : [ [ "1998" ] ] }, "page" : "193-202", "title" : "Dynamic cell seeding of polymer scaffolds for cartilage tissue engineering.", "type" : "article-journal", "volume" : "14" }, "uris" : [ "http://www.mendeley.com/documents/?uuid=8cc625ac-eca1-4910-b1f8-d91f71fa00e5" ] } ], "mendeley" : { "formattedCitation" : "[107]", "plainTextFormattedCitation" : "[107]", "previouslyFormattedCitation" : "[108]" }, "properties" : { "noteIndex" : 0 }, "schema" : "https://github.com/citation-style-language/schema/raw/master/csl-citation.json" }</w:instrText>
      </w:r>
      <w:r>
        <w:fldChar w:fldCharType="separate"/>
      </w:r>
      <w:r w:rsidRPr="00A15EFA">
        <w:rPr>
          <w:noProof/>
        </w:rPr>
        <w:t>[108]</w:t>
      </w:r>
      <w:r>
        <w:fldChar w:fldCharType="end"/>
      </w:r>
      <w:r>
        <w:t xml:space="preserve"> investigated the potential of these systems to enhance cell seeding in 3D scaffolds. As a result, scaffolds were exposed to an uniform and well-mixed cell suspension increasing seeding kinetics over static methods. Later, Bueno et al. </w:t>
      </w:r>
      <w:r>
        <w:fldChar w:fldCharType="begin" w:fldLock="1"/>
      </w:r>
      <w:r>
        <w:instrText>ADDIN CSL_CITATION { "citationItems" : [ { "id" : "ITEM-1", "itemData" : { "DOI" : "10.1089/ten.2005.11.1699", "ISBN" : "1076-3279 (Print)\\r1076-3279 (Linking)", "abstract" : "Hydrodynamic forces in bioreactors can decisively influence extracellular matrix deposition in engineered cartilage constructs. In the present study, the reduced fluid shear, high-axial mixing environment provided by a wavy-walled bioreactor was exploited in the cultivation of cartilage constructs using polyglycolic acid scaffolds seeded with bovine articular chondrocytes. Increased growth as defined by weight, cell proliferation and extracellular matrix deposition was observed in cartilage constructs from wavy-walled bioreactors in comparison with those from spinner flasks cultured under the same conditions. The wet weight composition of 4-week constructs from the wavy-walled bioreactor was similar to that of spinner flask constructs, but the former were 60% heavier due to equally higher incorporation of extracellular matrix and 30% higher cell population. It is most likely that increased construct matrix incorporation was a result of increased mitotic activity of chondrocytes cultured in the environment of the wavy-walled bioreactor. A layer of elongated cells embedded in type I collagen formed at the periphery of wavy-walled bioreactor and spinner flask constructs, possibly as a response to local shear forces. On the basis of the robustness and reproducibility of the extracellular matrix composition of cartilage constructs, the wavy-walled bioreactor demonstrated promise as an experimental cartilage tissue-engineering vessel. Increased construct growth in the wavy-walled bioreactor may lead to enhanced mechanical properties and expedited in vitro cultivation.", "author" : [ { "family" : "Bueno", "given" : "Ericka M" }, { "family" : "Bilgen", "given" : "Bahar" }, { "family" : "Barabino", "given" : "Gilda a" } ], "container-title" : "Tissue engineering", "id" : "ITEM-1", "issue" : "11", "issued" : { "date-parts" : [ [ "2005" ] ] }, "page" : "1699-1709", "title" : "Wavy-walled bioreactor supports increased cell proliferation and matrix deposition in engineered cartilage constructs.", "type" : "article-journal", "volume" : "11" }, "uris" : [ "http://www.mendeley.com/documents/?uuid=f15c28c0-4ded-4d0f-9c07-44f27ff3bcbe" ] } ], "mendeley" : { "formattedCitation" : "[108]", "plainTextFormattedCitation" : "[108]", "previouslyFormattedCitation" : "[109]" }, "properties" : { "noteIndex" : 0 }, "schema" : "https://github.com/citation-style-language/schema/raw/master/csl-citation.json" }</w:instrText>
      </w:r>
      <w:r>
        <w:fldChar w:fldCharType="separate"/>
      </w:r>
      <w:r w:rsidRPr="00A15EFA">
        <w:rPr>
          <w:noProof/>
        </w:rPr>
        <w:t>[109]</w:t>
      </w:r>
      <w:r>
        <w:fldChar w:fldCharType="end"/>
      </w:r>
      <w:r>
        <w:t xml:space="preserve"> demonstrated that the use of wavy walls in conventional spinner flasks promotes secondary motion in the radial direction thereby increasing mixing properties and improving scaffold cell seeding efficiency. A comparison between static, spinner flask and rotating vessels-based culture methods was performed by Sikavitsas et al. </w:t>
      </w:r>
      <w:r>
        <w:fldChar w:fldCharType="begin" w:fldLock="1"/>
      </w:r>
      <w:r>
        <w:instrText>ADDIN CSL_CITATION { "citationItems" : [ { "id" : "ITEM-1", "itemData" : { "DOI" : "10.1002/jbm.10150", "ISBN" : "0021-9304 (Print)", "abstract" : "The aim of this study is to investigate the effect of the cell culture conditions of three-dimensional polymer scaffolds seeded with rat marrow stromal cells (MSCs) cultured in different bioreactors concerning the ability of these cells to proliferate, differentiate towards the osteoblastic lineage, and generate mineralized extracellular matrix. MSCs harvested from male Sprague-Dawley rats were culture expanded, seeded on three-dimensional porous 75:25 poly(D,L-lactic-co-glycolic acid) biodegradable scaffolds, and cultured for 21 days under static conditions or in two model bioreactors (a spinner flask and a rotating wall vessel) that enhance mixing of the media and provide better nutrient transport to the seeded cells. The spinner flask culture demonstrated a 60% enhanced proliferation at the end of the first week when compared to static culture. On day 14, all cell/polymer constructs exhibited their maximum alkaline phosphatase activity (AP). Cell/polymer constructs cultured in the spinner flask had 2.4 times higher AP activity than constructs cultured under static conditions on day 14. The total osteocalcin (OC) secretion in the spinner flask culture was 3.5 times higher than the static culture, with a peak OC secretion occurring on day 18. No considerable AP activity and OC secretion were detected in the rotating wall vessel culture throughout the 21-day culture period. The spinner flask culture had the highest calcium content at day 14. On day 21, the calcium deposition in the spinner flask culture was 6.6 times higher than the static cultured constructs and over 30 times higher than the rotating wall vessel culture. Histological sections showed concentration of cells and mineralization at the exterior of the foams at day 21. This phenomenon may arise from the potential existence of nutrient concentration gradients at the interior of the scaffolds. The better mixing provided in the spinner flask, external to the outer surface of the scaffolds, may explain the accelerated proliferation and differentiation of marrow stromal osteoblasts, and the localization of the enhanced mineralization on the external surface of the scaffolds.", "author" : [ { "family" : "Sikavitsas", "given" : "Vassilios I." }, { "family" : "Bancroft", "given" : "Gregory N." }, { "family" : "Mikos", "given" : "Antonios G." } ], "container-title" : "Journal of Biomedical Materials Research", "id" : "ITEM-1", "issued" : { "date-parts" : [ [ "2002" ] ] }, "page" : "136-148", "title" : "Formation of three-dimensional cell/polymer constructs for bone tissue engineering in a spinner flask and a rotating wall vessel bioreactor", "type" : "article-journal", "volume" : "62" }, "uris" : [ "http://www.mendeley.com/documents/?uuid=8097ee4d-1b5d-473b-a227-e78d550556e6" ] } ], "mendeley" : { "formattedCitation" : "[109]", "plainTextFormattedCitation" : "[109]", "previouslyFormattedCitation" : "[110]" }, "properties" : { "noteIndex" : 0 }, "schema" : "https://github.com/citation-style-language/schema/raw/master/csl-citation.json" }</w:instrText>
      </w:r>
      <w:r>
        <w:fldChar w:fldCharType="separate"/>
      </w:r>
      <w:r w:rsidRPr="00A15EFA">
        <w:rPr>
          <w:noProof/>
        </w:rPr>
        <w:t>[110]</w:t>
      </w:r>
      <w:r>
        <w:fldChar w:fldCharType="end"/>
      </w:r>
      <w:r>
        <w:t xml:space="preserve"> reporting higher calcium deposition for the case </w:t>
      </w:r>
      <w:r>
        <w:lastRenderedPageBreak/>
        <w:t xml:space="preserve">of spinner flask although the mass transport properties inside the scaffold were limited. </w:t>
      </w:r>
      <w:r w:rsidR="008507E6">
        <w:t>Xie</w:t>
      </w:r>
      <w:r>
        <w:t xml:space="preserve"> et al. </w:t>
      </w:r>
      <w:r>
        <w:fldChar w:fldCharType="begin" w:fldLock="1"/>
      </w:r>
      <w:r>
        <w:instrText>ADDIN CSL_CITATION { "citationItems" : [ { "id" : "ITEM-1", "itemData" : { "author" : [ { "family" : "Poly", "given" : "L" }, { "family" : "Kim", "given" : "Young H a" }, { "family" : "Ph", "given" : "D" }, { "family" : "Matsuda", "given" : "Takehisa" } ], "id" : "ITEM-1", "issue" : "7", "issued" : { "date-parts" : [ [ "2006" ] ] }, "title" : "New Technique of Seeding Chondrocytes into Microporous", "type" : "article-journal", "volume" : "12" }, "uris" : [ "http://www.mendeley.com/documents/?uuid=3318a61e-5df5-401f-84fc-ca669348f525" ] } ], "mendeley" : { "formattedCitation" : "[110]", "plainTextFormattedCitation" : "[110]", "previouslyFormattedCitation" : "[111]" }, "properties" : { "noteIndex" : 0 }, "schema" : "https://github.com/citation-style-language/schema/raw/master/csl-citation.json" }</w:instrText>
      </w:r>
      <w:r>
        <w:fldChar w:fldCharType="separate"/>
      </w:r>
      <w:r w:rsidRPr="00A15EFA">
        <w:rPr>
          <w:noProof/>
        </w:rPr>
        <w:t>[111]</w:t>
      </w:r>
      <w:r>
        <w:fldChar w:fldCharType="end"/>
      </w:r>
      <w:r>
        <w:t xml:space="preserve"> presented an alternative system that reduces the long operation time required by the previously mentioned approaches. A loading and unloading compression force applied on the scaffold generates an inflow that carries the cell solution to the interior of the porous scaffold. In addition, Hoffmann et al. </w:t>
      </w:r>
      <w:r>
        <w:fldChar w:fldCharType="begin" w:fldLock="1"/>
      </w:r>
      <w:r>
        <w:instrText>ADDIN CSL_CITATION { "citationItems" : [ { "id" : "ITEM-1", "itemData" : { "DOI" : "10.3389/fbioe.2015.00010", "author" : [ { "family" : "Hoffmann", "given" : "Waldemar" } ], "container-title" : "Frontiers in Bioengineering and Biotechnology", "id" : "ITEM-1", "issue" : "February", "issued" : { "date-parts" : [ [ "2015" ] ] }, "page" : "1-6", "title" : "Novel perfused compression bioreactor system as an in vitro model to investigate fracture healing", "type" : "article-journal", "volume" : "3" }, "uris" : [ "http://www.mendeley.com/documents/?uuid=75635e49-f77a-4c21-b261-80db583d1d90" ] } ], "mendeley" : { "formattedCitation" : "[111]", "plainTextFormattedCitation" : "[111]", "previouslyFormattedCitation" : "[112]" }, "properties" : { "noteIndex" : 0 }, "schema" : "https://github.com/citation-style-language/schema/raw/master/csl-citation.json" }</w:instrText>
      </w:r>
      <w:r>
        <w:fldChar w:fldCharType="separate"/>
      </w:r>
      <w:r w:rsidRPr="00A15EFA">
        <w:rPr>
          <w:noProof/>
        </w:rPr>
        <w:t>[112]</w:t>
      </w:r>
      <w:r>
        <w:fldChar w:fldCharType="end"/>
      </w:r>
      <w:r>
        <w:t xml:space="preserve"> developed a system based on this principle capable of applying compressive physiological loading to a seeded-3D scaffold which turned into an increase of ECM mineralization. However, this technique can only be applied for mechanically deformable scaffolds. A wider range of scaffold models can be used in perfusion </w:t>
      </w:r>
      <w:r w:rsidRPr="00F742EF">
        <w:t xml:space="preserve">systems </w:t>
      </w:r>
      <w:r w:rsidRPr="00F742EF">
        <w:fldChar w:fldCharType="begin" w:fldLock="1"/>
      </w:r>
      <w:r w:rsidRPr="00F742EF">
        <w:instrText>ADDIN CSL_CITATION { "citationItems" : [ { "id" : "ITEM-1", "itemData" : { "DOI" : "10.1002/bit", "author" : [ { "family" : "Zhao", "given" : "Feng" }, { "family" : "Chella", "given" : "Ravindran" }, { "family" : "Ma", "given" : "Teng" } ], "id" : "ITEM-1", "issue" : "3", "issued" : { "date-parts" : [ [ "2007" ] ] }, "page" : "584-595", "title" : "Effects of Shear Stress on 3-D Human Mesenchymal Stem Cell Construct Development in a Perfusion Bioreactor System : Experiments and Hydrodynamic Modeling", "type" : "article-journal", "volume" : "96" }, "uris" : [ "http://www.mendeley.com/documents/?uuid=525e2037-47ec-46e4-a8c6-86dfbef3bb61" ] } ], "mendeley" : { "formattedCitation" : "[112]", "manualFormatting" : "[92,", "plainTextFormattedCitation" : "[112]", "previouslyFormattedCitation" : "[113]" }, "properties" : { "noteIndex" : 0 }, "schema" : "https://github.com/citation-style-language/schema/raw/master/csl-citation.json" }</w:instrText>
      </w:r>
      <w:r w:rsidRPr="00F742EF">
        <w:fldChar w:fldCharType="separate"/>
      </w:r>
      <w:r w:rsidRPr="00F742EF">
        <w:rPr>
          <w:noProof/>
        </w:rPr>
        <w:t>[113, 114]</w:t>
      </w:r>
      <w:r w:rsidRPr="00F742EF">
        <w:fldChar w:fldCharType="end"/>
      </w:r>
      <w:r w:rsidRPr="00F742EF">
        <w:t xml:space="preserve"> . A pressure gradient</w:t>
      </w:r>
      <w:r>
        <w:t xml:space="preserve"> induces the medium to flow directly through the interconnected scaffold pores. Perfusion systems enhance mass transport of oxygen and nutrients and waste removal while exposing cells to shear stress. Furthermore, perfusion systems seem the most preferable solution for in vitro cell seeding and culture since they overcome the diffusion limitations in the interior of scaffolds presented by the other hydrodynamic-based </w:t>
      </w:r>
      <w:r w:rsidRPr="00F742EF">
        <w:t xml:space="preserve">bioreactors </w:t>
      </w:r>
      <w:r w:rsidRPr="00F742EF">
        <w:fldChar w:fldCharType="begin" w:fldLock="1"/>
      </w:r>
      <w:r w:rsidRPr="00F742EF">
        <w:instrText>ADDIN CSL_CITATION { "citationItems" : [ { "id" : "ITEM-1", "itemData" : { "DOI" : "10.1002/bit.10759", "ISBN" : "0006-3592 (Print)\\n0006-3592 (Linking)", "abstract" : "We developed a bioreactor for automated cell seeding of three-dimensional scaffolds by continuous perfusion of a cell suspension through the scaffold pores in oscillating directions. Using quantitative biochemical and image analysis techniques, we then evaluated the efficiency and uniformity of perfusion seeding of Polyactive foams as compared to conventional static and spinner flask methods. Finally, we assessed the efficacy of the perfusion seeding technique for different scaffolds and cell types. Perfusion seeding of chondrocytes into Polyactive foams resulted in \"viable cell seeding efficiencies,\" defined as the percentages of initially loaded cells that were seeded and remained viable, that were significantly higher (75 +/- 6%) than those by static (57% +/- 5%) and spinner flask seeding (55% +/- 8%). In addition, as compared to static and spinner flask methods, cells seeded by perfusion were respectively 2.6-fold and 3.8-fold more uniformly distributed and formed more homogeneously sized cell clusters. Chondrocytes seeded by perfusion into Hyaff-11 nonwoven meshes were 26% and 63%, respectively, more uniformly distributed than following static and spinner flask seeding. Bone marrow stromal cells seeded by perfusion into ChronOS porous ceramics were homogeneously distributed throughout the scaffold volume, while following the static method, cells were found only near the top surface of the ceramic. In summary, we demonstrated that our cell seeding perfusion bioreactor generated constructs with remarkably uniform cell distributions at high efficiencies, and was effective for a variety of scaffolds and different mesenchymal cell types.", "author" : [ { "family" : "Wendt", "given" : "D." }, { "family" : "Marsano", "given" : "a." }, { "family" : "Jakob", "given" : "M." }, { "family" : "Heberer", "given" : "M." }, { "family" : "Martin", "given" : "Ivan" } ], "container-title" : "Biotechnology and Bioengineering", "id" : "ITEM-1", "issued" : { "date-parts" : [ [ "2003" ] ] }, "page" : "205-214", "title" : "Oscillating perfusion of cell suspensions through three-dimensional scaffolds enhances cell seeding efficiency and uniformity", "type" : "article-journal", "volume" : "84" }, "uris" : [ "http://www.mendeley.com/documents/?uuid=faba75ae-a331-4601-96cb-077c80fb94fe" ] }, { "id" : "ITEM-2", "itemData" : { "DOI" : "10.1023/B:ABME.0000007796.48329.b4", "ISBN" : "0957-4530 (Print)", "abstract" : "We report studies of bone tissue engineering using human mesenchymal stem cells (MSCs), a protein substrate (film or scaffold; fast degrading unmodified collagen, or slowly degrading cross-linked collagen and silk), and a bioreactor (static culture, spinner flask, or perfused cartridge). MSCs were isolated from human bone marrow, characterized for the expression of cell surface markers and the ability to undergo chondrogenesis and osteogenesis in vitro, and cultured for 5 weeks. MSCs were positive for CD105/endoglin, and had a potential for chondrogenic and osteogenic differentiation. In static culture, calcium deposition was similar for MSC grown on collagen scaffolds and films. Under medium flow, MSC on collagen scaffolds deposited more calcium and had a higher alcaline phosphatase (AP) activity than MSC on collagen films. The amounts of DNA were markedly higher in constructs based on slowly degrading (modified collagen and silk) scaffolds than on fast degrading (unmodified collagen) scaffolds. In spinner flasks, medium flow around constructs resulted in the formation of bone rods within the peripheral region, that were interconnected and perpendicular to the construct surface, whereas in perfused constructs, individual bone rods oriented in the direction of fluid flow formed throughout the construct volume. These results suggest that osteogenesis in cultured MSC can be modulated by scaffold properties and flow environment.", "author" : [ { "family" : "Meinel", "given" : "Lorenz" }, { "family" : "Karageorgiou", "given" : "Vassilis" }, { "family" : "Fajardo", "given" : "Robert" }, { "family" : "Snyder", "given" : "Brian" }, { "family" : "Shinde-Patil", "given" : "Vivek" }, { "family" : "Zichner", "given" : "Ludwig" }, { "family" : "Kaplan", "given" : "David" }, { "family" : "Langer", "given" : "Robert" }, { "family" : "Vunjak-Novakovic", "given" : "Gordana" } ], "container-title" : "Annals of Biomedical Engineering", "id" : "ITEM-2", "issue" : "1", "issued" : { "date-parts" : [ [ "2004" ] ] }, "page" : "112-122", "title" : "Bone tissue engineering using human mesenchymal stem cells: Effects of scaffold material and medium flow", "type" : "article-journal", "volume" : "32" }, "uris" : [ "http://www.mendeley.com/documents/?uuid=f034f50e-8a10-4d48-a0a7-71fe0e64bb04" ] } ], "mendeley" : { "formattedCitation" : "[36], [114]", "manualFormatting" : "[94]", "plainTextFormattedCitation" : "[36], [114]", "previouslyFormattedCitation" : "[36,115]" }, "properties" : { "noteIndex" : 0 }, "schema" : "https://github.com/citation-style-language/schema/raw/master/csl-citation.json" }</w:instrText>
      </w:r>
      <w:r w:rsidRPr="00F742EF">
        <w:fldChar w:fldCharType="separate"/>
      </w:r>
      <w:r>
        <w:rPr>
          <w:noProof/>
        </w:rPr>
        <w:t>[115</w:t>
      </w:r>
      <w:r w:rsidRPr="00F742EF">
        <w:rPr>
          <w:noProof/>
        </w:rPr>
        <w:t>]</w:t>
      </w:r>
      <w:r w:rsidRPr="00F742EF">
        <w:fldChar w:fldCharType="end"/>
      </w:r>
      <w:r w:rsidRPr="00F742EF">
        <w:t>.</w:t>
      </w:r>
    </w:p>
    <w:p w:rsidR="005D1052" w:rsidRDefault="005D1052" w:rsidP="005D1052">
      <w:pPr>
        <w:pStyle w:val="Heading3"/>
      </w:pPr>
      <w:bookmarkStart w:id="63" w:name="_Toc440823183"/>
      <w:r>
        <w:t>Bioreactor fluid flow modelling</w:t>
      </w:r>
      <w:bookmarkEnd w:id="63"/>
    </w:p>
    <w:p w:rsidR="005D1052" w:rsidRDefault="005D1052" w:rsidP="005D1052">
      <w:r>
        <w:t xml:space="preserve">CFD simulations allow researchers to investigate how the design of bioreactors and scaffolds influences the biophysical cell microenvironment by means of quantitative and visual results. This information at the cellular level is not accessible by laboratory experiments; therefore computational experiments seem to be a preferred strategy for the design of bioreactor systems and 3D scaffolds. </w:t>
      </w:r>
      <w:r w:rsidRPr="00E81571">
        <w:t>CFD enables the characterisation of flow fields and nutrient concentrations in bioreactors</w:t>
      </w:r>
      <w:r>
        <w:t xml:space="preserve"> at scaffold-pore scale</w:t>
      </w:r>
      <w:r w:rsidRPr="00E81571">
        <w:t>.</w:t>
      </w:r>
    </w:p>
    <w:p w:rsidR="005D1052" w:rsidRPr="002E77AD" w:rsidRDefault="005D1052" w:rsidP="005D1052">
      <w:r>
        <w:t xml:space="preserve">In early studies, fluid flow through scaffolds was modelled assuming the scaffold microstructure as a continuous porous medium that obeys Darcy´s law </w:t>
      </w:r>
      <w:r>
        <w:fldChar w:fldCharType="begin" w:fldLock="1"/>
      </w:r>
      <w:r>
        <w:instrText>ADDIN CSL_CITATION { "citationItems" : [ { "id" : "ITEM-1", "itemData" : { "DOI" : "10.1002/jbm.a.10111", "ISBN" : "1549-3296 (Print)", "abstract" : "The classic paradigm for in vitro tissue engineering of bone involves the isolation and culture of donor osteoblasts or osteoprogenitor cells within three-dimensional (3D) scaffold biomaterials under conditions that support tissue growth and mineralized osteoid formation. Our studies focus on the development and utilization of new dynamic culture technologies to provide adequate nutrient flux within 3D scaffolds to support ongoing tissue formation. In this study, we have developed a basic one-dimensional (1D) model to characterize the efficiency of passive nutrient diffusion and transport flux to bone cells within 3D scaffolds under static and dynamic culture conditions. Internal fluid perfusion within modeled scaffolds increased rapidly with increasing pore volume and pore diameter to a maximum of approximately 1% of external fluid flow. In contrast, internal perfusion decreased significantly with increasing pore channel tortuosity. Calculations of associated nutrient flux indicate that static 3D culture and some inappropriately designed dynamic culture environments lead to regions of insufficient nutrient concentration to maintain cell viability, and can result in steep nutrient concentration gradients within the modeled constructs. These quantitative studies provide a basis for development of new dynamic culture methodologies to overcome the limitations of passive nutrient diffusion in 3D cell-scaffold composite systems proposed for in vitro tissue engineering of bone.", "author" : [ { "family" : "Botchwey", "given" : "Edward a" }, { "family" : "Dupree", "given" : "Melissa a" }, { "family" : "Pollack", "given" : "Solomon R" }, { "family" : "Levine", "given" : "Elliot M" }, { "family" : "Laurencin", "given" : "Cato T" } ], "container-title" : "Journal of biomedical materials research. Part A", "id" : "ITEM-1", "issued" : { "date-parts" : [ [ "2003" ] ] }, "page" : "357-367", "title" : "Tissue engineered bone: measurement of nutrient transport in three-dimensional matrices.", "type" : "article-journal", "volume" : "67" }, "uris" : [ "http://www.mendeley.com/documents/?uuid=baf71fb9-31cf-48e3-8697-51f7131ca556" ] } ], "mendeley" : { "formattedCitation" : "[115]", "plainTextFormattedCitation" : "[115]", "previouslyFormattedCitation" : "[116]" }, "properties" : { "noteIndex" : 0 }, "schema" : "https://github.com/citation-style-language/schema/raw/master/csl-citation.json" }</w:instrText>
      </w:r>
      <w:r>
        <w:fldChar w:fldCharType="separate"/>
      </w:r>
      <w:r w:rsidRPr="00A15EFA">
        <w:rPr>
          <w:noProof/>
        </w:rPr>
        <w:t>[116]</w:t>
      </w:r>
      <w:r>
        <w:fldChar w:fldCharType="end"/>
      </w:r>
      <w:r>
        <w:t xml:space="preserve">. This approach does not allow to calculate local shear stress values within the scaffold microstructure. The evolving µCT technology allows the creation of µCT–based CFD </w:t>
      </w:r>
      <w:r>
        <w:lastRenderedPageBreak/>
        <w:t>models that permit to quantify the scaffold local mechanical stimuli under fluid flow as well as its relationship with the actual scaffold microstructure.</w:t>
      </w:r>
    </w:p>
    <w:p w:rsidR="005D1052" w:rsidRDefault="005D1052" w:rsidP="005D1052">
      <w:pPr>
        <w:keepNext/>
        <w:ind w:firstLine="0"/>
        <w:jc w:val="center"/>
      </w:pPr>
      <w:r>
        <w:rPr>
          <w:noProof/>
          <w:lang w:eastAsia="en-GB"/>
        </w:rPr>
        <w:drawing>
          <wp:inline distT="0" distB="0" distL="0" distR="0" wp14:anchorId="0F56AAA9" wp14:editId="0ADDCC2C">
            <wp:extent cx="2582266" cy="4323284"/>
            <wp:effectExtent l="0" t="0" r="8890" b="1270"/>
            <wp:docPr id="8213" name="Picture 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reactors.png"/>
                    <pic:cNvPicPr/>
                  </pic:nvPicPr>
                  <pic:blipFill rotWithShape="1">
                    <a:blip r:embed="rId32">
                      <a:extLst>
                        <a:ext uri="{28A0092B-C50C-407E-A947-70E740481C1C}">
                          <a14:useLocalDpi xmlns:a14="http://schemas.microsoft.com/office/drawing/2010/main" val="0"/>
                        </a:ext>
                      </a:extLst>
                    </a:blip>
                    <a:srcRect b="1542"/>
                    <a:stretch/>
                  </pic:blipFill>
                  <pic:spPr bwMode="auto">
                    <a:xfrm>
                      <a:off x="0" y="0"/>
                      <a:ext cx="2586261" cy="4329973"/>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5E0985" w:rsidRDefault="005D1052" w:rsidP="005D1052">
      <w:pPr>
        <w:pStyle w:val="Caption"/>
        <w:rPr>
          <w:b w:val="0"/>
          <w:noProof/>
        </w:rPr>
      </w:pPr>
      <w:bookmarkStart w:id="64" w:name="_Ref438585896"/>
      <w:bookmarkStart w:id="65" w:name="_Toc438590793"/>
      <w:bookmarkStart w:id="66" w:name="_Toc445718799"/>
      <w:r>
        <w:t xml:space="preserve">Figure </w:t>
      </w:r>
      <w:fldSimple w:instr=" STYLEREF 1 \s ">
        <w:r w:rsidR="00924C7D">
          <w:rPr>
            <w:noProof/>
          </w:rPr>
          <w:t>2</w:t>
        </w:r>
      </w:fldSimple>
      <w:r>
        <w:noBreakHyphen/>
      </w:r>
      <w:fldSimple w:instr=" SEQ Figure \* ARABIC \s 1 ">
        <w:r w:rsidR="00924C7D">
          <w:rPr>
            <w:noProof/>
          </w:rPr>
          <w:t>6</w:t>
        </w:r>
      </w:fldSimple>
      <w:bookmarkEnd w:id="64"/>
      <w:r>
        <w:rPr>
          <w:noProof/>
        </w:rPr>
        <w:t xml:space="preserve"> </w:t>
      </w:r>
      <w:r w:rsidRPr="005E0985">
        <w:rPr>
          <w:b w:val="0"/>
          <w:noProof/>
        </w:rPr>
        <w:t>Hydrodynamic based bioreactors used for the developemnt of 3D tissue constructs based on scaffold-ce</w:t>
      </w:r>
      <w:r>
        <w:rPr>
          <w:b w:val="0"/>
          <w:noProof/>
        </w:rPr>
        <w:t>ll structures. a) Spinner flask. b) Rotating wall vessel.</w:t>
      </w:r>
      <w:r w:rsidRPr="005E0985">
        <w:rPr>
          <w:b w:val="0"/>
          <w:noProof/>
        </w:rPr>
        <w:t xml:space="preserve"> c) Compression force-induced suction </w:t>
      </w:r>
      <w:r>
        <w:rPr>
          <w:b w:val="0"/>
          <w:noProof/>
        </w:rPr>
        <w:t>device. d) P</w:t>
      </w:r>
      <w:r w:rsidRPr="005E0985">
        <w:rPr>
          <w:b w:val="0"/>
          <w:noProof/>
        </w:rPr>
        <w:t xml:space="preserve">erfusion system </w:t>
      </w:r>
      <w:r w:rsidRPr="005E0985">
        <w:rPr>
          <w:b w:val="0"/>
        </w:rPr>
        <w:fldChar w:fldCharType="begin" w:fldLock="1"/>
      </w:r>
      <w:r>
        <w:rPr>
          <w:b w:val="0"/>
        </w:rPr>
        <w:instrText>ADDIN CSL_CITATION { "citationItems" : [ { "id" : "ITEM-1", "itemData" : { "DOI" : "10.1016/j.tibtech.2003.12.001", "abstract" : "Ex vivo engineering of living tissues is a rapidly developing area with the potential to impact significantly on a wide-range of biomedical applications. Major obstacles to the generation of functional tissues and their widespread clinical use are related to a limited understanding of the regulatory role of specific physicochemical culture parameters on tissue development, and the high manufacturing costs of the few commercially available engineered tissue products. By enabling reproducible and controlled changes of specific environmental factors, bioreactor systems provide both the technological means to reveal fundamental mechanisms of cell function in a 3D environment, and the potential to improve the quality of engineered tissues. In addition, by automating and standardizing tissue manufacture in controlled closed systems, bioreactors could reduce production costs, thus facilitating a wider use of engineered tissues.", "author" : [ { "family" : "Martin", "given" : "Ivan" }, { "family" : "Wendt", "given" : "David" }, { "family" : "Heberer", "given" : "Michael" } ], "container-title" : "Trends in biotechnology", "id" : "ITEM-1", "issue" : "2", "issued" : { "date-parts" : [ [ "2004", "2" ] ] }, "page" : "80-6", "title" : "The role of bioreactors in tissue engineering.", "type" : "article-journal", "volume" : "22" }, "uris" : [ "http://www.mendeley.com/documents/?uuid=44cc16d7-f210-4dd3-a4f3-dc58e7678690" ] } ], "mendeley" : { "formattedCitation" : "[35]", "plainTextFormattedCitation" : "[35]", "previouslyFormattedCitation" : "[35]" }, "properties" : { "noteIndex" : 0 }, "schema" : "https://github.com/citation-style-language/schema/raw/master/csl-citation.json" }</w:instrText>
      </w:r>
      <w:r w:rsidRPr="005E0985">
        <w:rPr>
          <w:b w:val="0"/>
        </w:rPr>
        <w:fldChar w:fldCharType="separate"/>
      </w:r>
      <w:r w:rsidRPr="005E0985">
        <w:rPr>
          <w:b w:val="0"/>
          <w:noProof/>
        </w:rPr>
        <w:t>[35]</w:t>
      </w:r>
      <w:r w:rsidRPr="005E0985">
        <w:rPr>
          <w:b w:val="0"/>
        </w:rPr>
        <w:fldChar w:fldCharType="end"/>
      </w:r>
      <w:r w:rsidRPr="005E0985">
        <w:rPr>
          <w:b w:val="0"/>
        </w:rPr>
        <w:t>.</w:t>
      </w:r>
      <w:bookmarkEnd w:id="65"/>
      <w:bookmarkEnd w:id="66"/>
    </w:p>
    <w:p w:rsidR="005D1052" w:rsidRDefault="005D1052" w:rsidP="005D1052">
      <w:r>
        <w:t xml:space="preserve">One of the main challenges in creating a µCT-CFD model is the generation of a mesh that represents the fluid domain around a complex µCT-based geometry. Some studies have used commercial softwares such as </w:t>
      </w:r>
      <w:r w:rsidRPr="00A53BD0">
        <w:rPr>
          <w:noProof/>
        </w:rPr>
        <w:t>Acosta Santamaría et al.</w:t>
      </w:r>
      <w:r w:rsidRPr="00A53BD0">
        <w:t xml:space="preserve"> </w:t>
      </w:r>
      <w:r w:rsidRPr="00A53BD0">
        <w:fldChar w:fldCharType="begin" w:fldLock="1"/>
      </w:r>
      <w:r>
        <w:instrText>ADDIN CSL_CITATION { "citationItems" : [ { "id" : "ITEM-1", "itemData" : { "DOI" : "10.1007/s10439-013-0849-8", "abstract" : "The application of three-dimensional (3D) biomaterials to facilitate the adhesion, proliferation, and differentiation of cells has been widely studied for tissue engineering purposes. The fabrication methods used to improve the mechanical response of the scaffold produce complex and non regular structures. Apart from the mechanical aspect, the fluid behavior in the inner part of the scaffold should also be considered. Parameters such as permeability (k) or wall shear stress (WSS) are important aspects in the provision of nutrients, the removal of metabolic waste products or the mechanically-induced differentiation of cells attached in the trabecular network of the scaffolds. Experimental measurements of these parameters are not available in all labs. However, fluid parameters should be known prior to other types of experiments. The present work compares an experimental study with a computational fluid dynamics (CFD) methodology to determine the related fluid parameters (k and WSS) of complex non regular poly(L-lactic acid) scaffolds based only on the treatment of microphotographic images obtained with a microCT (\u03bcCT). The CFD analysis shows similar tendencies and results with low relative difference compared to those of the experimental study, for high flow rates. For low flow rates the accuracy of this prediction reduces. The correlation between the computational and experimental results validates the robustness of the proposed methodology.", "author" : [ { "family" : "Acosta Santamar\u00eda", "given" : "V\u00edctor Andr\u00e9s" }, { "family" : "Malv\u00e8", "given" : "M" }, { "family" : "Duizabo", "given" : "a" }, { "family" : "Mena Tobar", "given" : "a" }, { "family" : "Gallego Ferrer", "given" : "G" }, { "family" : "Garc\u00eda Aznar", "given" : "J M" }, { "family" : "Doblar\u00e9", "given" : "M" }, { "family" : "Ochoa", "given" : "I" } ], "container-title" : "Annals of biomedical engineering", "id" : "ITEM-1", "issue" : "11", "issued" : { "date-parts" : [ [ "2013", "11" ] ] }, "page" : "2367-80", "title" : "Computational methodology to determine fluid related parameters of non regular three-dimensional scaffolds.", "type" : "article-journal", "volume" : "41" }, "uris" : [ "http://www.mendeley.com/documents/?uuid=2013c72e-1f51-4295-b49d-94567b92065b" ] } ], "mendeley" : { "formattedCitation" : "[116]", "plainTextFormattedCitation" : "[116]", "previouslyFormattedCitation" : "[117]" }, "properties" : { "noteIndex" : 0 }, "schema" : "https://github.com/citation-style-language/schema/raw/master/csl-citation.json" }</w:instrText>
      </w:r>
      <w:r w:rsidRPr="00A53BD0">
        <w:fldChar w:fldCharType="separate"/>
      </w:r>
      <w:r w:rsidRPr="00A15EFA">
        <w:rPr>
          <w:noProof/>
        </w:rPr>
        <w:t>[117]</w:t>
      </w:r>
      <w:r w:rsidRPr="00A53BD0">
        <w:fldChar w:fldCharType="end"/>
      </w:r>
      <w:r>
        <w:t xml:space="preserve"> who imported the µCT scaffold in Icem Ansys (Ansys, Pittsburgh, USA) to build the CAD-channel boundary conditions and generate a mesh between the scaffold and the channel wall boundaries. </w:t>
      </w:r>
      <w:r w:rsidRPr="00A53BD0">
        <w:t xml:space="preserve">Cioffi et al. </w:t>
      </w:r>
      <w:r w:rsidRPr="00A53BD0">
        <w:fldChar w:fldCharType="begin" w:fldLock="1"/>
      </w:r>
      <w:r>
        <w:instrText>ADDIN CSL_CITATION { "citationItems" : [ { "id" : "ITEM-1", "itemData" : { "DOI" : "10.1002/bit.20740", "abstract" : "Natural cartilage remodels both in vivo and in vitro in response to mechanical stresses, hence mechanical stimulation is believed to be a potential tool to modulate extra-cellular matrix synthesis in tissue-engineered cartilage. Fluid-induced shear is known to enhance chondrogenesis in engineered cartilage constructs. The quantification of the hydrodynamic environment is a condition required to study the biochemical response to shear of 3D engineered cell systems. We developed a computational model of culture medium flow through the microstructure of a porous scaffold, during direct- perfused culture. The 3D solid model of the scaffold micro-geometry was reconstructed from 250 micro-computed tomography (micro-CT) images. The results of the fluid dynamic simulations were analyzed at the central portions of the fluid domain, to avoid boundary effects. The average, median and mode shear stress values calculated at the scaffold walls were 3.48, 2.90, and 2.45 mPa respectively, at a flow rate of 0.5 cm(3)/min, perfused through a 15 mm diameter scaffold, at an inlet fluid velocity of 53 microm/s. These results were compared to results estimated using a simplified micro-scale model and to results estimated using an analytical macro-scale porous model. The predictions given by the CT-based model are being used in conjunction with an experimental bioreactor model, in order to quantify the effects of fluid-dynamic shear on the growth modulation of tissue-engineered cartilage constructs, to potentially enhance tissue growth in vitro.", "author" : [ { "family" : "Cioffi", "given" : "Margherita" }, { "family" : "Boschetti", "given" : "Federica" }, { "family" : "Raimondi", "given" : "Manuela Teresa" }, { "family" : "Dubini", "given" : "Gabriele" } ], "container-title" : "Biotechnology and bioengineering", "id" : "ITEM-1", "issue" : "3", "issued" : { "date-parts" : [ [ "2006", "3", "20" ] ] }, "page" : "500-10", "title" : "Modeling evaluation of the fluid-dynamic microenvironment in tissue-engineered constructs: a micro-CT based model.", "type" : "article-journal", "volume" : "93" }, "uris" : [ "http://www.mendeley.com/documents/?uuid=3a2f744d-bdf1-40ec-aa18-46c13fd9c890" ] } ], "mendeley" : { "formattedCitation" : "[117]", "plainTextFormattedCitation" : "[117]", "previouslyFormattedCitation" : "[118]" }, "properties" : { "noteIndex" : 0 }, "schema" : "https://github.com/citation-style-language/schema/raw/master/csl-citation.json" }</w:instrText>
      </w:r>
      <w:r w:rsidRPr="00A53BD0">
        <w:fldChar w:fldCharType="separate"/>
      </w:r>
      <w:r w:rsidRPr="00A15EFA">
        <w:rPr>
          <w:noProof/>
        </w:rPr>
        <w:t>[118]</w:t>
      </w:r>
      <w:r w:rsidRPr="00A53BD0">
        <w:fldChar w:fldCharType="end"/>
      </w:r>
      <w:r>
        <w:t xml:space="preserve"> used Amira (TGS, San Diego, CA) to reconstruct the scaffold and to mesh the empty scaffold voids or </w:t>
      </w:r>
      <w:r w:rsidRPr="00A53BD0">
        <w:t xml:space="preserve">Mechels et al. </w:t>
      </w:r>
      <w:r w:rsidRPr="00A53BD0">
        <w:fldChar w:fldCharType="begin" w:fldLock="1"/>
      </w:r>
      <w:r>
        <w:instrText>ADDIN CSL_CITATION { "citationItems" : [ { "id" : "ITEM-1", "itemData" : { "DOI" : "10.1016/j.biomaterials.2010.05.068", "abstract" : "The technologies employed for the preparation of conventional tissue engineering scaffolds restrict the materials choice and the extent to which the architecture can be designed. Here we show the versatility of stereolithography with respect to materials and freedom of design. Porous scaffolds are designed with computer software and built with either a poly(D,L-lactide)-based resin or a poly(D,L-lactide-co-epsilon-caprolactone)-based resin. Characterisation of the scaffolds by micro-computed tomography shows excellent reproduction of the designs. The mechanical properties are evaluated in compression, and show good agreement with finite element predictions. The mechanical properties of scaffolds can be controlled by the combination of material and scaffold pore architecture. The presented technology and materials enable an accurate preparation of tissue engineering scaffolds with a large freedom of design, and properties ranging from rigid and strong to highly flexible and elastic.", "author" : [ { "family" : "Melchels", "given" : "Ferry P W" }, { "family" : "Bertoldi", "given" : "Katia" }, { "family" : "Gabbrielli", "given" : "Ruggero" }, { "family" : "Velders", "given" : "Aldrik H" }, { "family" : "Feijen", "given" : "Jan" }, { "family" : "Grijpma", "given" : "Dirk W" } ], "container-title" : "Biomaterials", "id" : "ITEM-1", "issue" : "27", "issued" : { "date-parts" : [ [ "2010", "9" ] ] }, "page" : "6909-16", "publisher" : "Elsevier Ltd", "title" : "Mathematically defined tissue engineering scaffold architectures prepared by stereolithography.", "type" : "article-journal", "volume" : "31" }, "uris" : [ "http://www.mendeley.com/documents/?uuid=57d6bbdd-d141-4779-9ed5-dd74b5986ca7" ] } ], "mendeley" : { "formattedCitation" : "[88]", "plainTextFormattedCitation" : "[88]", "previouslyFormattedCitation" : "[89]" }, "properties" : { "noteIndex" : 0 }, "schema" : "https://github.com/citation-style-language/schema/raw/master/csl-citation.json" }</w:instrText>
      </w:r>
      <w:r w:rsidRPr="00A53BD0">
        <w:fldChar w:fldCharType="separate"/>
      </w:r>
      <w:r w:rsidRPr="00A15EFA">
        <w:rPr>
          <w:noProof/>
        </w:rPr>
        <w:t>[89]</w:t>
      </w:r>
      <w:r w:rsidRPr="00A53BD0">
        <w:fldChar w:fldCharType="end"/>
      </w:r>
      <w:r>
        <w:t xml:space="preserve"> that </w:t>
      </w:r>
      <w:r>
        <w:lastRenderedPageBreak/>
        <w:t xml:space="preserve">used Mimics to obtain the volumetric fluid mesh. Other researchers developed their own algorithms such as </w:t>
      </w:r>
      <w:r w:rsidRPr="00A53BD0">
        <w:t xml:space="preserve">Zermatten et al. </w:t>
      </w:r>
      <w:r w:rsidRPr="00A53BD0">
        <w:fldChar w:fldCharType="begin" w:fldLock="1"/>
      </w:r>
      <w:r>
        <w:instrText>ADDIN CSL_CITATION { "citationItems" : [ { "id" : "ITEM-1", "itemData" : { "DOI" : "10.1007/s10439-014-0981-0", "abstract" : "Perfusion bioreactors are known to exert shear stresses on cultured cells, leading to cell differentiation and enhanced extracellular matrix deposition on scaffolds. The influence of the scaffold's porous microstructure is investigated for a polycaprolactone (PCL) scaffold with a regular microarchitecture and a silk fibroin (SF) scaffold with an irregular network of interconnected pores. Their complex 3D geometries are imaged by micro-computed tomography and used in direct pore-level simulations of the entire scaffold-bioreactor system to numerically solve the governing mass and momentum conservation equations for fluid flow through porous media. The velocity field and wall shear stress distribution are determined for both scaffolds. The PCL scaffold exhibited an asymmetric distribution with peak and plateau, while the SF scaffold exhibited a homogenous distribution and conditioned the flow more efficiently than the PCL scaffold. The methodology guides the design and optimization of the scaffold geometry.", "author" : [ { "family" : "Zermatten", "given" : "Emilie" }, { "family" : "Vetsch", "given" : "Jolanda Rita" }, { "family" : "Ruffoni", "given" : "Davide" }, { "family" : "Hofmann", "given" : "Sandra" }, { "family" : "M\u00fcller", "given" : "Ralph" }, { "family" : "Steinfeld", "given" : "Aldo" } ], "container-title" : "Annals of biomedical engineering", "id" : "ITEM-1", "issue" : "5", "issued" : { "date-parts" : [ [ "2014", "5" ] ] }, "page" : "1085-94", "title" : "Micro-computed tomography based computational fluid dynamics for the determination of shear stresses in scaffolds within a perfusion bioreactor.", "type" : "article-journal", "volume" : "42" }, "uris" : [ "http://www.mendeley.com/documents/?uuid=76a609dd-3773-46d6-8e8a-0d596021d549" ] } ], "mendeley" : { "formattedCitation" : "[118]", "plainTextFormattedCitation" : "[118]", "previouslyFormattedCitation" : "[119]" }, "properties" : { "noteIndex" : 0 }, "schema" : "https://github.com/citation-style-language/schema/raw/master/csl-citation.json" }</w:instrText>
      </w:r>
      <w:r w:rsidRPr="00A53BD0">
        <w:fldChar w:fldCharType="separate"/>
      </w:r>
      <w:r w:rsidRPr="00A15EFA">
        <w:rPr>
          <w:noProof/>
        </w:rPr>
        <w:t>[119]</w:t>
      </w:r>
      <w:r w:rsidRPr="00A53BD0">
        <w:fldChar w:fldCharType="end"/>
      </w:r>
      <w:r>
        <w:t xml:space="preserve"> who generated an initial mesh with large elements followed by successively refinements on the small scaffold features. These studies employed the finite volume method to solve the 3D Navier-Stokes equations in the generated computational meshes. The most common numerical tools for CFD simulations are Fluent and CFX from Ansys </w:t>
      </w:r>
      <w:r>
        <w:fldChar w:fldCharType="begin" w:fldLock="1"/>
      </w:r>
      <w:r>
        <w:instrText>ADDIN CSL_CITATION { "citationItems" : [ { "id" : "ITEM-1", "itemData" : { "DOI" : "10.1089/ten.tea.2008.0027", "ISBN" : "1937-3341", "abstract" : "Computational fluid dynamic (CFD) techniques were used to optimize the microenvironment inside scaffolds for hematopoietic stem cell (HSC) culture in a perfusion bioreactor. These matrices are meant to be seeded with adherent bone marrow stromal cells and then co-cultivated with HSCs; the scaffold micro-architecture and the fluid-dynamic conditions have to be optimized to avoid non-adherent stem cells being dragged away while ensuring adequate nutrient supply. The insertion of longitudinal microchannels was tested as a tool to improve perfusion in a homogeneous porous scaffold. Models of microchannel-provided scaffolds, characterized by different values of geometric parameters concerning pores and channels, were built, and numerical fluid-dynamic and oxygen-transfer analyses were carried out. The results of the computations indicated that the microchannels created preferential paths for culture medium flow, causing low shear stresses and drag forces within the pores; meanwhile, they improved oxygen delivery by forcing its penetration into the scaffold bulk. In particular, an 85% porous, 3-mm-thick scaffold with 175-microm-diameter pores was considered; at a constant average drag force guaranteeing stem cell suspension inside this porous bulk, the addition of approximately 260-microm-diameter, 700-microm-spaced channels resulted in 34% higher oxygen partial pressure at the exit (approximately 135 vs 101 mmHg), maintaining a wall shear stress median value of approximately 0.14 mPa. The present work demonstrates the capacity of microchannel-provided scaffolds to ensure suitable conditions for HSC culture and shows that CFD methods are a valuable tool to retrieve significant clues for the design of the culture environment.", "author" : [ { "family" : "Cantini", "given" : "Marco" }, { "family" : "Fiore", "given" : "Gianfranco B" }, { "family" : "Redaelli", "given" : "Alberto" }, { "family" : "Soncini", "given" : "Monica" } ], "container-title" : "Tissue engineering. Part A", "id" : "ITEM-1", "issue" : "3", "issued" : { "date-parts" : [ [ "2009" ] ] }, "page" : "615-623", "title" : "Numerical fluid-dynamic optimization of microchannel-provided porous scaffolds for the co-culture of adherent and non-adherent cells.", "type" : "article-journal", "volume" : "15" }, "uris" : [ "http://www.mendeley.com/documents/?uuid=16c265c1-3410-4215-b2e1-bddfdc10cf7e" ] } ], "mendeley" : { "formattedCitation" : "[119]", "plainTextFormattedCitation" : "[119]", "previouslyFormattedCitation" : "[120]" }, "properties" : { "noteIndex" : 0 }, "schema" : "https://github.com/citation-style-language/schema/raw/master/csl-citation.json" }</w:instrText>
      </w:r>
      <w:r>
        <w:fldChar w:fldCharType="separate"/>
      </w:r>
      <w:r w:rsidRPr="00A15EFA">
        <w:rPr>
          <w:noProof/>
        </w:rPr>
        <w:t>[120]</w:t>
      </w:r>
      <w:r>
        <w:fldChar w:fldCharType="end"/>
      </w:r>
      <w:r>
        <w:t xml:space="preserve"> and Comsol Multiphysics (COMSOL Inc., Burlington, MA) </w:t>
      </w:r>
      <w:r>
        <w:fldChar w:fldCharType="begin" w:fldLock="1"/>
      </w:r>
      <w:r>
        <w:instrText>ADDIN CSL_CITATION { "citationItems" : [ { "id" : "ITEM-1", "itemData" : { "DOI" : "10.1007/s10439-014-1009-5", "author" : [ { "family" : "Podichetty", "given" : "Jagdeep T." }, { "family" : "Bhaskar", "given" : "Prasana R." }, { "family" : "Khalf", "given" : "Abdurizzagh" }, { "family" : "Madihally", "given" : "Sundararajan V." } ], "container-title" : "Annals of Biomedical Engineering", "id" : "ITEM-1", "issue" : "6", "issued" : { "date-parts" : [ [ "2014" ] ] }, "page" : "1319-1330", "title" : "Modeling Pressure Drop Using Generalized Scaffold Characteristics in an Axial-Flow Bioreactor for Soft Tissue Regeneration", "type" : "article-journal", "volume" : "42" }, "uris" : [ "http://www.mendeley.com/documents/?uuid=7ee18103-6ef5-4065-9561-8e0bb0b75646" ] } ], "mendeley" : { "formattedCitation" : "[120]", "plainTextFormattedCitation" : "[120]", "previouslyFormattedCitation" : "[121]" }, "properties" : { "noteIndex" : 0 }, "schema" : "https://github.com/citation-style-language/schema/raw/master/csl-citation.json" }</w:instrText>
      </w:r>
      <w:r>
        <w:fldChar w:fldCharType="separate"/>
      </w:r>
      <w:r w:rsidRPr="00A15EFA">
        <w:rPr>
          <w:noProof/>
        </w:rPr>
        <w:t>[121]</w:t>
      </w:r>
      <w:r>
        <w:fldChar w:fldCharType="end"/>
      </w:r>
      <w:r>
        <w:t xml:space="preserve">. A different approach from conventional CFD methods was followed by </w:t>
      </w:r>
      <w:r w:rsidRPr="00017CBA">
        <w:t xml:space="preserve">Porter et al. </w:t>
      </w:r>
      <w:r w:rsidRPr="00017CBA">
        <w:fldChar w:fldCharType="begin" w:fldLock="1"/>
      </w:r>
      <w:r>
        <w:instrText>ADDIN CSL_CITATION { "citationItems" : [ { "id" : "ITEM-1", "itemData" : { "DOI" : "10.1016/j.jbiomech.2004.04.011", "abstract" : "Media perfusion bioreactor systems have been developed to improve mass transport throughout three-dimensional (3-D) tissue-engineered constructs cultured in vitro. In addition to enhancing the exchange of nutrients and wastes, these systems simultaneously deliver flow-mediated shear stresses to cells seeded within the constructs. Local shear stresses are a function of media flow rate and dynamic viscosity, bioreactor configuration, and porous scaffold microarchitecture. We have used the Lattice-Boltzmann method to simulate the flow conditions within perfused cell-seeded cylindrical scaffolds. Microcomputed tomography imaging was used to define the scaffold microarchitecture for the simulations, which produce a 3-D fluid velocity field throughout the scaffold porosity. Shear stresses were estimated at various media flow rates by multiplying the symmetric part of the gradient of the velocity field by the dynamic viscosity of the cell culture media. The shear stress algorithm was validated by modeling flow between infinite parallel plates and comparing the calculated shear stress distribution to the analytical solution. Relating the simulation results to perfusion experiments, an average surface shear stress of 5x10(-5)Pa was found to correspond to increased cell proliferation, while higher shear stresses were associated with upregulation of bone marker genes. This modeling approach can be used to compare results obtained for different perfusion bioreactor systems or different scaffold microarchitectures and may allow specific shear stresses to be determined that optimize the amount, type, or distribution of in vitro tissue growth.", "author" : [ { "family" : "Porter", "given" : "Blaise" }, { "family" : "Zauel", "given" : "Roger" }, { "family" : "Stockman", "given" : "Harlan" }, { "family" : "Guldberg", "given" : "Robert" }, { "family" : "Fyhrie", "given" : "David" } ], "container-title" : "Journal of biomechanics", "id" : "ITEM-1", "issue" : "3", "issued" : { "date-parts" : [ [ "2005", "3" ] ] }, "page" : "543-9", "title" : "3-D computational modeling of media flow through scaffolds in a perfusion bioreactor.", "type" : "article-journal", "volume" : "38" }, "uris" : [ "http://www.mendeley.com/documents/?uuid=6d4cd217-ed8f-4d59-b3b3-03c86deeae3a" ] } ], "mendeley" : { "formattedCitation" : "[121]", "plainTextFormattedCitation" : "[121]", "previouslyFormattedCitation" : "[122]" }, "properties" : { "noteIndex" : 0 }, "schema" : "https://github.com/citation-style-language/schema/raw/master/csl-citation.json" }</w:instrText>
      </w:r>
      <w:r w:rsidRPr="00017CBA">
        <w:fldChar w:fldCharType="separate"/>
      </w:r>
      <w:r w:rsidRPr="00A15EFA">
        <w:rPr>
          <w:noProof/>
        </w:rPr>
        <w:t>[122]</w:t>
      </w:r>
      <w:r w:rsidRPr="00017CBA">
        <w:fldChar w:fldCharType="end"/>
      </w:r>
      <w:r>
        <w:t xml:space="preserve"> who used the Lattice-Boltzmann (LB) model where the fluid volume is broken into a grid of nodes along where particles that conform the fluid will propagate depending on the local mass distribution function and collide conserving mass and momentum.</w:t>
      </w:r>
    </w:p>
    <w:p w:rsidR="005D1052" w:rsidRPr="000832FD" w:rsidRDefault="005D1052" w:rsidP="005D1052">
      <w:r w:rsidRPr="00507BA4">
        <w:t xml:space="preserve">These CFD models can serve to optimise the </w:t>
      </w:r>
      <w:r>
        <w:t>hydrodynamic variables</w:t>
      </w:r>
      <w:r w:rsidRPr="00507BA4">
        <w:t xml:space="preserve"> involved in cell seeding </w:t>
      </w:r>
      <w:r>
        <w:t xml:space="preserve">and culture </w:t>
      </w:r>
      <w:r w:rsidRPr="00507BA4">
        <w:t xml:space="preserve">in </w:t>
      </w:r>
      <w:r>
        <w:t>in vitro</w:t>
      </w:r>
      <w:r w:rsidRPr="00507BA4">
        <w:t xml:space="preserve"> bioreactors while avoiding expensive and time consuming trial and error experiments</w:t>
      </w:r>
      <w:r w:rsidRPr="000832FD">
        <w:t xml:space="preserve">. For instance, </w:t>
      </w:r>
      <w:r>
        <w:t>Melchels et al.</w:t>
      </w:r>
      <w:r w:rsidRPr="000832FD">
        <w:t xml:space="preserve"> </w:t>
      </w:r>
      <w:r>
        <w:fldChar w:fldCharType="begin" w:fldLock="1"/>
      </w:r>
      <w:r>
        <w:instrText>ADDIN CSL_CITATION { "citationItems" : [ { "id" : "ITEM-1", "itemData" : { "DOI" : "10.1016/j.biomaterials.2011.01.023", "abstract" : "In natural tissues, the extracellular matrix composition, cell density and physiological properties are often non-homogeneous. Here we describe a model system, in which the distribution of cells throughout tissue engineering scaffolds after perfusion seeding can be influenced by the pore architecture of the scaffold. Two scaffold types, both with gyroid pore architectures, were designed and built by stereolithography: one with isotropic pore size (412 \u00b1 13 \u03bcm) and porosity (62 \u00b1 1%), and another with a gradient in pore size (250-500 \u03bcm) and porosity (35%-85%). Computational fluid flow modelling showed a uniform distribution of flow velocities and wall shear rates (15-24 s(-1)) for the isotropic architecture, and a gradient in the distribution of flow velocities and wall shear rates (12-38 s(-1)) for the other architecture. The distribution of cells throughout perfusion-seeded scaffolds was visualised by confocal microscopy. The highest densities of cells correlated with regions of the scaffolds where the pores were larger, and the fluid velocities and wall shear rates were the highest. Under the applied perfusion conditions, cell deposition is mainly determined by local wall shear stress, which, in turn, is strongly influenced by the architecture of the pore network of the scaffold.", "author" : [ { "family" : "Melchels", "given" : "Ferry P W" }, { "family" : "Tonnarelli", "given" : "Beatrice" }, { "family" : "Olivares", "given" : "Andy L" }, { "family" : "Martin", "given" : "Ivan" }, { "family" : "Lacroix", "given" : "Damien" }, { "family" : "Feijen", "given" : "Jan" }, { "family" : "Wendt", "given" : "David J" }, { "family" : "Grijpma", "given" : "Dirk W" } ], "container-title" : "Biomaterials", "id" : "ITEM-1", "issue" : "11", "issued" : { "date-parts" : [ [ "2011", "4" ] ] }, "page" : "2878-84", "publisher" : "Elsevier Ltd", "title" : "The influence of the scaffold design on the distribution of adhering cells after perfusion cell seeding.", "type" : "article-journal", "volume" : "32" }, "uris" : [ "http://www.mendeley.com/documents/?uuid=71f12402-1eff-4c76-87a3-5ea10828d358" ] } ], "mendeley" : { "formattedCitation" : "[122]", "plainTextFormattedCitation" : "[122]", "previouslyFormattedCitation" : "[123]" }, "properties" : { "noteIndex" : 0 }, "schema" : "https://github.com/citation-style-language/schema/raw/master/csl-citation.json" }</w:instrText>
      </w:r>
      <w:r>
        <w:fldChar w:fldCharType="separate"/>
      </w:r>
      <w:r w:rsidRPr="00A15EFA">
        <w:rPr>
          <w:noProof/>
        </w:rPr>
        <w:t>[123]</w:t>
      </w:r>
      <w:r>
        <w:fldChar w:fldCharType="end"/>
      </w:r>
      <w:r>
        <w:t xml:space="preserve"> </w:t>
      </w:r>
      <w:r w:rsidRPr="000832FD">
        <w:t xml:space="preserve">studied the effect of scaffold pore </w:t>
      </w:r>
      <w:r>
        <w:t>architecture</w:t>
      </w:r>
      <w:r w:rsidRPr="000832FD">
        <w:t xml:space="preserve"> on the</w:t>
      </w:r>
      <w:r>
        <w:t xml:space="preserve"> local</w:t>
      </w:r>
      <w:r w:rsidRPr="000832FD">
        <w:t xml:space="preserve"> shear rate and its </w:t>
      </w:r>
      <w:r>
        <w:t>impact</w:t>
      </w:r>
      <w:r w:rsidRPr="000832FD">
        <w:t xml:space="preserve"> on cell </w:t>
      </w:r>
      <w:r>
        <w:t xml:space="preserve">deposition on scaffold substrate. Zermatten et al. </w:t>
      </w:r>
      <w:r>
        <w:fldChar w:fldCharType="begin" w:fldLock="1"/>
      </w:r>
      <w:r>
        <w:instrText>ADDIN CSL_CITATION { "citationItems" : [ { "id" : "ITEM-1", "itemData" : { "DOI" : "10.1007/s10439-014-0981-0", "abstract" : "Perfusion bioreactors are known to exert shear stresses on cultured cells, leading to cell differentiation and enhanced extracellular matrix deposition on scaffolds. The influence of the scaffold's porous microstructure is investigated for a polycaprolactone (PCL) scaffold with a regular microarchitecture and a silk fibroin (SF) scaffold with an irregular network of interconnected pores. Their complex 3D geometries are imaged by micro-computed tomography and used in direct pore-level simulations of the entire scaffold-bioreactor system to numerically solve the governing mass and momentum conservation equations for fluid flow through porous media. The velocity field and wall shear stress distribution are determined for both scaffolds. The PCL scaffold exhibited an asymmetric distribution with peak and plateau, while the SF scaffold exhibited a homogenous distribution and conditioned the flow more efficiently than the PCL scaffold. The methodology guides the design and optimization of the scaffold geometry.", "author" : [ { "family" : "Zermatten", "given" : "Emilie" }, { "family" : "Vetsch", "given" : "Jolanda Rita" }, { "family" : "Ruffoni", "given" : "Davide" }, { "family" : "Hofmann", "given" : "Sandra" }, { "family" : "M\u00fcller", "given" : "Ralph" }, { "family" : "Steinfeld", "given" : "Aldo" } ], "container-title" : "Annals of biomedical engineering", "id" : "ITEM-1", "issue" : "5", "issued" : { "date-parts" : [ [ "2014", "5" ] ] }, "page" : "1085-94", "title" : "Micro-computed tomography based computational fluid dynamics for the determination of shear stresses in scaffolds within a perfusion bioreactor.", "type" : "article-journal", "volume" : "42" }, "uris" : [ "http://www.mendeley.com/documents/?uuid=76a609dd-3773-46d6-8e8a-0d596021d549" ] } ], "mendeley" : { "formattedCitation" : "[118]", "plainTextFormattedCitation" : "[118]", "previouslyFormattedCitation" : "[119]" }, "properties" : { "noteIndex" : 0 }, "schema" : "https://github.com/citation-style-language/schema/raw/master/csl-citation.json" }</w:instrText>
      </w:r>
      <w:r>
        <w:fldChar w:fldCharType="separate"/>
      </w:r>
      <w:r w:rsidRPr="00A15EFA">
        <w:rPr>
          <w:noProof/>
        </w:rPr>
        <w:t>[119]</w:t>
      </w:r>
      <w:r>
        <w:fldChar w:fldCharType="end"/>
      </w:r>
      <w:r w:rsidRPr="000832FD">
        <w:t xml:space="preserve"> compared the flow field inside scaffold</w:t>
      </w:r>
      <w:r>
        <w:t>s</w:t>
      </w:r>
      <w:r w:rsidRPr="000832FD">
        <w:t xml:space="preserve"> with regular </w:t>
      </w:r>
      <w:r>
        <w:t>and irregular</w:t>
      </w:r>
      <w:r w:rsidRPr="000832FD">
        <w:t xml:space="preserve"> </w:t>
      </w:r>
      <w:r>
        <w:t xml:space="preserve">pore </w:t>
      </w:r>
      <w:r w:rsidRPr="000832FD">
        <w:t xml:space="preserve">network </w:t>
      </w:r>
      <w:r>
        <w:t>microstructure</w:t>
      </w:r>
      <w:r w:rsidRPr="000832FD">
        <w:t xml:space="preserve"> showing that in the irregular one the streamlines follow preferable channels</w:t>
      </w:r>
      <w:r>
        <w:t xml:space="preserve"> whereas in the regular scaffold they cross the scaffold in a homogeneous manner.</w:t>
      </w:r>
      <w:r w:rsidRPr="000832FD">
        <w:t xml:space="preserve"> Furthermore, scaffold location inside the bioreactor </w:t>
      </w:r>
      <w:r>
        <w:t xml:space="preserve">with regard to the inlet </w:t>
      </w:r>
      <w:r w:rsidRPr="000832FD">
        <w:t xml:space="preserve">and </w:t>
      </w:r>
      <w:r>
        <w:t>outlet boundaries in combination with the applied flow rate are</w:t>
      </w:r>
      <w:r w:rsidRPr="000832FD">
        <w:t xml:space="preserve"> key parameters in </w:t>
      </w:r>
      <w:r>
        <w:t xml:space="preserve">perfusion bioreactors as demonstrated by Papantoniou et al </w:t>
      </w:r>
      <w:r>
        <w:fldChar w:fldCharType="begin" w:fldLock="1"/>
      </w:r>
      <w:r>
        <w:instrText>ADDIN CSL_CITATION { "citationItems" : [ { "id" : "ITEM-1", "itemData" : { "DOI" : "10.1002/bit.25303", "abstract" : "Perfusion bioreactors have shown great promise for tissue engineering applications providing a homogeneous and consistent distribution of nutrients and flow-induced shear stresses throughout tissue-engineered constructs. However, non uniform fluid-flow profiles found in the perfusion chamber entrance region have been shown to affect tissue-engineered construct quality characteristics during culture. In this study a whole perfusion and construct, three dimensional (3D) computational fluid dynamics approach was used in order to optimize a critical design parameter such as the location of the regular pore scaffolds within the perfusion bioreactor chamber. Computational studies were coupled to bioreactor experiments for a case-study flow rate. Two cases were compared in the first instance seeded scaffolds were positioned immediately after the perfusion chamber inlet while a second group was positioned at the computationally determined optimum distance were a steady state flow profile had been reached. Experimental data showed that scaffold location affected significantly cell content and neo-tissue distribution, as determined and quantified by contrast enhanced nanoCT, within the constructs both at 14 and 21 days of culture. However gene expression level of osteopontin and osteocalcin was not affected by the scaffold location. This study demonstrates that the bioreactor chamber environment, incorporating a scaffold and its location within it, affects the flow patterns within the pores throughout the scaffold requiring therefore dedicated optimization that can lead to bone tissue engineered constructs with improved quality attributes. Biotechnol. Bioeng. \u00a9 2014 Wiley Periodicals, Inc.", "author" : [ { "family" : "Papantoniou", "given" : "Ioannis" }, { "family" : "Guyot", "given" : "Yann" }, { "family" : "Sonnaert", "given" : "Maarten" }, { "family" : "Kerckhofs", "given" : "Greet" }, { "family" : "Luyten", "given" : "Frank P." }, { "family" : "Geris", "given" : "Liesbet" }, { "family" : "Schrooten", "given" : "Jan" } ], "container-title" : "Biotechnology and Bioengineering", "id" : "ITEM-1", "issue" : "12", "issued" : { "date-parts" : [ [ "2014" ] ] }, "page" : "2560-2570", "title" : "Spatial optimization in perfusion bioreactors improves bone tissue-engineered construct quality attributes", "type" : "article-journal", "volume" : "111" }, "uris" : [ "http://www.mendeley.com/documents/?uuid=de53c1ed-8118-4151-b1db-2c1ca87c69c0" ] } ], "mendeley" : { "formattedCitation" : "[123]", "plainTextFormattedCitation" : "[123]", "previouslyFormattedCitation" : "[124]" }, "properties" : { "noteIndex" : 0 }, "schema" : "https://github.com/citation-style-language/schema/raw/master/csl-citation.json" }</w:instrText>
      </w:r>
      <w:r>
        <w:fldChar w:fldCharType="separate"/>
      </w:r>
      <w:r w:rsidRPr="00A15EFA">
        <w:rPr>
          <w:noProof/>
        </w:rPr>
        <w:t>[124]</w:t>
      </w:r>
      <w:r>
        <w:fldChar w:fldCharType="end"/>
      </w:r>
      <w:r w:rsidRPr="000832FD">
        <w:t>.</w:t>
      </w:r>
      <w:r w:rsidRPr="000832FD">
        <w:rPr>
          <w:b/>
        </w:rPr>
        <w:t xml:space="preserve"> </w:t>
      </w:r>
      <w:r w:rsidRPr="000832FD">
        <w:t>The geometry of the chamber</w:t>
      </w:r>
      <w:r>
        <w:t xml:space="preserve"> where the scaffold is placed</w:t>
      </w:r>
      <w:r w:rsidRPr="000832FD">
        <w:t xml:space="preserve"> also </w:t>
      </w:r>
      <w:r>
        <w:t>influences</w:t>
      </w:r>
      <w:r w:rsidRPr="000832FD">
        <w:t xml:space="preserve"> the flow profile inside the scaffold </w:t>
      </w:r>
      <w:r>
        <w:t xml:space="preserve">pores </w:t>
      </w:r>
      <w:r w:rsidRPr="000832FD">
        <w:t>as shown as by the study of</w:t>
      </w:r>
      <w:r w:rsidRPr="000832FD">
        <w:rPr>
          <w:b/>
        </w:rPr>
        <w:t xml:space="preserve"> </w:t>
      </w:r>
      <w:r>
        <w:t xml:space="preserve">Bastida et al. </w:t>
      </w:r>
      <w:r>
        <w:fldChar w:fldCharType="begin" w:fldLock="1"/>
      </w:r>
      <w:r>
        <w:instrText>ADDIN CSL_CITATION { "citationItems" : [ { "id" : "ITEM-1", "itemData" : { "DOI" : "10.1002/bit.24368", "abstract" : "Perfusion bioreactors have been used in different tissue engineering applications because of their consistent distribution of nutrients and flow-induced shear stress within the tissue-engineering scaffold. A widely used configuration uses a scaffold with a circular cross-section enclosed within a cylindrical chamber and inlet and outlet pipes which are connected to the chamber on either side through which media is continuously circulated. However, fluid-flow experiments and simulations have shown that the majority of the flow perfuses through the center. This pattern creates stagnant zones in the peripheral regions as well as in those of high flow rate near the inlet and outlet. This non-uniformity of flow and shear stress, owing to a circular design, results in limited cell proliferation and differentiation in these areas. The focus of this communication is to design an optimized perfusion system using computational fluid dynamics as a mathematical tool to overcome the time-consuming trial and error experimental method. We compared the flow within a circular and a rectangular bioreactor system. Flow simulations within the rectangular bioreactor are shown to overcome the limitations in the circular design. This communication challenges the circular cross-section bioreactor configuration paradigm and provides proof of the advantages of the new design over the existing one.", "author" : [ { "family" : "Hidalgo-Bastida", "given" : "L Araida" }, { "family" : "Thirunavukkarasu", "given" : "Sundaramoorthy" }, { "family" : "Griffiths", "given" : "Sarah" }, { "family" : "Cartmell", "given" : "Sarah H" }, { "family" : "Naire", "given" : "Shailesh" } ], "container-title" : "Biotechnology and bioengineering", "id" : "ITEM-1", "issue" : "4", "issued" : { "date-parts" : [ [ "2012", "4" ] ] }, "page" : "1095-9", "title" : "Modeling and design of optimal flow perfusion bioreactors for tissue engineering applications.", "type" : "article-journal", "volume" : "109" }, "uris" : [ "http://www.mendeley.com/documents/?uuid=c02df861-0b07-4e60-ae70-5f6a3783afb6" ] } ], "mendeley" : { "formattedCitation" : "[124]", "plainTextFormattedCitation" : "[124]", "previouslyFormattedCitation" : "[125]" }, "properties" : { "noteIndex" : 0 }, "schema" : "https://github.com/citation-style-language/schema/raw/master/csl-citation.json" }</w:instrText>
      </w:r>
      <w:r>
        <w:fldChar w:fldCharType="separate"/>
      </w:r>
      <w:r w:rsidRPr="00A15EFA">
        <w:rPr>
          <w:noProof/>
        </w:rPr>
        <w:t>[125]</w:t>
      </w:r>
      <w:r>
        <w:fldChar w:fldCharType="end"/>
      </w:r>
      <w:r w:rsidRPr="000832FD">
        <w:rPr>
          <w:b/>
        </w:rPr>
        <w:t xml:space="preserve"> </w:t>
      </w:r>
      <w:r w:rsidRPr="000832FD">
        <w:t xml:space="preserve">where a circular and a rectangular bioreactor-system were compared. </w:t>
      </w:r>
    </w:p>
    <w:p w:rsidR="005D1052" w:rsidRDefault="005D1052" w:rsidP="005D1052">
      <w:pPr>
        <w:pStyle w:val="Heading3"/>
      </w:pPr>
      <w:bookmarkStart w:id="67" w:name="_Toc440823184"/>
      <w:r>
        <w:t>Cell seeding modelling</w:t>
      </w:r>
      <w:bookmarkEnd w:id="67"/>
    </w:p>
    <w:p w:rsidR="005D1052" w:rsidRPr="00960CD4" w:rsidRDefault="005D1052" w:rsidP="005D1052">
      <w:r w:rsidRPr="00960CD4">
        <w:t xml:space="preserve">Many </w:t>
      </w:r>
      <w:r>
        <w:t xml:space="preserve">computational </w:t>
      </w:r>
      <w:r w:rsidRPr="00960CD4">
        <w:t>studies have focused on in vitro culture of 3D scaffolds assuming that they were previously seeded</w:t>
      </w:r>
      <w:r>
        <w:t xml:space="preserve"> </w:t>
      </w:r>
      <w:r>
        <w:fldChar w:fldCharType="begin" w:fldLock="1"/>
      </w:r>
      <w:r w:rsidR="008507E6">
        <w:instrText>ADDIN CSL_CITATION { "citationItems" : [ { "id" : "ITEM-1", "itemData" : { "DOI" : "10.1016/j.medengphy.2008.11.003", "ISBN" : "1350-4533", "ISSN" : "13504533", "PMID" : "19109048", "abstract" : "Tissue-engineered bone shows promise in meeting the huge demand for bone grafts caused by up to 4 million bone replacement procedures per year, worldwide. State-of-the-art bone tissue engineering strategies use flow perfusion bioreactors to apply biophysical stimuli to cells seeded on scaffolds and to grow tissue suitable for implantation into the patient's body. The aim of this study was to quantify the deformation of cells seeded on a collagen-GAG scaffold which was perfused by culture medium inside a flow perfusion bioreactor. Using a \u03bcCT scan of an unseeded collagen-GAG scaffold, a sequential 3D CFD-deformation model was developed. The wall shear stress and the hydrostatic wall pressure acting on the cells were computed through the use of a CFD simulation and fed into a linear elastostatics model in order to calculate the deformation of the cells. The model used numerically seeded cells of two common morphologies where cells are either attached flatly on the scaffold wall or bridging two struts of the scaffold. Our study showed that the displacement of the cells is primarily determined by the cell morphology. Although cells of both attachment profiles were subjected to the same mechanical load, cells bridging two struts experienced a deformation up to 500 times higher than cells only attached to one strut. As the scaffold's pore size determines both the mechanical load and the type of attachment, the design of an optimal scaffold must take into account the interplay of these two features and requires a design process that optimizes both parameters at the same time. \u00a9 2008 IPEM.", "author" : [ { "dropping-particle" : "", "family" : "Jungreuthmayer", "given" : "C.", "non-dropping-particle" : "", "parse-names" : false, "suffix" : "" }, { "dropping-particle" : "", "family" : "Jaasma", "given" : "M. J.", "non-dropping-particle" : "", "parse-names" : false, "suffix" : "" }, { "dropping-particle" : "", "family" : "Al-Munajjed", "given" : "a. a.", "non-dropping-particle" : "", "parse-names" : false, "suffix" : "" }, { "dropping-particle" : "", "family" : "Zanghellini", "given" : "J.", "non-dropping-particle" : "", "parse-names" : false, "suffix" : "" }, { "dropping-particle" : "", "family" : "Kelly", "given" : "D. J.", "non-dropping-particle" : "", "parse-names" : false, "suffix" : "" }, { "dropping-particle" : "", "family" : "O'Brien", "given" : "F. J.", "non-dropping-particle" : "", "parse-names" : false, "suffix" : "" } ], "container-title" : "Medical Engineering and Physics", "id" : "ITEM-1", "issued" : { "date-parts" : [ [ "2009" ] ] }, "page" : "420-427", "title" : "Deformation simulation of cells seeded on a collagen-GAG scaffold in a flow perfusion bioreactor using a sequential 3D CFD-elastostatics model", "type" : "article-journal", "volume" : "31" }, "uris" : [ "http://www.mendeley.com/documents/?uuid=bb3f4826-5264-47b4-b86b-30aa6dbfa056" ] } ], "mendeley" : { "formattedCitation" : "[125]", "manualFormatting" : "[126, ", "plainTextFormattedCitation" : "[125]", "previouslyFormattedCitation" : "[126]" }, "properties" : { "noteIndex" : 0 }, "schema" : "https://github.com/citation-style-language/schema/raw/master/csl-citation.json" }</w:instrText>
      </w:r>
      <w:r>
        <w:fldChar w:fldCharType="separate"/>
      </w:r>
      <w:r w:rsidRPr="00960CD4">
        <w:rPr>
          <w:noProof/>
        </w:rPr>
        <w:t>[</w:t>
      </w:r>
      <w:r w:rsidR="008507E6">
        <w:rPr>
          <w:noProof/>
        </w:rPr>
        <w:t>126</w:t>
      </w:r>
      <w:r>
        <w:rPr>
          <w:noProof/>
        </w:rPr>
        <w:t xml:space="preserve">, </w:t>
      </w:r>
      <w:r>
        <w:fldChar w:fldCharType="end"/>
      </w:r>
      <w:r w:rsidR="008507E6">
        <w:t>127</w:t>
      </w:r>
      <w:r>
        <w:fldChar w:fldCharType="begin" w:fldLock="1"/>
      </w:r>
      <w:r w:rsidR="008507E6">
        <w:instrText>ADDIN CSL_CITATION { "citationItems" : [ { "id" : "ITEM-1", "itemData" : { "DOI" : "10.1089/10763270360728107", "ISBN" : "1076-3279 (Print) 1076-3279 (Linking)", "ISSN" : "1076-3279", "PMID" : "14670107", "abstract" : "Cellular activity at the center of tissue-engineered constructs in static culture is typically decreased relative to the construct periphery because of transport limitations. We have designed a tissue culture system that perfuses culture medium through three-dimensional (3D) porous cellular constructs to improve nutrient delivery and waste removal within the constructs. This study examined the effects of medium perfusion rate on cell viability, proliferation, and gene expression within cell-seeded 3D bone scaffolds. Human trabecular bone scaffolds were seeded with MC3T3-E1 osteoblast-like cells and perfused for 1 week at flow rates of 0.01, 0.1, 0.2, and 1.0 mL/min. Confocal microscopy after 1 week of culture indicated that a flow rate of 1.0 mL/min resulted in substantial cell death throughout the constructs whereas lowering the flow rate led to an increasing proportion of viable cells, particularly at the center of the constructs. DNA analysis showed increases in cell proliferation at a flow rate of 0.01 mL/min relative to 0.2 mL/min and static controls. Conversely, mRNA expressions of Runx2, osteocalcin, and alkaline phosphatase were upregulated at 0.2 mL/min compared with lower flow rates as quantified by real-time RT-PCR. These data suggest that medium perfusion may benefit the development of 3-D tissues in vitro by enhancing transport of nutrients and waste within the constructs and providing flow-mediated mechanical stimuli.", "author" : [ { "dropping-particle" : "", "family" : "Cartmell", "given" : "Sarah H", "non-dropping-particle" : "", "parse-names" : false, "suffix" : "" }, { "dropping-particle" : "", "family" : "Porter", "given" : "Blaise D", "non-dropping-particle" : "", "parse-names" : false, "suffix" : "" }, { "dropping-particle" : "", "family" : "Garc\u00eda", "given" : "Andr\u00e9s J", "non-dropping-particle" : "", "parse-names" : false, "suffix" : "" }, { "dropping-particle" : "", "family" : "Guldberg", "given" : "Robert E", "non-dropping-particle" : "", "parse-names" : false, "suffix" : "" } ], "container-title" : "Tissue engineering", "id" : "ITEM-1", "issue" : "6", "issued" : { "date-parts" : [ [ "2003" ] ] }, "page" : "1197-1203", "title" : "Effects of medium perfusion rate on cell-seeded three-dimensional bone constructs in vitro.", "type" : "article-journal", "volume" : "9" }, "uris" : [ "http://www.mendeley.com/documents/?uuid=e6e5b3a9-1fb9-42f0-b77f-a4828da54e60" ] } ], "mendeley" : { "formattedCitation" : "[127]", "manualFormatting" : ", 128,", "plainTextFormattedCitation" : "[127]", "previouslyFormattedCitation" : "[128]" }, "properties" : { "noteIndex" : 0 }, "schema" : "https://github.com/citation-style-language/schema/raw/master/csl-citation.json" }</w:instrText>
      </w:r>
      <w:r>
        <w:fldChar w:fldCharType="separate"/>
      </w:r>
      <w:r>
        <w:rPr>
          <w:noProof/>
        </w:rPr>
        <w:t xml:space="preserve">, </w:t>
      </w:r>
      <w:r w:rsidR="008507E6">
        <w:rPr>
          <w:noProof/>
        </w:rPr>
        <w:t>128</w:t>
      </w:r>
      <w:r>
        <w:rPr>
          <w:noProof/>
        </w:rPr>
        <w:t>,</w:t>
      </w:r>
      <w:r>
        <w:fldChar w:fldCharType="end"/>
      </w:r>
      <w:r>
        <w:fldChar w:fldCharType="begin" w:fldLock="1"/>
      </w:r>
      <w:r>
        <w:instrText>ADDIN CSL_CITATION { "citationItems" : [ { "id" : "ITEM-1", "itemData" : { "DOI" : "10.1002/bit.24424", "abstract" : "Mechanically stimulating cell-seeded scaffolds by flow-perfusion is one approach utilized for developing clinically applicable bone graft substitutes. A key challenge is determining the magnitude of stimuli to apply that enhances cell differentiation but minimizes cell detachment from the scaffold. In this study, we employed a combined computational modeling and experimental approach to examine how the scaffold mean pore size influences cell attachment morphology and subsequently impacts upon cell deformation and detachment when subjected to fluid-flow. Cell detachment from osteoblast-seeded collagen-GAG scaffolds was evaluated experimentally across a range of scaffold pore sizes subjected to different flow rates and exposure times in a perfusion bioreactor. Cell detachment was found to be proportional to flow rate and inversely proportional to pore size. Using this data, a theoretical model was derived that accurately predicted cell detachment as a function of mean shear stress, mean pore size, and time. Computational modeling of cell deformation in response to fluid flow showed the percentage of cells exceeding a critical threshold of deformation correlated with cell detachment experimentally and the majority of these cells were of a bridging morphology (cells stretched across pores). These findings will help researchers optimize the mean pore size of scaffolds and perfusion bioreactor operating conditions to manage cell detachment when mechanically simulating cells via flow perfusion.", "author" : [ { "family" : "McCoy", "given" : "R J" }, { "family" : "Jungreuthmayer", "given" : "C" }, { "family" : "O'Brien", "given" : "F J" } ], "container-title" : "Biotechnology and bioengineering", "id" : "ITEM-1", "issue" : "6", "issued" : { "date-parts" : [ [ "2012", "6" ] ] }, "page" : "1583-94", "title" : "Influence of flow rate and scaffold pore size on cell behavior during mechanical stimulation in a flow perfusion bioreactor.", "type" : "article-journal", "volume" : "109" }, "uris" : [ "http://www.mendeley.com/documents/?uuid=41959eff-c274-472f-8b7b-dd8af16cf474" ] } ], "mendeley" : { "formattedCitation" : "[128]", "manualFormatting" : " 108]", "plainTextFormattedCitation" : "[128]", "previouslyFormattedCitation" : "[129]" }, "properties" : { "noteIndex" : 0 }, "schema" : "https://github.com/citation-style-language/schema/raw/master/csl-citation.json" }</w:instrText>
      </w:r>
      <w:r>
        <w:fldChar w:fldCharType="separate"/>
      </w:r>
      <w:r>
        <w:rPr>
          <w:noProof/>
        </w:rPr>
        <w:t xml:space="preserve"> </w:t>
      </w:r>
      <w:r w:rsidR="008507E6">
        <w:rPr>
          <w:noProof/>
        </w:rPr>
        <w:t>129</w:t>
      </w:r>
      <w:r w:rsidRPr="005422BB">
        <w:rPr>
          <w:noProof/>
        </w:rPr>
        <w:t>]</w:t>
      </w:r>
      <w:r>
        <w:fldChar w:fldCharType="end"/>
      </w:r>
      <w:r w:rsidRPr="00960CD4">
        <w:t xml:space="preserve"> whereas only few </w:t>
      </w:r>
      <w:r w:rsidRPr="00960CD4">
        <w:lastRenderedPageBreak/>
        <w:t>investigations have exploited CFD techniques to optimise cell seeding in dynamic bioreactors. Cell seeding precedes all culture steps and achieving initial uniform cell density and spatial distribution throughout the scaffold is essential for the adequate tissue development</w:t>
      </w:r>
      <w:r>
        <w:t xml:space="preserve"> </w:t>
      </w:r>
      <w:r>
        <w:fldChar w:fldCharType="begin" w:fldLock="1"/>
      </w:r>
      <w:r>
        <w:instrText>ADDIN CSL_CITATION { "citationItems" : [ { "id" : "ITEM-1", "itemData" : { "DOI" : "10.1002/bit.23024", "abstract" : "There is a critical need to increase the size of bone grafts that can be cultured in vitro for use in regenerative medicine. Perfusion bioreactors have been used to improve the nutrient and gas transfer capabilities and reduce the size limitations inherent to static culture, as well as to modulate cellular responses by hydrodynamic shear. Our aim was to understand the effects of medium flow velocity on cellular phenotype and the formation of bone-like tissues in three-dimensional engineered constructs. We utilized custom-designed perfusion bioreactors to culture bone constructs for 5 weeks using a wide range of superficial flow velocities (80, 400, 800, 1,200, and 1,800\u2009\u00b5m/s), corresponding to estimated initial shear stresses ranging from 0.6 to 20\u2009mPa. Increasing the flow velocity significantly affected cell morphology, cell-cell interactions, matrix production and composition, and the expression of osteogenic genes. Within the range studied, the flow velocities ranging from 400 to 800\u2009\u00b5m/s yielded the best overall osteogenic responses. Using mathematical models, we determined that even at the lowest flow velocity (80\u2009\u00b5m/s) the oxygen provided was sufficient to maintain viability of the cells within the construct. Yet it was clear that this flow velocity did not adequately support the development of bone-like tissue. The complexity of the cellular responses found at different flow velocities underscores the need to use a range of evaluation parameters to determine the quality of engineered bone.", "author" : [ { "family" : "Grayson", "given" : "Warren L" }, { "family" : "Marolt", "given" : "Darja" }, { "family" : "Bhumiratana", "given" : "Sarindr" }, { "family" : "Fr\u00f6hlich", "given" : "Mirjam" }, { "family" : "Guo", "given" : "X Edward" }, { "family" : "Vunjak-Novakovic", "given" : "Gordana" } ], "container-title" : "Biotechnology and bioengineering", "id" : "ITEM-1", "issue" : "5", "issued" : { "date-parts" : [ [ "2011", "5" ] ] }, "page" : "1159-70", "title" : "Optimizing the medium perfusion rate in bone tissue engineering bioreactors.", "type" : "article-journal", "volume" : "108" }, "uris" : [ "http://www.mendeley.com/documents/?uuid=0b7c58b5-a35d-4e16-ba7e-dd0cb3ee4101" ] } ], "mendeley" : { "formattedCitation" : "[129]", "manualFormatting" : "[109,", "plainTextFormattedCitation" : "[129]", "previouslyFormattedCitation" : "[130]" }, "properties" : { "noteIndex" : 0 }, "schema" : "https://github.com/citation-style-language/schema/raw/master/csl-citation.json" }</w:instrText>
      </w:r>
      <w:r>
        <w:fldChar w:fldCharType="separate"/>
      </w:r>
      <w:r w:rsidRPr="005422BB">
        <w:rPr>
          <w:noProof/>
        </w:rPr>
        <w:t>[</w:t>
      </w:r>
      <w:r w:rsidR="008507E6">
        <w:rPr>
          <w:noProof/>
        </w:rPr>
        <w:t>130</w:t>
      </w:r>
      <w:r>
        <w:rPr>
          <w:noProof/>
        </w:rPr>
        <w:t>,</w:t>
      </w:r>
      <w:r>
        <w:fldChar w:fldCharType="end"/>
      </w:r>
      <w:r>
        <w:fldChar w:fldCharType="begin" w:fldLock="1"/>
      </w:r>
      <w:r>
        <w:instrText>ADDIN CSL_CITATION { "citationItems" : [ { "id" : "ITEM-1", "itemData" : { "DOI" : "10.1002/1097-4636(20000905)51:3&lt;376::AID-JBM11&gt;3.0.CO;2-G", "ISBN" : "0021-9304", "abstract" : "New three-dimensional (3D) scaffolds for bone tissue engineering have been developed throughout which bone cells grow, differentiate, and produce mineralized matrix. In this study, the percentage of cells anchoring to our polymer scaffolds as a function of initial cell seeding density was established; we then investigated bone tissue formation throughout our scaffolds as a function of initial cell seeding density and time in culture. Initial cell seeding densities ranging from 0.5 to 10 x 10(6) cells/cm(3) were seeded onto 3D scaffolds. After 1 h in culture, we determined that 25% of initial seeded cells had adhered to the scaffolds in static culture conditions. The cell-seeded scaffolds remained in culture for 3 and 6 weeks, to investigate the effect of initial cell seeding density on bone tissue formation in vitro. Further cultures using 1 x 10(6) cells/cm(3) were maintained for 1 h and 1, 2, 4, and 6 weeks to study bone tissue formation as a function of culture period. After 3 and 6 weeks in culture, scaffolds seeded with 1 x 10(6) cells/cm(3) showed similar tissue formation as those seeded with higher initial cell seeding densities. When initial cell seeding densities of 1 x 10(6) cells/cm(3) were used, osteocalcin immunolabeling indicative of osteoblast differentiation was seen throughout the scaffolds after only 2 weeks of culture. Von Kossa and tetracycline labeling, indicative of mineralization, occurred after 3 weeks. These results demonstrated that differentiated bone tissue was formed throughout 3D scaffolds after 2 weeks in culture using an optimized initial cell density, whereas mineralization of the tissue only occurred after 3 weeks. Furthermore, after 6 weeks in culture, newly formed bone tissue had replaced degrading polymer.", "author" : [ { "family" : "Holy", "given" : "Chantal E." }, { "family" : "Shoichet", "given" : "Molly S." }, { "family" : "Davies", "given" : "John E." } ], "container-title" : "Journal of Biomedical Materials Research", "id" : "ITEM-1", "issued" : { "date-parts" : [ [ "2000" ] ] }, "page" : "376-382", "title" : "Engineering three-dimensional bone tissue in vitro using biodegradable scaffolds: Investigating initial cell-seeding density and culture period", "type" : "article-journal", "volume" : "51" }, "uris" : [ "http://www.mendeley.com/documents/?uuid=f80c7eef-4ae0-4f03-a7ba-f3408061f42c" ] } ], "mendeley" : { "formattedCitation" : "[130]", "manualFormatting" : " 110]", "plainTextFormattedCitation" : "[130]", "previouslyFormattedCitation" : "[131]" }, "properties" : { "noteIndex" : 0 }, "schema" : "https://github.com/citation-style-language/schema/raw/master/csl-citation.json" }</w:instrText>
      </w:r>
      <w:r>
        <w:fldChar w:fldCharType="separate"/>
      </w:r>
      <w:r>
        <w:rPr>
          <w:noProof/>
        </w:rPr>
        <w:t xml:space="preserve"> </w:t>
      </w:r>
      <w:r w:rsidR="008507E6">
        <w:rPr>
          <w:noProof/>
        </w:rPr>
        <w:t>131</w:t>
      </w:r>
      <w:r w:rsidRPr="005422BB">
        <w:rPr>
          <w:noProof/>
        </w:rPr>
        <w:t>]</w:t>
      </w:r>
      <w:r>
        <w:fldChar w:fldCharType="end"/>
      </w:r>
      <w:r>
        <w:t xml:space="preserve">. </w:t>
      </w:r>
      <w:r w:rsidRPr="00960CD4">
        <w:t>Furthermore, cell seeding efficiency should be maximised as cell donor is limited</w:t>
      </w:r>
      <w:r>
        <w:t xml:space="preserve"> </w:t>
      </w:r>
      <w:r>
        <w:fldChar w:fldCharType="begin" w:fldLock="1"/>
      </w:r>
      <w:r>
        <w:instrText>ADDIN CSL_CITATION { "citationItems" : [ { "id" : "ITEM-1", "itemData" : { "DOI" : "10.5966/sctm.2013-0126", "author" : [ { "family" : "Ma", "given" : "J." }, { "family" : "Both", "given" : "S. K." }, { "family" : "Yang", "given" : "F." }, { "family" : "Cui", "given" : "F.-Z." }, { "family" : "Pan", "given" : "J." }, { "family" : "Meijer", "given" : "G. J." }, { "family" : "Jansen", "given" : "J. a." }, { "family" : "van den Beucken", "given" : "J. J. J. P." } ], "container-title" : "Stem Cells Translational Medicine", "id" : "ITEM-1", "issue" : "DECEMBER", "issued" : { "date-parts" : [ [ "2014" ] ] }, "page" : "98-107", "title" : "Concise Review: Cell-Based Strategies in Bone Tissue Engineering and Regenerative Medicine", "type" : "article-journal", "volume" : "3" }, "uris" : [ "http://www.mendeley.com/documents/?uuid=129f1325-f6e5-4030-96bb-7655206b8324" ] } ], "mendeley" : { "formattedCitation" : "[131]", "plainTextFormattedCitation" : "[131]", "previouslyFormattedCitation" : "[132]" }, "properties" : { "noteIndex" : 0 }, "schema" : "https://github.com/citation-style-language/schema/raw/master/csl-citation.json" }</w:instrText>
      </w:r>
      <w:r>
        <w:fldChar w:fldCharType="separate"/>
      </w:r>
      <w:r w:rsidRPr="00A15EFA">
        <w:rPr>
          <w:noProof/>
        </w:rPr>
        <w:t>[132]</w:t>
      </w:r>
      <w:r>
        <w:fldChar w:fldCharType="end"/>
      </w:r>
      <w:r w:rsidRPr="00960CD4">
        <w:t>. Flow rate, scaffold morphology and cell adhesion phenomena are crucial factors in cell seeding which can be explored by CFD modelling for the development of successful cell seeding strategies using dynamic bioreactors.</w:t>
      </w:r>
    </w:p>
    <w:p w:rsidR="005D1052" w:rsidRDefault="005D1052" w:rsidP="005D1052">
      <w:r>
        <w:t>Olivares and Lacroix</w:t>
      </w:r>
      <w:r w:rsidRPr="00017CBA">
        <w:t xml:space="preserve"> </w:t>
      </w:r>
      <w:r w:rsidRPr="00017CBA">
        <w:fldChar w:fldCharType="begin" w:fldLock="1"/>
      </w:r>
      <w:r>
        <w:instrText>ADDIN CSL_CITATION { "citationItems" : [ { "id" : "ITEM-1", "itemData" : { "DOI" : "10.1089/ten.tec.2011.0660", "author" : [ { "family" : "Olivares", "given" : "Andy L" }, { "family" : "Ph", "given" : "D" }, { "family" : "Lacroix", "given" : "Damien" } ], "id" : "ITEM-1", "issue" : "8", "issued" : { "date-parts" : [ [ "2012" ] ] }, "page" : "624-631", "title" : "Simulation of Cell Seeding Within a Three-Dimensional Porous Scaffold : A Fluid-Particle Analysis", "type" : "article-journal", "volume" : "18" }, "uris" : [ "http://www.mendeley.com/documents/?uuid=7761834d-27eb-4388-a05f-9da79d77a3cb" ] } ], "mendeley" : { "formattedCitation" : "[132]", "plainTextFormattedCitation" : "[132]", "previouslyFormattedCitation" : "[133]" }, "properties" : { "noteIndex" : 0 }, "schema" : "https://github.com/citation-style-language/schema/raw/master/csl-citation.json" }</w:instrText>
      </w:r>
      <w:r w:rsidRPr="00017CBA">
        <w:fldChar w:fldCharType="separate"/>
      </w:r>
      <w:r w:rsidRPr="00A15EFA">
        <w:rPr>
          <w:noProof/>
        </w:rPr>
        <w:t>[133]</w:t>
      </w:r>
      <w:r w:rsidRPr="00017CBA">
        <w:fldChar w:fldCharType="end"/>
      </w:r>
      <w:r>
        <w:t xml:space="preserve"> proposed a novel methodology to simulate cell seeding under direct perfusion conditions. Cells were modelled as sphere particles dragged by the fluid flow following a Lagrangian multiphase discrete approach. The main limitation of this model is related to the cell-scaffold interactions. Cells were assumed to adhere as soon as they hit the scaffold substrate. The results agreed well with experiments suggesting that fluid conditions might be the main factor of cell deposition. However, further validation will be required to fully consolidate the model. An alternative design for cell seeding by direct perfusion was developed by </w:t>
      </w:r>
      <w:r w:rsidRPr="00B442EB">
        <w:t xml:space="preserve">Govil et al. </w:t>
      </w:r>
      <w:r>
        <w:fldChar w:fldCharType="begin" w:fldLock="1"/>
      </w:r>
      <w:r>
        <w:instrText>ADDIN CSL_CITATION { "citationItems" : [ { "id" : "ITEM-1", "itemData" : { "author" : [ { "family" : "Govil", "given" : "A" }, { "family" : "Gamboa", "given" : "C G" }, { "family" : "Thompson", "given" : "N I" }, { "family" : "Guyer", "given" : "J A" }, { "family" : "Flores", "given" : "M B" }, { "family" : "Somasundar", "given" : "S" } ], "id" : "ITEM-1", "issued" : { "date-parts" : [ [ "2010" ] ] }, "note" : "US Patent App. 12/629,740", "publisher" : "Google Patents", "title" : "Methods and systems for storing medical implants under sustained vacuum", "type" : "article" }, "uris" : [ "http://www.mendeley.com/documents/?uuid=84f3dcba-7640-4cab-a69d-10f47ad366da" ] } ], "mendeley" : { "formattedCitation" : "[133]", "plainTextFormattedCitation" : "[133]", "previouslyFormattedCitation" : "[134]" }, "properties" : { "noteIndex" : 0 }, "schema" : "https://github.com/citation-style-language/schema/raw/master/csl-citation.json" }</w:instrText>
      </w:r>
      <w:r>
        <w:fldChar w:fldCharType="separate"/>
      </w:r>
      <w:r w:rsidRPr="00A15EFA">
        <w:rPr>
          <w:noProof/>
        </w:rPr>
        <w:t>[134]</w:t>
      </w:r>
      <w:r>
        <w:fldChar w:fldCharType="end"/>
      </w:r>
      <w:r w:rsidRPr="00B442EB">
        <w:t xml:space="preserve">. </w:t>
      </w:r>
      <w:r>
        <w:t xml:space="preserve">This compact perfusion system applies the vacuum induced suction effect generating a pressure gradient that drags the cell suspension into a cavity where the scaffold is placed. </w:t>
      </w:r>
      <w:r w:rsidRPr="00017CBA">
        <w:rPr>
          <w:noProof/>
        </w:rPr>
        <w:t>Adebiyi et al.</w:t>
      </w:r>
      <w:r w:rsidRPr="00017CBA">
        <w:t xml:space="preserve"> </w:t>
      </w:r>
      <w:r w:rsidRPr="00017CBA">
        <w:fldChar w:fldCharType="begin" w:fldLock="1"/>
      </w:r>
      <w:r>
        <w:instrText>ADDIN CSL_CITATION { "citationItems" : [ { "id" : "ITEM-1", "itemData" : { "DOI" : "10.1016/j.biomaterials.2011.08.028", "abstract" : "The seeding of a porous scaffold with stem cells is a fundamental step in engineering sizeable tissue constructs that are clinically viable. However, a key problem often encountered is inhomogeneous seeding of the cells particularly when the cells are delivered through the thickness of the scaffold. The objective of this study was to establish the quantitative relationships between the cell seeding efficiency and the initial vacuum pressure in a compact perfusion seeding device that uses the effect of differential pressure induced by vacuum to seed cells on a porous scaffold. A transient CFD solution of the fluid flow in the device was used to optimize the initial vacuum pressure for efficient cell seeding. Results indicate that the optimal initial vacuum pressure for homogenous cell seeding is approximately -20 kPa for the seeding device. This study presents a 3-D computational model that can be employed in designing and optimizing cell seeding techniques and corresponding technology. ?? 2011 Elsevier Ltd.", "author" : [ { "family" : "Adebiyi", "given" : "Adebayo a." }, { "family" : "Taslim", "given" : "Mohammad E." }, { "family" : "Crawford", "given" : "Keith D." } ], "container-title" : "Biomaterials", "id" : "ITEM-1", "issue" : "34", "issued" : { "date-parts" : [ [ "2011" ] ] }, "page" : "8753-8770", "publisher" : "Elsevier Ltd", "title" : "The use of computational fluid dynamic models for the optimization of cell seeding processes", "type" : "article-journal", "volume" : "32" }, "uris" : [ "http://www.mendeley.com/documents/?uuid=046d5982-0332-4b7f-8961-cc8748bf16b5" ] } ], "mendeley" : { "formattedCitation" : "[134]", "plainTextFormattedCitation" : "[134]", "previouslyFormattedCitation" : "[135]" }, "properties" : { "noteIndex" : 0 }, "schema" : "https://github.com/citation-style-language/schema/raw/master/csl-citation.json" }</w:instrText>
      </w:r>
      <w:r w:rsidRPr="00017CBA">
        <w:fldChar w:fldCharType="separate"/>
      </w:r>
      <w:r w:rsidRPr="00A15EFA">
        <w:rPr>
          <w:noProof/>
        </w:rPr>
        <w:t>[135]</w:t>
      </w:r>
      <w:r w:rsidRPr="00017CBA">
        <w:fldChar w:fldCharType="end"/>
      </w:r>
      <w:r>
        <w:t xml:space="preserve"> introduced a time dependent CFD model able to optimise the performance of this device. Unfortunately, their CFD model was unable to determine the location of attached cells in the scaffold and lacked of experimental validation.</w:t>
      </w:r>
    </w:p>
    <w:p w:rsidR="005D1052" w:rsidRDefault="005D1052" w:rsidP="005D1052">
      <w:r>
        <w:t xml:space="preserve">None of these models accounted for scaffold substrate effects on cell seeding. From a microscale point of view, cell adhesion is a complex process influenced by the physicochemical properties of scaffold surface. Coupling cell-substrate interactions in macroscale models would potentially help to optimise bioreactors for dynamic cell seeding. However cell adhesion to scaffold substrate is not well understood and coupling micro/macro scales is still challenging. </w:t>
      </w:r>
      <w:r w:rsidRPr="00017CBA">
        <w:t xml:space="preserve">Spencer et al </w:t>
      </w:r>
      <w:r w:rsidRPr="00017CBA">
        <w:fldChar w:fldCharType="begin" w:fldLock="1"/>
      </w:r>
      <w:r>
        <w:instrText>ADDIN CSL_CITATION { "citationItems" : [ { "id" : "ITEM-1", "itemData" : { "DOI" : "10.1002/bit.24777", "ISBN" : "4411422530", "abstract" : "Computer simulations can potentially be used to design, predict and inform properties for tissue engineering perfusion bioreactors. In this work we investigate the flow properties that result from a particular PLLA porous scaffold and a particular choice of perfusion bioreactor vessel design used in bone tissue engineering. We also propose a model to investigate the dynamic seeding properties such as the homogeneity (or lack of) of the cellular distribution within the scaffold of the perfusion bioreactor: a pre-requisite for the subsequent successful uniform growth of a viable bone tissue engineered construct. Flows inside geometrically complex scaffolds have been investigated previously and results shown at these pore scales. Here it is our aim to show accurately that through the use of modern high performance computers that the bioreactor device scale that encloses a scaffold can affect the flows and stresses within the pores throughout the scaffold which has implications for bioreactor design, control and use. Central to this work is that the boundary conditions are derived from micro computed tomography scans of both a device chamber and scaffold in order to avoid generalisations and uncertainties. Dynamic seeding methods have also been shown to provide certain advantages over static seeding methods. We propose here a novel coupled model for dynamic seeding accounting for flow, species mass transport and cell advection-diffusion-attachment tuned for bone tissue engineering. The model highlights the timescale differences between different species suggesting that traditional homogeneous porous flow models of transport must be applied with caution to perfusion bioreactors. Our in silico data illustrate the extent to which these experiments have the potential to contribute to future design and development of large-scale bioreactors. Biotechnol. Bioeng. \u00a9 2012 Wiley Periodicals, Inc.", "author" : [ { "family" : "Spencer", "given" : "T J" }, { "family" : "Hidalgo-Bastida", "given" : "L a" }, { "family" : "Cartmell", "given" : "S H" }, { "family" : "Halliday", "given" : "I" }, { "family" : "Care", "given" : "C M" } ], "container-title" : "Biotechnology and bioengineering", "id" : "ITEM-1", "issued" : { "date-parts" : [ [ "2012", "11", "1" ] ] }, "title" : "In silico multi-scale model of transport and dynamic seeding in a bone tissue engineering perfusion bioreactor.", "type" : "book" }, "uris" : [ "http://www.mendeley.com/documents/?uuid=3a75b7da-b0e3-412d-a41b-2e4f78908b70" ] } ], "mendeley" : { "formattedCitation" : "[135]", "plainTextFormattedCitation" : "[135]", "previouslyFormattedCitation" : "[136]" }, "properties" : { "noteIndex" : 0 }, "schema" : "https://github.com/citation-style-language/schema/raw/master/csl-citation.json" }</w:instrText>
      </w:r>
      <w:r w:rsidRPr="00017CBA">
        <w:fldChar w:fldCharType="separate"/>
      </w:r>
      <w:r w:rsidRPr="00A15EFA">
        <w:rPr>
          <w:noProof/>
        </w:rPr>
        <w:t>[136]</w:t>
      </w:r>
      <w:r w:rsidRPr="00017CBA">
        <w:fldChar w:fldCharType="end"/>
      </w:r>
      <w:r>
        <w:t xml:space="preserve"> proposed a </w:t>
      </w:r>
      <w:r>
        <w:lastRenderedPageBreak/>
        <w:t xml:space="preserve">computational model of a bone tissue bioreactor able to describe dynamic cell seeding of </w:t>
      </w:r>
      <w:r w:rsidRPr="00C55927">
        <w:t>human Mesenchymal Stem Cells</w:t>
      </w:r>
      <w:r>
        <w:t xml:space="preserve"> (hMSCs) as a diffusion-convection transport of species coupled to the fluid flow solved by the LB method. Cell-scaffold surface interactions were incorporated by a receptor-ligand model to represent the first monolayer of cell attachment to the scaffold surface. This approach seems a promising predictive tool; however, it requires experimental validation.</w:t>
      </w:r>
    </w:p>
    <w:p w:rsidR="005D1052" w:rsidRDefault="005D1052" w:rsidP="005D1052">
      <w:r>
        <w:t xml:space="preserve">An important condition that researchers should consider in forthcoming studies is the time-dependant porosity. Cells attached to the scaffold and newly formed tissue should be included into the scaffold boundary geometry over time as that may affect the hydrodynamic flow surrounding the cells </w:t>
      </w:r>
      <w:r>
        <w:fldChar w:fldCharType="begin" w:fldLock="1"/>
      </w:r>
      <w:r>
        <w:instrText>ADDIN CSL_CITATION { "citationItems" : [ { "id" : "ITEM-1", "itemData" : { "DOI" : "10.1002/bit.25672", "abstract" : "Bone tissue engineering strategies use flow through perfusion bioreactors to apply mechanical stimuli to cells seeded on porous scaffolds. Cells grow on the scaffold surface but also by bridging the scaffold pores leading a fully filled scaffold following the scaffold's geometric characteristics. Current computational fluid dynamic approaches for tissue engineering bioreactor systems have been mostly carried out for empty scaffolds. The effect of 3D cell growth and extracellular matrix formation (termed in this study as neotissue growth), on its surrounding fluid flow field is a challenge yet to be tackled. In this work a combined approach was followed linking curvature driven cell growth to fluid dynamics modeling. The level-set method (LSM) was employed to capture neotissue growth driven by curvature, while the Stokes and Darcy equations, combined in the Brinkman equation, provided information regarding the distribution of the shear stress profile at the neotissue/medium interface and within the neotissue itself during growth. The neotissue was assumed to be micro-porous allowing flow through its structure while at the same time allowing the simulation of complete scaffold filling without numerical convergence issues. The results show a significant difference in the amplitude of shear stress for cells located within the micro-porous neo-tissue or at the neotissue/medium interface, demonstrating the importance of taking along the neotissue in the calculation of the mechanical stimulation of cells during culture.The presented computational framework is used on different scaffold pore geometries demonstrating its potential to be used a design as tool for scaffold architecture taking into account the growing neotissue. Biotechnol. Bioeng. 2015;9999: 1-10. \u00a9 2015 Wiley Periodicals, Inc.", "author" : [ { "family" : "Guyot", "given" : "Y" }, { "family" : "Luyten", "given" : "F P" }, { "family" : "Schrooten", "given" : "J" }, { "family" : "Papantoniou", "given" : "I" }, { "family" : "Geris", "given" : "L" } ], "container-title" : "Biotechnology and bioengineering", "id" : "ITEM-1", "issue" : "12", "issued" : { "date-parts" : [ [ "2015" ] ] }, "page" : "2591-2600", "title" : "A three-dimensional computational fluid dynamics model of shear stress distribution during neotissue growth in a perfusion bioreactor.", "type" : "article-journal", "volume" : "112" }, "uris" : [ "http://www.mendeley.com/documents/?uuid=1ac7452e-d365-44d7-af90-42a0fbe01128" ] } ], "mendeley" : { "formattedCitation" : "[136]", "plainTextFormattedCitation" : "[136]", "previouslyFormattedCitation" : "[137]" }, "properties" : { "noteIndex" : 0 }, "schema" : "https://github.com/citation-style-language/schema/raw/master/csl-citation.json" }</w:instrText>
      </w:r>
      <w:r>
        <w:fldChar w:fldCharType="separate"/>
      </w:r>
      <w:r w:rsidRPr="00A15EFA">
        <w:rPr>
          <w:noProof/>
        </w:rPr>
        <w:t>[137]</w:t>
      </w:r>
      <w:r>
        <w:fldChar w:fldCharType="end"/>
      </w:r>
      <w:r>
        <w:t>. Future studies including these factors could yield predictive simulations that could serve as inputs for subsequent cellular proliferation and differentiation simulations.</w:t>
      </w:r>
    </w:p>
    <w:p w:rsidR="005D1052" w:rsidRDefault="005D1052" w:rsidP="005D1052">
      <w:pPr>
        <w:pStyle w:val="Heading3"/>
      </w:pPr>
      <w:bookmarkStart w:id="68" w:name="_Toc310605590"/>
      <w:bookmarkStart w:id="69" w:name="_Toc310605885"/>
      <w:bookmarkStart w:id="70" w:name="_Toc440823185"/>
      <w:r>
        <w:t>Experimental techniques for model formulation and validation</w:t>
      </w:r>
      <w:bookmarkEnd w:id="68"/>
      <w:bookmarkEnd w:id="69"/>
      <w:bookmarkEnd w:id="70"/>
    </w:p>
    <w:p w:rsidR="005D1052" w:rsidRDefault="005D1052" w:rsidP="005D1052">
      <w:r>
        <w:t xml:space="preserve">µPIV experimental data can help to understand the physics involved in microfluidic systems for TE applications. Even more, well characterised µPIV data can be used to formulate and validate CFD models that in turn will have the potential to substitute physical experiments becoming a virtual unlimited source of trials. For such purpose, </w:t>
      </w:r>
      <w:r w:rsidRPr="00F965CF">
        <w:t xml:space="preserve">Song et al. </w:t>
      </w:r>
      <w:r w:rsidRPr="00F965CF">
        <w:fldChar w:fldCharType="begin" w:fldLock="1"/>
      </w:r>
      <w:r>
        <w:instrText>ADDIN CSL_CITATION { "citationItems" : [ { "id" : "ITEM-1", "itemData" : { "DOI" : "10.1371/journal.pone.0012796", "abstract" : "A major hurdle to understanding and exploiting interactions between the stem cell and its environment is the lack of a tool for precise delivery of mechanical cues concomitant to observing sub-cellular adaptation of structure. These studies demonstrate the use of microscale particle image velocimetry (\u03bc-PIV) for in situ spatiotemporal mapping of flow fields around mesenchymal stem cells, i.e. murine embryonic multipotent cell line C3H10T1/2, at the subcellular length scale, providing a tool for real time observation and analysis of stem cell adaptation to the prevailing mechanical milieu. In the absence of cells, computational fluid dynamics (CFD) predicts flow regimes within 12% of \u03bc-PIV measures, achieving the technical specifications of the chamber and the flow rates necessary to deliver target shear stresses at a particular height from the base of the flow chamber. However, our \u03bc-PIV studies show that the presence of cells per se as well as the density at which cells are seeded significantly influences local flow fields. Furthermore, for any given cell or cell seeding density, flow regimes vary significantly along the vertical profile of the cell. Hence, the mechanical milieu of the stem cell exposed to shape changing shear stresses, induced by fluid drag, varies with respect to proximity of surrounding cells as well as with respect to apical height. The current study addresses a previously unmet need to predict and observe both flow regimes as well as mechanoadaptation of cells in flow chambers designed to deliver precisely controlled mechanical signals to live cells. An understanding of interactions and adaptation in response to forces at the interface between the surface of the cell and its immediate local environment may be key for de novo engineering of functional tissues from stem cell templates as well as for unraveling the mechanisms underlying multiscale development, growth and adaptation of organisms.", "author" : [ { "family" : "Song", "given" : "Min Jae" }, { "family" : "Dean", "given" : "David" }, { "family" : "Knothe Tate", "given" : "Melissa L" } ], "container-title" : "PloS one", "id" : "ITEM-1", "issue" : "9", "issued" : { "date-parts" : [ [ "2010", "1" ] ] }, "page" : "1-7", "title" : "In situ spatiotemporal mapping of flow fields around seeded stem cells at the subcellular length scale.", "type" : "article-journal", "volume" : "5" }, "uris" : [ "http://www.mendeley.com/documents/?uuid=dbd772e5-906d-4e66-9d9f-2fa3a1203c17" ] } ], "mendeley" : { "formattedCitation" : "[137]", "plainTextFormattedCitation" : "[137]", "previouslyFormattedCitation" : "[138]" }, "properties" : { "noteIndex" : 0 }, "schema" : "https://github.com/citation-style-language/schema/raw/master/csl-citation.json" }</w:instrText>
      </w:r>
      <w:r w:rsidRPr="00F965CF">
        <w:fldChar w:fldCharType="separate"/>
      </w:r>
      <w:r w:rsidRPr="00A15EFA">
        <w:rPr>
          <w:noProof/>
        </w:rPr>
        <w:t>[138]</w:t>
      </w:r>
      <w:r w:rsidRPr="00F965CF">
        <w:fldChar w:fldCharType="end"/>
      </w:r>
      <w:r>
        <w:t xml:space="preserve"> extracted the flow fields at the cell scale in order to assess the ability of CFD to predict the local fluid-induced microenvironment around cells. </w:t>
      </w:r>
      <w:r w:rsidRPr="00F965CF">
        <w:rPr>
          <w:noProof/>
        </w:rPr>
        <w:t>De Boodt et al.</w:t>
      </w:r>
      <w:r>
        <w:rPr>
          <w:noProof/>
        </w:rPr>
        <w:t xml:space="preserve"> </w:t>
      </w:r>
      <w:r w:rsidRPr="00F965CF">
        <w:fldChar w:fldCharType="begin" w:fldLock="1"/>
      </w:r>
      <w:r>
        <w:instrText>ADDIN CSL_CITATION { "citationItems" : [ { "id" : "ITEM-1", "itemData" : { "DOI" : "10.1089/ten.tec.2010.0107", "abstract" : "As part of a tissue engineering (TE) therapy, cell-seeded scaffolds can be cultured in perfusion bioreactors in which the flow-mediated wall shear stress and the nutrient transport are factors that influence in vitro proliferation and osteogenic differentiation of the seeded progenitor cells. In this study both computational fluid dynamics simulations on idealized boundary conditions and circumstances and microparticle image velocimetry measurements on realistic conditions were carried out to quantify the fluid dynamic microenvironment inside a bone TE construct. The results showed that differences between actual and designed geometry and time-dependent character of the fluid flow caused a 19% difference in average fluid velocity and a 27% difference in wall shear stress between simulations and measurements. The computational fluid dynamics simulation enabled higher resolution and three-dimensional fluid flow quantification that could be quantitatively compared with a microparticle image velocimetry measurement. The coupling of numerical and experimental analysis provides a reliable and high-resolution bi-modular tool for quantifying the fluid dynamics that represent the basis to determine the relation between the hydrodynamic environment and cell growth and differentiation within TE scaffolds.", "author" : [ { "family" : "De Boodt", "given" : "Sebastian" }, { "family" : "Truscello", "given" : "Silvia" }, { "family" : "Ozcan", "given" : "Sezin Eren" }, { "family" : "Leroy", "given" : "Toon" }, { "family" : "Van Oosterwyck", "given" : "Hans" }, { "family" : "Berckmans", "given" : "Daniel" }, { "family" : "Schrooten", "given" : "Jan" } ], "container-title" : "Tissue engineering. Part C, Methods", "id" : "ITEM-1", "issue" : "6", "issued" : { "date-parts" : [ [ "2010" ] ] }, "page" : "1553-1564", "title" : "Bi-modular flow characterization in tissue engineering scaffolds using computational fluid dynamics and particle imaging velocimetry.", "type" : "article-journal", "volume" : "16" }, "uris" : [ "http://www.mendeley.com/documents/?uuid=a2e7d264-389f-47ca-82a6-b32bfc4b0189" ] } ], "mendeley" : { "formattedCitation" : "[138]", "plainTextFormattedCitation" : "[138]", "previouslyFormattedCitation" : "[139]" }, "properties" : { "noteIndex" : 0 }, "schema" : "https://github.com/citation-style-language/schema/raw/master/csl-citation.json" }</w:instrText>
      </w:r>
      <w:r w:rsidRPr="00F965CF">
        <w:fldChar w:fldCharType="separate"/>
      </w:r>
      <w:r w:rsidRPr="00A15EFA">
        <w:rPr>
          <w:noProof/>
        </w:rPr>
        <w:t>[139]</w:t>
      </w:r>
      <w:r w:rsidRPr="00F965CF">
        <w:fldChar w:fldCharType="end"/>
      </w:r>
      <w:r>
        <w:t xml:space="preserve"> used µPIV measurements not only for CFD validation but also as feedback to improve the definition of the CFD model; they found significant differences between µPIV and CFD results mainly due to the use of an idealized CAD geometry in the computational model instead of considering the actual scaffold geometry. The inclusion of the real scaffold geometry in CFD models can be </w:t>
      </w:r>
      <w:r w:rsidRPr="005E0985">
        <w:t xml:space="preserve">performed for instance through digital reconstruction using μCT data as discussed in section </w:t>
      </w:r>
      <w:r w:rsidRPr="005E0985">
        <w:fldChar w:fldCharType="begin"/>
      </w:r>
      <w:r w:rsidRPr="005E0985">
        <w:instrText xml:space="preserve"> REF _Ref438585953 \r \h </w:instrText>
      </w:r>
      <w:r>
        <w:instrText xml:space="preserve"> \* MERGEFORMAT </w:instrText>
      </w:r>
      <w:r w:rsidRPr="005E0985">
        <w:fldChar w:fldCharType="separate"/>
      </w:r>
      <w:r w:rsidR="00924C7D">
        <w:t>2.2.4.1</w:t>
      </w:r>
      <w:r w:rsidRPr="005E0985">
        <w:fldChar w:fldCharType="end"/>
      </w:r>
      <w:r w:rsidRPr="005E0985">
        <w:t>.</w:t>
      </w:r>
    </w:p>
    <w:p w:rsidR="005D1052" w:rsidRDefault="005D1052" w:rsidP="005D1052">
      <w:pPr>
        <w:pStyle w:val="Heading4"/>
      </w:pPr>
      <w:bookmarkStart w:id="71" w:name="_Toc440823186"/>
      <w:r>
        <w:lastRenderedPageBreak/>
        <w:t>µ-Particle Image Velocimetry</w:t>
      </w:r>
      <w:bookmarkEnd w:id="71"/>
    </w:p>
    <w:p w:rsidR="005D1052" w:rsidRDefault="005D1052" w:rsidP="005D1052">
      <w:r>
        <w:t>The flow environment inside 3D porous scaffolds modulates key aspects of in vitro tissue formation such as the transport of cells to scaffold substrate during seeding or the fluid shear stress exerted on cells that affects cell response. Therefore, the acquisition of the spatial fluid flow conditions inside scaffolds is essential to understand the fluid-induced cell behaviour and control tissue development. µPIV has been widely used to quantify local fluid velocities and derived properties in microflows. Conventional µPIV consists of illuminating the fluid flow that contains tracer particles with a pulsed laser and capturing the reflected light with a high speed camera in double frame images under a specific time step. Then, vector maps are generated by applying PIV cross-correlation methods. µPIV is a method that needs optical access to the region of interest inside the scaffold, however, most of TE scaffolds are made of non-transparent materials. Despite this barrier, different approaches have been followed to extract representative fluid flow data from 3D scaffolds. For instance,</w:t>
      </w:r>
      <w:r w:rsidRPr="008426AE">
        <w:t xml:space="preserve"> Jae et al. </w:t>
      </w:r>
      <w:r w:rsidRPr="008426AE">
        <w:fldChar w:fldCharType="begin" w:fldLock="1"/>
      </w:r>
      <w:r>
        <w:instrText>ADDIN CSL_CITATION { "citationItems" : [ { "id" : "ITEM-1", "itemData" : { "DOI" : "10.1016/j.biomaterials.2013.04.023", "author" : [ { "family" : "Jae", "given" : "Min" }, { "family" : "Dean", "given" : "David" }, { "family" : "Knothe", "given" : "Melissa L" } ], "container-title" : "Biomaterials", "id" : "ITEM-1", "issue" : "23", "issued" : { "date-parts" : [ [ "2013" ] ] }, "page" : "5766-5775", "publisher" : "Elsevier Ltd", "title" : "Biomaterials Mechanical modulation of nascent stem cell lineage commitment in tissue engineering scaffolds", "type" : "article-journal", "volume" : "34" }, "uris" : [ "http://www.mendeley.com/documents/?uuid=2238dcfd-f671-4b4f-9a0d-49679ebffea8" ] } ], "mendeley" : { "formattedCitation" : "[139]", "plainTextFormattedCitation" : "[139]", "previouslyFormattedCitation" : "[140]" }, "properties" : { "noteIndex" : 0 }, "schema" : "https://github.com/citation-style-language/schema/raw/master/csl-citation.json" }</w:instrText>
      </w:r>
      <w:r w:rsidRPr="008426AE">
        <w:fldChar w:fldCharType="separate"/>
      </w:r>
      <w:r w:rsidRPr="00A15EFA">
        <w:rPr>
          <w:noProof/>
        </w:rPr>
        <w:t>[140]</w:t>
      </w:r>
      <w:r w:rsidRPr="008426AE">
        <w:fldChar w:fldCharType="end"/>
      </w:r>
      <w:r>
        <w:t xml:space="preserve"> used a µPIV technique to calculate the shear stress and its effect on cell differentiation on transverse and axial scaffold sections which exemplify the main 3D architectural features of the </w:t>
      </w:r>
      <w:r w:rsidRPr="004E525C">
        <w:t xml:space="preserve">scaffold (see </w:t>
      </w:r>
      <w:r>
        <w:fldChar w:fldCharType="begin"/>
      </w:r>
      <w:r>
        <w:instrText xml:space="preserve"> REF _Ref438470786 \h </w:instrText>
      </w:r>
      <w:r>
        <w:fldChar w:fldCharType="separate"/>
      </w:r>
      <w:r w:rsidR="00924C7D">
        <w:t xml:space="preserve">Figure </w:t>
      </w:r>
      <w:r w:rsidR="00924C7D">
        <w:rPr>
          <w:noProof/>
        </w:rPr>
        <w:t>2</w:t>
      </w:r>
      <w:r w:rsidR="00924C7D">
        <w:noBreakHyphen/>
      </w:r>
      <w:r w:rsidR="00924C7D">
        <w:rPr>
          <w:noProof/>
        </w:rPr>
        <w:t>7</w:t>
      </w:r>
      <w:r>
        <w:fldChar w:fldCharType="end"/>
      </w:r>
      <w:r>
        <w:t>.a</w:t>
      </w:r>
      <w:r w:rsidRPr="004E525C">
        <w:t>). It is</w:t>
      </w:r>
      <w:r>
        <w:t xml:space="preserve"> noteworthy to mention that classical µPIV only permits 2D measurements. However, 3D flow environments are found inside scaffolds. Furthermore, it has been shown in literature that the response of cells under the same shear stress can differ significantly from 2D to 3D environments </w:t>
      </w:r>
      <w:r>
        <w:fldChar w:fldCharType="begin" w:fldLock="1"/>
      </w:r>
      <w:r>
        <w:instrText>ADDIN CSL_CITATION { "citationItems" : [ { "id" : "ITEM-1", "itemData" : { "DOI" : "10.1089/ten.teb.2010.0370", "ISBN" : "1937-3376 (Electronic)\\r1937-3368 (Linking)", "abstract" : "Bone tissue engineering aims to generate clinically applicable bone graft substitutes in an effort to ease the demands and reduce the potential risks associated with traditional autograft and allograft bone replacement procedures. Biomechanical stimuli play an important role under physiologically relevant conditions in the normal formation, development, and homeostasis of bone tissue--predominantly, strain (predicted levels in vivo for humans &lt;2000 \u03bc\u03b5) caused by physical deformation, and fluid shear stress (0.8-3 Pa), generated by interstitial fluid movement through lacunae caused by compression and tension under loading. Therefore, in vitro bone tissue cultivation strategies seek to incorporate biochemical stimuli in an effort to create more physiologically relevant constructs for grafting. This review is focused on collating information pertaining to the relationship between fluid shear stress, cellular deformation, and osteogenic differentiation, providing further insight into the optimal culture conditions for the creation of bone tissue substitutes.", "author" : [ { "family" : "McCoy", "given" : "Ryan J" }, { "family" : "O'Brien", "given" : "Fergal J" } ], "container-title" : "Tissue engineering. Part B, Reviews", "id" : "ITEM-1", "issue" : "6", "issued" : { "date-parts" : [ [ "2010" ] ] }, "page" : "587-601", "title" : "Influence of shear stress in perfusion bioreactor cultures for the development of three-dimensional bone tissue constructs: a review.", "type" : "article-journal", "volume" : "16" }, "uris" : [ "http://www.mendeley.com/documents/?uuid=e5380612-96d9-4275-b5e9-cb8882ec346d" ] } ], "mendeley" : { "formattedCitation" : "[140]", "plainTextFormattedCitation" : "[140]", "previouslyFormattedCitation" : "[141]" }, "properties" : { "noteIndex" : 0 }, "schema" : "https://github.com/citation-style-language/schema/raw/master/csl-citation.json" }</w:instrText>
      </w:r>
      <w:r>
        <w:fldChar w:fldCharType="separate"/>
      </w:r>
      <w:r w:rsidRPr="00A15EFA">
        <w:rPr>
          <w:noProof/>
        </w:rPr>
        <w:t>[141]</w:t>
      </w:r>
      <w:r>
        <w:fldChar w:fldCharType="end"/>
      </w:r>
      <w:r>
        <w:t>. For this reason</w:t>
      </w:r>
      <w:r w:rsidRPr="00F965CF">
        <w:t xml:space="preserve">, </w:t>
      </w:r>
      <w:r w:rsidRPr="00F965CF">
        <w:rPr>
          <w:noProof/>
        </w:rPr>
        <w:t>De Boodt et al</w:t>
      </w:r>
      <w:r w:rsidRPr="00F965CF">
        <w:t>.</w:t>
      </w:r>
      <w:r>
        <w:t xml:space="preserve"> </w:t>
      </w:r>
      <w:r w:rsidRPr="00F965CF">
        <w:fldChar w:fldCharType="begin" w:fldLock="1"/>
      </w:r>
      <w:r>
        <w:instrText>ADDIN CSL_CITATION { "citationItems" : [ { "id" : "ITEM-1", "itemData" : { "DOI" : "10.1089/ten.tec.2010.0107", "abstract" : "As part of a tissue engineering (TE) therapy, cell-seeded scaffolds can be cultured in perfusion bioreactors in which the flow-mediated wall shear stress and the nutrient transport are factors that influence in vitro proliferation and osteogenic differentiation of the seeded progenitor cells. In this study both computational fluid dynamics simulations on idealized boundary conditions and circumstances and microparticle image velocimetry measurements on realistic conditions were carried out to quantify the fluid dynamic microenvironment inside a bone TE construct. The results showed that differences between actual and designed geometry and time-dependent character of the fluid flow caused a 19% difference in average fluid velocity and a 27% difference in wall shear stress between simulations and measurements. The computational fluid dynamics simulation enabled higher resolution and three-dimensional fluid flow quantification that could be quantitatively compared with a microparticle image velocimetry measurement. The coupling of numerical and experimental analysis provides a reliable and high-resolution bi-modular tool for quantifying the fluid dynamics that represent the basis to determine the relation between the hydrodynamic environment and cell growth and differentiation within TE scaffolds.", "author" : [ { "family" : "De Boodt", "given" : "Sebastian" }, { "family" : "Truscello", "given" : "Silvia" }, { "family" : "Ozcan", "given" : "Sezin Eren" }, { "family" : "Leroy", "given" : "Toon" }, { "family" : "Van Oosterwyck", "given" : "Hans" }, { "family" : "Berckmans", "given" : "Daniel" }, { "family" : "Schrooten", "given" : "Jan" } ], "container-title" : "Tissue engineering. Part C, Methods", "id" : "ITEM-1", "issue" : "6", "issued" : { "date-parts" : [ [ "2010" ] ] }, "page" : "1553-1564", "title" : "Bi-modular flow characterization in tissue engineering scaffolds using computational fluid dynamics and particle imaging velocimetry.", "type" : "article-journal", "volume" : "16" }, "uris" : [ "http://www.mendeley.com/documents/?uuid=a2e7d264-389f-47ca-82a6-b32bfc4b0189" ] } ], "mendeley" : { "formattedCitation" : "[138]", "plainTextFormattedCitation" : "[138]", "previouslyFormattedCitation" : "[139]" }, "properties" : { "noteIndex" : 0 }, "schema" : "https://github.com/citation-style-language/schema/raw/master/csl-citation.json" }</w:instrText>
      </w:r>
      <w:r w:rsidRPr="00F965CF">
        <w:fldChar w:fldCharType="separate"/>
      </w:r>
      <w:r w:rsidRPr="00A15EFA">
        <w:rPr>
          <w:noProof/>
        </w:rPr>
        <w:t>[139]</w:t>
      </w:r>
      <w:r w:rsidRPr="00F965CF">
        <w:fldChar w:fldCharType="end"/>
      </w:r>
      <w:r w:rsidRPr="00F965CF">
        <w:t xml:space="preserve"> claimed</w:t>
      </w:r>
      <w:r>
        <w:t xml:space="preserve"> that µPIV experiments cannot be performed on 2D substrates and they introduced the 2D+ concept by using a patterned substrate based on a unit cell of a 3D RP scaffold as where in-plane velocities could be measured (see </w:t>
      </w:r>
      <w:r>
        <w:rPr>
          <w:highlight w:val="yellow"/>
        </w:rPr>
        <w:fldChar w:fldCharType="begin"/>
      </w:r>
      <w:r>
        <w:instrText xml:space="preserve"> REF _Ref438470786 \h </w:instrText>
      </w:r>
      <w:r>
        <w:rPr>
          <w:highlight w:val="yellow"/>
        </w:rPr>
      </w:r>
      <w:r>
        <w:rPr>
          <w:highlight w:val="yellow"/>
        </w:rPr>
        <w:fldChar w:fldCharType="separate"/>
      </w:r>
      <w:r w:rsidR="00924C7D">
        <w:t xml:space="preserve">Figure </w:t>
      </w:r>
      <w:r w:rsidR="00924C7D">
        <w:rPr>
          <w:noProof/>
        </w:rPr>
        <w:t>2</w:t>
      </w:r>
      <w:r w:rsidR="00924C7D">
        <w:noBreakHyphen/>
      </w:r>
      <w:r w:rsidR="00924C7D">
        <w:rPr>
          <w:noProof/>
        </w:rPr>
        <w:t>7</w:t>
      </w:r>
      <w:r>
        <w:rPr>
          <w:highlight w:val="yellow"/>
        </w:rPr>
        <w:fldChar w:fldCharType="end"/>
      </w:r>
      <w:r>
        <w:t xml:space="preserve">.b). A similar strategy was followed by </w:t>
      </w:r>
      <w:r w:rsidRPr="00975919">
        <w:t>Provin et al.</w:t>
      </w:r>
      <w:r>
        <w:t xml:space="preserve"> </w:t>
      </w:r>
      <w:r>
        <w:fldChar w:fldCharType="begin" w:fldLock="1"/>
      </w:r>
      <w:r>
        <w:instrText>ADDIN CSL_CITATION { "citationItems" : [ { "id" : "ITEM-1", "itemData" : { "DOI" : "10.1016/j.jbiomech.2008.02.025", "ISBN" : "0021-9290", "abstract" : "The application of in vitro cultured cells in tissue engineering or drug screening, aimed at complex soft tissues such as liver, requires in vivo physiological function of the cultured cells. For this purpose, the scaffold in which cells are cultured should provide a microenvironment similar to an in vivo one with a three-dimensional extracellular matrix, a high supply capacity of O2 and nutrients, and high cell density. In this paper, we propose a method to design (1) the geometry of the scaffold, with a surface/volume ratio optimized to allow high-density (5??107 cells/mL) cell culture and (2) culture conditions that will supply optimal quantities of oxygen and nutrients. CFD modeling of mass transport was used to determine the shear stress as well as O2 and glucose metabolism in the scaffold (20 mm width-35 mm length) for various flow rates. Validation of the model was done through comparison with flow resistance and micro-PIV experiments. CFD analysis showed the maximum metabolic rate densities for this scaffold are 6.04??10-3 mol/s/m3 for O2 at 0.71 mL/min and 1.91??10-2 mol/s/m3 for glucose at 0.35 mL/min. ?? 2008 Elsevier Ltd. All rights reserved.", "author" : [ { "family" : "Provin", "given" : "Christophe" }, { "family" : "Takano", "given" : "Kiyoshi" }, { "family" : "Sakai", "given" : "Yasuyuki" }, { "family" : "Fujii", "given" : "Teruo" }, { "family" : "Shirakashi", "given" : "Ryo" } ], "container-title" : "Journal of Biomechanics", "id" : "ITEM-1", "issued" : { "date-parts" : [ [ "2008" ] ] }, "page" : "1436-1449", "title" : "A method for the design of 3D scaffolds for high-density cell attachment and determination of optimum perfusion culture conditions", "type" : "article-journal", "volume" : "41" }, "uris" : [ "http://www.mendeley.com/documents/?uuid=ead37bf4-5e77-4eee-bbb5-39f0368cce98" ] } ], "mendeley" : { "formattedCitation" : "[141]", "plainTextFormattedCitation" : "[141]", "previouslyFormattedCitation" : "[142]" }, "properties" : { "noteIndex" : 0 }, "schema" : "https://github.com/citation-style-language/schema/raw/master/csl-citation.json" }</w:instrText>
      </w:r>
      <w:r>
        <w:fldChar w:fldCharType="separate"/>
      </w:r>
      <w:r w:rsidRPr="00A15EFA">
        <w:rPr>
          <w:noProof/>
        </w:rPr>
        <w:t>[142]</w:t>
      </w:r>
      <w:r>
        <w:fldChar w:fldCharType="end"/>
      </w:r>
      <w:r>
        <w:t xml:space="preserve"> investigating a microstructure compounded by a pillar bundle in a parallel plate chamber to optimise scaffold design and achieve a trade-off between high supply of medium for cells and low shear stress values (see </w:t>
      </w:r>
      <w:r>
        <w:fldChar w:fldCharType="begin"/>
      </w:r>
      <w:r>
        <w:instrText xml:space="preserve"> REF _Ref438470786 \h </w:instrText>
      </w:r>
      <w:r>
        <w:fldChar w:fldCharType="separate"/>
      </w:r>
      <w:r w:rsidR="00924C7D">
        <w:t xml:space="preserve">Figure </w:t>
      </w:r>
      <w:r w:rsidR="00924C7D">
        <w:rPr>
          <w:noProof/>
        </w:rPr>
        <w:t>2</w:t>
      </w:r>
      <w:r w:rsidR="00924C7D">
        <w:noBreakHyphen/>
      </w:r>
      <w:r w:rsidR="00924C7D">
        <w:rPr>
          <w:noProof/>
        </w:rPr>
        <w:t>7</w:t>
      </w:r>
      <w:r>
        <w:fldChar w:fldCharType="end"/>
      </w:r>
      <w:r>
        <w:t>.c).</w:t>
      </w:r>
    </w:p>
    <w:p w:rsidR="005D1052" w:rsidRDefault="005D1052" w:rsidP="005D1052">
      <w:pPr>
        <w:pStyle w:val="Heading4"/>
      </w:pPr>
      <w:bookmarkStart w:id="72" w:name="_Toc440823187"/>
      <w:r>
        <w:lastRenderedPageBreak/>
        <w:t>Particle Tracking Velocimetry</w:t>
      </w:r>
      <w:bookmarkEnd w:id="72"/>
    </w:p>
    <w:p w:rsidR="005D1052" w:rsidRDefault="005D1052" w:rsidP="005D1052">
      <w:r>
        <w:t xml:space="preserve"> Particle Tracking Velocimetry (PTV) methods have been applied to study cell motion in physiological fluids such as blood flow. These methods follow a similar principle to the µPIV but instead cells are tracked individually in a lagrangian manner. </w:t>
      </w:r>
      <w:r w:rsidRPr="001F6DEE">
        <w:t xml:space="preserve">Lima et al. </w:t>
      </w:r>
      <w:r w:rsidRPr="008426AE">
        <w:fldChar w:fldCharType="begin" w:fldLock="1"/>
      </w:r>
      <w:r>
        <w:instrText>ADDIN CSL_CITATION { "citationItems" : [ { "id" : "ITEM-1", "itemData" : { "DOI" : "10.1007/s10439-009-9732-z", "abstract" : "Developments in optical experimental techniques have helped in elucidating how blood flows through microvessels. Although initial developments were encouraging, studies on the flow properties of blood in microcirculation have been limited by several technical factors, such as poor spatial resolution and difficulty obtaining quantitative detailed measurements at such small scales. Recent advances in computing, microscopy, and digital image processing techniques have made it possible to combine a particle tracking velocimetry (PTV) system with a confocal microscope. We document the development of a confocal micro-PTV measurement system for capturing the dynamic flow behavior of red blood cells (RBCs) in concentrated suspensions. Measurements were performed at several depths through 100-mum glass capillaries. The confocal micro-PTV system was able to detect both translational and rotational motions of individual RBCs flowing in concentrated suspensions. Our results provide evidence that RBCs in dilute suspensions (3% hematocrit) tended to follow approximately linear trajectories, whereas RBCs in concentrated suspensions (20% hematocrit) exhibited transversal displacements of about 2% from the original path. Direct and quantitative measurements indicated that the plasma layer appeared to enhance the fluctuations in RBC trajectories owing to decreased obstruction in transversal movements caused by other RBCs. Using optical sectioning and subsequent image contrast and resolution enhancement, the system provides previously unobtainable information on the motion of RBCs, including the trajectories of two or more RBCs interacting in the same focal plane and RBC dispersion coefficients in different focal planes.", "author" : [ { "family" : "Lima", "given" : "Rui" }, { "family" : "Ishikawa", "given" : "Takuji" }, { "family" : "Imai", "given" : "Yohsuke" }, { "family" : "Takeda", "given" : "Motohiro" }, { "family" : "Wada", "given" : "Shigeo" }, { "family" : "Yamaguchi", "given" : "Takami" } ], "container-title" : "Annals of biomedical engineering", "id" : "ITEM-1", "issue" : "8", "issued" : { "date-parts" : [ [ "2009", "8" ] ] }, "page" : "1546-59", "title" : "Measurement of individual red blood cell motions under high hematocrit conditions using a confocal micro-PTV system.", "type" : "article-journal", "volume" : "37" }, "uris" : [ "http://www.mendeley.com/documents/?uuid=da577b3d-0ff3-4dd4-9ff8-48c7032a3d37" ] } ], "mendeley" : { "formattedCitation" : "[142]", "plainTextFormattedCitation" : "[142]", "previouslyFormattedCitation" : "[143]" }, "properties" : { "noteIndex" : 0 }, "schema" : "https://github.com/citation-style-language/schema/raw/master/csl-citation.json" }</w:instrText>
      </w:r>
      <w:r w:rsidRPr="008426AE">
        <w:fldChar w:fldCharType="separate"/>
      </w:r>
      <w:r w:rsidRPr="001F6DEE">
        <w:rPr>
          <w:noProof/>
        </w:rPr>
        <w:t>[143]</w:t>
      </w:r>
      <w:r w:rsidRPr="008426AE">
        <w:fldChar w:fldCharType="end"/>
      </w:r>
      <w:r w:rsidRPr="001F6DEE">
        <w:t xml:space="preserve"> used PTV in combination with confocal microscopy to analyse the dynamic flow behaviour of red blood cells (RBCs) in different channel depths by optical sectioning</w:t>
      </w:r>
      <w:r>
        <w:t>. They found an</w:t>
      </w:r>
      <w:r w:rsidRPr="001F6DEE">
        <w:t xml:space="preserve"> increase of lateral displacement of cells when moving away from the plane at the centre of the microtube. </w:t>
      </w:r>
      <w:r w:rsidRPr="008426AE">
        <w:t xml:space="preserve">Sugii et al. </w:t>
      </w:r>
      <w:r w:rsidRPr="008426AE">
        <w:fldChar w:fldCharType="begin" w:fldLock="1"/>
      </w:r>
      <w:r>
        <w:instrText>ADDIN CSL_CITATION { "citationItems" : [ { "id" : "ITEM-1", "itemData" : { "DOI" : "10.1088/0957-0233/16/5/011", "author" : [ { "family" : "Sugii", "given" : "Yasuhiko" }, { "family" : "Okuda", "given" : "Remi" }, { "family" : "Okamoto", "given" : "Koji" }, { "family" : "Madarame", "given" : "Haruki" } ], "container-title" : "Measurement Science and Technology", "id" : "ITEM-1", "issue" : "5", "issued" : { "date-parts" : [ [ "2005", "5", "1" ] ] }, "page" : "1126-1130", "title" : "Velocity measurement of both red blood cells and plasma of in vitro blood flow using high-speed micro PIV technique", "type" : "article-journal", "volume" : "16" }, "uris" : [ "http://www.mendeley.com/documents/?uuid=c720ec6a-922d-4a0d-ba98-5fd7fef2a87e" ] } ], "mendeley" : { "formattedCitation" : "[143]", "plainTextFormattedCitation" : "[143]", "previouslyFormattedCitation" : "[144]" }, "properties" : { "noteIndex" : 0 }, "schema" : "https://github.com/citation-style-language/schema/raw/master/csl-citation.json" }</w:instrText>
      </w:r>
      <w:r w:rsidRPr="008426AE">
        <w:fldChar w:fldCharType="separate"/>
      </w:r>
      <w:r w:rsidRPr="00A15EFA">
        <w:rPr>
          <w:noProof/>
        </w:rPr>
        <w:t>[144]</w:t>
      </w:r>
      <w:r w:rsidRPr="008426AE">
        <w:fldChar w:fldCharType="end"/>
      </w:r>
      <w:r w:rsidRPr="008426AE">
        <w:t xml:space="preserve"> </w:t>
      </w:r>
      <w:r>
        <w:t xml:space="preserve">explored blood rheology in microcirculation using a multiphase flow approach where two sets of colour filters obtain separate images from fluorescent labelled RBCs and tracer particles. </w:t>
      </w:r>
      <w:r w:rsidRPr="008426AE">
        <w:t xml:space="preserve">Oshima and Oishi </w:t>
      </w:r>
      <w:r w:rsidRPr="008426AE">
        <w:fldChar w:fldCharType="begin" w:fldLock="1"/>
      </w:r>
      <w:r>
        <w:instrText>ADDIN CSL_CITATION { "citationItems" : [ { "id" : "ITEM-1", "itemData" : { "author" : [ { "family" : "Oshima", "given" : "Marie" }, { "family" : "Oishi", "given" : "Masamichi" } ], "id" : "ITEM-1", "issue" : "September", "issued" : { "date-parts" : [ [ "2014" ] ] }, "page" : "7-10", "title" : "Continuous and Simultaneous Measurement of Micro Multiphase Flow Using confocal Micro-Particle Image Velocimetry ( Micro-PIV ) 3 . Measurement for Droplet Formation", "type" : "article-journal" }, "uris" : [ "http://www.mendeley.com/documents/?uuid=5292942a-4404-48eb-874b-e5f17f4efbd8" ] } ], "mendeley" : { "formattedCitation" : "[144]", "plainTextFormattedCitation" : "[144]", "previouslyFormattedCitation" : "[145]" }, "properties" : { "noteIndex" : 0 }, "schema" : "https://github.com/citation-style-language/schema/raw/master/csl-citation.json" }</w:instrText>
      </w:r>
      <w:r w:rsidRPr="008426AE">
        <w:fldChar w:fldCharType="separate"/>
      </w:r>
      <w:r w:rsidRPr="00A15EFA">
        <w:rPr>
          <w:noProof/>
        </w:rPr>
        <w:t>[145]</w:t>
      </w:r>
      <w:r w:rsidRPr="008426AE">
        <w:fldChar w:fldCharType="end"/>
      </w:r>
      <w:r w:rsidRPr="008426AE">
        <w:t xml:space="preserve"> followed</w:t>
      </w:r>
      <w:r>
        <w:t xml:space="preserve"> a similar approach although to obtain the motion of RBCs, the cell membrane was marked by attaching on the surface electrically fluorescent particles of 0.2 μm diameter. In this way, the deformation and the movement of the cells could be captured as well as the velocity distribution of the corresponding surrounding flow.</w:t>
      </w:r>
    </w:p>
    <w:p w:rsidR="005D1052" w:rsidRDefault="005D1052" w:rsidP="005D1052">
      <w:r>
        <w:t xml:space="preserve">3D velocities can be derived from other optical techniques such as the stereoscopic PIV </w:t>
      </w:r>
      <w:r>
        <w:fldChar w:fldCharType="begin" w:fldLock="1"/>
      </w:r>
      <w:r>
        <w:instrText>ADDIN CSL_CITATION { "citationItems" : [ { "id" : "ITEM-1", "itemData" : { "DOI" : "10.1007/s00348-007-0293-3", "author" : [ { "family" : "Fouras", "given" : "Andreas" }, { "family" : "Dusting", "given" : "Jonathan" }, { "family" : "Hourigan", "given" : "Kerry" } ], "container-title" : "Experiments in Fluids", "id" : "ITEM-1", "issue" : "5", "issued" : { "date-parts" : [ [ "2007", "3", "28" ] ] }, "page" : "799-810", "title" : "A simple calibration technique for stereoscopic particle image velocimetry", "type" : "article-journal", "volume" : "42" }, "uris" : [ "http://www.mendeley.com/documents/?uuid=276498d7-a6b8-4154-b24a-8e576749882c" ] } ], "mendeley" : { "formattedCitation" : "[145]", "plainTextFormattedCitation" : "[145]", "previouslyFormattedCitation" : "[146]" }, "properties" : { "noteIndex" : 0 }, "schema" : "https://github.com/citation-style-language/schema/raw/master/csl-citation.json" }</w:instrText>
      </w:r>
      <w:r>
        <w:fldChar w:fldCharType="separate"/>
      </w:r>
      <w:r w:rsidRPr="00A15EFA">
        <w:rPr>
          <w:noProof/>
        </w:rPr>
        <w:t>[146]</w:t>
      </w:r>
      <w:r>
        <w:fldChar w:fldCharType="end"/>
      </w:r>
      <w:r>
        <w:t xml:space="preserve"> by using more than one capturing system in a stereoscopic arrangement, however, this leads to optical access constraints when investigating 3D scaffolds. Nevertheless, this method was successfully applied to calculate the fluid dynamics around a 3D scaffold in a stirring bioreactor where the effect of the bioreactor rotation rate was related to mixing properties </w:t>
      </w:r>
      <w:r>
        <w:fldChar w:fldCharType="begin" w:fldLock="1"/>
      </w:r>
      <w:r>
        <w:instrText>ADDIN CSL_CITATION { "citationItems" : [ { "id" : "ITEM-1", "itemData" : { "DOI" : "10.1111/j.1440-1681.2008.05102.x", "abstract" : "1. Despite the array of sophisticated imaging techniques available for biological applications, none of the standard biomedical techniques adequately provides the capability to measure motion and flow. Those techniques currently in use are particularly lacking in spatial and temporal resolution. 2. Herein, we introduce the technique of particle image velocimetry. This technique is a well-established tool in engineering research and industry. Particle image velocimetry is continuing to develop and has an increasing number of variants. 3. Three case studies are presented: (i) the use of microparticle image velocimetry to study flow generated by high-frequency oscillatory ventilation in a human airway model; (ii) the use of stereoparticle image velocimetry to study stirred cell and tissue culture devices; and (iii) a three-dimensional X-ray particle image velocimetry technique used to measure flow in an in vitro vascular flow model. 4. The case studies highlight the vast potential of applying the engineering technique of particle image velocimetry and its many variants to current research problems in physiology.", "author" : [ { "family" : "Fouras", "given" : "Andreas" }, { "family" : "Dusting", "given" : "Jonathan" }, { "family" : "Sheridan", "given" : "John" }, { "family" : "Kawahashi", "given" : "Masaaki" }, { "family" : "Hirahara", "given" : "Hiroyuki" }, { "family" : "Hourigan", "given" : "Kerry" } ], "container-title" : "Clinical and Experimental Pharmacology and Physiology", "id" : "ITEM-1", "issue" : "April 2008", "issued" : { "date-parts" : [ [ "2009" ] ] }, "page" : "238-247", "title" : "Engineering imaging: Using particle image velocimetry to see physiology in a new light", "type" : "article-journal", "volume" : "36" }, "uris" : [ "http://www.mendeley.com/documents/?uuid=a3a9f1a8-5c09-4e2d-a3b6-0e74fac976f4" ] } ], "mendeley" : { "formattedCitation" : "[146]", "plainTextFormattedCitation" : "[146]", "previouslyFormattedCitation" : "[147]" }, "properties" : { "noteIndex" : 0 }, "schema" : "https://github.com/citation-style-language/schema/raw/master/csl-citation.json" }</w:instrText>
      </w:r>
      <w:r>
        <w:fldChar w:fldCharType="separate"/>
      </w:r>
      <w:r w:rsidRPr="00A15EFA">
        <w:rPr>
          <w:noProof/>
        </w:rPr>
        <w:t>[147]</w:t>
      </w:r>
      <w:r>
        <w:fldChar w:fldCharType="end"/>
      </w:r>
      <w:r>
        <w:t xml:space="preserve">. Other promising methods such as the defocusing method can also detect 3D particles displacements, although to the author’s knowledge, it has not been applied yet to investigate TE scaffolds. It consists of an aperture located on the objective lens that contains 3 pinholes forming an equilateral triangle. The light from the particle passes the aperture and then reaches 3 different positions at the image plane being able to determine the particle position with respect to the focus plane by measuring the distance between the projected triangle </w:t>
      </w:r>
      <w:r w:rsidRPr="002D2268">
        <w:t xml:space="preserve">vertices </w:t>
      </w:r>
      <w:r w:rsidRPr="002D2268">
        <w:fldChar w:fldCharType="begin" w:fldLock="1"/>
      </w:r>
      <w:r>
        <w:instrText>ADDIN CSL_CITATION { "citationItems" : [ { "id" : "ITEM-1", "itemData" : { "DOI" : "10.1088/0957-0233/17/4/026", "author" : [ { "family" : "Lima", "given" : "Rui" }, { "family" : "Wada", "given" : "Shigeo" }, { "family" : "Tsubota", "given" : "Ken-ichi" }, { "family" : "Yamaguchi", "given" : "Takami" } ], "container-title" : "Measurement Science and Technology", "id" : "ITEM-1", "issue" : "4", "issued" : { "date-parts" : [ [ "2006", "4", "1" ] ] }, "page" : "797-808", "title" : "Confocal micro-PIV measurements of three-dimensional profiles of cell suspension flow in a square microchannel", "type" : "article-journal", "volume" : "17" }, "uris" : [ "http://www.mendeley.com/documents/?uuid=3dca9620-fc31-4d59-8423-7185301a28a8" ] } ], "mendeley" : { "formattedCitation" : "[147]", "plainTextFormattedCitation" : "[147]", "previouslyFormattedCitation" : "[148]" }, "properties" : { "noteIndex" : 0 }, "schema" : "https://github.com/citation-style-language/schema/raw/master/csl-citation.json" }</w:instrText>
      </w:r>
      <w:r w:rsidRPr="002D2268">
        <w:fldChar w:fldCharType="separate"/>
      </w:r>
      <w:r w:rsidRPr="00A15EFA">
        <w:rPr>
          <w:noProof/>
        </w:rPr>
        <w:t>[148]</w:t>
      </w:r>
      <w:r w:rsidRPr="002D2268">
        <w:fldChar w:fldCharType="end"/>
      </w:r>
      <w:r w:rsidRPr="002D2268">
        <w:t>. It is noteworthy</w:t>
      </w:r>
      <w:r>
        <w:t xml:space="preserve"> to mention that nuclear magnetic resonance can measure 3D flows inside opaque materials as shown by </w:t>
      </w:r>
      <w:r w:rsidRPr="00F77D7A">
        <w:t xml:space="preserve">Mack et al. </w:t>
      </w:r>
      <w:r w:rsidRPr="00F77D7A">
        <w:fldChar w:fldCharType="begin" w:fldLock="1"/>
      </w:r>
      <w:r>
        <w:instrText>ADDIN CSL_CITATION { "citationItems" : [ { "id" : "ITEM-1", "itemData" : { "DOI" : "10.1016/j.biomaterials.2012.11.030", "abstract" : "Mechanical forces such as fluid shear have been shown to enhance cell growth and differentiation, but knowledge of their mechanistic effect on cells is limited because the local flow patterns and associated metrics are not precisely known. Here we present real-time, non-invasive measures of local hydrodynamics in 3D biomaterials based on nuclear magnetic resonance. Microflow maps were further used to derive pressure, shear and fluid permeability fields. Finally, remodeling of collagen gels in response to precise fluid flow parameters was correlated with structural changes. It is anticipated that accurate flow maps within 3D matrices will be a critical step towards understanding cell behavior in response to controlled flow dynamics.", "author" : [ { "family" : "Mack", "given" : "Julia J" }, { "family" : "Youssef", "given" : "Khalid" }, { "family" : "Noel", "given" : "Onika D V" }, { "family" : "Lake", "given" : "Michael P" }, { "family" : "Wu", "given" : "Ashley" }, { "family" : "Iruela-Arispe", "given" : "M Luisa" }, { "family" : "Bouchard", "given" : "Louis-S" } ], "container-title" : "Biomaterials", "id" : "ITEM-1", "issue" : "8", "issued" : { "date-parts" : [ [ "2013", "3" ] ] }, "page" : "1980-6", "publisher" : "Elsevier Ltd", "title" : "Real-time maps of fluid flow fields in porous biomaterials.", "type" : "article-journal", "volume" : "34" }, "uris" : [ "http://www.mendeley.com/documents/?uuid=e79100c8-9cae-4a98-9b12-fb7f8cab51a2" ] } ], "mendeley" : { "formattedCitation" : "[148]", "plainTextFormattedCitation" : "[148]", "previouslyFormattedCitation" : "[149]" }, "properties" : { "noteIndex" : 0 }, "schema" : "https://github.com/citation-style-language/schema/raw/master/csl-citation.json" }</w:instrText>
      </w:r>
      <w:r w:rsidRPr="00F77D7A">
        <w:fldChar w:fldCharType="separate"/>
      </w:r>
      <w:r w:rsidRPr="00A15EFA">
        <w:rPr>
          <w:noProof/>
        </w:rPr>
        <w:t>[149]</w:t>
      </w:r>
      <w:r w:rsidRPr="00F77D7A">
        <w:fldChar w:fldCharType="end"/>
      </w:r>
      <w:r w:rsidRPr="00F77D7A">
        <w:t xml:space="preserve"> </w:t>
      </w:r>
      <w:r>
        <w:t>who</w:t>
      </w:r>
      <w:r w:rsidRPr="00F77D7A">
        <w:t xml:space="preserve"> captured</w:t>
      </w:r>
      <w:r>
        <w:t xml:space="preserve"> the local </w:t>
      </w:r>
      <w:r>
        <w:lastRenderedPageBreak/>
        <w:t>hydrodynamics inside a 3D porous scaffolds made of PCL, however, 1 mm</w:t>
      </w:r>
      <w:r w:rsidRPr="00E12962">
        <w:rPr>
          <w:vertAlign w:val="superscript"/>
        </w:rPr>
        <w:t>3</w:t>
      </w:r>
      <w:r>
        <w:t xml:space="preserve"> of spatial resolution was not enough to calculate the local mechanical stimuli at the cell level.</w:t>
      </w:r>
    </w:p>
    <w:p w:rsidR="005D1052" w:rsidRDefault="005D1052" w:rsidP="005D1052"/>
    <w:p w:rsidR="005D1052" w:rsidRDefault="005D1052" w:rsidP="005D1052">
      <w:pPr>
        <w:keepNext/>
        <w:ind w:firstLine="0"/>
      </w:pPr>
      <w:r>
        <w:rPr>
          <w:noProof/>
          <w:lang w:eastAsia="en-GB"/>
        </w:rPr>
        <w:drawing>
          <wp:inline distT="0" distB="0" distL="0" distR="0" wp14:anchorId="79EE5EFD" wp14:editId="48BF1A27">
            <wp:extent cx="4934821" cy="4168140"/>
            <wp:effectExtent l="0" t="0" r="0" b="0"/>
            <wp:docPr id="8214" name="Picture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ew.png"/>
                    <pic:cNvPicPr/>
                  </pic:nvPicPr>
                  <pic:blipFill>
                    <a:blip r:embed="rId33">
                      <a:extLst>
                        <a:ext uri="{28A0092B-C50C-407E-A947-70E740481C1C}">
                          <a14:useLocalDpi xmlns:a14="http://schemas.microsoft.com/office/drawing/2010/main" val="0"/>
                        </a:ext>
                      </a:extLst>
                    </a:blip>
                    <a:stretch>
                      <a:fillRect/>
                    </a:stretch>
                  </pic:blipFill>
                  <pic:spPr>
                    <a:xfrm>
                      <a:off x="0" y="0"/>
                      <a:ext cx="4938111" cy="4170919"/>
                    </a:xfrm>
                    <a:prstGeom prst="rect">
                      <a:avLst/>
                    </a:prstGeom>
                  </pic:spPr>
                </pic:pic>
              </a:graphicData>
            </a:graphic>
          </wp:inline>
        </w:drawing>
      </w:r>
    </w:p>
    <w:p w:rsidR="005D1052" w:rsidRDefault="005D1052" w:rsidP="005D1052">
      <w:pPr>
        <w:pStyle w:val="Caption"/>
        <w:rPr>
          <w:b w:val="0"/>
          <w:noProof/>
        </w:rPr>
      </w:pPr>
      <w:bookmarkStart w:id="73" w:name="_Ref438470786"/>
      <w:bookmarkStart w:id="74" w:name="_Toc438590794"/>
      <w:bookmarkStart w:id="75" w:name="_Toc445718800"/>
      <w:r>
        <w:t xml:space="preserve">Figure </w:t>
      </w:r>
      <w:fldSimple w:instr=" STYLEREF 1 \s ">
        <w:r w:rsidR="00924C7D">
          <w:rPr>
            <w:noProof/>
          </w:rPr>
          <w:t>2</w:t>
        </w:r>
      </w:fldSimple>
      <w:r>
        <w:noBreakHyphen/>
      </w:r>
      <w:fldSimple w:instr=" SEQ Figure \* ARABIC \s 1 ">
        <w:r w:rsidR="00924C7D">
          <w:rPr>
            <w:noProof/>
          </w:rPr>
          <w:t>7</w:t>
        </w:r>
      </w:fldSimple>
      <w:bookmarkEnd w:id="73"/>
      <w:r>
        <w:rPr>
          <w:noProof/>
        </w:rPr>
        <w:t xml:space="preserve"> </w:t>
      </w:r>
      <w:r w:rsidRPr="009D3F5C">
        <w:rPr>
          <w:b w:val="0"/>
          <w:noProof/>
        </w:rPr>
        <w:t>a)</w:t>
      </w:r>
      <w:r w:rsidRPr="004E525C">
        <w:rPr>
          <w:b w:val="0"/>
          <w:noProof/>
        </w:rPr>
        <w:t xml:space="preserve"> Transverse axial section representing the main architectural features of the 3D scaffold used by Jae et al. [139] in </w:t>
      </w:r>
      <w:r w:rsidRPr="004E525C">
        <w:rPr>
          <w:rFonts w:cs="Times New Roman"/>
          <w:b w:val="0"/>
          <w:noProof/>
        </w:rPr>
        <w:t>μ</w:t>
      </w:r>
      <w:r w:rsidRPr="004E525C">
        <w:rPr>
          <w:b w:val="0"/>
          <w:noProof/>
        </w:rPr>
        <w:t xml:space="preserve">PIV experiments. b) Unit cell of a 3D scaffold designed by De Boodt et al. [138] to introduce the +2D μPIV concept. c) Pillar bundle in a parallel plate chamber investigated by Provin et al [141] to find the </w:t>
      </w:r>
      <w:r>
        <w:rPr>
          <w:b w:val="0"/>
          <w:noProof/>
        </w:rPr>
        <w:t xml:space="preserve">optimal </w:t>
      </w:r>
      <w:r w:rsidRPr="004E525C">
        <w:rPr>
          <w:b w:val="0"/>
          <w:noProof/>
        </w:rPr>
        <w:t>scaffold pore size for medium supply and local shear stress.</w:t>
      </w:r>
      <w:bookmarkEnd w:id="74"/>
      <w:bookmarkEnd w:id="75"/>
    </w:p>
    <w:p w:rsidR="005D1052" w:rsidRDefault="005D1052" w:rsidP="005D1052">
      <w:pPr>
        <w:spacing w:line="276" w:lineRule="auto"/>
        <w:ind w:firstLine="0"/>
        <w:jc w:val="left"/>
        <w:rPr>
          <w:rFonts w:ascii="Times New Roman" w:eastAsia="Cambria" w:hAnsi="Times New Roman" w:cs="Cambria"/>
          <w:noProof/>
          <w:sz w:val="22"/>
          <w:szCs w:val="18"/>
        </w:rPr>
        <w:sectPr w:rsidR="005D1052" w:rsidSect="00EB11EA">
          <w:headerReference w:type="even" r:id="rId34"/>
          <w:headerReference w:type="default" r:id="rId35"/>
          <w:footerReference w:type="default" r:id="rId36"/>
          <w:headerReference w:type="first" r:id="rId37"/>
          <w:footerReference w:type="first" r:id="rId38"/>
          <w:pgSz w:w="11900" w:h="16840"/>
          <w:pgMar w:top="2268" w:right="1134" w:bottom="1701" w:left="2268" w:header="284" w:footer="454" w:gutter="0"/>
          <w:pgNumType w:chapSep="emDash"/>
          <w:cols w:space="708"/>
          <w:titlePg/>
          <w:docGrid w:linePitch="360"/>
        </w:sectPr>
      </w:pPr>
    </w:p>
    <w:p w:rsidR="005D1052" w:rsidRDefault="005D1052" w:rsidP="005D1052">
      <w:pPr>
        <w:spacing w:line="276" w:lineRule="auto"/>
        <w:ind w:firstLine="0"/>
        <w:jc w:val="left"/>
        <w:rPr>
          <w:rFonts w:ascii="Times New Roman" w:eastAsia="Cambria" w:hAnsi="Times New Roman" w:cs="Cambria"/>
          <w:noProof/>
          <w:sz w:val="22"/>
          <w:szCs w:val="18"/>
        </w:rPr>
      </w:pPr>
    </w:p>
    <w:p w:rsidR="005D1052" w:rsidRDefault="005D1052" w:rsidP="005D1052">
      <w:r>
        <w:br w:type="page"/>
      </w:r>
    </w:p>
    <w:p w:rsidR="005D1052" w:rsidRDefault="005D1052" w:rsidP="005D1052">
      <w:pPr>
        <w:sectPr w:rsidR="005D1052" w:rsidSect="00EB11EA">
          <w:pgSz w:w="11900" w:h="16840"/>
          <w:pgMar w:top="2268" w:right="1134" w:bottom="1701" w:left="2268" w:header="284" w:footer="454" w:gutter="0"/>
          <w:pgNumType w:chapSep="emDash"/>
          <w:cols w:space="708"/>
          <w:titlePg/>
          <w:docGrid w:linePitch="360"/>
        </w:sectPr>
      </w:pPr>
    </w:p>
    <w:p w:rsidR="005D1052" w:rsidRPr="00A91479" w:rsidRDefault="005D1052" w:rsidP="005D1052">
      <w:pPr>
        <w:pStyle w:val="Heading1"/>
      </w:pPr>
      <w:bookmarkStart w:id="76" w:name="_Toc310605593"/>
      <w:bookmarkStart w:id="77" w:name="_Toc310605888"/>
      <w:bookmarkStart w:id="78" w:name="_Ref312105104"/>
      <w:bookmarkStart w:id="79" w:name="_Ref312110944"/>
      <w:bookmarkStart w:id="80" w:name="_Ref312158896"/>
      <w:bookmarkStart w:id="81" w:name="_Ref312159669"/>
      <w:bookmarkStart w:id="82" w:name="_Ref312161385"/>
      <w:bookmarkStart w:id="83" w:name="_Ref312178686"/>
      <w:bookmarkStart w:id="84" w:name="_Ref312178725"/>
      <w:bookmarkStart w:id="85" w:name="_Toc440823188"/>
      <w:bookmarkStart w:id="86" w:name="_Toc420596701"/>
      <w:bookmarkEnd w:id="19"/>
      <w:r w:rsidRPr="00021C1D">
        <w:rPr>
          <w:lang w:val="nl-NL"/>
        </w:rPr>
        <w:lastRenderedPageBreak/>
        <w:t>Towards a new approach to analyse quality control and morphometric variability in a scaffold</w:t>
      </w:r>
      <w:bookmarkEnd w:id="76"/>
      <w:bookmarkEnd w:id="77"/>
      <w:bookmarkEnd w:id="78"/>
      <w:bookmarkEnd w:id="79"/>
      <w:bookmarkEnd w:id="80"/>
      <w:bookmarkEnd w:id="81"/>
      <w:bookmarkEnd w:id="82"/>
      <w:bookmarkEnd w:id="83"/>
      <w:bookmarkEnd w:id="84"/>
      <w:bookmarkEnd w:id="85"/>
    </w:p>
    <w:p w:rsidR="005D1052" w:rsidRPr="003537C0" w:rsidRDefault="005D1052" w:rsidP="005D1052"/>
    <w:p w:rsidR="005D1052" w:rsidRPr="003537C0" w:rsidRDefault="005D1052" w:rsidP="005D1052">
      <w:pPr>
        <w:ind w:firstLine="0"/>
        <w:jc w:val="left"/>
        <w:rPr>
          <w:b/>
        </w:rPr>
      </w:pPr>
      <w:r w:rsidRPr="003537C0">
        <w:rPr>
          <w:b/>
        </w:rPr>
        <w:t>Summary</w:t>
      </w:r>
    </w:p>
    <w:p w:rsidR="005D1052" w:rsidRPr="006B520A" w:rsidRDefault="005D1052" w:rsidP="005D1052">
      <w:pPr>
        <w:pStyle w:val="Quote"/>
      </w:pPr>
      <w:r>
        <w:t>RP is a powerful manufacturing technique to fabricate TE scaffolds as it provides control over scaffold architecture while processing biomaterials. For the successful integration of TE scaffolds in clinical applications, the manufacturing process needs to meet GMP standards delivering quality and reproducibility. Unexpected variations in the scaffold micro-structure due to limitations in the fabrication process could lead to undesired mechanical stimuli at the cell level. Thus, if cell activity is affected, tissue growth will be perturbed. In this chapter, an in silico protocol to analyse fabricated scaffolds is presented and used to evaluate a commercial regular porous scaffold from 3D Biotek. The actual µCT-based morphology of five fabricated samples was analysed and then integrated into computational fluid dynamics simulations to analyse the local fluid flow conditions. The fabricated samples present variations in the internal micro-structure and in the local fluid dynamics compared to the CAD scaffold. In addition, the five samples show intersample variability as well as internal variability from pore to pore. It is demonstrated that geometrical imperfections can deviate scaffold performance from the intended purpose. In this chapter it is shown that in silico methods can be part of standard inspection protocols for tissue engineering applications.</w:t>
      </w:r>
    </w:p>
    <w:p w:rsidR="005D1052" w:rsidRPr="00820CE4" w:rsidRDefault="005D1052" w:rsidP="005D1052">
      <w:pPr>
        <w:pStyle w:val="Heading2"/>
      </w:pPr>
      <w:bookmarkStart w:id="87" w:name="_Toc310605594"/>
      <w:bookmarkStart w:id="88" w:name="_Toc310605889"/>
      <w:bookmarkStart w:id="89" w:name="_Toc440823189"/>
      <w:r w:rsidRPr="00820CE4">
        <w:t>Introduction</w:t>
      </w:r>
      <w:bookmarkEnd w:id="87"/>
      <w:bookmarkEnd w:id="88"/>
      <w:bookmarkEnd w:id="89"/>
    </w:p>
    <w:p w:rsidR="005D1052" w:rsidRDefault="005D1052" w:rsidP="005D1052">
      <w:pPr>
        <w:pStyle w:val="Heading3"/>
      </w:pPr>
      <w:bookmarkStart w:id="90" w:name="_Toc310605595"/>
      <w:bookmarkStart w:id="91" w:name="_Toc310605890"/>
      <w:bookmarkStart w:id="92" w:name="_Toc440823190"/>
      <w:r>
        <w:t>Good manufacturing practice of scaffolds</w:t>
      </w:r>
      <w:bookmarkEnd w:id="90"/>
      <w:bookmarkEnd w:id="91"/>
      <w:bookmarkEnd w:id="92"/>
    </w:p>
    <w:p w:rsidR="005D1052" w:rsidRDefault="005D1052" w:rsidP="005D1052">
      <w:r>
        <w:t xml:space="preserve">Scaffolds aim to provide a native environment for cells replicating the bone ECM and delivering the adequate biomechanical cues to guide tissue formation. Scaffolds </w:t>
      </w:r>
      <w:r>
        <w:lastRenderedPageBreak/>
        <w:t>should provide weight-bearing properties while transferring the loads placed onto them to the cell level enhancing cell activity. The mechanical properties of scaffolds depend on key structural factors such as porosity, pore size and pore interconnectivity. In addition to the mechanical properties, these factors are essential to allow homogeneous tissue ingrowth and the formation of new blood vessels that will ensure the right exchange of nutrients, oxygen and cell wastes. In the last years, RP techniques have shown the potential to fabricate scaffolds with controllable porous architectures</w:t>
      </w:r>
      <w:r w:rsidRPr="00F72737">
        <w:t>. This g</w:t>
      </w:r>
      <w:r>
        <w:t xml:space="preserve">roup of techniques consist of building a pre-generated digital CAD geometry in a layer by layer fashion. For this, the CAD model is converted into the standard stereolithography (STL) format and sliced into layers prior to the physical </w:t>
      </w:r>
      <w:r w:rsidRPr="00913981">
        <w:t xml:space="preserve">fabrication </w:t>
      </w:r>
      <w:r>
        <w:t>[42]</w:t>
      </w:r>
      <w:r w:rsidRPr="00913981">
        <w:t>.</w:t>
      </w:r>
      <w:r>
        <w:t xml:space="preserve"> The manner in which the physical layers are formed during the building process have served to categorize RP </w:t>
      </w:r>
      <w:r w:rsidRPr="001527C4">
        <w:t>techniques in these major approaches;</w:t>
      </w:r>
      <w:r>
        <w:t xml:space="preserve"> SLS, 3D printing, SLA and melting extrusion [38]. Besides the ability of these techniques to build customised scaffold geometries, they are also able to process a wide range of scaffold biomaterials such PGA </w:t>
      </w:r>
      <w:r w:rsidRPr="00913981">
        <w:fldChar w:fldCharType="begin" w:fldLock="1"/>
      </w:r>
      <w:r>
        <w:instrText>ADDIN CSL_CITATION { "citationItems" : [ { "id" : "ITEM-1", "itemData" : { "DOI" : "10.1002/rcs", "author" : [ { "family" : "Xu", "given" : "Hua" }, { "family" : "Dong", "given" : "Jia-sheng" }, { "family" : "Chai", "given" : "Gang" }, { "family" : "Yu", "given" : "Zhe-yuan" }, { "family" : "Lang", "given" : "Wei-jun" } ], "id" : "ITEM-1", "issue" : "December 2009", "issued" : { "date-parts" : [ [ "2010" ] ] }, "page" : "66-72", "title" : "Rapid prototyped PGA / PLA scaffolds in the reconstruction of mandibular condyle bone defects", "type" : "article-journal" }, "uris" : [ "http://www.mendeley.com/documents/?uuid=225158dc-c1d1-4485-84fd-c25346174a1d" ] } ], "mendeley" : { "formattedCitation" : "[149]", "plainTextFormattedCitation" : "[149]", "previouslyFormattedCitation" : "[150]" }, "properties" : { "noteIndex" : 0 }, "schema" : "https://github.com/citation-style-language/schema/raw/master/csl-citation.json" }</w:instrText>
      </w:r>
      <w:r w:rsidRPr="00913981">
        <w:fldChar w:fldCharType="separate"/>
      </w:r>
      <w:r w:rsidRPr="00A15EFA">
        <w:rPr>
          <w:noProof/>
        </w:rPr>
        <w:t>[150]</w:t>
      </w:r>
      <w:r w:rsidRPr="00913981">
        <w:fldChar w:fldCharType="end"/>
      </w:r>
      <w:r w:rsidRPr="00913981">
        <w:t>,</w:t>
      </w:r>
      <w:r>
        <w:t xml:space="preserve"> PLA </w:t>
      </w:r>
      <w:r w:rsidRPr="00913981">
        <w:fldChar w:fldCharType="begin" w:fldLock="1"/>
      </w:r>
      <w:r>
        <w:instrText>ADDIN CSL_CITATION { "citationItems" : [ { "id" : "ITEM-1", "itemData" : { "DOI" : "10.1016/j.actbio.2012.10.041", "abstract" : "Fabrication of new biodegradable scaffolds that guide and stimulate tissue regeneration is still a major issue in tissue engineering approaches. Scaffolds that possess adequate biodegradability, pore size, interconnectivity, bioactivity and mechanical properties in accordance with the injured tissue are required. This work aimed to develop and characterize three-dimensional (3-D) scaffolds that fulfill the aforementioned requirements. For this, a nozzle-based rapid prototyping system was used to combine polylactic acid and a bioactive CaP glass to fabricate 3-D biodegradable scaffolds with two patterns (orthogonal and displaced double layer). Scanning electron microscopy and micro-computer tomography showed that 3-D scaffolds had completely interconnected porosity, uniform distribution of the glass particles, and a controlled and repetitive architecture. Surface properties were also assessed, showing that the incorporation of glass particles increased both the roughness and the hydrophilicity of the scaffolds. Mechanical tests indicated that compression strength is dependent on the scaffold geometry and the presence of glass. Preliminary cell response was studied with primary mesenchymal stem cells (MSC) and revealed that CaP glass improved cell adhesion. Overall, the results showed the suitability of the technique/materials combination to develop 3-D porous scaffolds and their initial biocompatibility, both being valuable characteristics for tissue engineering applications.", "author" : [ { "family" : "Serra", "given" : "T" }, { "family" : "Planell", "given" : "J a" }, { "family" : "Navarro", "given" : "M" } ], "container-title" : "Acta biomaterialia", "id" : "ITEM-1", "issue" : "3", "issued" : { "date-parts" : [ [ "2013", "3" ] ] }, "page" : "5521-30", "publisher" : "Acta Materialia Inc.", "title" : "High-resolution PLA-based composite scaffolds via 3-D printing technology.", "type" : "article-journal", "volume" : "9" }, "uris" : [ "http://www.mendeley.com/documents/?uuid=32b6a8fc-d37a-4f36-9f29-43be30a12952" ] } ], "mendeley" : { "formattedCitation" : "[150]", "plainTextFormattedCitation" : "[150]", "previouslyFormattedCitation" : "[151]" }, "properties" : { "noteIndex" : 0 }, "schema" : "https://github.com/citation-style-language/schema/raw/master/csl-citation.json" }</w:instrText>
      </w:r>
      <w:r w:rsidRPr="00913981">
        <w:fldChar w:fldCharType="separate"/>
      </w:r>
      <w:r w:rsidRPr="00A15EFA">
        <w:rPr>
          <w:noProof/>
        </w:rPr>
        <w:t>[151]</w:t>
      </w:r>
      <w:r w:rsidRPr="00913981">
        <w:fldChar w:fldCharType="end"/>
      </w:r>
      <w:r>
        <w:t xml:space="preserve">, PCL [84] and PGE </w:t>
      </w:r>
      <w:r>
        <w:fldChar w:fldCharType="begin" w:fldLock="1"/>
      </w:r>
      <w:r>
        <w:instrText>ADDIN CSL_CITATION { "citationItems" : [ { "id" : "ITEM-1", "itemData" : { "DOI" : "10.1163/156856205774576709", "author" : [ { "family" : "Hoque", "given" : "M. E." }, { "family" : "Hutmacher", "given" : "D. W." }, { "family" : "Feng", "given" : "W." }, { "family" : "Li", "given" : "S." }, { "family" : "Huang", "given" : "M.-H." }, { "family" : "Vert", "given" : "M." }, { "family" : "Wong", "given" : "Y. S." } ], "container-title" : "Journal of Biomaterials Science, Polymer Edition", "id" : "ITEM-1", "issue" : "12", "issued" : { "date-parts" : [ [ "2005", "1" ] ] }, "page" : "1595-1610", "title" : "Fabrication using a rapid prototyping system and in vitro characterization of PEG-PCL-PLA scaffolds for tissue engineering", "type" : "article-journal", "volume" : "16" }, "uris" : [ "http://www.mendeley.com/documents/?uuid=b0e088b8-3784-4f0c-9b62-90a6d98f7d77" ] } ], "mendeley" : { "formattedCitation" : "[151]", "plainTextFormattedCitation" : "[151]", "previouslyFormattedCitation" : "[152]" }, "properties" : { "noteIndex" : 0 }, "schema" : "https://github.com/citation-style-language/schema/raw/master/csl-citation.json" }</w:instrText>
      </w:r>
      <w:r>
        <w:fldChar w:fldCharType="separate"/>
      </w:r>
      <w:r w:rsidRPr="00A15EFA">
        <w:rPr>
          <w:noProof/>
        </w:rPr>
        <w:t>[152]</w:t>
      </w:r>
      <w:r>
        <w:fldChar w:fldCharType="end"/>
      </w:r>
      <w:r>
        <w:t xml:space="preserve"> that stimulate biological activity. Furthermore, scaffold material must be biocompatible to avoid risk of rejection, and they must degrade at specific rates to let the newly formed tissue occupy the fracture gap.</w:t>
      </w:r>
    </w:p>
    <w:p w:rsidR="005D1052" w:rsidRDefault="005D1052" w:rsidP="005D1052">
      <w:r>
        <w:t xml:space="preserve">Scaffold production must follow GMPs in order to fabricate scaffolds within regulated tolerances that ensure the intended mechanical performance and therefore the right stimulation for bone growth. Many efforts have been made for the optimization of scaffold design such as controlling scaffold architecture over scales or delivering patient-specific geometries [43]. Nevertheless, all these efforts are useless if the fabrication process is not accurate enough. Furthermore, a consistent fabrication process will minimise and control variability among samples in batch production thereby providing always the same micromechanical environment for cells. Unfortunately, to date there are no regulatory protocols for the compliance of such standards. Despite the promising capability of RP techniques to build scaffolds with pre-defined architectures using biomaterials suitable for TE applications, scaffold fabrication still </w:t>
      </w:r>
      <w:r>
        <w:lastRenderedPageBreak/>
        <w:t>needs to follow regulatory pathways for the successful commercialization and translation of TE scaffolds into the clinics [105</w:t>
      </w:r>
      <w:r w:rsidRPr="00433872">
        <w:t>].</w:t>
      </w:r>
    </w:p>
    <w:p w:rsidR="005D1052" w:rsidRPr="004C4AB4" w:rsidRDefault="005D1052" w:rsidP="005D1052">
      <w:pPr>
        <w:pStyle w:val="Heading3"/>
      </w:pPr>
      <w:bookmarkStart w:id="93" w:name="_Toc440823191"/>
      <w:r w:rsidRPr="001873B9">
        <w:t>Comparing designed structure with real scaffold</w:t>
      </w:r>
      <w:bookmarkEnd w:id="93"/>
    </w:p>
    <w:p w:rsidR="005D1052" w:rsidRDefault="005D1052" w:rsidP="005D1052">
      <w:r>
        <w:t xml:space="preserve">Various studies have made efforts to identify and eliminate technical limitations in the scaffold fabrication process. Van Bael et al. </w:t>
      </w:r>
      <w:r>
        <w:fldChar w:fldCharType="begin" w:fldLock="1"/>
      </w:r>
      <w:r>
        <w:instrText>ADDIN CSL_CITATION { "citationItems" : [ { "id" : "ITEM-1", "itemData" : { "DOI" : "10.1016/j.msea.2011.06.045", "author" : [ { "family" : "Van Bael", "given" : "S." }, { "family" : "Kerckhofs", "given" : "G." }, { "family" : "Moesen", "given" : "M." }, { "family" : "Pyka", "given" : "G." }, { "family" : "Schrooten", "given" : "J." }, { "family" : "Kruth", "given" : "J.P." } ], "container-title" : "Materials Science and Engineering: A", "id" : "ITEM-1", "issue" : "24", "issued" : { "date-parts" : [ [ "2011", "9" ] ] }, "page" : "7423-7431", "publisher" : "Elsevier B.V.", "title" : "Micro-CT-based improvement of geometrical and mechanical controllability of selective laser melted Ti6Al4V porous structures", "type" : "article-journal", "volume" : "528" }, "uris" : [ "http://www.mendeley.com/documents/?uuid=cf8e87d3-e447-40c9-bdef-e8e9d077d052" ] } ], "mendeley" : { "formattedCitation" : "[152]", "plainTextFormattedCitation" : "[152]", "previouslyFormattedCitation" : "[153]" }, "properties" : { "noteIndex" : 0 }, "schema" : "https://github.com/citation-style-language/schema/raw/master/csl-citation.json" }</w:instrText>
      </w:r>
      <w:r>
        <w:fldChar w:fldCharType="separate"/>
      </w:r>
      <w:r w:rsidRPr="00A15EFA">
        <w:rPr>
          <w:noProof/>
        </w:rPr>
        <w:t>[153]</w:t>
      </w:r>
      <w:r>
        <w:fldChar w:fldCharType="end"/>
      </w:r>
      <w:r>
        <w:t xml:space="preserve"> evaluated fabricated samples morphologically and mechanically in order to adjust the fabrication parameters until the expected scaffold properties wer</w:t>
      </w:r>
      <w:r w:rsidR="008507E6">
        <w:t>e achieved. Domingos et al. [103</w:t>
      </w:r>
      <w:r>
        <w:t>] studied the fabrication of PCL scaffolds with the FDM technique and showed that the speed of extrusion and temperature are critical factors that potentially determine the final scaffold shape. Garrett et al</w:t>
      </w:r>
      <w:r w:rsidRPr="00914DF4">
        <w:rPr>
          <w:b/>
        </w:rPr>
        <w:t xml:space="preserve">. </w:t>
      </w:r>
      <w:r w:rsidR="008507E6">
        <w:t>[104</w:t>
      </w:r>
      <w:r w:rsidRPr="00433872">
        <w:t>] analysed</w:t>
      </w:r>
      <w:r>
        <w:t xml:space="preserve"> a regular 3D printed Titanium scaffold using µCT scanning and compared it with its CAD model reporting significant variability in the scaffold micro-structure and response during fatigue analysis. These studies show that RP methods need further optimization and the importance of inspecting fabricated scaffolds in a more systematic manner. </w:t>
      </w:r>
      <w:r w:rsidRPr="009065EC">
        <w:t>Podshivalov et al.</w:t>
      </w:r>
      <w:r w:rsidR="008507E6">
        <w:t xml:space="preserve"> [105</w:t>
      </w:r>
      <w:r w:rsidRPr="00433872">
        <w:t>]</w:t>
      </w:r>
      <w:r w:rsidRPr="009065EC">
        <w:t xml:space="preserve"> proposed an approach from patient-specific scaffold design up to its implantation at the fracture side with the inclusion of an inspection step to verify whether the final scaffold meet the design criteria</w:t>
      </w:r>
      <w:r>
        <w:t xml:space="preserve"> (see </w:t>
      </w:r>
      <w:r>
        <w:rPr>
          <w:highlight w:val="yellow"/>
        </w:rPr>
        <w:fldChar w:fldCharType="begin"/>
      </w:r>
      <w:r>
        <w:instrText xml:space="preserve"> REF _Ref312106239 \h </w:instrText>
      </w:r>
      <w:r>
        <w:rPr>
          <w:highlight w:val="yellow"/>
        </w:rPr>
      </w:r>
      <w:r>
        <w:rPr>
          <w:highlight w:val="yellow"/>
        </w:rPr>
        <w:fldChar w:fldCharType="separate"/>
      </w:r>
      <w:r w:rsidR="00924C7D">
        <w:t xml:space="preserve">Figure </w:t>
      </w:r>
      <w:r w:rsidR="00924C7D">
        <w:rPr>
          <w:noProof/>
        </w:rPr>
        <w:t>1</w:t>
      </w:r>
      <w:r w:rsidR="00924C7D">
        <w:noBreakHyphen/>
      </w:r>
      <w:r w:rsidR="00924C7D">
        <w:rPr>
          <w:noProof/>
        </w:rPr>
        <w:t>1</w:t>
      </w:r>
      <w:r>
        <w:rPr>
          <w:highlight w:val="yellow"/>
        </w:rPr>
        <w:fldChar w:fldCharType="end"/>
      </w:r>
      <w:r>
        <w:t>)</w:t>
      </w:r>
      <w:r w:rsidRPr="009065EC">
        <w:t>. The integration of inspection pr</w:t>
      </w:r>
      <w:r>
        <w:t>otocols could help to optimise</w:t>
      </w:r>
      <w:r w:rsidRPr="009065EC">
        <w:t xml:space="preserve"> sc</w:t>
      </w:r>
      <w:r>
        <w:t>affold design and manufacturing</w:t>
      </w:r>
      <w:r w:rsidRPr="009065EC">
        <w:t xml:space="preserve">. </w:t>
      </w:r>
      <w:r>
        <w:t>Furthermore, it could avoid undesired mechanical stimuli at the cell level due to variations in the final scaffold shape.</w:t>
      </w:r>
    </w:p>
    <w:p w:rsidR="005D1052" w:rsidRDefault="005D1052" w:rsidP="005D1052">
      <w:r>
        <w:t>Current non-invasive i</w:t>
      </w:r>
      <w:r w:rsidRPr="00BA7953">
        <w:t xml:space="preserve">maging techniques </w:t>
      </w:r>
      <w:r>
        <w:t xml:space="preserve">such as µCT-scanning </w:t>
      </w:r>
      <w:r w:rsidRPr="00BA7953">
        <w:t>are crucial to</w:t>
      </w:r>
      <w:r>
        <w:t xml:space="preserve"> reverse-</w:t>
      </w:r>
      <w:r w:rsidRPr="00BA7953">
        <w:t>engineer fabricated scaffold</w:t>
      </w:r>
      <w:r>
        <w:t xml:space="preserve">s and assess their actual geometry. In addition, by the inclusion of digitalized scaffolds </w:t>
      </w:r>
      <w:r w:rsidRPr="001804D3">
        <w:t xml:space="preserve">in </w:t>
      </w:r>
      <w:r>
        <w:t>FE</w:t>
      </w:r>
      <w:r w:rsidRPr="001804D3">
        <w:t xml:space="preserve"> and </w:t>
      </w:r>
      <w:r>
        <w:t>CFD</w:t>
      </w:r>
      <w:r w:rsidRPr="001804D3">
        <w:t xml:space="preserve"> simulations</w:t>
      </w:r>
      <w:r w:rsidRPr="004C4AB4">
        <w:rPr>
          <w:i/>
        </w:rPr>
        <w:t xml:space="preserve"> </w:t>
      </w:r>
      <w:r w:rsidRPr="00F64FF2">
        <w:t xml:space="preserve">it is possible to </w:t>
      </w:r>
      <w:r>
        <w:t xml:space="preserve">quantify the resulting scaffold mechanical performance </w:t>
      </w:r>
      <w:r>
        <w:fldChar w:fldCharType="begin" w:fldLock="1"/>
      </w:r>
      <w:r w:rsidR="00387639">
        <w:instrText>ADDIN CSL_CITATION { "citationItems" : [ { "id" : "ITEM-1", "itemData" : { "DOI" : "10.1016/j.medengphy.2013.02.001", "ISSN" : "1873-4030", "PMID" : "23473631", "abstract" : "Measurements of three-dimensional displacements in a scaffold implant under uniaxial compression have been obtained by two digital volume correlation (DVC) methods, and compared with those obtained from micro-finite element models. The DVC methods were based on two approaches, a local approach which registers independent small volumes and yields discontinuous displacement fields; and a global approach where the registration is performed on the whole volume of interest, leading to continuous displacement fields. A customised mini-compression device was used to perform in situ step-wise compression of the scaffold within a micro-computed tomography (\u03bcCT) chamber, and the data were collected at steps of interest. Displacement uncertainties, ranging from 0.006 to 0.02 voxel (i.e. 0.12-0.4 \u03bcm), with a strain uncertainty between 60 and 600 \u03bc\u03b5, were obtained with a spatial resolution of 32 voxels using both approaches, although the global approach has lower systematic errors. Reduced displacement and strain uncertainties may be obtained using the global approach by increasing the element size; and using the local approach by increasing the number of intermediary sub-volumes. Good agreements between the results from the DVC measurements and the FE simulations were obtained in the primary loading direction as well as in the lateral directions. This study demonstrates that volumetric strain measurements can be obtained successfully using DVC, which may be a useful tool to investigate mechanical behaviour of porous implants.", "author" : [ { "dropping-particle" : "", "family" : "Madi", "given" : "K", "non-dropping-particle" : "", "parse-names" : false, "suffix" : "" }, { "dropping-particle" : "", "family" : "Tozzi", "given" : "G", "non-dropping-particle" : "", "parse-names" : false, "suffix" : "" }, { "dropping-particle" : "", "family" : "Zhang", "given" : "Q H", "non-dropping-particle" : "", "parse-names" : false, "suffix" : "" }, { "dropping-particle" : "", "family" : "Tong", "given" : "J", "non-dropping-particle" : "", "parse-names" : false, "suffix" : "" }, { "dropping-particle" : "", "family" : "Cossey", "given" : "a", "non-dropping-particle" : "", "parse-names" : false, "suffix" : "" }, { "dropping-particle" : "", "family" : "Au", "given" : "a", "non-dropping-particle" : "", "parse-names" : false, "suffix" : "" }, { "dropping-particle" : "", "family" : "Hollis", "given" : "D", "non-dropping-particle" : "", "parse-names" : false, "suffix" : "" }, { "dropping-particle" : "", "family" : "Hild", "given" : "F", "non-dropping-particle" : "", "parse-names" : false, "suffix" : "" } ], "container-title" : "Medical engineering &amp; physics", "id" : "ITEM-1", "issue" : "9", "issued" : { "date-parts" : [ [ "2013", "9" ] ] }, "page" : "1298-312", "title" : "Computation of full-field displacements in a scaffold implant using digital volume correlation and finite element analysis.", "type" : "article-journal", "volume" : "35" }, "uris" : [ "http://www.mendeley.com/documents/?uuid=0f261252-5916-4d05-97ba-6d99e1d4cdcf" ] } ], "mendeley" : { "formattedCitation" : "[153]", "manualFormatting" : "[154, 155]", "plainTextFormattedCitation" : "[153]", "previouslyFormattedCitation" : "[154]" }, "properties" : { "noteIndex" : 0 }, "schema" : "https://github.com/citation-style-language/schema/raw/master/csl-citation.json" }</w:instrText>
      </w:r>
      <w:r>
        <w:fldChar w:fldCharType="separate"/>
      </w:r>
      <w:r w:rsidR="00387639">
        <w:rPr>
          <w:noProof/>
        </w:rPr>
        <w:t>[154, 155</w:t>
      </w:r>
      <w:r w:rsidRPr="00433872">
        <w:rPr>
          <w:noProof/>
        </w:rPr>
        <w:t>]</w:t>
      </w:r>
      <w:r>
        <w:fldChar w:fldCharType="end"/>
      </w:r>
      <w:r w:rsidRPr="00442F17">
        <w:t>.</w:t>
      </w:r>
      <w:r>
        <w:t xml:space="preserve"> However, the majority of these studies report average values missing relevant information at the cell level.</w:t>
      </w:r>
    </w:p>
    <w:p w:rsidR="005D1052" w:rsidRDefault="005D1052" w:rsidP="005D1052">
      <w:pPr>
        <w:keepNext/>
        <w:spacing w:after="0"/>
        <w:ind w:firstLine="0"/>
        <w:jc w:val="center"/>
      </w:pPr>
      <w:r w:rsidRPr="003E32D8">
        <w:rPr>
          <w:noProof/>
          <w:lang w:eastAsia="en-GB"/>
        </w:rPr>
        <w:lastRenderedPageBreak/>
        <w:drawing>
          <wp:inline distT="0" distB="0" distL="0" distR="0" wp14:anchorId="3017BFF8" wp14:editId="1A2C64FD">
            <wp:extent cx="2185147" cy="2489605"/>
            <wp:effectExtent l="0" t="0" r="5715" b="6350"/>
            <wp:docPr id="2" name="Picture 2" descr="../../Screen%20Shot%202015-06-02%20at%2021.5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5-06-02%20at%2021.58.31.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0485" t="19640" r="11930" b="11756"/>
                    <a:stretch/>
                  </pic:blipFill>
                  <pic:spPr bwMode="auto">
                    <a:xfrm>
                      <a:off x="0" y="0"/>
                      <a:ext cx="2188904" cy="2493886"/>
                    </a:xfrm>
                    <a:prstGeom prst="rect">
                      <a:avLst/>
                    </a:prstGeom>
                    <a:noFill/>
                    <a:ln>
                      <a:noFill/>
                    </a:ln>
                    <a:extLst>
                      <a:ext uri="{53640926-AAD7-44D8-BBD7-CCE9431645EC}">
                        <a14:shadowObscured xmlns:a14="http://schemas.microsoft.com/office/drawing/2010/main"/>
                      </a:ext>
                    </a:extLst>
                  </pic:spPr>
                </pic:pic>
              </a:graphicData>
            </a:graphic>
          </wp:inline>
        </w:drawing>
      </w:r>
    </w:p>
    <w:p w:rsidR="005D1052" w:rsidRPr="005803DA" w:rsidRDefault="005D1052" w:rsidP="005D1052">
      <w:pPr>
        <w:pStyle w:val="Caption"/>
        <w:rPr>
          <w:b w:val="0"/>
          <w:color w:val="FF0000"/>
        </w:rPr>
      </w:pPr>
      <w:bookmarkStart w:id="94" w:name="_Ref440558743"/>
      <w:bookmarkStart w:id="95" w:name="_Toc438590795"/>
      <w:bookmarkStart w:id="96" w:name="_Toc445718801"/>
      <w:r>
        <w:t xml:space="preserve">Figure </w:t>
      </w:r>
      <w:fldSimple w:instr=" STYLEREF 1 \s ">
        <w:r w:rsidR="00924C7D">
          <w:rPr>
            <w:noProof/>
          </w:rPr>
          <w:t>3</w:t>
        </w:r>
      </w:fldSimple>
      <w:r>
        <w:noBreakHyphen/>
      </w:r>
      <w:fldSimple w:instr=" SEQ Figure \* ARABIC \s 1 ">
        <w:r w:rsidR="00924C7D">
          <w:rPr>
            <w:noProof/>
          </w:rPr>
          <w:t>1</w:t>
        </w:r>
      </w:fldSimple>
      <w:bookmarkEnd w:id="94"/>
      <w:r>
        <w:t xml:space="preserve"> </w:t>
      </w:r>
      <w:r w:rsidRPr="005803DA">
        <w:rPr>
          <w:b w:val="0"/>
        </w:rPr>
        <w:t>Workflow pro</w:t>
      </w:r>
      <w:r w:rsidR="00E02551">
        <w:rPr>
          <w:b w:val="0"/>
        </w:rPr>
        <w:t>posed by Podshivalov et al. [105</w:t>
      </w:r>
      <w:r w:rsidRPr="005803DA">
        <w:rPr>
          <w:b w:val="0"/>
        </w:rPr>
        <w:t xml:space="preserve">] </w:t>
      </w:r>
      <w:r>
        <w:rPr>
          <w:b w:val="0"/>
        </w:rPr>
        <w:t xml:space="preserve">for scaffold-based treatments </w:t>
      </w:r>
      <w:r w:rsidRPr="005803DA">
        <w:rPr>
          <w:b w:val="0"/>
        </w:rPr>
        <w:t>from the design of a patient-specific scaffold up to its implantation</w:t>
      </w:r>
      <w:r>
        <w:rPr>
          <w:b w:val="0"/>
        </w:rPr>
        <w:t xml:space="preserve"> at the fracture site. It includes</w:t>
      </w:r>
      <w:r w:rsidRPr="005803DA">
        <w:rPr>
          <w:b w:val="0"/>
        </w:rPr>
        <w:t xml:space="preserve"> sca</w:t>
      </w:r>
      <w:r>
        <w:rPr>
          <w:b w:val="0"/>
        </w:rPr>
        <w:t>ffold geometry verification</w:t>
      </w:r>
      <w:r w:rsidRPr="005803DA">
        <w:rPr>
          <w:b w:val="0"/>
        </w:rPr>
        <w:t xml:space="preserve"> to ensure that the fabrication process delivers the expected scaffold design.</w:t>
      </w:r>
      <w:bookmarkEnd w:id="95"/>
      <w:bookmarkEnd w:id="96"/>
    </w:p>
    <w:p w:rsidR="005D1052" w:rsidRPr="004C4AB4" w:rsidRDefault="005D1052" w:rsidP="005D1052">
      <w:r>
        <w:t>The aim of this chapter is to propose a novel computational protocol able to inspect scaffolds at the microscale and compared them at specific regions throughout the entire scaffold microstructure. This method provides a more accurate way to analyse scaffolds in order to relate variability in cell response to inaccuracies in the fabrication process. Moreover, the proposed protocol holds the potential to be a standard procedure able to inspect other RP scaffolds. This protocol includes</w:t>
      </w:r>
      <w:r w:rsidRPr="008B2836">
        <w:t xml:space="preserve"> the generation of the 3D digital representation of a RP fabricated scaffold, </w:t>
      </w:r>
      <w:r>
        <w:t xml:space="preserve">the </w:t>
      </w:r>
      <w:r w:rsidRPr="008B2836">
        <w:t>analysis of scaffold micro-structure and the mechanical performance under perfusion conditions.</w:t>
      </w:r>
      <w:r>
        <w:rPr>
          <w:i/>
        </w:rPr>
        <w:t xml:space="preserve"> </w:t>
      </w:r>
      <w:r w:rsidRPr="008B2836">
        <w:t>More specific</w:t>
      </w:r>
      <w:r>
        <w:t>ally</w:t>
      </w:r>
      <w:r w:rsidRPr="008B2836">
        <w:t xml:space="preserve">, a commercial regular scaffold </w:t>
      </w:r>
      <w:r>
        <w:t xml:space="preserve">from 3D Biotek (New Jersey, USA) made of PCL </w:t>
      </w:r>
      <w:r w:rsidRPr="00940848">
        <w:t xml:space="preserve">will be investigated; the scaffold geometry variability due to the fabrication process </w:t>
      </w:r>
      <w:r>
        <w:t>is</w:t>
      </w:r>
      <w:r w:rsidRPr="00940848">
        <w:t xml:space="preserve"> related to its fluid dynamic microenvironment</w:t>
      </w:r>
      <w:r w:rsidRPr="004C4AB4">
        <w:rPr>
          <w:i/>
        </w:rPr>
        <w:t xml:space="preserve">. </w:t>
      </w:r>
      <w:r>
        <w:t>F</w:t>
      </w:r>
      <w:r w:rsidRPr="00B82906">
        <w:t>ive samples will be compared with the</w:t>
      </w:r>
      <w:r>
        <w:t>ir</w:t>
      </w:r>
      <w:r w:rsidRPr="00B82906">
        <w:t xml:space="preserve"> CAD design </w:t>
      </w:r>
      <w:r>
        <w:t xml:space="preserve">and also among them </w:t>
      </w:r>
      <w:r w:rsidRPr="00B82906">
        <w:t>to report the quality</w:t>
      </w:r>
      <w:r>
        <w:t xml:space="preserve"> and repeatability</w:t>
      </w:r>
      <w:r w:rsidRPr="00B82906">
        <w:t xml:space="preserve"> of the manufacturing process</w:t>
      </w:r>
      <w:r>
        <w:rPr>
          <w:i/>
        </w:rPr>
        <w:t xml:space="preserve"> </w:t>
      </w:r>
      <w:r w:rsidRPr="0028404D">
        <w:t>respectively</w:t>
      </w:r>
      <w:r w:rsidRPr="00A23734">
        <w:t xml:space="preserve">. </w:t>
      </w:r>
      <w:r>
        <w:t>Local values of w</w:t>
      </w:r>
      <w:r w:rsidRPr="00A23734">
        <w:t>all shear stress (WSS) and fluid velocities will be calculated and compared from scaffold-to-scaffold at the same location within the pore level.</w:t>
      </w:r>
    </w:p>
    <w:p w:rsidR="005D1052" w:rsidRPr="00DA0814" w:rsidRDefault="005D1052" w:rsidP="005D1052">
      <w:pPr>
        <w:pStyle w:val="Heading2"/>
      </w:pPr>
      <w:bookmarkStart w:id="97" w:name="_Toc310605597"/>
      <w:bookmarkStart w:id="98" w:name="_Toc310605892"/>
      <w:bookmarkStart w:id="99" w:name="_Toc440823192"/>
      <w:r w:rsidRPr="00820CE4">
        <w:lastRenderedPageBreak/>
        <w:t>Materials</w:t>
      </w:r>
      <w:r>
        <w:t xml:space="preserve"> and Methods</w:t>
      </w:r>
      <w:bookmarkEnd w:id="97"/>
      <w:bookmarkEnd w:id="98"/>
      <w:bookmarkEnd w:id="99"/>
    </w:p>
    <w:p w:rsidR="005D1052" w:rsidRPr="00C622D6" w:rsidRDefault="005D1052" w:rsidP="005D1052">
      <w:pPr>
        <w:pStyle w:val="Heading3"/>
      </w:pPr>
      <w:bookmarkStart w:id="100" w:name="_Toc310605598"/>
      <w:bookmarkStart w:id="101" w:name="_Toc310605893"/>
      <w:bookmarkStart w:id="102" w:name="_Ref312105053"/>
      <w:bookmarkStart w:id="103" w:name="_Ref312105060"/>
      <w:bookmarkStart w:id="104" w:name="_Toc440823193"/>
      <w:r w:rsidRPr="00C622D6">
        <w:t>Scaffold</w:t>
      </w:r>
      <w:bookmarkEnd w:id="100"/>
      <w:bookmarkEnd w:id="101"/>
      <w:bookmarkEnd w:id="102"/>
      <w:bookmarkEnd w:id="103"/>
      <w:bookmarkEnd w:id="104"/>
    </w:p>
    <w:p w:rsidR="005D1052" w:rsidRDefault="005D1052" w:rsidP="005D1052">
      <w:r>
        <w:t xml:space="preserve">A commercial scaffold from 3D Biotek (New Jersey, USA) made of PCL was used for this study. The scaffold has a regular porous design compounded by layers of cylindrical fibers with 300 µm diameter and with a distance of 300 µm between fibers. It has six layers with an offset of 90 </w:t>
      </w:r>
      <w:r w:rsidRPr="005A6C27">
        <w:t>degrees</w:t>
      </w:r>
      <w:r>
        <w:t xml:space="preserve"> in the orientation of the fibers from layer-to-layer. In addition, there is a gap of 300 µm among alternative layers. The scaffold has a cylindrical shape with 5 mm diameter and 1.5 mm height (see </w:t>
      </w:r>
      <w:r>
        <w:fldChar w:fldCharType="begin"/>
      </w:r>
      <w:r>
        <w:instrText xml:space="preserve"> REF _Ref312106429 \h </w:instrText>
      </w:r>
      <w:r>
        <w:fldChar w:fldCharType="separate"/>
      </w:r>
      <w:r w:rsidR="00924C7D" w:rsidRPr="003416C5">
        <w:t xml:space="preserve">Figure </w:t>
      </w:r>
      <w:r w:rsidR="00924C7D">
        <w:rPr>
          <w:noProof/>
        </w:rPr>
        <w:t>3</w:t>
      </w:r>
      <w:r w:rsidR="00924C7D">
        <w:noBreakHyphen/>
      </w:r>
      <w:r w:rsidR="00924C7D">
        <w:rPr>
          <w:noProof/>
        </w:rPr>
        <w:t>2</w:t>
      </w:r>
      <w:r>
        <w:fldChar w:fldCharType="end"/>
      </w:r>
      <w:r>
        <w:t xml:space="preserve">). </w:t>
      </w:r>
    </w:p>
    <w:p w:rsidR="005D1052" w:rsidRPr="001158EF" w:rsidRDefault="005D1052" w:rsidP="005D1052"/>
    <w:p w:rsidR="005D1052" w:rsidRDefault="005D1052" w:rsidP="005D1052">
      <w:pPr>
        <w:spacing w:after="0"/>
        <w:ind w:firstLine="0"/>
        <w:jc w:val="center"/>
      </w:pPr>
      <w:r>
        <w:rPr>
          <w:noProof/>
          <w:lang w:eastAsia="en-GB"/>
        </w:rPr>
        <w:drawing>
          <wp:inline distT="0" distB="0" distL="0" distR="0" wp14:anchorId="342AF3DC" wp14:editId="6EDA105E">
            <wp:extent cx="4026877" cy="148488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ffolddesign.png"/>
                    <pic:cNvPicPr/>
                  </pic:nvPicPr>
                  <pic:blipFill>
                    <a:blip r:embed="rId40">
                      <a:extLst>
                        <a:ext uri="{28A0092B-C50C-407E-A947-70E740481C1C}">
                          <a14:useLocalDpi xmlns:a14="http://schemas.microsoft.com/office/drawing/2010/main" val="0"/>
                        </a:ext>
                      </a:extLst>
                    </a:blip>
                    <a:stretch>
                      <a:fillRect/>
                    </a:stretch>
                  </pic:blipFill>
                  <pic:spPr>
                    <a:xfrm>
                      <a:off x="0" y="0"/>
                      <a:ext cx="4023281" cy="1483554"/>
                    </a:xfrm>
                    <a:prstGeom prst="rect">
                      <a:avLst/>
                    </a:prstGeom>
                  </pic:spPr>
                </pic:pic>
              </a:graphicData>
            </a:graphic>
          </wp:inline>
        </w:drawing>
      </w:r>
    </w:p>
    <w:p w:rsidR="005D1052" w:rsidRPr="005803DA" w:rsidRDefault="005D1052" w:rsidP="005D1052">
      <w:pPr>
        <w:pStyle w:val="Caption"/>
        <w:rPr>
          <w:b w:val="0"/>
          <w:noProof/>
        </w:rPr>
      </w:pPr>
      <w:bookmarkStart w:id="105" w:name="_Ref312106429"/>
      <w:bookmarkStart w:id="106" w:name="_Toc438590796"/>
      <w:bookmarkStart w:id="107" w:name="_Toc445718802"/>
      <w:r w:rsidRPr="003416C5">
        <w:t xml:space="preserve">Figure </w:t>
      </w:r>
      <w:fldSimple w:instr=" STYLEREF 1 \s ">
        <w:r w:rsidR="00924C7D">
          <w:rPr>
            <w:noProof/>
          </w:rPr>
          <w:t>3</w:t>
        </w:r>
      </w:fldSimple>
      <w:r>
        <w:noBreakHyphen/>
      </w:r>
      <w:fldSimple w:instr=" SEQ Figure \* ARABIC \s 1 ">
        <w:r w:rsidR="00924C7D">
          <w:rPr>
            <w:noProof/>
          </w:rPr>
          <w:t>2</w:t>
        </w:r>
      </w:fldSimple>
      <w:bookmarkEnd w:id="105"/>
      <w:r>
        <w:rPr>
          <w:noProof/>
        </w:rPr>
        <w:t xml:space="preserve"> </w:t>
      </w:r>
      <w:r w:rsidRPr="005803DA">
        <w:rPr>
          <w:b w:val="0"/>
          <w:noProof/>
        </w:rPr>
        <w:t>PCL scaffold design specifications.</w:t>
      </w:r>
      <w:bookmarkEnd w:id="106"/>
      <w:bookmarkEnd w:id="107"/>
    </w:p>
    <w:p w:rsidR="005D1052" w:rsidRPr="00CF12FF" w:rsidRDefault="005D1052" w:rsidP="005D1052">
      <w:pPr>
        <w:pStyle w:val="Heading4"/>
      </w:pPr>
      <w:bookmarkStart w:id="108" w:name="_Ref312110965"/>
      <w:bookmarkStart w:id="109" w:name="_Toc440823194"/>
      <w:r w:rsidRPr="00CF12FF">
        <w:t>µCT scanning of fabricated samples</w:t>
      </w:r>
      <w:bookmarkEnd w:id="108"/>
      <w:bookmarkEnd w:id="109"/>
    </w:p>
    <w:p w:rsidR="005D1052" w:rsidRDefault="005D1052" w:rsidP="005D1052">
      <w:r>
        <w:t>Five fabricated samples were scanned with a µCT scanner (Skyscan1172, Materialise, Belgium) at 59 kV voltage and 149 µA beam current. The samples were not treated prior to scanning. First, consecutive scans were performed reducing the voxel size until the µCT-based geometry was independent from the voxel size selected (</w:t>
      </w:r>
      <w:r w:rsidRPr="005803DA">
        <w:t xml:space="preserve">see results in section </w:t>
      </w:r>
      <w:r w:rsidRPr="005803DA">
        <w:fldChar w:fldCharType="begin"/>
      </w:r>
      <w:r w:rsidRPr="005803DA">
        <w:instrText xml:space="preserve"> REF _Ref312106294 \r \h </w:instrText>
      </w:r>
      <w:r w:rsidRPr="005803DA">
        <w:fldChar w:fldCharType="separate"/>
      </w:r>
      <w:r w:rsidR="00924C7D">
        <w:t>3.3.1</w:t>
      </w:r>
      <w:r w:rsidRPr="005803DA">
        <w:fldChar w:fldCharType="end"/>
      </w:r>
      <w:r w:rsidRPr="005803DA">
        <w:t>). As a result, 7x7x7 µm</w:t>
      </w:r>
      <w:r w:rsidRPr="005803DA">
        <w:rPr>
          <w:vertAlign w:val="superscript"/>
        </w:rPr>
        <w:t>3</w:t>
      </w:r>
      <w:r w:rsidRPr="005803DA">
        <w:t xml:space="preserve"> was</w:t>
      </w:r>
      <w:r>
        <w:t xml:space="preserve"> the maximum voxel size that could accurately capture the scaffold geometry without compromising the size of the µCT data size.</w:t>
      </w:r>
    </w:p>
    <w:p w:rsidR="005D1052" w:rsidRPr="00161CAE" w:rsidRDefault="005D1052" w:rsidP="005D1052">
      <w:pPr>
        <w:pStyle w:val="Heading4"/>
      </w:pPr>
      <w:bookmarkStart w:id="110" w:name="_Ref312115914"/>
      <w:bookmarkStart w:id="111" w:name="_Ref312178714"/>
      <w:bookmarkStart w:id="112" w:name="_Toc440823195"/>
      <w:r w:rsidRPr="00161CAE">
        <w:lastRenderedPageBreak/>
        <w:t>µCT-images reconstruction</w:t>
      </w:r>
      <w:bookmarkEnd w:id="110"/>
      <w:bookmarkEnd w:id="111"/>
      <w:bookmarkEnd w:id="112"/>
    </w:p>
    <w:p w:rsidR="005D1052" w:rsidRDefault="005D1052" w:rsidP="005D1052">
      <w:r>
        <w:t>The µCT images data in TIFF format were reconstructed with Simpleware (Exeter, UK). The noise of the raw images was reduced using the median filter. This filter computes each output pixel as the statistical median of the neighbourhood of values around the corresponding input pixel. The radius of the neighbourhood where</w:t>
      </w:r>
      <w:r w:rsidRPr="00734600">
        <w:t xml:space="preserve"> the </w:t>
      </w:r>
      <w:r>
        <w:t xml:space="preserve">statistical </w:t>
      </w:r>
      <w:r w:rsidRPr="00734600">
        <w:t xml:space="preserve">median value </w:t>
      </w:r>
      <w:r>
        <w:t>was</w:t>
      </w:r>
      <w:r w:rsidRPr="00734600">
        <w:t xml:space="preserve"> calculated</w:t>
      </w:r>
      <w:r>
        <w:t xml:space="preserve"> was between one and three times the pixel spacing. Once the raw images were filtered, the region of interest was segmented by selecting the </w:t>
      </w:r>
      <w:r w:rsidRPr="005803DA">
        <w:t xml:space="preserve">pixels that were within the threshold of greyscales values that represent the scaffold region (see </w:t>
      </w:r>
      <w:r w:rsidRPr="005803DA">
        <w:fldChar w:fldCharType="begin"/>
      </w:r>
      <w:r w:rsidRPr="005803DA">
        <w:instrText xml:space="preserve"> REF _Ref312106336 \h </w:instrText>
      </w:r>
      <w:r w:rsidRPr="005803DA">
        <w:fldChar w:fldCharType="separate"/>
      </w:r>
      <w:r w:rsidR="00924C7D" w:rsidRPr="00637B34">
        <w:t xml:space="preserve">Figure </w:t>
      </w:r>
      <w:r w:rsidR="00924C7D">
        <w:rPr>
          <w:noProof/>
        </w:rPr>
        <w:t>3</w:t>
      </w:r>
      <w:r w:rsidR="00924C7D">
        <w:noBreakHyphen/>
      </w:r>
      <w:r w:rsidR="00924C7D">
        <w:rPr>
          <w:noProof/>
        </w:rPr>
        <w:t>3</w:t>
      </w:r>
      <w:r w:rsidRPr="005803DA">
        <w:fldChar w:fldCharType="end"/>
      </w:r>
      <w:r>
        <w:t xml:space="preserve">). The mask created in the segmentation process was smoothed using the recursive </w:t>
      </w:r>
      <w:r w:rsidRPr="00734600">
        <w:t>Gaussian</w:t>
      </w:r>
      <w:r>
        <w:t xml:space="preserve"> filter in order to reduce outliers and facilitate the surface meshing process. </w:t>
      </w:r>
    </w:p>
    <w:p w:rsidR="005D1052" w:rsidRDefault="005D1052" w:rsidP="005D1052"/>
    <w:p w:rsidR="005D1052" w:rsidRDefault="005D1052" w:rsidP="005D1052">
      <w:pPr>
        <w:spacing w:after="0"/>
        <w:ind w:firstLine="0"/>
        <w:jc w:val="center"/>
      </w:pPr>
      <w:r>
        <w:rPr>
          <w:noProof/>
          <w:lang w:eastAsia="en-GB"/>
        </w:rPr>
        <w:drawing>
          <wp:inline distT="0" distB="0" distL="0" distR="0" wp14:anchorId="3EB2D0FF" wp14:editId="6D08A15F">
            <wp:extent cx="4110323" cy="2227580"/>
            <wp:effectExtent l="0" t="0" r="508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jpg"/>
                    <pic:cNvPicPr/>
                  </pic:nvPicPr>
                  <pic:blipFill rotWithShape="1">
                    <a:blip r:embed="rId41">
                      <a:extLst>
                        <a:ext uri="{28A0092B-C50C-407E-A947-70E740481C1C}">
                          <a14:useLocalDpi xmlns:a14="http://schemas.microsoft.com/office/drawing/2010/main" val="0"/>
                        </a:ext>
                      </a:extLst>
                    </a:blip>
                    <a:srcRect l="41004"/>
                    <a:stretch/>
                  </pic:blipFill>
                  <pic:spPr bwMode="auto">
                    <a:xfrm>
                      <a:off x="0" y="0"/>
                      <a:ext cx="4132129" cy="2239398"/>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5803DA" w:rsidRDefault="005D1052" w:rsidP="005D1052">
      <w:pPr>
        <w:pStyle w:val="Caption"/>
        <w:rPr>
          <w:b w:val="0"/>
        </w:rPr>
      </w:pPr>
      <w:bookmarkStart w:id="113" w:name="_Ref312106336"/>
      <w:bookmarkStart w:id="114" w:name="_Toc438590797"/>
      <w:bookmarkStart w:id="115" w:name="_Toc445718803"/>
      <w:r w:rsidRPr="00637B34">
        <w:t xml:space="preserve">Figure </w:t>
      </w:r>
      <w:fldSimple w:instr=" STYLEREF 1 \s ">
        <w:r w:rsidR="00924C7D">
          <w:rPr>
            <w:noProof/>
          </w:rPr>
          <w:t>3</w:t>
        </w:r>
      </w:fldSimple>
      <w:r>
        <w:noBreakHyphen/>
      </w:r>
      <w:fldSimple w:instr=" SEQ Figure \* ARABIC \s 1 ">
        <w:r w:rsidR="00924C7D">
          <w:rPr>
            <w:noProof/>
          </w:rPr>
          <w:t>3</w:t>
        </w:r>
      </w:fldSimple>
      <w:bookmarkEnd w:id="113"/>
      <w:r>
        <w:rPr>
          <w:noProof/>
        </w:rPr>
        <w:t xml:space="preserve"> </w:t>
      </w:r>
      <w:r w:rsidRPr="005803DA">
        <w:rPr>
          <w:b w:val="0"/>
          <w:noProof/>
        </w:rPr>
        <w:t xml:space="preserve">The stack of </w:t>
      </w:r>
      <w:r>
        <w:rPr>
          <w:b w:val="0"/>
        </w:rPr>
        <w:t>µCT-images (left) was</w:t>
      </w:r>
      <w:r w:rsidRPr="005803DA">
        <w:rPr>
          <w:b w:val="0"/>
        </w:rPr>
        <w:t xml:space="preserve"> segmented to obtain the scaffold geometry (right) within the raw data.</w:t>
      </w:r>
      <w:bookmarkEnd w:id="114"/>
      <w:bookmarkEnd w:id="115"/>
    </w:p>
    <w:p w:rsidR="005D1052" w:rsidRDefault="005D1052" w:rsidP="005D1052">
      <w:r>
        <w:t xml:space="preserve">The radius of the neighbourhood selected to apply the Gaussian filter was between one and three times the voxel size. A final binarisation filter was applied to the mask in order to cancel the connection between the background images and the segmented mask. Then, a triangular mesh was generated on the surface mask to </w:t>
      </w:r>
      <w:r>
        <w:lastRenderedPageBreak/>
        <w:t>represent the µCT-based scaffold geometry. The surface mesh was exported in STL format.</w:t>
      </w:r>
    </w:p>
    <w:p w:rsidR="005D1052" w:rsidRDefault="005D1052" w:rsidP="005D1052">
      <w:pPr>
        <w:pStyle w:val="Heading4"/>
      </w:pPr>
      <w:bookmarkStart w:id="116" w:name="_Toc440823196"/>
      <w:r w:rsidRPr="001F5FA6">
        <w:t>CAD scaffold</w:t>
      </w:r>
      <w:bookmarkEnd w:id="116"/>
    </w:p>
    <w:p w:rsidR="005D1052" w:rsidRDefault="005D1052" w:rsidP="005D1052">
      <w:r>
        <w:t xml:space="preserve">The CAD scaffold shown in </w:t>
      </w:r>
      <w:r>
        <w:fldChar w:fldCharType="begin"/>
      </w:r>
      <w:r>
        <w:instrText xml:space="preserve"> REF _Ref440559113 \h </w:instrText>
      </w:r>
      <w:r>
        <w:fldChar w:fldCharType="separate"/>
      </w:r>
      <w:r w:rsidR="00924C7D" w:rsidRPr="000D5DEB">
        <w:t xml:space="preserve">Figure </w:t>
      </w:r>
      <w:r w:rsidR="00924C7D">
        <w:rPr>
          <w:noProof/>
        </w:rPr>
        <w:t>3</w:t>
      </w:r>
      <w:r w:rsidR="00924C7D">
        <w:noBreakHyphen/>
      </w:r>
      <w:r w:rsidR="00924C7D">
        <w:rPr>
          <w:noProof/>
        </w:rPr>
        <w:t>4</w:t>
      </w:r>
      <w:r>
        <w:fldChar w:fldCharType="end"/>
      </w:r>
      <w:r>
        <w:t xml:space="preserve"> was generated in Ansys Design Modeler based on the manufacturer’s design specifications previously shown in </w:t>
      </w:r>
      <w:r>
        <w:rPr>
          <w:highlight w:val="yellow"/>
        </w:rPr>
        <w:fldChar w:fldCharType="begin"/>
      </w:r>
      <w:r>
        <w:instrText xml:space="preserve"> REF _Ref312106429 \h </w:instrText>
      </w:r>
      <w:r>
        <w:rPr>
          <w:highlight w:val="yellow"/>
        </w:rPr>
      </w:r>
      <w:r>
        <w:rPr>
          <w:highlight w:val="yellow"/>
        </w:rPr>
        <w:fldChar w:fldCharType="separate"/>
      </w:r>
      <w:r w:rsidR="00924C7D" w:rsidRPr="003416C5">
        <w:t xml:space="preserve">Figure </w:t>
      </w:r>
      <w:r w:rsidR="00924C7D">
        <w:rPr>
          <w:noProof/>
        </w:rPr>
        <w:t>3</w:t>
      </w:r>
      <w:r w:rsidR="00924C7D">
        <w:noBreakHyphen/>
      </w:r>
      <w:r w:rsidR="00924C7D">
        <w:rPr>
          <w:noProof/>
        </w:rPr>
        <w:t>2</w:t>
      </w:r>
      <w:r>
        <w:rPr>
          <w:highlight w:val="yellow"/>
        </w:rPr>
        <w:fldChar w:fldCharType="end"/>
      </w:r>
      <w:r>
        <w:t>.</w:t>
      </w:r>
    </w:p>
    <w:p w:rsidR="005D1052" w:rsidRDefault="005D1052" w:rsidP="005D1052"/>
    <w:p w:rsidR="005D1052" w:rsidRDefault="005D1052" w:rsidP="005D1052">
      <w:pPr>
        <w:spacing w:after="0"/>
        <w:ind w:firstLine="0"/>
        <w:jc w:val="center"/>
      </w:pPr>
      <w:r>
        <w:rPr>
          <w:noProof/>
          <w:lang w:eastAsia="en-GB"/>
        </w:rPr>
        <w:drawing>
          <wp:inline distT="0" distB="0" distL="0" distR="0" wp14:anchorId="7F23B870" wp14:editId="18679581">
            <wp:extent cx="5202177" cy="18796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04266" cy="1880355"/>
                    </a:xfrm>
                    <a:prstGeom prst="rect">
                      <a:avLst/>
                    </a:prstGeom>
                  </pic:spPr>
                </pic:pic>
              </a:graphicData>
            </a:graphic>
          </wp:inline>
        </w:drawing>
      </w:r>
    </w:p>
    <w:p w:rsidR="005D1052" w:rsidRPr="00086220" w:rsidRDefault="005D1052" w:rsidP="005D1052">
      <w:pPr>
        <w:pStyle w:val="Caption"/>
        <w:rPr>
          <w:b w:val="0"/>
          <w:noProof/>
        </w:rPr>
      </w:pPr>
      <w:bookmarkStart w:id="117" w:name="_Ref440559113"/>
      <w:bookmarkStart w:id="118" w:name="_Toc438590798"/>
      <w:bookmarkStart w:id="119" w:name="_Toc445718804"/>
      <w:r w:rsidRPr="000D5DEB">
        <w:t xml:space="preserve">Figure </w:t>
      </w:r>
      <w:fldSimple w:instr=" STYLEREF 1 \s ">
        <w:r w:rsidR="00924C7D">
          <w:rPr>
            <w:noProof/>
          </w:rPr>
          <w:t>3</w:t>
        </w:r>
      </w:fldSimple>
      <w:r>
        <w:noBreakHyphen/>
      </w:r>
      <w:fldSimple w:instr=" SEQ Figure \* ARABIC \s 1 ">
        <w:r w:rsidR="00924C7D">
          <w:rPr>
            <w:noProof/>
          </w:rPr>
          <w:t>4</w:t>
        </w:r>
      </w:fldSimple>
      <w:bookmarkEnd w:id="117"/>
      <w:r>
        <w:rPr>
          <w:noProof/>
        </w:rPr>
        <w:t xml:space="preserve"> </w:t>
      </w:r>
      <w:r w:rsidRPr="00086220">
        <w:rPr>
          <w:b w:val="0"/>
          <w:noProof/>
        </w:rPr>
        <w:t>a) 3D CAD model of the scaffold. b) Side view.</w:t>
      </w:r>
      <w:bookmarkEnd w:id="118"/>
      <w:bookmarkEnd w:id="119"/>
    </w:p>
    <w:p w:rsidR="005D1052" w:rsidRDefault="005D1052" w:rsidP="005D1052">
      <w:pPr>
        <w:pStyle w:val="Heading4"/>
      </w:pPr>
      <w:bookmarkStart w:id="120" w:name="_Toc440823197"/>
      <w:r w:rsidRPr="00451769">
        <w:t>Structural analysis</w:t>
      </w:r>
      <w:bookmarkEnd w:id="120"/>
    </w:p>
    <w:p w:rsidR="005D1052" w:rsidRPr="00E5163D" w:rsidRDefault="005D1052" w:rsidP="005D1052">
      <w:r>
        <w:t xml:space="preserve">Key structural factors such as pore size, porosity, surface area and volume were reported for all scaffolds. The five µCT-reconstructed scaffolds were characterised using the Simpleware statistics and measuring package and the CAD scaffold in Ansys Design </w:t>
      </w:r>
      <w:r w:rsidRPr="005803DA">
        <w:t xml:space="preserve">Modeler (see results in section </w:t>
      </w:r>
      <w:r w:rsidRPr="005803DA">
        <w:fldChar w:fldCharType="begin"/>
      </w:r>
      <w:r w:rsidRPr="005803DA">
        <w:instrText xml:space="preserve"> REF _Ref312106484 \r \h </w:instrText>
      </w:r>
      <w:r w:rsidRPr="005803DA">
        <w:fldChar w:fldCharType="separate"/>
      </w:r>
      <w:r w:rsidR="00924C7D">
        <w:t>3.3.2</w:t>
      </w:r>
      <w:r w:rsidRPr="005803DA">
        <w:fldChar w:fldCharType="end"/>
      </w:r>
      <w:r w:rsidRPr="005803DA">
        <w:t>).</w:t>
      </w:r>
    </w:p>
    <w:p w:rsidR="005D1052" w:rsidRDefault="005D1052" w:rsidP="005D1052">
      <w:pPr>
        <w:pStyle w:val="Heading4"/>
      </w:pPr>
      <w:bookmarkStart w:id="121" w:name="_Ref312115955"/>
      <w:bookmarkStart w:id="122" w:name="_Ref312159692"/>
      <w:bookmarkStart w:id="123" w:name="_Toc440823198"/>
      <w:r w:rsidRPr="00C622D6">
        <w:t>Meshing the fluid domain</w:t>
      </w:r>
      <w:bookmarkEnd w:id="121"/>
      <w:bookmarkEnd w:id="122"/>
      <w:bookmarkEnd w:id="123"/>
    </w:p>
    <w:p w:rsidR="005D1052" w:rsidRDefault="005D1052" w:rsidP="005D1052">
      <w:r w:rsidRPr="00FA6288">
        <w:t xml:space="preserve">The </w:t>
      </w:r>
      <w:r>
        <w:t>STL</w:t>
      </w:r>
      <w:r w:rsidRPr="00FA6288">
        <w:t xml:space="preserve"> </w:t>
      </w:r>
      <w:r>
        <w:t>scaffolds and the CAD</w:t>
      </w:r>
      <w:r w:rsidRPr="00FA6288">
        <w:t xml:space="preserve"> scaffold</w:t>
      </w:r>
      <w:r>
        <w:t xml:space="preserve"> were imported into Icem Ansys. The scaffold was </w:t>
      </w:r>
      <w:r w:rsidRPr="005803DA">
        <w:t>located in the middle of a cylinder generated with a radius of 2.72 mm and 28 mm length (</w:t>
      </w:r>
      <w:r>
        <w:fldChar w:fldCharType="begin"/>
      </w:r>
      <w:r>
        <w:instrText xml:space="preserve"> REF _Ref312106560 \h </w:instrText>
      </w:r>
      <w:r>
        <w:fldChar w:fldCharType="separate"/>
      </w:r>
      <w:r w:rsidR="00924C7D" w:rsidRPr="008D04DA">
        <w:t xml:space="preserve">Figure </w:t>
      </w:r>
      <w:r w:rsidR="00924C7D">
        <w:rPr>
          <w:noProof/>
        </w:rPr>
        <w:t>3</w:t>
      </w:r>
      <w:r w:rsidR="00924C7D">
        <w:noBreakHyphen/>
      </w:r>
      <w:r w:rsidR="00924C7D">
        <w:rPr>
          <w:noProof/>
        </w:rPr>
        <w:t>5</w:t>
      </w:r>
      <w:r>
        <w:fldChar w:fldCharType="end"/>
      </w:r>
      <w:r w:rsidRPr="005803DA">
        <w:t>). These</w:t>
      </w:r>
      <w:r>
        <w:t xml:space="preserve"> cylinder dimensions were selected to be able to </w:t>
      </w:r>
      <w:r>
        <w:lastRenderedPageBreak/>
        <w:t>enclose the five samples and the CAD scaffold ensuring no scaffold-cylinder intersection, as that could complicate the meshing process.</w:t>
      </w:r>
    </w:p>
    <w:p w:rsidR="005D1052" w:rsidRDefault="005D1052" w:rsidP="005D1052"/>
    <w:p w:rsidR="005D1052" w:rsidRDefault="005D1052" w:rsidP="005D1052">
      <w:pPr>
        <w:keepNext/>
        <w:ind w:firstLine="0"/>
        <w:jc w:val="center"/>
      </w:pPr>
      <w:r w:rsidRPr="008D04DA">
        <w:rPr>
          <w:noProof/>
          <w:lang w:eastAsia="en-GB"/>
        </w:rPr>
        <w:drawing>
          <wp:inline distT="0" distB="0" distL="0" distR="0" wp14:anchorId="58DF303B" wp14:editId="054A3462">
            <wp:extent cx="3555646" cy="2169160"/>
            <wp:effectExtent l="0" t="0" r="635"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7916" t="20698" r="10159" b="18857"/>
                    <a:stretch/>
                  </pic:blipFill>
                  <pic:spPr bwMode="auto">
                    <a:xfrm>
                      <a:off x="0" y="0"/>
                      <a:ext cx="3556432" cy="2169640"/>
                    </a:xfrm>
                    <a:prstGeom prst="rect">
                      <a:avLst/>
                    </a:prstGeom>
                    <a:noFill/>
                    <a:ln>
                      <a:noFill/>
                    </a:ln>
                    <a:extLst/>
                  </pic:spPr>
                </pic:pic>
              </a:graphicData>
            </a:graphic>
          </wp:inline>
        </w:drawing>
      </w:r>
    </w:p>
    <w:p w:rsidR="005D1052" w:rsidRPr="00086220" w:rsidRDefault="005D1052" w:rsidP="005D1052">
      <w:pPr>
        <w:pStyle w:val="Caption"/>
        <w:rPr>
          <w:b w:val="0"/>
        </w:rPr>
      </w:pPr>
      <w:bookmarkStart w:id="124" w:name="_Ref312106560"/>
      <w:bookmarkStart w:id="125" w:name="_Toc438590799"/>
      <w:bookmarkStart w:id="126" w:name="_Toc445718805"/>
      <w:r w:rsidRPr="008D04DA">
        <w:t xml:space="preserve">Figure </w:t>
      </w:r>
      <w:fldSimple w:instr=" STYLEREF 1 \s ">
        <w:r w:rsidR="00924C7D">
          <w:rPr>
            <w:noProof/>
          </w:rPr>
          <w:t>3</w:t>
        </w:r>
      </w:fldSimple>
      <w:r>
        <w:noBreakHyphen/>
      </w:r>
      <w:fldSimple w:instr=" SEQ Figure \* ARABIC \s 1 ">
        <w:r w:rsidR="00924C7D">
          <w:rPr>
            <w:noProof/>
          </w:rPr>
          <w:t>5</w:t>
        </w:r>
      </w:fldSimple>
      <w:bookmarkEnd w:id="124"/>
      <w:r>
        <w:t xml:space="preserve"> </w:t>
      </w:r>
      <w:r w:rsidRPr="00086220">
        <w:rPr>
          <w:b w:val="0"/>
        </w:rPr>
        <w:t>Physical boundaries of the fluid volume mesh.</w:t>
      </w:r>
      <w:bookmarkEnd w:id="125"/>
      <w:bookmarkEnd w:id="126"/>
    </w:p>
    <w:p w:rsidR="005D1052" w:rsidRDefault="005D1052" w:rsidP="005D1052">
      <w:r>
        <w:t xml:space="preserve">The fluid domain between the scaffold and cylinder wall boundaries was meshed with tetrahedral elements using the robust octree algorithm from Icem Ansys. This method ensures refinement near the scaffold while maintaining larger elements where possible. A grid independency study was carried out by calculating the impact of the maximum length of the edge of the triangular faces of the tetrahedral elements inside and outside the scaffold on velocity and wall shear </w:t>
      </w:r>
      <w:r w:rsidRPr="005803DA">
        <w:t xml:space="preserve">stress values (see results in </w:t>
      </w:r>
      <w:r>
        <w:t xml:space="preserve">section </w:t>
      </w:r>
      <w:r>
        <w:fldChar w:fldCharType="begin"/>
      </w:r>
      <w:r>
        <w:instrText xml:space="preserve"> REF _Ref312106715 \r \h </w:instrText>
      </w:r>
      <w:r>
        <w:fldChar w:fldCharType="separate"/>
      </w:r>
      <w:r w:rsidR="00924C7D">
        <w:t>3.3.3</w:t>
      </w:r>
      <w:r>
        <w:fldChar w:fldCharType="end"/>
      </w:r>
      <w:r w:rsidRPr="005803DA">
        <w:t>). As</w:t>
      </w:r>
      <w:r>
        <w:t xml:space="preserve"> a result, around 10 million tetrahedral elements represented the fluid domain with maximum element length of 20 µm inside the scaffold and maximum length of </w:t>
      </w:r>
      <w:r w:rsidRPr="006D1E94">
        <w:t>1</w:t>
      </w:r>
      <w:r>
        <w:t xml:space="preserve"> </w:t>
      </w:r>
      <w:r w:rsidRPr="006D1E94">
        <w:t xml:space="preserve">mm outside it. </w:t>
      </w:r>
      <w:r>
        <w:t xml:space="preserve">Despite the fact that elements outside the scaffold can be up to 50 times larger than the ones inside it, the meshing algorithm applied provides a smooth transition from the elements far from the scaffold to the elements close to it as shown in </w:t>
      </w:r>
      <w:r>
        <w:fldChar w:fldCharType="begin"/>
      </w:r>
      <w:r>
        <w:instrText xml:space="preserve"> REF _Ref312106827 \h </w:instrText>
      </w:r>
      <w:r>
        <w:fldChar w:fldCharType="separate"/>
      </w:r>
      <w:r w:rsidR="00924C7D" w:rsidRPr="00E54B94">
        <w:t xml:space="preserve">Figure </w:t>
      </w:r>
      <w:r w:rsidR="00924C7D">
        <w:rPr>
          <w:noProof/>
        </w:rPr>
        <w:t>3</w:t>
      </w:r>
      <w:r w:rsidR="00924C7D">
        <w:noBreakHyphen/>
      </w:r>
      <w:r w:rsidR="00924C7D">
        <w:rPr>
          <w:noProof/>
        </w:rPr>
        <w:t>6</w:t>
      </w:r>
      <w:r>
        <w:fldChar w:fldCharType="end"/>
      </w:r>
      <w:r w:rsidRPr="005803DA">
        <w:t>.</w:t>
      </w:r>
    </w:p>
    <w:p w:rsidR="005D1052" w:rsidRDefault="005D1052" w:rsidP="005D1052"/>
    <w:p w:rsidR="005D1052" w:rsidRDefault="005D1052" w:rsidP="005D1052">
      <w:pPr>
        <w:ind w:firstLine="0"/>
        <w:jc w:val="center"/>
      </w:pPr>
      <w:r w:rsidRPr="008B237D">
        <w:rPr>
          <w:noProof/>
          <w:lang w:eastAsia="en-GB"/>
        </w:rPr>
        <w:lastRenderedPageBreak/>
        <w:drawing>
          <wp:inline distT="0" distB="0" distL="0" distR="0" wp14:anchorId="0AC84B21" wp14:editId="40F6D4F4">
            <wp:extent cx="4078903" cy="3917659"/>
            <wp:effectExtent l="19050" t="19050" r="17145" b="260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h size.png"/>
                    <pic:cNvPicPr/>
                  </pic:nvPicPr>
                  <pic:blipFill>
                    <a:blip r:embed="rId44">
                      <a:extLst>
                        <a:ext uri="{28A0092B-C50C-407E-A947-70E740481C1C}">
                          <a14:useLocalDpi xmlns:a14="http://schemas.microsoft.com/office/drawing/2010/main" val="0"/>
                        </a:ext>
                      </a:extLst>
                    </a:blip>
                    <a:stretch>
                      <a:fillRect/>
                    </a:stretch>
                  </pic:blipFill>
                  <pic:spPr>
                    <a:xfrm>
                      <a:off x="0" y="0"/>
                      <a:ext cx="4098540" cy="3936520"/>
                    </a:xfrm>
                    <a:prstGeom prst="rect">
                      <a:avLst/>
                    </a:prstGeom>
                    <a:ln>
                      <a:solidFill>
                        <a:schemeClr val="tx1"/>
                      </a:solidFill>
                    </a:ln>
                  </pic:spPr>
                </pic:pic>
              </a:graphicData>
            </a:graphic>
          </wp:inline>
        </w:drawing>
      </w:r>
    </w:p>
    <w:p w:rsidR="005D1052" w:rsidRDefault="005D1052" w:rsidP="005D1052">
      <w:pPr>
        <w:pStyle w:val="Caption"/>
      </w:pPr>
      <w:bookmarkStart w:id="127" w:name="_Ref312106827"/>
      <w:bookmarkStart w:id="128" w:name="_Toc438590800"/>
      <w:bookmarkStart w:id="129" w:name="_Toc445718806"/>
      <w:r w:rsidRPr="00E54B94">
        <w:t xml:space="preserve">Figure </w:t>
      </w:r>
      <w:fldSimple w:instr=" STYLEREF 1 \s ">
        <w:r w:rsidR="00924C7D">
          <w:rPr>
            <w:noProof/>
          </w:rPr>
          <w:t>3</w:t>
        </w:r>
      </w:fldSimple>
      <w:r>
        <w:noBreakHyphen/>
      </w:r>
      <w:fldSimple w:instr=" SEQ Figure \* ARABIC \s 1 ">
        <w:r w:rsidR="00924C7D">
          <w:rPr>
            <w:noProof/>
          </w:rPr>
          <w:t>6</w:t>
        </w:r>
      </w:fldSimple>
      <w:bookmarkEnd w:id="127"/>
      <w:r>
        <w:rPr>
          <w:noProof/>
        </w:rPr>
        <w:t xml:space="preserve"> </w:t>
      </w:r>
      <w:r w:rsidRPr="00536C1A">
        <w:rPr>
          <w:b w:val="0"/>
          <w:noProof/>
        </w:rPr>
        <w:t>Wire representation of the fluid mesh to observe the adaptation of the element size towards the scaffold.</w:t>
      </w:r>
      <w:bookmarkEnd w:id="128"/>
      <w:bookmarkEnd w:id="129"/>
    </w:p>
    <w:p w:rsidR="005D1052" w:rsidRPr="00C622D6" w:rsidRDefault="005D1052" w:rsidP="005D1052">
      <w:pPr>
        <w:pStyle w:val="Heading3"/>
      </w:pPr>
      <w:bookmarkStart w:id="130" w:name="_Toc310605599"/>
      <w:bookmarkStart w:id="131" w:name="_Toc310605894"/>
      <w:bookmarkStart w:id="132" w:name="_Ref312158908"/>
      <w:bookmarkStart w:id="133" w:name="_Ref312179680"/>
      <w:bookmarkStart w:id="134" w:name="_Toc440823199"/>
      <w:r w:rsidRPr="00C622D6">
        <w:t xml:space="preserve">CFD </w:t>
      </w:r>
      <w:r>
        <w:t xml:space="preserve">model setup and </w:t>
      </w:r>
      <w:bookmarkEnd w:id="130"/>
      <w:bookmarkEnd w:id="131"/>
      <w:bookmarkEnd w:id="132"/>
      <w:r>
        <w:t>simulations</w:t>
      </w:r>
      <w:bookmarkEnd w:id="133"/>
      <w:bookmarkEnd w:id="134"/>
    </w:p>
    <w:p w:rsidR="005D1052" w:rsidRDefault="005D1052" w:rsidP="005D1052">
      <w:r>
        <w:t xml:space="preserve">The fluid flow was described by the equation of continuity (equation 3-1) and Navier-Stokes (equation 3-2) for incompressible steady flows </w:t>
      </w:r>
      <w:r w:rsidRPr="00810FCA">
        <w:t xml:space="preserve">where </w:t>
      </w:r>
      <w:r w:rsidRPr="00EC0A30">
        <w:rPr>
          <w:rFonts w:ascii="Times New Roman" w:hAnsi="Times New Roman" w:cs="Times New Roman"/>
          <w:i/>
        </w:rPr>
        <w:t>v</w:t>
      </w:r>
      <w:r>
        <w:t xml:space="preserve">, </w:t>
      </w:r>
      <w:r w:rsidRPr="00EC0A30">
        <w:rPr>
          <w:rFonts w:ascii="Times New Roman" w:hAnsi="Times New Roman" w:cs="Times New Roman"/>
          <w:i/>
        </w:rPr>
        <w:t>p</w:t>
      </w:r>
      <w:r>
        <w:rPr>
          <w:rFonts w:ascii="Times New Roman" w:hAnsi="Times New Roman" w:cs="Times New Roman"/>
          <w:i/>
        </w:rPr>
        <w:t xml:space="preserve">, </w:t>
      </w:r>
      <w:r w:rsidRPr="008706A0">
        <w:rPr>
          <w:rFonts w:ascii="Times New Roman" w:hAnsi="Times New Roman" w:cs="Times New Roman"/>
          <w:i/>
        </w:rPr>
        <w:t>ρ</w:t>
      </w:r>
      <w:r w:rsidRPr="008706A0">
        <w:rPr>
          <w:rFonts w:ascii="Times New Roman" w:hAnsi="Times New Roman" w:cs="Times New Roman"/>
        </w:rPr>
        <w:t xml:space="preserve"> </w:t>
      </w:r>
      <w:r w:rsidRPr="00EC0A30">
        <w:rPr>
          <w:rFonts w:ascii="Times New Roman" w:hAnsi="Times New Roman" w:cs="Times New Roman"/>
          <w:i/>
        </w:rPr>
        <w:t>µ</w:t>
      </w:r>
      <w:r w:rsidRPr="008706A0">
        <w:t xml:space="preserve"> </w:t>
      </w:r>
      <w:r>
        <w:t>are the velocity, pressure, density and viscosity of fluid respectively. The equations were</w:t>
      </w:r>
      <w:r w:rsidRPr="00810FCA">
        <w:t xml:space="preserve"> resolved</w:t>
      </w:r>
      <w:r>
        <w:t xml:space="preserve"> using the commercial finite volume method of Ansys Fluent 15.0 (Ansys, Pittsburg, USA). The fluid was modelled as an incompressible Newtonian fluid with a viscosity of 0.001 Pa·s and a density of 1000 kg/m</w:t>
      </w:r>
      <w:r w:rsidRPr="002A0EDE">
        <w:rPr>
          <w:vertAlign w:val="superscript"/>
        </w:rPr>
        <w:t>3</w:t>
      </w:r>
      <w:r>
        <w:t xml:space="preserve">. Steady state conditions were simulated for a laminar fluid flow. </w:t>
      </w:r>
    </w:p>
    <w:p w:rsidR="005D1052" w:rsidRPr="00651F85" w:rsidRDefault="005D1052" w:rsidP="005D1052">
      <w:pPr>
        <w:pStyle w:val="Caption"/>
        <w:spacing w:before="480"/>
        <w:jc w:val="right"/>
      </w:pPr>
      <w:bookmarkStart w:id="135" w:name="_Ref312107890"/>
      <w:r>
        <w:rPr>
          <w:noProof/>
          <w:lang w:eastAsia="en-GB"/>
        </w:rPr>
        <w:drawing>
          <wp:inline distT="0" distB="0" distL="0" distR="0" wp14:anchorId="585475AC" wp14:editId="3B3329F1">
            <wp:extent cx="572770" cy="174625"/>
            <wp:effectExtent l="0" t="0" r="0" b="0"/>
            <wp:docPr id="8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770" cy="174625"/>
                    </a:xfrm>
                    <a:prstGeom prst="rect">
                      <a:avLst/>
                    </a:prstGeom>
                    <a:noFill/>
                    <a:ln>
                      <a:noFill/>
                    </a:ln>
                  </pic:spPr>
                </pic:pic>
              </a:graphicData>
            </a:graphic>
          </wp:inline>
        </w:drawing>
      </w:r>
      <w:bookmarkStart w:id="136" w:name="_Ref438138713"/>
      <w:bookmarkStart w:id="137" w:name="_Toc310621718"/>
      <w:r>
        <w:t xml:space="preserve"> </w:t>
      </w:r>
      <w:r>
        <w:tab/>
      </w:r>
      <w:r>
        <w:tab/>
      </w:r>
      <w:r>
        <w:tab/>
      </w:r>
      <w:r>
        <w:tab/>
      </w:r>
      <w:r>
        <w:tab/>
        <w:t xml:space="preserve">      [</w:t>
      </w:r>
      <w:fldSimple w:instr=" STYLEREF 1 \s ">
        <w:r w:rsidR="00924C7D">
          <w:rPr>
            <w:noProof/>
          </w:rPr>
          <w:t>3</w:t>
        </w:r>
      </w:fldSimple>
      <w:r>
        <w:noBreakHyphen/>
      </w:r>
      <w:fldSimple w:instr=" SEQ Equation \* ARABIC \s 1 ">
        <w:r w:rsidR="00924C7D">
          <w:rPr>
            <w:noProof/>
          </w:rPr>
          <w:t>1</w:t>
        </w:r>
      </w:fldSimple>
      <w:bookmarkEnd w:id="135"/>
      <w:bookmarkEnd w:id="136"/>
      <w:r>
        <w:rPr>
          <w:noProof/>
        </w:rPr>
        <w:t>]</w:t>
      </w:r>
      <w:bookmarkEnd w:id="137"/>
    </w:p>
    <w:bookmarkStart w:id="138" w:name="_Ref312108018"/>
    <w:bookmarkStart w:id="139" w:name="_Ref438138719"/>
    <w:bookmarkStart w:id="140" w:name="_Toc310621719"/>
    <w:p w:rsidR="005D1052" w:rsidRPr="00651F85" w:rsidRDefault="005D1052" w:rsidP="005D1052">
      <w:pPr>
        <w:pStyle w:val="Caption"/>
        <w:jc w:val="right"/>
      </w:pPr>
      <w:r w:rsidRPr="00FA5AB2">
        <w:rPr>
          <w:position w:val="-28"/>
        </w:rPr>
        <w:object w:dxaOrig="192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75pt;height:33pt" o:ole="">
            <v:imagedata r:id="rId46" o:title=""/>
          </v:shape>
          <o:OLEObject Type="Embed" ProgID="Equation.3" ShapeID="_x0000_i1025" DrawAspect="Content" ObjectID="_1529218008" r:id="rId47"/>
        </w:object>
      </w:r>
      <w:r>
        <w:tab/>
      </w:r>
      <w:r>
        <w:tab/>
      </w:r>
      <w:r>
        <w:tab/>
      </w:r>
      <w:r>
        <w:tab/>
      </w:r>
      <w:r>
        <w:tab/>
        <w:t xml:space="preserve"> [</w:t>
      </w:r>
      <w:fldSimple w:instr=" STYLEREF 1 \s ">
        <w:r w:rsidR="00924C7D">
          <w:rPr>
            <w:noProof/>
          </w:rPr>
          <w:t>3</w:t>
        </w:r>
      </w:fldSimple>
      <w:r>
        <w:noBreakHyphen/>
      </w:r>
      <w:fldSimple w:instr=" SEQ Equation \* ARABIC \s 1 ">
        <w:r w:rsidR="00924C7D">
          <w:rPr>
            <w:noProof/>
          </w:rPr>
          <w:t>2</w:t>
        </w:r>
      </w:fldSimple>
      <w:bookmarkEnd w:id="138"/>
      <w:bookmarkEnd w:id="139"/>
      <w:r>
        <w:rPr>
          <w:noProof/>
        </w:rPr>
        <w:t>]</w:t>
      </w:r>
      <w:bookmarkEnd w:id="140"/>
    </w:p>
    <w:p w:rsidR="005D1052" w:rsidRDefault="005D1052" w:rsidP="005D1052">
      <w:r>
        <w:t>An average velocity of 1mm/s was applied at the inlet with a 3D parabolic profile to ensure that the fluid flow was fully developed at the scaffold entrance. The parabolic profile was described in a User Defined Function (UDF) written in the programming language C++. The UDF was interpreted in Fluent and hooked at the inlet boundary. Zero pressure was applied at the outlet of the cylinder and non-slip wall condition was modelled at the cylinder and scaffold surfaces.</w:t>
      </w:r>
    </w:p>
    <w:p w:rsidR="005D1052" w:rsidRDefault="005D1052" w:rsidP="005D1052">
      <w:r>
        <w:t xml:space="preserve">For the numerical calculations, the Fluent </w:t>
      </w:r>
      <w:r w:rsidRPr="001B7CA9">
        <w:t>pressure-based coupled solver</w:t>
      </w:r>
      <w:r>
        <w:t xml:space="preserve"> was selected where the continuity and momentum equations are solved simultaneously. The second order upwind scheme was applied for the interpolation of the momentum and pressure variables. For spatial discretization the gradient least square cell based method was selected. Non-convergence criterion was imposed for the residuals so the numerical solution progressed until it reached a plateau.</w:t>
      </w:r>
    </w:p>
    <w:p w:rsidR="005D1052" w:rsidRDefault="005D1052" w:rsidP="005D1052">
      <w:r>
        <w:t xml:space="preserve">A benchmark study of the computational model was carried out on a supercomputer (Iceberg, University of Sheffield). Serial and parallel calculations were performed to select the most cost-effective computational set-up to resolve the presented CFD </w:t>
      </w:r>
      <w:r w:rsidRPr="004B55F4">
        <w:t xml:space="preserve">model (see results in section </w:t>
      </w:r>
      <w:r w:rsidRPr="004B55F4">
        <w:fldChar w:fldCharType="begin"/>
      </w:r>
      <w:r w:rsidRPr="004B55F4">
        <w:instrText xml:space="preserve"> REF _Ref312108127 \r \h </w:instrText>
      </w:r>
      <w:r w:rsidRPr="004B55F4">
        <w:fldChar w:fldCharType="separate"/>
      </w:r>
      <w:r w:rsidR="00924C7D">
        <w:t>3.3.4</w:t>
      </w:r>
      <w:r w:rsidRPr="004B55F4">
        <w:fldChar w:fldCharType="end"/>
      </w:r>
      <w:r w:rsidRPr="004B55F4">
        <w:t>). Finally</w:t>
      </w:r>
      <w:r>
        <w:t xml:space="preserve"> </w:t>
      </w:r>
      <w:r w:rsidRPr="002114B1">
        <w:t>8 partitions were selected in a node with 16 cores and 8 memory channels</w:t>
      </w:r>
      <w:r>
        <w:t>. The mesh was partitioned to assign one mesh part per machine core in order to speed-up the numerical calculations.</w:t>
      </w:r>
    </w:p>
    <w:p w:rsidR="005D1052" w:rsidRDefault="005D1052" w:rsidP="005D1052">
      <w:pPr>
        <w:pStyle w:val="Heading4"/>
      </w:pPr>
      <w:bookmarkStart w:id="141" w:name="_Toc440823200"/>
      <w:r w:rsidRPr="00451769">
        <w:t>CFD post-</w:t>
      </w:r>
      <w:r w:rsidRPr="00C622D6">
        <w:t>processing</w:t>
      </w:r>
      <w:bookmarkEnd w:id="141"/>
    </w:p>
    <w:p w:rsidR="005D1052" w:rsidRDefault="005D1052" w:rsidP="005D1052">
      <w:r>
        <w:t xml:space="preserve">The data solution from the CFD simulations was first analysed in CFD-post Ansys. Velocity and WSS data were extracted at the pore level in all the scaffolds and exported in Excel (Microsoft Office). The collected data were organised by scaffold layers using an in house Matlab </w:t>
      </w:r>
      <w:r w:rsidRPr="00D548A0">
        <w:t>(Natick, Massachuset</w:t>
      </w:r>
      <w:r>
        <w:t>ts, The MathWorks</w:t>
      </w:r>
      <w:r w:rsidRPr="00D548A0">
        <w:t xml:space="preserve"> Inc</w:t>
      </w:r>
      <w:r>
        <w:t>.</w:t>
      </w:r>
      <w:r w:rsidRPr="00D548A0">
        <w:t>)</w:t>
      </w:r>
      <w:r>
        <w:t xml:space="preserve"> code. Once the data were organised according to scaffold locations, 3D contours of velocity and WSS values were </w:t>
      </w:r>
      <w:r>
        <w:lastRenderedPageBreak/>
        <w:t xml:space="preserve">plotted to characterize the fluid flow inside the scaffold at different </w:t>
      </w:r>
      <w:r w:rsidRPr="00AF4E4C">
        <w:t xml:space="preserve">layers (see </w:t>
      </w:r>
      <w:r w:rsidRPr="00AF4E4C">
        <w:fldChar w:fldCharType="begin"/>
      </w:r>
      <w:r w:rsidRPr="00AF4E4C">
        <w:instrText xml:space="preserve"> REF _Ref312108219 \h </w:instrText>
      </w:r>
      <w:r w:rsidRPr="00AF4E4C">
        <w:fldChar w:fldCharType="separate"/>
      </w:r>
      <w:r w:rsidR="00924C7D" w:rsidRPr="00E0085C">
        <w:t xml:space="preserve">Figure </w:t>
      </w:r>
      <w:r w:rsidR="00924C7D">
        <w:rPr>
          <w:noProof/>
        </w:rPr>
        <w:t>3</w:t>
      </w:r>
      <w:r w:rsidR="00924C7D">
        <w:noBreakHyphen/>
      </w:r>
      <w:r w:rsidR="00924C7D">
        <w:rPr>
          <w:noProof/>
        </w:rPr>
        <w:t>7</w:t>
      </w:r>
      <w:r w:rsidRPr="00AF4E4C">
        <w:fldChar w:fldCharType="end"/>
      </w:r>
      <w:r w:rsidRPr="00AF4E4C">
        <w:t xml:space="preserve">). These 3D plots allow the comparison of the fluid flow conditions of all the scaffolds at the same location within the pore level (see </w:t>
      </w:r>
      <w:r w:rsidRPr="00AF4E4C">
        <w:fldChar w:fldCharType="begin"/>
      </w:r>
      <w:r w:rsidRPr="00AF4E4C">
        <w:instrText xml:space="preserve"> REF _Ref312108236 \h </w:instrText>
      </w:r>
      <w:r w:rsidRPr="00AF4E4C">
        <w:fldChar w:fldCharType="separate"/>
      </w:r>
      <w:r w:rsidR="00924C7D">
        <w:t xml:space="preserve">Figure </w:t>
      </w:r>
      <w:r w:rsidR="00924C7D">
        <w:rPr>
          <w:noProof/>
        </w:rPr>
        <w:t>3</w:t>
      </w:r>
      <w:r w:rsidR="00924C7D">
        <w:noBreakHyphen/>
      </w:r>
      <w:r w:rsidR="00924C7D">
        <w:rPr>
          <w:noProof/>
        </w:rPr>
        <w:t>8</w:t>
      </w:r>
      <w:r w:rsidRPr="00AF4E4C">
        <w:fldChar w:fldCharType="end"/>
      </w:r>
      <w:r w:rsidRPr="00AF4E4C">
        <w:t>). In addition, diagrams of frequency bars were plotted to see quantitatively</w:t>
      </w:r>
      <w:r>
        <w:t xml:space="preserve"> the number of times a velocity or shear stress value is repeated in each scaffold at specific regions and compare these frequencies among scaffolds.</w:t>
      </w:r>
    </w:p>
    <w:p w:rsidR="005D1052" w:rsidRDefault="005D1052" w:rsidP="005D1052"/>
    <w:p w:rsidR="005D1052" w:rsidRDefault="005D1052" w:rsidP="005D1052"/>
    <w:p w:rsidR="005D1052" w:rsidRDefault="005D1052" w:rsidP="005D1052">
      <w:pPr>
        <w:spacing w:before="480"/>
        <w:ind w:firstLine="0"/>
      </w:pPr>
      <w:r>
        <w:rPr>
          <w:noProof/>
          <w:lang w:eastAsia="en-GB"/>
        </w:rPr>
        <w:drawing>
          <wp:inline distT="0" distB="0" distL="0" distR="0" wp14:anchorId="34DCCFF4" wp14:editId="16228F79">
            <wp:extent cx="5577811" cy="3447876"/>
            <wp:effectExtent l="0" t="0" r="444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jpg"/>
                    <pic:cNvPicPr/>
                  </pic:nvPicPr>
                  <pic:blipFill rotWithShape="1">
                    <a:blip r:embed="rId48">
                      <a:extLst>
                        <a:ext uri="{28A0092B-C50C-407E-A947-70E740481C1C}">
                          <a14:useLocalDpi xmlns:a14="http://schemas.microsoft.com/office/drawing/2010/main" val="0"/>
                        </a:ext>
                      </a:extLst>
                    </a:blip>
                    <a:srcRect r="10077"/>
                    <a:stretch/>
                  </pic:blipFill>
                  <pic:spPr bwMode="auto">
                    <a:xfrm>
                      <a:off x="0" y="0"/>
                      <a:ext cx="5601225" cy="3462349"/>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A423CA" w:rsidRDefault="005D1052" w:rsidP="005D1052">
      <w:pPr>
        <w:pStyle w:val="Caption"/>
        <w:rPr>
          <w:b w:val="0"/>
          <w:noProof/>
        </w:rPr>
      </w:pPr>
      <w:bookmarkStart w:id="142" w:name="_Ref312108219"/>
      <w:bookmarkStart w:id="143" w:name="_Toc438590801"/>
      <w:bookmarkStart w:id="144" w:name="_Toc445718807"/>
      <w:r w:rsidRPr="00E0085C">
        <w:t xml:space="preserve">Figure </w:t>
      </w:r>
      <w:fldSimple w:instr=" STYLEREF 1 \s ">
        <w:r w:rsidR="00924C7D">
          <w:rPr>
            <w:noProof/>
          </w:rPr>
          <w:t>3</w:t>
        </w:r>
      </w:fldSimple>
      <w:r>
        <w:noBreakHyphen/>
      </w:r>
      <w:fldSimple w:instr=" SEQ Figure \* ARABIC \s 1 ">
        <w:r w:rsidR="00924C7D">
          <w:rPr>
            <w:noProof/>
          </w:rPr>
          <w:t>7</w:t>
        </w:r>
      </w:fldSimple>
      <w:bookmarkEnd w:id="142"/>
      <w:r>
        <w:rPr>
          <w:noProof/>
        </w:rPr>
        <w:t xml:space="preserve"> </w:t>
      </w:r>
      <w:r w:rsidRPr="00A423CA">
        <w:rPr>
          <w:b w:val="0"/>
          <w:noProof/>
        </w:rPr>
        <w:t>The local velocity (a) and WSS (b) values extracted in CFD-Post and then arranged and plotted by layers with a Matlab code.</w:t>
      </w:r>
      <w:bookmarkEnd w:id="143"/>
      <w:bookmarkEnd w:id="144"/>
    </w:p>
    <w:p w:rsidR="005D1052" w:rsidRDefault="005D1052" w:rsidP="005D1052">
      <w:pPr>
        <w:keepNext/>
        <w:ind w:firstLine="0"/>
      </w:pPr>
    </w:p>
    <w:p w:rsidR="005D1052" w:rsidRDefault="005D1052" w:rsidP="005D1052">
      <w:pPr>
        <w:keepNext/>
        <w:ind w:firstLine="0"/>
      </w:pPr>
      <w:r>
        <w:rPr>
          <w:noProof/>
          <w:lang w:eastAsia="en-GB"/>
        </w:rPr>
        <w:drawing>
          <wp:inline distT="0" distB="0" distL="0" distR="0" wp14:anchorId="46E6C18A" wp14:editId="1D9BA7E5">
            <wp:extent cx="5554628" cy="4594578"/>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s.png"/>
                    <pic:cNvPicPr/>
                  </pic:nvPicPr>
                  <pic:blipFill>
                    <a:blip r:embed="rId49">
                      <a:extLst>
                        <a:ext uri="{28A0092B-C50C-407E-A947-70E740481C1C}">
                          <a14:useLocalDpi xmlns:a14="http://schemas.microsoft.com/office/drawing/2010/main" val="0"/>
                        </a:ext>
                      </a:extLst>
                    </a:blip>
                    <a:stretch>
                      <a:fillRect/>
                    </a:stretch>
                  </pic:blipFill>
                  <pic:spPr>
                    <a:xfrm>
                      <a:off x="0" y="0"/>
                      <a:ext cx="5579029" cy="4614762"/>
                    </a:xfrm>
                    <a:prstGeom prst="rect">
                      <a:avLst/>
                    </a:prstGeom>
                  </pic:spPr>
                </pic:pic>
              </a:graphicData>
            </a:graphic>
          </wp:inline>
        </w:drawing>
      </w:r>
    </w:p>
    <w:p w:rsidR="005D1052" w:rsidRPr="00EE20FB" w:rsidRDefault="005D1052" w:rsidP="005D1052">
      <w:pPr>
        <w:pStyle w:val="Caption"/>
        <w:rPr>
          <w:b w:val="0"/>
        </w:rPr>
      </w:pPr>
      <w:bookmarkStart w:id="145" w:name="_Ref312108236"/>
      <w:bookmarkStart w:id="146" w:name="_Toc438590802"/>
      <w:bookmarkStart w:id="147" w:name="_Toc445718808"/>
      <w:r>
        <w:t xml:space="preserve">Figure </w:t>
      </w:r>
      <w:fldSimple w:instr=" STYLEREF 1 \s ">
        <w:r w:rsidR="00924C7D">
          <w:rPr>
            <w:noProof/>
          </w:rPr>
          <w:t>3</w:t>
        </w:r>
      </w:fldSimple>
      <w:r>
        <w:noBreakHyphen/>
      </w:r>
      <w:fldSimple w:instr=" SEQ Figure \* ARABIC \s 1 ">
        <w:r w:rsidR="00924C7D">
          <w:rPr>
            <w:noProof/>
          </w:rPr>
          <w:t>8</w:t>
        </w:r>
      </w:fldSimple>
      <w:bookmarkEnd w:id="145"/>
      <w:r>
        <w:t xml:space="preserve"> </w:t>
      </w:r>
      <w:r w:rsidRPr="00A423CA">
        <w:rPr>
          <w:b w:val="0"/>
        </w:rPr>
        <w:t>Velocity profiles extracted from all scaffold levels.</w:t>
      </w:r>
      <w:bookmarkEnd w:id="146"/>
      <w:bookmarkEnd w:id="147"/>
    </w:p>
    <w:p w:rsidR="005D1052" w:rsidRPr="004B2A39" w:rsidRDefault="005D1052" w:rsidP="005D1052">
      <w:pPr>
        <w:pStyle w:val="Heading2"/>
      </w:pPr>
      <w:bookmarkStart w:id="148" w:name="_Toc310605600"/>
      <w:bookmarkStart w:id="149" w:name="_Toc310605895"/>
      <w:bookmarkStart w:id="150" w:name="_Toc440823201"/>
      <w:r w:rsidRPr="004B2A39">
        <w:t>Results</w:t>
      </w:r>
      <w:bookmarkEnd w:id="148"/>
      <w:bookmarkEnd w:id="149"/>
      <w:bookmarkEnd w:id="150"/>
    </w:p>
    <w:p w:rsidR="005D1052" w:rsidRDefault="005D1052" w:rsidP="005D1052">
      <w:pPr>
        <w:pStyle w:val="Heading3"/>
      </w:pPr>
      <w:bookmarkStart w:id="151" w:name="_Toc310605601"/>
      <w:bookmarkStart w:id="152" w:name="_Toc310605896"/>
      <w:bookmarkStart w:id="153" w:name="_Ref312106294"/>
      <w:bookmarkStart w:id="154" w:name="_Toc440823202"/>
      <w:r>
        <w:rPr>
          <w:rFonts w:cs="Times New Roman"/>
        </w:rPr>
        <w:t>µ</w:t>
      </w:r>
      <w:r>
        <w:t>CT sensitivity analysis</w:t>
      </w:r>
      <w:bookmarkEnd w:id="151"/>
      <w:bookmarkEnd w:id="152"/>
      <w:bookmarkEnd w:id="153"/>
      <w:bookmarkEnd w:id="154"/>
    </w:p>
    <w:p w:rsidR="005D1052" w:rsidRDefault="005D1052" w:rsidP="005D1052">
      <w:r>
        <w:t>Decreasing the voxel size from 7x7x7 µm</w:t>
      </w:r>
      <w:r w:rsidRPr="007828AE">
        <w:rPr>
          <w:vertAlign w:val="superscript"/>
        </w:rPr>
        <w:t>3</w:t>
      </w:r>
      <w:r>
        <w:t xml:space="preserve"> results in an increase of the noise background making the reconstruction process more laborious without gaining accuracy as shown in </w:t>
      </w:r>
      <w:r>
        <w:rPr>
          <w:highlight w:val="yellow"/>
        </w:rPr>
        <w:fldChar w:fldCharType="begin"/>
      </w:r>
      <w:r>
        <w:instrText xml:space="preserve"> REF _Ref312105852 \h </w:instrText>
      </w:r>
      <w:r>
        <w:rPr>
          <w:highlight w:val="yellow"/>
        </w:rPr>
      </w:r>
      <w:r>
        <w:rPr>
          <w:highlight w:val="yellow"/>
        </w:rPr>
        <w:fldChar w:fldCharType="separate"/>
      </w:r>
      <w:r w:rsidR="00924C7D" w:rsidRPr="00B74642">
        <w:t xml:space="preserve">Table </w:t>
      </w:r>
      <w:r w:rsidR="00924C7D">
        <w:rPr>
          <w:noProof/>
        </w:rPr>
        <w:t>3</w:t>
      </w:r>
      <w:r w:rsidR="00924C7D">
        <w:noBreakHyphen/>
      </w:r>
      <w:r w:rsidR="00924C7D">
        <w:rPr>
          <w:noProof/>
        </w:rPr>
        <w:t>1</w:t>
      </w:r>
      <w:r>
        <w:rPr>
          <w:highlight w:val="yellow"/>
        </w:rPr>
        <w:fldChar w:fldCharType="end"/>
      </w:r>
      <w:r>
        <w:t>.</w:t>
      </w:r>
    </w:p>
    <w:p w:rsidR="005D1052" w:rsidRPr="00C622D6" w:rsidRDefault="005D1052" w:rsidP="005D1052">
      <w:pPr>
        <w:pStyle w:val="Heading3"/>
      </w:pPr>
      <w:bookmarkStart w:id="155" w:name="_Toc310605602"/>
      <w:bookmarkStart w:id="156" w:name="_Toc310605897"/>
      <w:bookmarkStart w:id="157" w:name="_Ref312106480"/>
      <w:bookmarkStart w:id="158" w:name="_Ref312106484"/>
      <w:bookmarkStart w:id="159" w:name="_Toc440823203"/>
      <w:r w:rsidRPr="00C622D6">
        <w:lastRenderedPageBreak/>
        <w:t>Structural analysis</w:t>
      </w:r>
      <w:bookmarkEnd w:id="155"/>
      <w:bookmarkEnd w:id="156"/>
      <w:bookmarkEnd w:id="157"/>
      <w:bookmarkEnd w:id="158"/>
      <w:bookmarkEnd w:id="159"/>
    </w:p>
    <w:p w:rsidR="005D1052" w:rsidRDefault="005D1052" w:rsidP="005D1052">
      <w:r>
        <w:t xml:space="preserve">The five samples and the CAD scaffold have 100% pore interconnectivity. </w:t>
      </w:r>
      <w:r w:rsidRPr="002226AD">
        <w:t>The</w:t>
      </w:r>
      <w:r>
        <w:t xml:space="preserve"> porosity, surface area and volume values of</w:t>
      </w:r>
      <w:r w:rsidRPr="002226AD">
        <w:t xml:space="preserve"> </w:t>
      </w:r>
      <w:r>
        <w:t xml:space="preserve">the </w:t>
      </w:r>
      <w:r w:rsidRPr="002226AD">
        <w:t xml:space="preserve">five samples and the CAD scaffold </w:t>
      </w:r>
      <w:r>
        <w:t xml:space="preserve">are presented in </w:t>
      </w:r>
      <w:r>
        <w:fldChar w:fldCharType="begin"/>
      </w:r>
      <w:r>
        <w:instrText xml:space="preserve"> REF _Ref312063161 \h </w:instrText>
      </w:r>
      <w:r>
        <w:fldChar w:fldCharType="separate"/>
      </w:r>
      <w:r w:rsidR="00924C7D" w:rsidRPr="008D04DA">
        <w:t xml:space="preserve">Table </w:t>
      </w:r>
      <w:r w:rsidR="00924C7D">
        <w:rPr>
          <w:noProof/>
        </w:rPr>
        <w:t>3</w:t>
      </w:r>
      <w:r w:rsidR="00924C7D">
        <w:noBreakHyphen/>
      </w:r>
      <w:r w:rsidR="00924C7D">
        <w:rPr>
          <w:noProof/>
        </w:rPr>
        <w:t>2</w:t>
      </w:r>
      <w:r>
        <w:fldChar w:fldCharType="end"/>
      </w:r>
      <w:r w:rsidRPr="00E464D9">
        <w:t>.</w:t>
      </w:r>
      <w:r>
        <w:t xml:space="preserve"> The porosity of the five samples is 45.4 </w:t>
      </w:r>
      <w:r w:rsidRPr="00E2240E">
        <w:t>±</w:t>
      </w:r>
      <w:r>
        <w:t xml:space="preserve"> 5.5 %, the surface area is 206.4 </w:t>
      </w:r>
      <w:r>
        <w:rPr>
          <w:rFonts w:ascii="Calibri" w:hAnsi="Calibri"/>
        </w:rPr>
        <w:t>± 12.54 mm</w:t>
      </w:r>
      <w:r w:rsidRPr="00E2240E">
        <w:rPr>
          <w:rFonts w:ascii="Calibri" w:hAnsi="Calibri"/>
          <w:vertAlign w:val="superscript"/>
        </w:rPr>
        <w:t>2</w:t>
      </w:r>
      <w:r>
        <w:rPr>
          <w:rFonts w:ascii="Calibri" w:hAnsi="Calibri"/>
        </w:rPr>
        <w:t xml:space="preserve"> and the volume is 16.1 ± 1.32 mm</w:t>
      </w:r>
      <w:r w:rsidRPr="00E2240E">
        <w:rPr>
          <w:rFonts w:ascii="Calibri" w:hAnsi="Calibri"/>
          <w:vertAlign w:val="superscript"/>
        </w:rPr>
        <w:t>3</w:t>
      </w:r>
      <w:r>
        <w:rPr>
          <w:rFonts w:ascii="Calibri" w:hAnsi="Calibri"/>
        </w:rPr>
        <w:t xml:space="preserve">. </w:t>
      </w:r>
      <w:r>
        <w:t>On the other hand, the deviation of these mean values from the CAD scaffold in terms of porosity, surface area and volume are 0.6, 16.4 and 2.4 respectively.</w:t>
      </w:r>
      <w:r w:rsidRPr="006F3EBD">
        <w:t xml:space="preserve"> </w:t>
      </w:r>
      <w:r>
        <w:t>The surface area and volume of the CAD scaffold are smaller than the five fabricated samples.</w:t>
      </w:r>
    </w:p>
    <w:p w:rsidR="005D1052" w:rsidRDefault="005D1052" w:rsidP="005D1052"/>
    <w:p w:rsidR="005D1052" w:rsidRDefault="005D1052" w:rsidP="005D1052">
      <w:pPr>
        <w:ind w:firstLine="0"/>
        <w:jc w:val="center"/>
      </w:pPr>
      <w:r>
        <w:rPr>
          <w:noProof/>
          <w:lang w:eastAsia="en-GB"/>
        </w:rPr>
        <w:drawing>
          <wp:inline distT="0" distB="0" distL="0" distR="0" wp14:anchorId="7784D115" wp14:editId="3D560B1D">
            <wp:extent cx="3221181" cy="19842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xel size.png"/>
                    <pic:cNvPicPr/>
                  </pic:nvPicPr>
                  <pic:blipFill>
                    <a:blip r:embed="rId50">
                      <a:extLst>
                        <a:ext uri="{28A0092B-C50C-407E-A947-70E740481C1C}">
                          <a14:useLocalDpi xmlns:a14="http://schemas.microsoft.com/office/drawing/2010/main" val="0"/>
                        </a:ext>
                      </a:extLst>
                    </a:blip>
                    <a:stretch>
                      <a:fillRect/>
                    </a:stretch>
                  </pic:blipFill>
                  <pic:spPr>
                    <a:xfrm>
                      <a:off x="0" y="0"/>
                      <a:ext cx="3240658" cy="1996246"/>
                    </a:xfrm>
                    <a:prstGeom prst="rect">
                      <a:avLst/>
                    </a:prstGeom>
                  </pic:spPr>
                </pic:pic>
              </a:graphicData>
            </a:graphic>
          </wp:inline>
        </w:drawing>
      </w:r>
    </w:p>
    <w:p w:rsidR="005D1052" w:rsidRPr="00A423CA" w:rsidRDefault="005D1052" w:rsidP="005D1052">
      <w:pPr>
        <w:pStyle w:val="Caption"/>
        <w:rPr>
          <w:b w:val="0"/>
        </w:rPr>
      </w:pPr>
      <w:bookmarkStart w:id="160" w:name="_Ref312105852"/>
      <w:bookmarkStart w:id="161" w:name="_Toc440822951"/>
      <w:r w:rsidRPr="00B74642">
        <w:t xml:space="preserve">Table </w:t>
      </w:r>
      <w:fldSimple w:instr=" STYLEREF 1 \s ">
        <w:r w:rsidR="00924C7D">
          <w:rPr>
            <w:noProof/>
          </w:rPr>
          <w:t>3</w:t>
        </w:r>
      </w:fldSimple>
      <w:r>
        <w:noBreakHyphen/>
      </w:r>
      <w:fldSimple w:instr=" SEQ Table \* ARABIC \s 1 ">
        <w:r w:rsidR="00924C7D">
          <w:rPr>
            <w:noProof/>
          </w:rPr>
          <w:t>1</w:t>
        </w:r>
      </w:fldSimple>
      <w:bookmarkEnd w:id="160"/>
      <w:r>
        <w:rPr>
          <w:noProof/>
        </w:rPr>
        <w:t xml:space="preserve"> </w:t>
      </w:r>
      <w:r w:rsidRPr="00A423CA">
        <w:rPr>
          <w:b w:val="0"/>
          <w:noProof/>
        </w:rPr>
        <w:t>Sensitivity analysis results of the effect of the voxel size on scaffold surface area and volume.</w:t>
      </w:r>
      <w:bookmarkEnd w:id="161"/>
      <w:r w:rsidRPr="00A423CA">
        <w:rPr>
          <w:b w:val="0"/>
          <w:noProof/>
        </w:rPr>
        <w:t xml:space="preserve"> </w:t>
      </w:r>
    </w:p>
    <w:p w:rsidR="005D1052" w:rsidRDefault="005D1052" w:rsidP="005D1052">
      <w:pPr>
        <w:spacing w:after="120"/>
      </w:pPr>
      <w:r>
        <w:t xml:space="preserve">Other important structural aspects are the fibre diameter and fibre spacing that will determine the final pore geometry and size. The fibre diameter and spacing of the five </w:t>
      </w:r>
      <w:r>
        <w:rPr>
          <w:rFonts w:ascii="Times New Roman" w:hAnsi="Times New Roman" w:cs="Times New Roman"/>
        </w:rPr>
        <w:t>µ</w:t>
      </w:r>
      <w:r>
        <w:t xml:space="preserve">CT-based samples is 220 </w:t>
      </w:r>
      <w:r w:rsidRPr="00E2240E">
        <w:t>±</w:t>
      </w:r>
      <w:r>
        <w:t xml:space="preserve"> 100 </w:t>
      </w:r>
      <w:r w:rsidRPr="00A55528">
        <w:t>µm</w:t>
      </w:r>
      <w:r>
        <w:t xml:space="preserve"> whereas in the CAD scaffold this value is constant and equal to 300 </w:t>
      </w:r>
      <w:r>
        <w:rPr>
          <w:rFonts w:ascii="Times New Roman" w:hAnsi="Times New Roman" w:cs="Times New Roman"/>
        </w:rPr>
        <w:t>µ</w:t>
      </w:r>
      <w:r>
        <w:t xml:space="preserve">m. The internal distribution of fibres was also investigated; the five samples present a different fibre layout from the CAD scaffold that represents the design arrangement specified by the manufacturer. The </w:t>
      </w:r>
      <w:r w:rsidRPr="00A55528">
        <w:t>µ</w:t>
      </w:r>
      <w:r>
        <w:t xml:space="preserve">CT-reconstructed scaffolds present almost no fibre displacement between the first two alternative layers although there is the expected offset between the last two alternative layers (see </w:t>
      </w:r>
      <w:r>
        <w:rPr>
          <w:highlight w:val="yellow"/>
        </w:rPr>
        <w:fldChar w:fldCharType="begin"/>
      </w:r>
      <w:r>
        <w:instrText xml:space="preserve"> REF _Ref312105931 \h </w:instrText>
      </w:r>
      <w:r>
        <w:rPr>
          <w:highlight w:val="yellow"/>
        </w:rPr>
      </w:r>
      <w:r>
        <w:rPr>
          <w:highlight w:val="yellow"/>
        </w:rPr>
        <w:fldChar w:fldCharType="separate"/>
      </w:r>
      <w:r w:rsidR="00924C7D" w:rsidRPr="008D04DA">
        <w:t xml:space="preserve">Figure </w:t>
      </w:r>
      <w:r w:rsidR="00924C7D">
        <w:rPr>
          <w:noProof/>
        </w:rPr>
        <w:t>3</w:t>
      </w:r>
      <w:r w:rsidR="00924C7D">
        <w:noBreakHyphen/>
      </w:r>
      <w:r w:rsidR="00924C7D">
        <w:rPr>
          <w:noProof/>
        </w:rPr>
        <w:t>9</w:t>
      </w:r>
      <w:r>
        <w:rPr>
          <w:highlight w:val="yellow"/>
        </w:rPr>
        <w:fldChar w:fldCharType="end"/>
      </w:r>
      <w:r>
        <w:t xml:space="preserve">). This </w:t>
      </w:r>
      <w:r>
        <w:lastRenderedPageBreak/>
        <w:t xml:space="preserve">pattern is repeated in all the samples but in one where the pattern is on the contrary as shown in </w:t>
      </w:r>
      <w:r>
        <w:rPr>
          <w:highlight w:val="yellow"/>
        </w:rPr>
        <w:fldChar w:fldCharType="begin"/>
      </w:r>
      <w:r>
        <w:instrText xml:space="preserve"> REF _Ref312105958 \h </w:instrText>
      </w:r>
      <w:r>
        <w:rPr>
          <w:highlight w:val="yellow"/>
        </w:rPr>
      </w:r>
      <w:r>
        <w:rPr>
          <w:highlight w:val="yellow"/>
        </w:rPr>
        <w:fldChar w:fldCharType="separate"/>
      </w:r>
      <w:r w:rsidR="00924C7D">
        <w:t>F</w:t>
      </w:r>
      <w:r w:rsidR="00924C7D" w:rsidRPr="00CB21E6">
        <w:t xml:space="preserve">igure </w:t>
      </w:r>
      <w:r w:rsidR="00924C7D">
        <w:rPr>
          <w:noProof/>
        </w:rPr>
        <w:t>3</w:t>
      </w:r>
      <w:r w:rsidR="00924C7D">
        <w:noBreakHyphen/>
      </w:r>
      <w:r w:rsidR="00924C7D">
        <w:rPr>
          <w:noProof/>
        </w:rPr>
        <w:t>10</w:t>
      </w:r>
      <w:r>
        <w:rPr>
          <w:highlight w:val="yellow"/>
        </w:rPr>
        <w:fldChar w:fldCharType="end"/>
      </w:r>
      <w:r>
        <w:t xml:space="preserve"> (see also </w:t>
      </w:r>
      <w:r>
        <w:fldChar w:fldCharType="begin"/>
      </w:r>
      <w:r>
        <w:instrText xml:space="preserve"> REF _Ref440467723 \h </w:instrText>
      </w:r>
      <w:r>
        <w:fldChar w:fldCharType="separate"/>
      </w:r>
      <w:r w:rsidR="00924C7D">
        <w:t xml:space="preserve">Figure </w:t>
      </w:r>
      <w:r w:rsidR="00924C7D">
        <w:rPr>
          <w:noProof/>
        </w:rPr>
        <w:t>A</w:t>
      </w:r>
      <w:r w:rsidR="00924C7D">
        <w:noBreakHyphen/>
      </w:r>
      <w:r w:rsidR="00924C7D">
        <w:rPr>
          <w:noProof/>
        </w:rPr>
        <w:t>I</w:t>
      </w:r>
      <w:r>
        <w:fldChar w:fldCharType="end"/>
      </w:r>
      <w:r>
        <w:t>). This could be explained by the fact that the sheets of fibres were punched from a different side.</w:t>
      </w:r>
    </w:p>
    <w:p w:rsidR="005D1052" w:rsidRDefault="005D1052" w:rsidP="005D1052">
      <w:pPr>
        <w:spacing w:after="120"/>
      </w:pPr>
    </w:p>
    <w:p w:rsidR="005D1052" w:rsidRDefault="005D1052" w:rsidP="005D1052">
      <w:pPr>
        <w:spacing w:before="120" w:after="0"/>
        <w:ind w:firstLine="0"/>
      </w:pPr>
      <w:r>
        <w:rPr>
          <w:noProof/>
          <w:lang w:eastAsia="en-GB"/>
        </w:rPr>
        <w:drawing>
          <wp:inline distT="0" distB="0" distL="0" distR="0" wp14:anchorId="28F5345F" wp14:editId="61E6FC5F">
            <wp:extent cx="5727700" cy="3795463"/>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27700" cy="3795463"/>
                    </a:xfrm>
                    <a:prstGeom prst="rect">
                      <a:avLst/>
                    </a:prstGeom>
                  </pic:spPr>
                </pic:pic>
              </a:graphicData>
            </a:graphic>
          </wp:inline>
        </w:drawing>
      </w:r>
    </w:p>
    <w:p w:rsidR="005D1052" w:rsidRDefault="005D1052" w:rsidP="005D1052">
      <w:pPr>
        <w:pStyle w:val="Caption"/>
        <w:rPr>
          <w:b w:val="0"/>
        </w:rPr>
      </w:pPr>
      <w:bookmarkStart w:id="162" w:name="_Ref312105931"/>
      <w:bookmarkStart w:id="163" w:name="_Toc438590803"/>
      <w:bookmarkStart w:id="164" w:name="_Toc445718809"/>
      <w:r w:rsidRPr="008D04DA">
        <w:t xml:space="preserve">Figure </w:t>
      </w:r>
      <w:fldSimple w:instr=" STYLEREF 1 \s ">
        <w:r w:rsidR="00924C7D">
          <w:rPr>
            <w:noProof/>
          </w:rPr>
          <w:t>3</w:t>
        </w:r>
      </w:fldSimple>
      <w:r>
        <w:noBreakHyphen/>
      </w:r>
      <w:fldSimple w:instr=" SEQ Figure \* ARABIC \s 1 ">
        <w:r w:rsidR="00924C7D">
          <w:rPr>
            <w:noProof/>
          </w:rPr>
          <w:t>9</w:t>
        </w:r>
      </w:fldSimple>
      <w:bookmarkEnd w:id="162"/>
      <w:r>
        <w:rPr>
          <w:noProof/>
        </w:rPr>
        <w:t xml:space="preserve"> </w:t>
      </w:r>
      <w:r w:rsidRPr="005803DA">
        <w:rPr>
          <w:b w:val="0"/>
          <w:noProof/>
        </w:rPr>
        <w:t xml:space="preserve">Structural comparison between CAD (a) and a </w:t>
      </w:r>
      <w:r w:rsidRPr="005803DA">
        <w:rPr>
          <w:rFonts w:cs="Times New Roman"/>
          <w:b w:val="0"/>
        </w:rPr>
        <w:t>µ</w:t>
      </w:r>
      <w:r w:rsidRPr="005803DA">
        <w:rPr>
          <w:b w:val="0"/>
        </w:rPr>
        <w:t xml:space="preserve">CT-reconstructed scaffold (b). Cross-sections from planes A (i) and B (ii) show the internal spatial arrangement of fibres. The two scaffolds are compared at </w:t>
      </w:r>
      <w:r>
        <w:rPr>
          <w:b w:val="0"/>
        </w:rPr>
        <w:t>all</w:t>
      </w:r>
      <w:r w:rsidRPr="005803DA">
        <w:rPr>
          <w:b w:val="0"/>
        </w:rPr>
        <w:t xml:space="preserve"> layers so the structural limitations of the fabrication process can be identified.</w:t>
      </w:r>
      <w:bookmarkEnd w:id="163"/>
      <w:bookmarkEnd w:id="164"/>
    </w:p>
    <w:p w:rsidR="005D1052" w:rsidRDefault="005D1052" w:rsidP="005D1052">
      <w:r>
        <w:t>In addition, the fibres are overlapping from layer to layer but not with the same depth inside the same sample, so scaffold height in fabricated samples is irregular and can vary from 1 mm up to 1.5 mm</w:t>
      </w:r>
      <w:r w:rsidRPr="003526E5">
        <w:t xml:space="preserve">. </w:t>
      </w:r>
      <w:r>
        <w:t xml:space="preserve">The five samples show a truncated cone shape therefore they have a variable diameter from </w:t>
      </w:r>
      <w:r>
        <w:rPr>
          <w:rFonts w:ascii="Times New Roman" w:hAnsi="Times New Roman" w:cs="Times New Roman"/>
        </w:rPr>
        <w:t>~</w:t>
      </w:r>
      <w:r>
        <w:t xml:space="preserve">5 mm at the bottom layer to </w:t>
      </w:r>
      <w:r>
        <w:rPr>
          <w:rFonts w:ascii="Times New Roman" w:hAnsi="Times New Roman" w:cs="Times New Roman"/>
        </w:rPr>
        <w:t>~</w:t>
      </w:r>
      <w:r>
        <w:t>4.5 mm at the top of the scaffold. This resulting shape can be due to the punching process that also provokes geometrical irregularities at the scaffold side.</w:t>
      </w:r>
    </w:p>
    <w:p w:rsidR="005D1052" w:rsidRPr="002226AD" w:rsidRDefault="005D1052" w:rsidP="005D1052">
      <w:pPr>
        <w:ind w:firstLine="0"/>
        <w:jc w:val="center"/>
      </w:pPr>
      <w:r>
        <w:rPr>
          <w:noProof/>
          <w:lang w:eastAsia="en-GB"/>
        </w:rPr>
        <w:lastRenderedPageBreak/>
        <w:drawing>
          <wp:inline distT="0" distB="0" distL="0" distR="0" wp14:anchorId="756CBCDF" wp14:editId="6796BA95">
            <wp:extent cx="4289778" cy="2531062"/>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2.png"/>
                    <pic:cNvPicPr/>
                  </pic:nvPicPr>
                  <pic:blipFill>
                    <a:blip r:embed="rId52">
                      <a:extLst>
                        <a:ext uri="{28A0092B-C50C-407E-A947-70E740481C1C}">
                          <a14:useLocalDpi xmlns:a14="http://schemas.microsoft.com/office/drawing/2010/main" val="0"/>
                        </a:ext>
                      </a:extLst>
                    </a:blip>
                    <a:stretch>
                      <a:fillRect/>
                    </a:stretch>
                  </pic:blipFill>
                  <pic:spPr>
                    <a:xfrm>
                      <a:off x="0" y="0"/>
                      <a:ext cx="4326478" cy="2552716"/>
                    </a:xfrm>
                    <a:prstGeom prst="rect">
                      <a:avLst/>
                    </a:prstGeom>
                  </pic:spPr>
                </pic:pic>
              </a:graphicData>
            </a:graphic>
          </wp:inline>
        </w:drawing>
      </w:r>
    </w:p>
    <w:p w:rsidR="005D1052" w:rsidRDefault="005D1052" w:rsidP="005D1052">
      <w:pPr>
        <w:pStyle w:val="Caption"/>
        <w:rPr>
          <w:b w:val="0"/>
        </w:rPr>
      </w:pPr>
      <w:bookmarkStart w:id="165" w:name="_Ref312063161"/>
      <w:bookmarkStart w:id="166" w:name="_Toc440822952"/>
      <w:r w:rsidRPr="008D04DA">
        <w:t xml:space="preserve">Table </w:t>
      </w:r>
      <w:fldSimple w:instr=" STYLEREF 1 \s ">
        <w:r w:rsidR="00924C7D">
          <w:rPr>
            <w:noProof/>
          </w:rPr>
          <w:t>3</w:t>
        </w:r>
      </w:fldSimple>
      <w:r>
        <w:noBreakHyphen/>
      </w:r>
      <w:fldSimple w:instr=" SEQ Table \* ARABIC \s 1 ">
        <w:r w:rsidR="00924C7D">
          <w:rPr>
            <w:noProof/>
          </w:rPr>
          <w:t>2</w:t>
        </w:r>
      </w:fldSimple>
      <w:bookmarkEnd w:id="165"/>
      <w:r>
        <w:rPr>
          <w:noProof/>
        </w:rPr>
        <w:t xml:space="preserve"> </w:t>
      </w:r>
      <w:r w:rsidRPr="00420283">
        <w:rPr>
          <w:b w:val="0"/>
          <w:noProof/>
        </w:rPr>
        <w:t xml:space="preserve">Porosity, surface area and volume of the </w:t>
      </w:r>
      <w:r>
        <w:rPr>
          <w:b w:val="0"/>
          <w:noProof/>
        </w:rPr>
        <w:t>five</w:t>
      </w:r>
      <w:r w:rsidRPr="00420283">
        <w:rPr>
          <w:b w:val="0"/>
          <w:noProof/>
        </w:rPr>
        <w:t xml:space="preserve"> </w:t>
      </w:r>
      <w:r w:rsidRPr="00420283">
        <w:rPr>
          <w:rFonts w:cs="Times New Roman"/>
          <w:b w:val="0"/>
        </w:rPr>
        <w:t>µ</w:t>
      </w:r>
      <w:r w:rsidRPr="00420283">
        <w:rPr>
          <w:b w:val="0"/>
        </w:rPr>
        <w:t>CT-based scaffolds and the CAD scaffold.</w:t>
      </w:r>
      <w:bookmarkEnd w:id="166"/>
    </w:p>
    <w:p w:rsidR="005D1052" w:rsidRDefault="005D1052" w:rsidP="005D1052">
      <w:pPr>
        <w:pStyle w:val="Caption"/>
        <w:spacing w:after="240"/>
      </w:pPr>
      <w:r>
        <w:rPr>
          <w:noProof/>
          <w:lang w:eastAsia="en-GB"/>
        </w:rPr>
        <w:drawing>
          <wp:inline distT="0" distB="0" distL="0" distR="0" wp14:anchorId="1C80E4D6" wp14:editId="17D79F24">
            <wp:extent cx="5727238" cy="1424940"/>
            <wp:effectExtent l="0" t="0" r="6985"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27238" cy="1424940"/>
                    </a:xfrm>
                    <a:prstGeom prst="rect">
                      <a:avLst/>
                    </a:prstGeom>
                  </pic:spPr>
                </pic:pic>
              </a:graphicData>
            </a:graphic>
          </wp:inline>
        </w:drawing>
      </w:r>
    </w:p>
    <w:p w:rsidR="005D1052" w:rsidRPr="0002026A" w:rsidRDefault="005D1052" w:rsidP="005D1052">
      <w:pPr>
        <w:pStyle w:val="Caption"/>
        <w:rPr>
          <w:b w:val="0"/>
        </w:rPr>
      </w:pPr>
      <w:bookmarkStart w:id="167" w:name="_Ref312105958"/>
      <w:bookmarkStart w:id="168" w:name="_Toc438590804"/>
      <w:bookmarkStart w:id="169" w:name="_Toc445718810"/>
      <w:r>
        <w:t>F</w:t>
      </w:r>
      <w:r w:rsidRPr="00CB21E6">
        <w:t xml:space="preserve">igure </w:t>
      </w:r>
      <w:fldSimple w:instr=" STYLEREF 1 \s ">
        <w:r w:rsidR="00924C7D">
          <w:rPr>
            <w:noProof/>
          </w:rPr>
          <w:t>3</w:t>
        </w:r>
      </w:fldSimple>
      <w:r>
        <w:noBreakHyphen/>
      </w:r>
      <w:fldSimple w:instr=" SEQ Figure \* ARABIC \s 1 ">
        <w:r w:rsidR="00924C7D">
          <w:rPr>
            <w:noProof/>
          </w:rPr>
          <w:t>10</w:t>
        </w:r>
      </w:fldSimple>
      <w:bookmarkEnd w:id="167"/>
      <w:r>
        <w:rPr>
          <w:noProof/>
        </w:rPr>
        <w:t xml:space="preserve"> </w:t>
      </w:r>
      <w:r>
        <w:rPr>
          <w:b w:val="0"/>
          <w:noProof/>
        </w:rPr>
        <w:t xml:space="preserve">Internal micro-structure shown at the cross-sections specified in </w:t>
      </w:r>
      <w:r w:rsidRPr="0002026A">
        <w:rPr>
          <w:b w:val="0"/>
          <w:noProof/>
        </w:rPr>
        <w:fldChar w:fldCharType="begin"/>
      </w:r>
      <w:r w:rsidRPr="0002026A">
        <w:rPr>
          <w:b w:val="0"/>
          <w:noProof/>
        </w:rPr>
        <w:instrText xml:space="preserve"> REF _Ref312105931 \h  \* MERGEFORMAT </w:instrText>
      </w:r>
      <w:r w:rsidRPr="0002026A">
        <w:rPr>
          <w:b w:val="0"/>
          <w:noProof/>
        </w:rPr>
      </w:r>
      <w:r w:rsidRPr="0002026A">
        <w:rPr>
          <w:b w:val="0"/>
          <w:noProof/>
        </w:rPr>
        <w:fldChar w:fldCharType="separate"/>
      </w:r>
      <w:r w:rsidR="00924C7D" w:rsidRPr="00924C7D">
        <w:rPr>
          <w:b w:val="0"/>
        </w:rPr>
        <w:t xml:space="preserve">Figure </w:t>
      </w:r>
      <w:r w:rsidR="00924C7D" w:rsidRPr="00924C7D">
        <w:rPr>
          <w:b w:val="0"/>
          <w:noProof/>
        </w:rPr>
        <w:t>3</w:t>
      </w:r>
      <w:r w:rsidR="00924C7D" w:rsidRPr="00924C7D">
        <w:rPr>
          <w:b w:val="0"/>
          <w:noProof/>
        </w:rPr>
        <w:noBreakHyphen/>
        <w:t>9</w:t>
      </w:r>
      <w:r w:rsidRPr="0002026A">
        <w:rPr>
          <w:b w:val="0"/>
          <w:noProof/>
        </w:rPr>
        <w:fldChar w:fldCharType="end"/>
      </w:r>
      <w:r>
        <w:rPr>
          <w:b w:val="0"/>
          <w:noProof/>
        </w:rPr>
        <w:t xml:space="preserve"> of the sample with different fibre distribution from the other samples</w:t>
      </w:r>
      <w:r w:rsidRPr="005803DA">
        <w:rPr>
          <w:b w:val="0"/>
        </w:rPr>
        <w:t>.</w:t>
      </w:r>
      <w:bookmarkEnd w:id="168"/>
      <w:bookmarkEnd w:id="169"/>
    </w:p>
    <w:p w:rsidR="005D1052" w:rsidRDefault="005D1052" w:rsidP="005D1052">
      <w:pPr>
        <w:ind w:firstLine="0"/>
        <w:jc w:val="center"/>
      </w:pPr>
      <w:r>
        <w:rPr>
          <w:noProof/>
          <w:lang w:eastAsia="en-GB"/>
        </w:rPr>
        <w:drawing>
          <wp:inline distT="0" distB="0" distL="0" distR="0" wp14:anchorId="4600E0CC" wp14:editId="2ABCDF35">
            <wp:extent cx="2895113" cy="1141228"/>
            <wp:effectExtent l="0" t="0" r="635"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jpg"/>
                    <pic:cNvPicPr/>
                  </pic:nvPicPr>
                  <pic:blipFill rotWithShape="1">
                    <a:blip r:embed="rId54" cstate="print">
                      <a:extLst>
                        <a:ext uri="{28A0092B-C50C-407E-A947-70E740481C1C}">
                          <a14:useLocalDpi xmlns:a14="http://schemas.microsoft.com/office/drawing/2010/main" val="0"/>
                        </a:ext>
                      </a:extLst>
                    </a:blip>
                    <a:srcRect t="22985" b="20269"/>
                    <a:stretch/>
                  </pic:blipFill>
                  <pic:spPr bwMode="auto">
                    <a:xfrm>
                      <a:off x="0" y="0"/>
                      <a:ext cx="2901825" cy="1143874"/>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5803DA" w:rsidRDefault="005D1052" w:rsidP="005D1052">
      <w:pPr>
        <w:pStyle w:val="Caption"/>
        <w:rPr>
          <w:b w:val="0"/>
        </w:rPr>
      </w:pPr>
      <w:bookmarkStart w:id="170" w:name="_Toc438590805"/>
      <w:bookmarkStart w:id="171" w:name="_Toc445718811"/>
      <w:r w:rsidRPr="00552A5F">
        <w:t xml:space="preserve">Figure </w:t>
      </w:r>
      <w:fldSimple w:instr=" STYLEREF 1 \s ">
        <w:r w:rsidR="00924C7D">
          <w:rPr>
            <w:noProof/>
          </w:rPr>
          <w:t>3</w:t>
        </w:r>
      </w:fldSimple>
      <w:r>
        <w:noBreakHyphen/>
      </w:r>
      <w:fldSimple w:instr=" SEQ Figure \* ARABIC \s 1 ">
        <w:r w:rsidR="00924C7D">
          <w:rPr>
            <w:noProof/>
          </w:rPr>
          <w:t>11</w:t>
        </w:r>
      </w:fldSimple>
      <w:r>
        <w:rPr>
          <w:noProof/>
        </w:rPr>
        <w:t xml:space="preserve"> </w:t>
      </w:r>
      <w:r w:rsidRPr="0002026A">
        <w:rPr>
          <w:b w:val="0"/>
          <w:noProof/>
        </w:rPr>
        <w:t xml:space="preserve">Scaffold </w:t>
      </w:r>
      <w:r w:rsidRPr="0002026A">
        <w:rPr>
          <w:b w:val="0"/>
        </w:rPr>
        <w:t>i</w:t>
      </w:r>
      <w:r w:rsidRPr="005803DA">
        <w:rPr>
          <w:b w:val="0"/>
        </w:rPr>
        <w:t>rregularities due to the punching process</w:t>
      </w:r>
      <w:r w:rsidRPr="005803DA">
        <w:rPr>
          <w:b w:val="0"/>
          <w:noProof/>
        </w:rPr>
        <w:t xml:space="preserve"> </w:t>
      </w:r>
      <w:r>
        <w:rPr>
          <w:b w:val="0"/>
          <w:noProof/>
        </w:rPr>
        <w:t>shown in</w:t>
      </w:r>
      <w:r w:rsidRPr="005803DA">
        <w:rPr>
          <w:b w:val="0"/>
          <w:noProof/>
        </w:rPr>
        <w:t xml:space="preserve"> a </w:t>
      </w:r>
      <w:r w:rsidRPr="005803DA">
        <w:rPr>
          <w:rFonts w:cs="Times New Roman"/>
          <w:b w:val="0"/>
        </w:rPr>
        <w:t>µ</w:t>
      </w:r>
      <w:r w:rsidRPr="005803DA">
        <w:rPr>
          <w:b w:val="0"/>
        </w:rPr>
        <w:t>CT-reconstructed scaffold.</w:t>
      </w:r>
      <w:bookmarkEnd w:id="170"/>
      <w:bookmarkEnd w:id="171"/>
    </w:p>
    <w:p w:rsidR="005D1052" w:rsidRPr="00C622D6" w:rsidRDefault="005D1052" w:rsidP="005D1052">
      <w:pPr>
        <w:pStyle w:val="Heading3"/>
      </w:pPr>
      <w:bookmarkStart w:id="172" w:name="_Toc310605603"/>
      <w:bookmarkStart w:id="173" w:name="_Toc310605898"/>
      <w:bookmarkStart w:id="174" w:name="_Ref312106710"/>
      <w:bookmarkStart w:id="175" w:name="_Ref312106715"/>
      <w:bookmarkStart w:id="176" w:name="_Toc440823204"/>
      <w:r>
        <w:lastRenderedPageBreak/>
        <w:t>Mesh independence</w:t>
      </w:r>
      <w:r w:rsidRPr="00C622D6">
        <w:t xml:space="preserve"> test</w:t>
      </w:r>
      <w:bookmarkEnd w:id="172"/>
      <w:bookmarkEnd w:id="173"/>
      <w:bookmarkEnd w:id="174"/>
      <w:bookmarkEnd w:id="175"/>
      <w:bookmarkEnd w:id="176"/>
    </w:p>
    <w:p w:rsidR="005D1052" w:rsidRDefault="005D1052" w:rsidP="005D1052">
      <w:r>
        <w:t>The scaffold has a complex internal micro-structure and the size of the tetrahedral mesh elements inside the scaffold is critical for the accurate calculation of the local hydrodynamic conditions at the scaffold pore level. The study of the effect of the grid size inside the scaffold on the local velocities suggests that imposing a maximum length for the triangular faces of the tetrahedral elements</w:t>
      </w:r>
      <w:r w:rsidRPr="00460623">
        <w:t xml:space="preserve"> </w:t>
      </w:r>
      <w:r w:rsidRPr="004851BB">
        <w:t>of 20 µm</w:t>
      </w:r>
      <w:r>
        <w:t xml:space="preserve"> provides an accurate solution without compromising the computational cost. The results show that increasing the length value from </w:t>
      </w:r>
      <w:r w:rsidRPr="004851BB">
        <w:t>20 µm to 30 µm</w:t>
      </w:r>
      <w:r>
        <w:t xml:space="preserve"> the velocity changes 5% whereas reducing the length down to 10 </w:t>
      </w:r>
      <w:r w:rsidRPr="004851BB">
        <w:t>µm</w:t>
      </w:r>
      <w:r>
        <w:t xml:space="preserve"> the velocity only changes 1% (see Figures 3-12 and 3-13). However, 10 </w:t>
      </w:r>
      <w:r w:rsidRPr="004851BB">
        <w:t>µm</w:t>
      </w:r>
      <w:r>
        <w:t xml:space="preserve"> requires four times the computational time needed for the case of 20 </w:t>
      </w:r>
      <w:r w:rsidRPr="004851BB">
        <w:t>µm</w:t>
      </w:r>
      <w:r>
        <w:t xml:space="preserve"> length as shown in </w:t>
      </w:r>
      <w:r>
        <w:fldChar w:fldCharType="begin"/>
      </w:r>
      <w:r>
        <w:instrText xml:space="preserve"> REF _Ref312106156 \h </w:instrText>
      </w:r>
      <w:r>
        <w:fldChar w:fldCharType="separate"/>
      </w:r>
      <w:r w:rsidR="00924C7D" w:rsidRPr="002B6C3C">
        <w:t xml:space="preserve">Table </w:t>
      </w:r>
      <w:r w:rsidR="00924C7D">
        <w:rPr>
          <w:noProof/>
        </w:rPr>
        <w:t>3</w:t>
      </w:r>
      <w:r w:rsidR="00924C7D">
        <w:noBreakHyphen/>
      </w:r>
      <w:r w:rsidR="00924C7D">
        <w:rPr>
          <w:noProof/>
        </w:rPr>
        <w:t>3</w:t>
      </w:r>
      <w:r>
        <w:fldChar w:fldCharType="end"/>
      </w:r>
      <w:r>
        <w:t>.</w:t>
      </w:r>
    </w:p>
    <w:p w:rsidR="005D1052" w:rsidRDefault="005D1052" w:rsidP="005D1052"/>
    <w:p w:rsidR="005D1052" w:rsidRDefault="005D1052" w:rsidP="005D1052">
      <w:pPr>
        <w:keepNext/>
        <w:spacing w:after="0"/>
        <w:ind w:firstLine="0"/>
        <w:jc w:val="center"/>
      </w:pPr>
      <w:r>
        <w:rPr>
          <w:noProof/>
          <w:lang w:eastAsia="en-GB"/>
        </w:rPr>
        <w:drawing>
          <wp:inline distT="0" distB="0" distL="0" distR="0" wp14:anchorId="2ACBB9B7" wp14:editId="64A06391">
            <wp:extent cx="3365011" cy="2202180"/>
            <wp:effectExtent l="0" t="0" r="698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1.png"/>
                    <pic:cNvPicPr/>
                  </pic:nvPicPr>
                  <pic:blipFill>
                    <a:blip r:embed="rId55">
                      <a:extLst>
                        <a:ext uri="{28A0092B-C50C-407E-A947-70E740481C1C}">
                          <a14:useLocalDpi xmlns:a14="http://schemas.microsoft.com/office/drawing/2010/main" val="0"/>
                        </a:ext>
                      </a:extLst>
                    </a:blip>
                    <a:stretch>
                      <a:fillRect/>
                    </a:stretch>
                  </pic:blipFill>
                  <pic:spPr>
                    <a:xfrm>
                      <a:off x="0" y="0"/>
                      <a:ext cx="3364441" cy="2201807"/>
                    </a:xfrm>
                    <a:prstGeom prst="rect">
                      <a:avLst/>
                    </a:prstGeom>
                  </pic:spPr>
                </pic:pic>
              </a:graphicData>
            </a:graphic>
          </wp:inline>
        </w:drawing>
      </w:r>
    </w:p>
    <w:p w:rsidR="005D1052" w:rsidRDefault="005D1052" w:rsidP="005D1052">
      <w:pPr>
        <w:pStyle w:val="Caption"/>
        <w:rPr>
          <w:b w:val="0"/>
        </w:rPr>
      </w:pPr>
      <w:bookmarkStart w:id="177" w:name="_Ref440562288"/>
      <w:bookmarkStart w:id="178" w:name="_Toc438590806"/>
      <w:bookmarkStart w:id="179" w:name="_Toc445718812"/>
      <w:r>
        <w:t xml:space="preserve">Figure </w:t>
      </w:r>
      <w:fldSimple w:instr=" STYLEREF 1 \s ">
        <w:r w:rsidR="00924C7D">
          <w:rPr>
            <w:noProof/>
          </w:rPr>
          <w:t>3</w:t>
        </w:r>
      </w:fldSimple>
      <w:r>
        <w:noBreakHyphen/>
      </w:r>
      <w:fldSimple w:instr=" SEQ Figure \* ARABIC \s 1 ">
        <w:r w:rsidR="00924C7D">
          <w:rPr>
            <w:noProof/>
          </w:rPr>
          <w:t>12</w:t>
        </w:r>
      </w:fldSimple>
      <w:bookmarkEnd w:id="177"/>
      <w:r>
        <w:t xml:space="preserve"> </w:t>
      </w:r>
      <w:r w:rsidRPr="005803DA">
        <w:rPr>
          <w:b w:val="0"/>
        </w:rPr>
        <w:t>Velocity profile on a scaffold cross-section. Fluid velocity data is extracted from line 1 which crosses a series of scaffold pores.</w:t>
      </w:r>
      <w:bookmarkEnd w:id="178"/>
      <w:bookmarkEnd w:id="179"/>
    </w:p>
    <w:p w:rsidR="005D1052" w:rsidRDefault="005D1052" w:rsidP="005D1052">
      <w:r>
        <w:t>WSS</w:t>
      </w:r>
      <w:r w:rsidRPr="00482D86">
        <w:t xml:space="preserve"> is another variable of interest in this study and the effect of the grid size on the scaffold local values has also been investigated. </w:t>
      </w:r>
      <w:r>
        <w:t>For this, the average WSS at the scaffold surface was measured for each mesh. As a result, i</w:t>
      </w:r>
      <w:r w:rsidRPr="000A0E4C">
        <w:t xml:space="preserve">t was </w:t>
      </w:r>
      <w:r w:rsidRPr="00743CF2">
        <w:t xml:space="preserve">found that the average WSS increases when reducing the element size up </w:t>
      </w:r>
      <w:r w:rsidRPr="002B5A95">
        <w:t>to 30 µm</w:t>
      </w:r>
      <w:r w:rsidRPr="00743CF2">
        <w:t xml:space="preserve"> (see </w:t>
      </w:r>
      <w:r w:rsidRPr="00743CF2">
        <w:fldChar w:fldCharType="begin"/>
      </w:r>
      <w:r w:rsidRPr="00743CF2">
        <w:instrText xml:space="preserve"> REF _Ref312108277 \h </w:instrText>
      </w:r>
      <w:r w:rsidRPr="00743CF2">
        <w:fldChar w:fldCharType="separate"/>
      </w:r>
      <w:r w:rsidR="00924C7D" w:rsidRPr="002B6C3C">
        <w:t xml:space="preserve">Figure </w:t>
      </w:r>
      <w:r w:rsidR="00924C7D">
        <w:rPr>
          <w:noProof/>
        </w:rPr>
        <w:t>3</w:t>
      </w:r>
      <w:r w:rsidR="00924C7D">
        <w:noBreakHyphen/>
      </w:r>
      <w:r w:rsidR="00924C7D">
        <w:rPr>
          <w:noProof/>
        </w:rPr>
        <w:t>14</w:t>
      </w:r>
      <w:r w:rsidRPr="00743CF2">
        <w:fldChar w:fldCharType="end"/>
      </w:r>
      <w:r w:rsidRPr="00743CF2">
        <w:t xml:space="preserve">). The </w:t>
      </w:r>
      <w:r w:rsidRPr="00743CF2">
        <w:lastRenderedPageBreak/>
        <w:t xml:space="preserve">relative change between the </w:t>
      </w:r>
      <w:r w:rsidRPr="002B5A95">
        <w:t>meshes with 20 µm and 30 µm element size is less than 1%. Therefore, the 20 µm element size mesh that converged for the fluid velocity also provides an accurate solution for WSS</w:t>
      </w:r>
      <w:r>
        <w:t xml:space="preserve">. </w:t>
      </w:r>
    </w:p>
    <w:p w:rsidR="005D1052" w:rsidRPr="007624CA" w:rsidRDefault="005D1052" w:rsidP="005D1052"/>
    <w:p w:rsidR="005D1052" w:rsidRDefault="005D1052" w:rsidP="005D1052">
      <w:pPr>
        <w:ind w:firstLine="0"/>
      </w:pPr>
      <w:r>
        <w:rPr>
          <w:noProof/>
          <w:lang w:eastAsia="en-GB"/>
        </w:rPr>
        <w:drawing>
          <wp:inline distT="0" distB="0" distL="0" distR="0" wp14:anchorId="78189374" wp14:editId="61DDCAEA">
            <wp:extent cx="5645960" cy="219223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png"/>
                    <pic:cNvPicPr/>
                  </pic:nvPicPr>
                  <pic:blipFill>
                    <a:blip r:embed="rId56">
                      <a:extLst>
                        <a:ext uri="{28A0092B-C50C-407E-A947-70E740481C1C}">
                          <a14:useLocalDpi xmlns:a14="http://schemas.microsoft.com/office/drawing/2010/main" val="0"/>
                        </a:ext>
                      </a:extLst>
                    </a:blip>
                    <a:stretch>
                      <a:fillRect/>
                    </a:stretch>
                  </pic:blipFill>
                  <pic:spPr>
                    <a:xfrm>
                      <a:off x="0" y="0"/>
                      <a:ext cx="5645960" cy="2192238"/>
                    </a:xfrm>
                    <a:prstGeom prst="rect">
                      <a:avLst/>
                    </a:prstGeom>
                  </pic:spPr>
                </pic:pic>
              </a:graphicData>
            </a:graphic>
          </wp:inline>
        </w:drawing>
      </w:r>
    </w:p>
    <w:p w:rsidR="005D1052" w:rsidRPr="004851BB" w:rsidRDefault="005D1052" w:rsidP="005D1052">
      <w:pPr>
        <w:pStyle w:val="Caption"/>
        <w:rPr>
          <w:b w:val="0"/>
          <w:noProof/>
        </w:rPr>
      </w:pPr>
      <w:bookmarkStart w:id="180" w:name="_Ref312106128"/>
      <w:bookmarkStart w:id="181" w:name="_Toc438590807"/>
      <w:bookmarkStart w:id="182" w:name="_Toc445718813"/>
      <w:r w:rsidRPr="00CB21E6">
        <w:t xml:space="preserve">Figure </w:t>
      </w:r>
      <w:fldSimple w:instr=" STYLEREF 1 \s ">
        <w:r w:rsidR="00924C7D">
          <w:rPr>
            <w:noProof/>
          </w:rPr>
          <w:t>3</w:t>
        </w:r>
      </w:fldSimple>
      <w:r>
        <w:noBreakHyphen/>
      </w:r>
      <w:fldSimple w:instr=" SEQ Figure \* ARABIC \s 1 ">
        <w:r w:rsidR="00924C7D">
          <w:rPr>
            <w:noProof/>
          </w:rPr>
          <w:t>13</w:t>
        </w:r>
      </w:fldSimple>
      <w:bookmarkEnd w:id="180"/>
      <w:r>
        <w:rPr>
          <w:noProof/>
        </w:rPr>
        <w:t xml:space="preserve"> </w:t>
      </w:r>
      <w:r w:rsidRPr="005803DA">
        <w:rPr>
          <w:b w:val="0"/>
          <w:noProof/>
        </w:rPr>
        <w:t xml:space="preserve">Effect of the element size within the scaffold region on the local fluid velocities. The data is extracted </w:t>
      </w:r>
      <w:r>
        <w:rPr>
          <w:b w:val="0"/>
          <w:noProof/>
        </w:rPr>
        <w:t xml:space="preserve">from </w:t>
      </w:r>
      <w:r w:rsidRPr="005803DA">
        <w:rPr>
          <w:b w:val="0"/>
          <w:noProof/>
        </w:rPr>
        <w:t>line 1</w:t>
      </w:r>
      <w:r>
        <w:rPr>
          <w:b w:val="0"/>
          <w:noProof/>
        </w:rPr>
        <w:t xml:space="preserve"> </w:t>
      </w:r>
      <w:r w:rsidRPr="004851BB">
        <w:rPr>
          <w:b w:val="0"/>
          <w:noProof/>
        </w:rPr>
        <w:t xml:space="preserve">shown in </w:t>
      </w:r>
      <w:r w:rsidRPr="004851BB">
        <w:rPr>
          <w:b w:val="0"/>
          <w:noProof/>
        </w:rPr>
        <w:fldChar w:fldCharType="begin"/>
      </w:r>
      <w:r w:rsidRPr="004851BB">
        <w:rPr>
          <w:b w:val="0"/>
          <w:noProof/>
        </w:rPr>
        <w:instrText xml:space="preserve"> REF _Ref440562288 \h  \* MERGEFORMAT </w:instrText>
      </w:r>
      <w:r w:rsidRPr="004851BB">
        <w:rPr>
          <w:b w:val="0"/>
          <w:noProof/>
        </w:rPr>
      </w:r>
      <w:r w:rsidRPr="004851BB">
        <w:rPr>
          <w:b w:val="0"/>
          <w:noProof/>
        </w:rPr>
        <w:fldChar w:fldCharType="separate"/>
      </w:r>
      <w:r w:rsidR="00924C7D" w:rsidRPr="00924C7D">
        <w:rPr>
          <w:b w:val="0"/>
        </w:rPr>
        <w:t xml:space="preserve">Figure </w:t>
      </w:r>
      <w:r w:rsidR="00924C7D" w:rsidRPr="00924C7D">
        <w:rPr>
          <w:b w:val="0"/>
          <w:noProof/>
        </w:rPr>
        <w:t>3</w:t>
      </w:r>
      <w:r w:rsidR="00924C7D" w:rsidRPr="00924C7D">
        <w:rPr>
          <w:b w:val="0"/>
          <w:noProof/>
        </w:rPr>
        <w:noBreakHyphen/>
        <w:t>12</w:t>
      </w:r>
      <w:r w:rsidRPr="004851BB">
        <w:rPr>
          <w:b w:val="0"/>
          <w:noProof/>
        </w:rPr>
        <w:fldChar w:fldCharType="end"/>
      </w:r>
      <w:r w:rsidRPr="004851BB">
        <w:rPr>
          <w:b w:val="0"/>
          <w:noProof/>
        </w:rPr>
        <w:t>.</w:t>
      </w:r>
      <w:bookmarkEnd w:id="181"/>
      <w:bookmarkEnd w:id="182"/>
    </w:p>
    <w:p w:rsidR="005D1052" w:rsidRDefault="005D1052" w:rsidP="005D1052"/>
    <w:p w:rsidR="005D1052" w:rsidRDefault="005D1052" w:rsidP="005D1052">
      <w:pPr>
        <w:spacing w:after="0"/>
        <w:ind w:firstLine="0"/>
        <w:jc w:val="center"/>
      </w:pPr>
      <w:r>
        <w:rPr>
          <w:noProof/>
          <w:lang w:eastAsia="en-GB"/>
        </w:rPr>
        <w:drawing>
          <wp:inline distT="0" distB="0" distL="0" distR="0" wp14:anchorId="14BE63ED" wp14:editId="670C4AAB">
            <wp:extent cx="5381550" cy="2297532"/>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sgridtest.png"/>
                    <pic:cNvPicPr/>
                  </pic:nvPicPr>
                  <pic:blipFill>
                    <a:blip r:embed="rId57">
                      <a:extLst>
                        <a:ext uri="{28A0092B-C50C-407E-A947-70E740481C1C}">
                          <a14:useLocalDpi xmlns:a14="http://schemas.microsoft.com/office/drawing/2010/main" val="0"/>
                        </a:ext>
                      </a:extLst>
                    </a:blip>
                    <a:stretch>
                      <a:fillRect/>
                    </a:stretch>
                  </pic:blipFill>
                  <pic:spPr>
                    <a:xfrm>
                      <a:off x="0" y="0"/>
                      <a:ext cx="5397753" cy="2304450"/>
                    </a:xfrm>
                    <a:prstGeom prst="rect">
                      <a:avLst/>
                    </a:prstGeom>
                  </pic:spPr>
                </pic:pic>
              </a:graphicData>
            </a:graphic>
          </wp:inline>
        </w:drawing>
      </w:r>
    </w:p>
    <w:p w:rsidR="005D1052" w:rsidRDefault="005D1052" w:rsidP="005D1052">
      <w:pPr>
        <w:pStyle w:val="Caption"/>
        <w:rPr>
          <w:b w:val="0"/>
          <w:noProof/>
        </w:rPr>
      </w:pPr>
      <w:bookmarkStart w:id="183" w:name="_Ref312108277"/>
      <w:bookmarkStart w:id="184" w:name="_Toc438590808"/>
      <w:bookmarkStart w:id="185" w:name="_Toc445718814"/>
      <w:r w:rsidRPr="002B6C3C">
        <w:t xml:space="preserve">Figure </w:t>
      </w:r>
      <w:fldSimple w:instr=" STYLEREF 1 \s ">
        <w:r w:rsidR="00924C7D">
          <w:rPr>
            <w:noProof/>
          </w:rPr>
          <w:t>3</w:t>
        </w:r>
      </w:fldSimple>
      <w:r>
        <w:noBreakHyphen/>
      </w:r>
      <w:fldSimple w:instr=" SEQ Figure \* ARABIC \s 1 ">
        <w:r w:rsidR="00924C7D">
          <w:rPr>
            <w:noProof/>
          </w:rPr>
          <w:t>14</w:t>
        </w:r>
      </w:fldSimple>
      <w:bookmarkEnd w:id="183"/>
      <w:r>
        <w:rPr>
          <w:noProof/>
        </w:rPr>
        <w:t xml:space="preserve"> </w:t>
      </w:r>
      <w:r w:rsidRPr="005803DA">
        <w:rPr>
          <w:b w:val="0"/>
          <w:noProof/>
        </w:rPr>
        <w:t>Effect of the element size on the average WSS at the scaffold surface.</w:t>
      </w:r>
      <w:bookmarkEnd w:id="184"/>
      <w:bookmarkEnd w:id="185"/>
    </w:p>
    <w:p w:rsidR="005D1052" w:rsidRPr="007624CA" w:rsidRDefault="005D1052" w:rsidP="005D1052"/>
    <w:p w:rsidR="005D1052" w:rsidRDefault="005D1052" w:rsidP="005D1052">
      <w:pPr>
        <w:spacing w:after="0"/>
        <w:ind w:firstLine="0"/>
        <w:jc w:val="center"/>
      </w:pPr>
      <w:r>
        <w:rPr>
          <w:noProof/>
          <w:lang w:eastAsia="en-GB"/>
        </w:rPr>
        <w:drawing>
          <wp:inline distT="0" distB="0" distL="0" distR="0" wp14:anchorId="5D997E93" wp14:editId="6499C24A">
            <wp:extent cx="3501594" cy="1947554"/>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hsize.png"/>
                    <pic:cNvPicPr/>
                  </pic:nvPicPr>
                  <pic:blipFill rotWithShape="1">
                    <a:blip r:embed="rId58">
                      <a:extLst>
                        <a:ext uri="{28A0092B-C50C-407E-A947-70E740481C1C}">
                          <a14:useLocalDpi xmlns:a14="http://schemas.microsoft.com/office/drawing/2010/main" val="0"/>
                        </a:ext>
                      </a:extLst>
                    </a:blip>
                    <a:srcRect b="6286"/>
                    <a:stretch/>
                  </pic:blipFill>
                  <pic:spPr bwMode="auto">
                    <a:xfrm>
                      <a:off x="0" y="0"/>
                      <a:ext cx="3520710" cy="1958186"/>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5803DA" w:rsidRDefault="005D1052" w:rsidP="005D1052">
      <w:pPr>
        <w:pStyle w:val="Caption"/>
        <w:rPr>
          <w:b w:val="0"/>
        </w:rPr>
      </w:pPr>
      <w:bookmarkStart w:id="186" w:name="_Ref312106156"/>
      <w:bookmarkStart w:id="187" w:name="_Toc440822953"/>
      <w:r w:rsidRPr="002B6C3C">
        <w:t xml:space="preserve">Table </w:t>
      </w:r>
      <w:fldSimple w:instr=" STYLEREF 1 \s ">
        <w:r w:rsidR="00924C7D">
          <w:rPr>
            <w:noProof/>
          </w:rPr>
          <w:t>3</w:t>
        </w:r>
      </w:fldSimple>
      <w:r>
        <w:noBreakHyphen/>
      </w:r>
      <w:fldSimple w:instr=" SEQ Table \* ARABIC \s 1 ">
        <w:r w:rsidR="00924C7D">
          <w:rPr>
            <w:noProof/>
          </w:rPr>
          <w:t>3</w:t>
        </w:r>
      </w:fldSimple>
      <w:bookmarkEnd w:id="186"/>
      <w:r>
        <w:rPr>
          <w:noProof/>
        </w:rPr>
        <w:t xml:space="preserve"> </w:t>
      </w:r>
      <w:r w:rsidRPr="005803DA">
        <w:rPr>
          <w:b w:val="0"/>
          <w:noProof/>
        </w:rPr>
        <w:t>Number of mesh elements and computational time for the five element size</w:t>
      </w:r>
      <w:r>
        <w:rPr>
          <w:b w:val="0"/>
          <w:noProof/>
        </w:rPr>
        <w:t>s</w:t>
      </w:r>
      <w:r w:rsidRPr="005803DA">
        <w:rPr>
          <w:b w:val="0"/>
          <w:noProof/>
        </w:rPr>
        <w:t xml:space="preserve"> invesigated inside the scaffold.</w:t>
      </w:r>
      <w:bookmarkEnd w:id="187"/>
    </w:p>
    <w:p w:rsidR="005D1052" w:rsidRDefault="005D1052" w:rsidP="005D1052">
      <w:r>
        <w:t xml:space="preserve">The effect of the mesh element size outside the scaffold on the local fluid dynamics at the scaffold region has been studied. Two edge lengths outside the scaffold have been tested (1 and 0.1 mm) while maintaining the maximum edge length inside the scaffold </w:t>
      </w:r>
      <w:r w:rsidRPr="002B5A95">
        <w:t>as 20 µm. As</w:t>
      </w:r>
      <w:r>
        <w:t xml:space="preserve"> a result, both meshes provide similar maximum edge length ratios, 5.28 and 6.24 respectively. This is due to the fact that the robust octree meshing method regulates the aspect ratio between adjacent elements thereby smoothing the mesh as long as approaching to the scaffold surface where smaller elements are imposed. The difference between both meshes in terms of velocity values in the scaffold pores is up to 2</w:t>
      </w:r>
      <w:r w:rsidRPr="00743CF2">
        <w:t xml:space="preserve">% (see </w:t>
      </w:r>
      <w:r w:rsidRPr="00743CF2">
        <w:fldChar w:fldCharType="begin"/>
      </w:r>
      <w:r w:rsidRPr="00743CF2">
        <w:instrText xml:space="preserve"> REF _Ref312108469 \h </w:instrText>
      </w:r>
      <w:r w:rsidRPr="00743CF2">
        <w:fldChar w:fldCharType="separate"/>
      </w:r>
      <w:r w:rsidR="00924C7D" w:rsidRPr="00911997">
        <w:t xml:space="preserve">Figure </w:t>
      </w:r>
      <w:r w:rsidR="00924C7D">
        <w:rPr>
          <w:noProof/>
        </w:rPr>
        <w:t>3</w:t>
      </w:r>
      <w:r w:rsidR="00924C7D">
        <w:noBreakHyphen/>
      </w:r>
      <w:r w:rsidR="00924C7D">
        <w:rPr>
          <w:noProof/>
        </w:rPr>
        <w:t>15</w:t>
      </w:r>
      <w:r w:rsidRPr="00743CF2">
        <w:fldChar w:fldCharType="end"/>
      </w:r>
      <w:r w:rsidRPr="00743CF2">
        <w:t>)</w:t>
      </w:r>
      <w:r>
        <w:t xml:space="preserve"> and outside the scaffold (</w:t>
      </w:r>
      <w:r w:rsidRPr="00743CF2">
        <w:t>see</w:t>
      </w:r>
      <w:r>
        <w:t xml:space="preserve"> Figures 3-16 and 3-17</w:t>
      </w:r>
      <w:r w:rsidRPr="00743CF2">
        <w:t>) is</w:t>
      </w:r>
      <w:r>
        <w:t xml:space="preserve"> up to 4 %. The final edge length allowed outside the scaffold was 1 mm that results in a mesh that can provide accurate results in the region of interest that is the scaffold as well as </w:t>
      </w:r>
      <w:r w:rsidRPr="00304B05">
        <w:t>performing effectively</w:t>
      </w:r>
      <w:r>
        <w:rPr>
          <w:b/>
        </w:rPr>
        <w:t xml:space="preserve"> </w:t>
      </w:r>
      <w:r w:rsidRPr="00304B05">
        <w:t xml:space="preserve">in the computational simulations as shown in </w:t>
      </w:r>
      <w:r>
        <w:fldChar w:fldCharType="begin"/>
      </w:r>
      <w:r>
        <w:instrText xml:space="preserve"> REF _Ref312108531 \h </w:instrText>
      </w:r>
      <w:r>
        <w:fldChar w:fldCharType="separate"/>
      </w:r>
      <w:r w:rsidR="00924C7D" w:rsidRPr="00911997">
        <w:t xml:space="preserve">Table </w:t>
      </w:r>
      <w:r w:rsidR="00924C7D">
        <w:rPr>
          <w:noProof/>
        </w:rPr>
        <w:t>3</w:t>
      </w:r>
      <w:r w:rsidR="00924C7D">
        <w:noBreakHyphen/>
      </w:r>
      <w:r w:rsidR="00924C7D">
        <w:rPr>
          <w:noProof/>
        </w:rPr>
        <w:t>4</w:t>
      </w:r>
      <w:r>
        <w:fldChar w:fldCharType="end"/>
      </w:r>
      <w:r w:rsidRPr="00743CF2">
        <w:t>.</w:t>
      </w:r>
      <w:r w:rsidRPr="00304B05">
        <w:t xml:space="preserve"> </w:t>
      </w:r>
    </w:p>
    <w:p w:rsidR="005D1052" w:rsidRDefault="005D1052" w:rsidP="005D1052">
      <w:pPr>
        <w:spacing w:after="0"/>
        <w:ind w:firstLine="0"/>
        <w:jc w:val="center"/>
      </w:pPr>
    </w:p>
    <w:p w:rsidR="005D1052" w:rsidRDefault="005D1052" w:rsidP="005D1052">
      <w:pPr>
        <w:keepNext/>
        <w:ind w:firstLine="0"/>
        <w:jc w:val="center"/>
      </w:pPr>
    </w:p>
    <w:p w:rsidR="005D1052" w:rsidRDefault="005D1052" w:rsidP="005D1052"/>
    <w:p w:rsidR="005D1052" w:rsidRPr="007766DB" w:rsidRDefault="005D1052" w:rsidP="005D1052"/>
    <w:p w:rsidR="005D1052" w:rsidRDefault="005D1052" w:rsidP="005D1052">
      <w:pPr>
        <w:spacing w:after="0"/>
        <w:ind w:firstLine="0"/>
        <w:jc w:val="center"/>
      </w:pPr>
      <w:r>
        <w:rPr>
          <w:noProof/>
          <w:lang w:eastAsia="en-GB"/>
        </w:rPr>
        <w:lastRenderedPageBreak/>
        <w:drawing>
          <wp:inline distT="0" distB="0" distL="0" distR="0" wp14:anchorId="79BF7881" wp14:editId="417EF515">
            <wp:extent cx="5421086" cy="2085765"/>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al.png"/>
                    <pic:cNvPicPr/>
                  </pic:nvPicPr>
                  <pic:blipFill rotWithShape="1">
                    <a:blip r:embed="rId59">
                      <a:extLst>
                        <a:ext uri="{28A0092B-C50C-407E-A947-70E740481C1C}">
                          <a14:useLocalDpi xmlns:a14="http://schemas.microsoft.com/office/drawing/2010/main" val="0"/>
                        </a:ext>
                      </a:extLst>
                    </a:blip>
                    <a:srcRect l="2296" t="11970" r="2431"/>
                    <a:stretch/>
                  </pic:blipFill>
                  <pic:spPr bwMode="auto">
                    <a:xfrm>
                      <a:off x="0" y="0"/>
                      <a:ext cx="5452000" cy="2097659"/>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noProof/>
        </w:rPr>
      </w:pPr>
      <w:bookmarkStart w:id="188" w:name="_Ref312108469"/>
      <w:bookmarkStart w:id="189" w:name="_Toc438590809"/>
      <w:bookmarkStart w:id="190" w:name="_Toc445718815"/>
      <w:r w:rsidRPr="00911997">
        <w:t xml:space="preserve">Figure </w:t>
      </w:r>
      <w:fldSimple w:instr=" STYLEREF 1 \s ">
        <w:r w:rsidR="00924C7D">
          <w:rPr>
            <w:noProof/>
          </w:rPr>
          <w:t>3</w:t>
        </w:r>
      </w:fldSimple>
      <w:r>
        <w:noBreakHyphen/>
      </w:r>
      <w:fldSimple w:instr=" SEQ Figure \* ARABIC \s 1 ">
        <w:r w:rsidR="00924C7D">
          <w:rPr>
            <w:noProof/>
          </w:rPr>
          <w:t>15</w:t>
        </w:r>
      </w:fldSimple>
      <w:bookmarkEnd w:id="188"/>
      <w:r>
        <w:rPr>
          <w:noProof/>
        </w:rPr>
        <w:t xml:space="preserve"> </w:t>
      </w:r>
      <w:r w:rsidRPr="00743CF2">
        <w:rPr>
          <w:b w:val="0"/>
          <w:noProof/>
        </w:rPr>
        <w:t>Effect of the element size outside the scaffold on the fluid velocities in the scaffold pores. Data extracted from line 1.</w:t>
      </w:r>
      <w:bookmarkEnd w:id="189"/>
      <w:bookmarkEnd w:id="190"/>
    </w:p>
    <w:p w:rsidR="005D1052" w:rsidRDefault="005D1052" w:rsidP="005D1052"/>
    <w:p w:rsidR="005D1052" w:rsidRDefault="005D1052" w:rsidP="005D1052"/>
    <w:p w:rsidR="005D1052" w:rsidRDefault="005D1052" w:rsidP="005D1052">
      <w:pPr>
        <w:keepNext/>
        <w:ind w:firstLine="0"/>
        <w:jc w:val="center"/>
      </w:pPr>
      <w:r>
        <w:rPr>
          <w:noProof/>
          <w:lang w:eastAsia="en-GB"/>
        </w:rPr>
        <w:drawing>
          <wp:inline distT="0" distB="0" distL="0" distR="0" wp14:anchorId="3E8D0929" wp14:editId="43A53E44">
            <wp:extent cx="3794792" cy="2358346"/>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794792" cy="2358346"/>
                    </a:xfrm>
                    <a:prstGeom prst="rect">
                      <a:avLst/>
                    </a:prstGeom>
                  </pic:spPr>
                </pic:pic>
              </a:graphicData>
            </a:graphic>
          </wp:inline>
        </w:drawing>
      </w:r>
    </w:p>
    <w:p w:rsidR="005D1052" w:rsidRDefault="005D1052" w:rsidP="005D1052">
      <w:pPr>
        <w:pStyle w:val="Caption"/>
        <w:rPr>
          <w:b w:val="0"/>
        </w:rPr>
      </w:pPr>
      <w:bookmarkStart w:id="191" w:name="_Ref312160907"/>
      <w:bookmarkStart w:id="192" w:name="_Toc438590810"/>
      <w:bookmarkStart w:id="193" w:name="_Toc445718816"/>
      <w:r>
        <w:t xml:space="preserve">Figure </w:t>
      </w:r>
      <w:fldSimple w:instr=" STYLEREF 1 \s ">
        <w:r w:rsidR="00924C7D">
          <w:rPr>
            <w:noProof/>
          </w:rPr>
          <w:t>3</w:t>
        </w:r>
      </w:fldSimple>
      <w:r>
        <w:noBreakHyphen/>
      </w:r>
      <w:fldSimple w:instr=" SEQ Figure \* ARABIC \s 1 ">
        <w:r w:rsidR="00924C7D">
          <w:rPr>
            <w:noProof/>
          </w:rPr>
          <w:t>16</w:t>
        </w:r>
      </w:fldSimple>
      <w:bookmarkEnd w:id="191"/>
      <w:r>
        <w:t xml:space="preserve"> </w:t>
      </w:r>
      <w:r w:rsidRPr="00743CF2">
        <w:rPr>
          <w:b w:val="0"/>
        </w:rPr>
        <w:t>Line 2</w:t>
      </w:r>
      <w:r>
        <w:rPr>
          <w:b w:val="0"/>
        </w:rPr>
        <w:t xml:space="preserve"> from</w:t>
      </w:r>
      <w:r w:rsidRPr="00743CF2">
        <w:rPr>
          <w:b w:val="0"/>
        </w:rPr>
        <w:t xml:space="preserve"> where the velocity values </w:t>
      </w:r>
      <w:r>
        <w:rPr>
          <w:b w:val="0"/>
        </w:rPr>
        <w:t>were</w:t>
      </w:r>
      <w:r w:rsidRPr="00743CF2">
        <w:rPr>
          <w:b w:val="0"/>
        </w:rPr>
        <w:t xml:space="preserve"> extracted.</w:t>
      </w:r>
      <w:bookmarkEnd w:id="192"/>
      <w:bookmarkEnd w:id="193"/>
    </w:p>
    <w:p w:rsidR="005D1052" w:rsidRPr="007766DB" w:rsidRDefault="005D1052" w:rsidP="005D1052"/>
    <w:p w:rsidR="005D1052" w:rsidRDefault="005D1052" w:rsidP="005D1052">
      <w:pPr>
        <w:ind w:firstLine="0"/>
        <w:jc w:val="center"/>
      </w:pPr>
    </w:p>
    <w:p w:rsidR="005D1052" w:rsidRDefault="005D1052" w:rsidP="005D1052">
      <w:pPr>
        <w:ind w:firstLine="0"/>
        <w:jc w:val="center"/>
      </w:pPr>
      <w:r>
        <w:rPr>
          <w:noProof/>
          <w:lang w:eastAsia="en-GB"/>
        </w:rPr>
        <w:lastRenderedPageBreak/>
        <w:drawing>
          <wp:inline distT="0" distB="0" distL="0" distR="0" wp14:anchorId="35527E69" wp14:editId="38C85577">
            <wp:extent cx="4730861" cy="104802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al mesh size.png"/>
                    <pic:cNvPicPr/>
                  </pic:nvPicPr>
                  <pic:blipFill>
                    <a:blip r:embed="rId61">
                      <a:extLst>
                        <a:ext uri="{28A0092B-C50C-407E-A947-70E740481C1C}">
                          <a14:useLocalDpi xmlns:a14="http://schemas.microsoft.com/office/drawing/2010/main" val="0"/>
                        </a:ext>
                      </a:extLst>
                    </a:blip>
                    <a:stretch>
                      <a:fillRect/>
                    </a:stretch>
                  </pic:blipFill>
                  <pic:spPr>
                    <a:xfrm>
                      <a:off x="0" y="0"/>
                      <a:ext cx="4730861" cy="1048022"/>
                    </a:xfrm>
                    <a:prstGeom prst="rect">
                      <a:avLst/>
                    </a:prstGeom>
                  </pic:spPr>
                </pic:pic>
              </a:graphicData>
            </a:graphic>
          </wp:inline>
        </w:drawing>
      </w:r>
    </w:p>
    <w:p w:rsidR="005D1052" w:rsidRPr="00743CF2" w:rsidRDefault="005D1052" w:rsidP="005D1052">
      <w:pPr>
        <w:pStyle w:val="Caption"/>
        <w:rPr>
          <w:b w:val="0"/>
          <w:noProof/>
        </w:rPr>
      </w:pPr>
      <w:bookmarkStart w:id="194" w:name="_Ref312108531"/>
      <w:bookmarkStart w:id="195" w:name="_Toc440822954"/>
      <w:r w:rsidRPr="00911997">
        <w:t xml:space="preserve">Table </w:t>
      </w:r>
      <w:fldSimple w:instr=" STYLEREF 1 \s ">
        <w:r w:rsidR="00924C7D">
          <w:rPr>
            <w:noProof/>
          </w:rPr>
          <w:t>3</w:t>
        </w:r>
      </w:fldSimple>
      <w:r>
        <w:noBreakHyphen/>
      </w:r>
      <w:fldSimple w:instr=" SEQ Table \* ARABIC \s 1 ">
        <w:r w:rsidR="00924C7D">
          <w:rPr>
            <w:noProof/>
          </w:rPr>
          <w:t>4</w:t>
        </w:r>
      </w:fldSimple>
      <w:bookmarkEnd w:id="194"/>
      <w:r>
        <w:rPr>
          <w:noProof/>
        </w:rPr>
        <w:t xml:space="preserve"> </w:t>
      </w:r>
      <w:r w:rsidRPr="00743CF2">
        <w:rPr>
          <w:b w:val="0"/>
          <w:noProof/>
        </w:rPr>
        <w:t>Number of mesh elements and computational time for the two element sizes investigated outside the scaffold.</w:t>
      </w:r>
      <w:bookmarkEnd w:id="195"/>
    </w:p>
    <w:p w:rsidR="005D1052" w:rsidRDefault="005D1052" w:rsidP="005D1052">
      <w:pPr>
        <w:spacing w:after="0"/>
        <w:ind w:firstLine="0"/>
        <w:jc w:val="center"/>
      </w:pPr>
    </w:p>
    <w:p w:rsidR="005D1052" w:rsidRPr="00743CF2" w:rsidRDefault="005D1052" w:rsidP="005D1052">
      <w:pPr>
        <w:spacing w:after="0"/>
        <w:ind w:firstLine="0"/>
        <w:jc w:val="center"/>
      </w:pPr>
      <w:r>
        <w:rPr>
          <w:noProof/>
          <w:lang w:eastAsia="en-GB"/>
        </w:rPr>
        <w:drawing>
          <wp:inline distT="0" distB="0" distL="0" distR="0" wp14:anchorId="78838F78" wp14:editId="6A23D53E">
            <wp:extent cx="5381469" cy="29771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almeshtube.png"/>
                    <pic:cNvPicPr/>
                  </pic:nvPicPr>
                  <pic:blipFill>
                    <a:blip r:embed="rId62">
                      <a:extLst>
                        <a:ext uri="{28A0092B-C50C-407E-A947-70E740481C1C}">
                          <a14:useLocalDpi xmlns:a14="http://schemas.microsoft.com/office/drawing/2010/main" val="0"/>
                        </a:ext>
                      </a:extLst>
                    </a:blip>
                    <a:stretch>
                      <a:fillRect/>
                    </a:stretch>
                  </pic:blipFill>
                  <pic:spPr>
                    <a:xfrm>
                      <a:off x="0" y="0"/>
                      <a:ext cx="5390411" cy="2982050"/>
                    </a:xfrm>
                    <a:prstGeom prst="rect">
                      <a:avLst/>
                    </a:prstGeom>
                  </pic:spPr>
                </pic:pic>
              </a:graphicData>
            </a:graphic>
          </wp:inline>
        </w:drawing>
      </w:r>
    </w:p>
    <w:p w:rsidR="005D1052" w:rsidRPr="002B5A95" w:rsidRDefault="005D1052" w:rsidP="005D1052">
      <w:pPr>
        <w:pStyle w:val="Caption"/>
        <w:rPr>
          <w:b w:val="0"/>
        </w:rPr>
      </w:pPr>
      <w:bookmarkStart w:id="196" w:name="_Toc438590811"/>
      <w:bookmarkStart w:id="197" w:name="_Toc445718817"/>
      <w:r w:rsidRPr="002F6095">
        <w:t xml:space="preserve">Figure </w:t>
      </w:r>
      <w:fldSimple w:instr=" STYLEREF 1 \s ">
        <w:r w:rsidR="00924C7D">
          <w:rPr>
            <w:noProof/>
          </w:rPr>
          <w:t>3</w:t>
        </w:r>
      </w:fldSimple>
      <w:r>
        <w:noBreakHyphen/>
      </w:r>
      <w:fldSimple w:instr=" SEQ Figure \* ARABIC \s 1 ">
        <w:r w:rsidR="00924C7D">
          <w:rPr>
            <w:noProof/>
          </w:rPr>
          <w:t>17</w:t>
        </w:r>
      </w:fldSimple>
      <w:r>
        <w:t xml:space="preserve"> </w:t>
      </w:r>
      <w:r w:rsidRPr="00743CF2">
        <w:rPr>
          <w:b w:val="0"/>
        </w:rPr>
        <w:t>Effect of the element size outside the scaffold on the fluid velocities from the inlet to the outlet passing through the scaffold pores. Data extracted from line 2</w:t>
      </w:r>
      <w:r>
        <w:rPr>
          <w:b w:val="0"/>
        </w:rPr>
        <w:t xml:space="preserve"> </w:t>
      </w:r>
      <w:r w:rsidRPr="002B5A95">
        <w:rPr>
          <w:b w:val="0"/>
        </w:rPr>
        <w:t xml:space="preserve">shown in </w:t>
      </w:r>
      <w:r w:rsidRPr="002B5A95">
        <w:rPr>
          <w:b w:val="0"/>
        </w:rPr>
        <w:fldChar w:fldCharType="begin"/>
      </w:r>
      <w:r w:rsidRPr="002B5A95">
        <w:rPr>
          <w:b w:val="0"/>
        </w:rPr>
        <w:instrText xml:space="preserve"> REF _Ref312160907 \h  \* MERGEFORMAT </w:instrText>
      </w:r>
      <w:r w:rsidRPr="002B5A95">
        <w:rPr>
          <w:b w:val="0"/>
        </w:rPr>
      </w:r>
      <w:r w:rsidRPr="002B5A95">
        <w:rPr>
          <w:b w:val="0"/>
        </w:rPr>
        <w:fldChar w:fldCharType="separate"/>
      </w:r>
      <w:r w:rsidR="00924C7D" w:rsidRPr="00924C7D">
        <w:rPr>
          <w:b w:val="0"/>
        </w:rPr>
        <w:t xml:space="preserve">Figure </w:t>
      </w:r>
      <w:r w:rsidR="00924C7D" w:rsidRPr="00924C7D">
        <w:rPr>
          <w:b w:val="0"/>
          <w:noProof/>
        </w:rPr>
        <w:t>3</w:t>
      </w:r>
      <w:r w:rsidR="00924C7D" w:rsidRPr="00924C7D">
        <w:rPr>
          <w:b w:val="0"/>
          <w:noProof/>
        </w:rPr>
        <w:noBreakHyphen/>
        <w:t>16</w:t>
      </w:r>
      <w:r w:rsidRPr="002B5A95">
        <w:rPr>
          <w:b w:val="0"/>
        </w:rPr>
        <w:fldChar w:fldCharType="end"/>
      </w:r>
      <w:r w:rsidRPr="002B5A95">
        <w:rPr>
          <w:b w:val="0"/>
        </w:rPr>
        <w:t>.</w:t>
      </w:r>
      <w:bookmarkEnd w:id="196"/>
      <w:bookmarkEnd w:id="197"/>
    </w:p>
    <w:p w:rsidR="005D1052" w:rsidRPr="00C622D6" w:rsidRDefault="005D1052" w:rsidP="005D1052">
      <w:pPr>
        <w:pStyle w:val="Heading3"/>
      </w:pPr>
      <w:bookmarkStart w:id="198" w:name="_Toc310605604"/>
      <w:bookmarkStart w:id="199" w:name="_Toc310605899"/>
      <w:bookmarkStart w:id="200" w:name="_Ref312108127"/>
      <w:bookmarkStart w:id="201" w:name="_Toc440823205"/>
      <w:r>
        <w:t>Computational</w:t>
      </w:r>
      <w:r w:rsidRPr="00C622D6">
        <w:t xml:space="preserve"> model benchmark</w:t>
      </w:r>
      <w:bookmarkEnd w:id="198"/>
      <w:bookmarkEnd w:id="199"/>
      <w:bookmarkEnd w:id="200"/>
      <w:bookmarkEnd w:id="201"/>
    </w:p>
    <w:p w:rsidR="005D1052" w:rsidRDefault="005D1052" w:rsidP="005D1052">
      <w:r>
        <w:t>The computational performance of the presented CFD model in a 2*8-core Intel E5-2670 machine with 256 GB of memory has been investigated. Serial and parallel simulations were compared to solve the CFD model that requires a m</w:t>
      </w:r>
      <w:r w:rsidRPr="00E54082">
        <w:t>aximum v</w:t>
      </w:r>
      <w:r>
        <w:t xml:space="preserve">irtual </w:t>
      </w:r>
      <w:r w:rsidRPr="00E54082">
        <w:t xml:space="preserve">memory </w:t>
      </w:r>
      <w:r>
        <w:t>of</w:t>
      </w:r>
      <w:r w:rsidRPr="00E54082">
        <w:t xml:space="preserve"> 21 GB</w:t>
      </w:r>
      <w:r>
        <w:t xml:space="preserve">. Partitions in 2, 4 and 8 cores were carried out and it can be observed </w:t>
      </w:r>
      <w:r>
        <w:lastRenderedPageBreak/>
        <w:t xml:space="preserve">that the computing time is reduced until 8 partitions as shown in </w:t>
      </w:r>
      <w:r>
        <w:fldChar w:fldCharType="begin"/>
      </w:r>
      <w:r>
        <w:instrText xml:space="preserve"> REF _Ref312108556 \h </w:instrText>
      </w:r>
      <w:r>
        <w:fldChar w:fldCharType="separate"/>
      </w:r>
      <w:r w:rsidR="00924C7D">
        <w:t xml:space="preserve">Figure </w:t>
      </w:r>
      <w:r w:rsidR="00924C7D">
        <w:rPr>
          <w:noProof/>
        </w:rPr>
        <w:t>3</w:t>
      </w:r>
      <w:r w:rsidR="00924C7D">
        <w:noBreakHyphen/>
      </w:r>
      <w:r w:rsidR="00924C7D">
        <w:rPr>
          <w:noProof/>
        </w:rPr>
        <w:t>18</w:t>
      </w:r>
      <w:r>
        <w:fldChar w:fldCharType="end"/>
      </w:r>
      <w:r w:rsidRPr="00743CF2">
        <w:t>. Finally</w:t>
      </w:r>
      <w:r>
        <w:t>, eight partitions were selected since it solved the numerical problem in less time than the other set-ups with the available resources.</w:t>
      </w:r>
    </w:p>
    <w:p w:rsidR="005D1052" w:rsidRDefault="005D1052" w:rsidP="005D1052">
      <w:pPr>
        <w:keepNext/>
        <w:spacing w:after="0"/>
        <w:ind w:firstLine="0"/>
        <w:jc w:val="center"/>
      </w:pPr>
      <w:r>
        <w:rPr>
          <w:noProof/>
          <w:lang w:eastAsia="en-GB"/>
        </w:rPr>
        <w:drawing>
          <wp:inline distT="0" distB="0" distL="0" distR="0" wp14:anchorId="7BB8A607" wp14:editId="75C65A11">
            <wp:extent cx="5138057" cy="2378990"/>
            <wp:effectExtent l="0" t="0" r="571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chmark.png"/>
                    <pic:cNvPicPr/>
                  </pic:nvPicPr>
                  <pic:blipFill>
                    <a:blip r:embed="rId63">
                      <a:extLst>
                        <a:ext uri="{28A0092B-C50C-407E-A947-70E740481C1C}">
                          <a14:useLocalDpi xmlns:a14="http://schemas.microsoft.com/office/drawing/2010/main" val="0"/>
                        </a:ext>
                      </a:extLst>
                    </a:blip>
                    <a:stretch>
                      <a:fillRect/>
                    </a:stretch>
                  </pic:blipFill>
                  <pic:spPr>
                    <a:xfrm>
                      <a:off x="0" y="0"/>
                      <a:ext cx="5160500" cy="2389381"/>
                    </a:xfrm>
                    <a:prstGeom prst="rect">
                      <a:avLst/>
                    </a:prstGeom>
                  </pic:spPr>
                </pic:pic>
              </a:graphicData>
            </a:graphic>
          </wp:inline>
        </w:drawing>
      </w:r>
    </w:p>
    <w:p w:rsidR="005D1052" w:rsidRPr="00743CF2" w:rsidRDefault="005D1052" w:rsidP="005D1052">
      <w:pPr>
        <w:pStyle w:val="Caption"/>
        <w:rPr>
          <w:b w:val="0"/>
          <w:noProof/>
        </w:rPr>
      </w:pPr>
      <w:bookmarkStart w:id="202" w:name="_Ref312108556"/>
      <w:bookmarkStart w:id="203" w:name="_Toc438590812"/>
      <w:bookmarkStart w:id="204" w:name="_Toc445718818"/>
      <w:r>
        <w:t xml:space="preserve">Figure </w:t>
      </w:r>
      <w:fldSimple w:instr=" STYLEREF 1 \s ">
        <w:r w:rsidR="00924C7D">
          <w:rPr>
            <w:noProof/>
          </w:rPr>
          <w:t>3</w:t>
        </w:r>
      </w:fldSimple>
      <w:r>
        <w:noBreakHyphen/>
      </w:r>
      <w:fldSimple w:instr=" SEQ Figure \* ARABIC \s 1 ">
        <w:r w:rsidR="00924C7D">
          <w:rPr>
            <w:noProof/>
          </w:rPr>
          <w:t>18</w:t>
        </w:r>
      </w:fldSimple>
      <w:bookmarkEnd w:id="202"/>
      <w:r>
        <w:rPr>
          <w:noProof/>
        </w:rPr>
        <w:t xml:space="preserve"> </w:t>
      </w:r>
      <w:r w:rsidRPr="00743CF2">
        <w:rPr>
          <w:b w:val="0"/>
          <w:noProof/>
        </w:rPr>
        <w:t>CPU and wall-clock time required to solve the CFD case depending on the number of partitions.</w:t>
      </w:r>
      <w:bookmarkEnd w:id="203"/>
      <w:bookmarkEnd w:id="204"/>
    </w:p>
    <w:p w:rsidR="005D1052" w:rsidRPr="00C622D6" w:rsidRDefault="005D1052" w:rsidP="005D1052">
      <w:pPr>
        <w:pStyle w:val="Heading3"/>
      </w:pPr>
      <w:bookmarkStart w:id="205" w:name="_Toc310605605"/>
      <w:bookmarkStart w:id="206" w:name="_Toc310605900"/>
      <w:bookmarkStart w:id="207" w:name="_Toc440823206"/>
      <w:r w:rsidRPr="00C622D6">
        <w:t>Local fluid dynamics analysis</w:t>
      </w:r>
      <w:bookmarkEnd w:id="205"/>
      <w:bookmarkEnd w:id="206"/>
      <w:bookmarkEnd w:id="207"/>
    </w:p>
    <w:p w:rsidR="005D1052" w:rsidRPr="00C622D6" w:rsidRDefault="005D1052" w:rsidP="005D1052">
      <w:pPr>
        <w:pStyle w:val="Heading4"/>
      </w:pPr>
      <w:bookmarkStart w:id="208" w:name="_Toc440823207"/>
      <w:r w:rsidRPr="00C622D6">
        <w:t>Fluid flow velocities (CFD)</w:t>
      </w:r>
      <w:bookmarkEnd w:id="208"/>
    </w:p>
    <w:p w:rsidR="005D1052" w:rsidRDefault="005D1052" w:rsidP="005D1052">
      <w:r>
        <w:t xml:space="preserve">The calculated velocity profiles in all the layers of the CAD scaffold are regular with high repeatability for velocity values between 2.5 and 5 mm/s. In addition, there is no variability inside the CAD scaffold between the layer-profiles as observed in </w:t>
      </w:r>
      <w:r>
        <w:fldChar w:fldCharType="begin"/>
      </w:r>
      <w:r>
        <w:instrText xml:space="preserve"> REF _Ref312108630 \h </w:instrText>
      </w:r>
      <w:r>
        <w:fldChar w:fldCharType="separate"/>
      </w:r>
      <w:r w:rsidR="00924C7D">
        <w:t xml:space="preserve">Figure </w:t>
      </w:r>
      <w:r w:rsidR="00924C7D">
        <w:rPr>
          <w:noProof/>
        </w:rPr>
        <w:t>3</w:t>
      </w:r>
      <w:r w:rsidR="00924C7D">
        <w:noBreakHyphen/>
      </w:r>
      <w:r w:rsidR="00924C7D">
        <w:rPr>
          <w:noProof/>
        </w:rPr>
        <w:t>19</w:t>
      </w:r>
      <w:r>
        <w:fldChar w:fldCharType="end"/>
      </w:r>
      <w:r w:rsidRPr="00743CF2">
        <w:t>.</w:t>
      </w:r>
      <w:r>
        <w:t xml:space="preserve"> On the other hand, the five samples present irregular profiles different from the CAD ones at all layers with velocity values from close to nil velocity up to 10 mm/s. </w:t>
      </w:r>
    </w:p>
    <w:p w:rsidR="005D1052" w:rsidRDefault="005D1052" w:rsidP="005D1052">
      <w:r>
        <w:t xml:space="preserve">Furthermore, there is </w:t>
      </w:r>
      <w:r w:rsidRPr="00A364CF">
        <w:t>no common pattern between samples</w:t>
      </w:r>
      <w:r>
        <w:t xml:space="preserve">. If comparing all the scaffold samples at the same layer such as layer 3, it can be observed that in sample 1 there is a clear repeatability of pore velocities between close to zero values and 5 mm/s; sample 2 has a similar description although some local velocities reach 10 mm/s at the periphery of the scaffold; in sample 3 there is an increase of the pore velocities with </w:t>
      </w:r>
      <w:r>
        <w:lastRenderedPageBreak/>
        <w:t xml:space="preserve">values higher than 5 mm/s; sample 4 presents pore velocities up to 5 mm/s with the maximum values found at the centre as well as in sample 5 but with values up to 7.5 mm/s. </w:t>
      </w:r>
    </w:p>
    <w:p w:rsidR="005D1052" w:rsidRPr="000036B1" w:rsidRDefault="005D1052" w:rsidP="005D1052">
      <w:r>
        <w:t xml:space="preserve">Besides the </w:t>
      </w:r>
      <w:r w:rsidRPr="00A364CF">
        <w:t>inter-sample variability</w:t>
      </w:r>
      <w:r>
        <w:t>, each sample shows internal variability from layer-to-layer. In sample 1, the local velocities increase at the scaffold side from layer 1 to 5. In sample 2 pore velocities decrease in the middle of the scaffold and increase at the outer part when advancing from layer 1 to layer 5</w:t>
      </w:r>
      <w:r w:rsidRPr="00FE6434">
        <w:t xml:space="preserve">. In sample 3, </w:t>
      </w:r>
      <w:r>
        <w:t>the profiles with highest velocities are in layers 1 and 5. In sample 4, velocities increase from layer 1 to layer 4 and decrease again in layer 5. In sample 5, layers 1 and 2 show similar profile with low velocities, layer 3 is the one with highest velocities and layers 4 and 5 are similar but with higher values than layers 1 and 2.</w:t>
      </w:r>
    </w:p>
    <w:p w:rsidR="005D1052" w:rsidRDefault="005D1052" w:rsidP="005D1052">
      <w:pPr>
        <w:pStyle w:val="Heading4"/>
      </w:pPr>
      <w:bookmarkStart w:id="209" w:name="_Toc440823208"/>
      <w:r>
        <w:t>WSS (CFD)</w:t>
      </w:r>
      <w:bookmarkEnd w:id="209"/>
    </w:p>
    <w:p w:rsidR="005D1052" w:rsidRDefault="005D1052" w:rsidP="005D1052">
      <w:r>
        <w:t xml:space="preserve">All the CAD WSS profiles are regular with high repeatability of the WSS values that are between 0.05 and 0.1 Pa. In addition, no interlayer variability is found. </w:t>
      </w:r>
    </w:p>
    <w:p w:rsidR="005D1052" w:rsidRDefault="005D1052" w:rsidP="005D1052">
      <w:r>
        <w:t xml:space="preserve">None of the five samples shows the WSS distribution found in the CAD scaffold. Furthermore, there is variability </w:t>
      </w:r>
      <w:r w:rsidRPr="0002667F">
        <w:t>among samples</w:t>
      </w:r>
      <w:r>
        <w:rPr>
          <w:b/>
        </w:rPr>
        <w:t xml:space="preserve"> </w:t>
      </w:r>
      <w:r>
        <w:t>as</w:t>
      </w:r>
      <w:r w:rsidRPr="002B595B">
        <w:t xml:space="preserve"> observed in </w:t>
      </w:r>
      <w:r>
        <w:fldChar w:fldCharType="begin"/>
      </w:r>
      <w:r>
        <w:instrText xml:space="preserve"> REF _Ref440448459 \h </w:instrText>
      </w:r>
      <w:r>
        <w:fldChar w:fldCharType="separate"/>
      </w:r>
      <w:r w:rsidR="00924C7D">
        <w:t xml:space="preserve">Figure </w:t>
      </w:r>
      <w:r w:rsidR="00924C7D">
        <w:rPr>
          <w:noProof/>
        </w:rPr>
        <w:t>3</w:t>
      </w:r>
      <w:r w:rsidR="00924C7D">
        <w:noBreakHyphen/>
      </w:r>
      <w:r w:rsidR="00924C7D">
        <w:rPr>
          <w:noProof/>
        </w:rPr>
        <w:t>20</w:t>
      </w:r>
      <w:r>
        <w:fldChar w:fldCharType="end"/>
      </w:r>
      <w:r>
        <w:t>. F</w:t>
      </w:r>
      <w:r w:rsidRPr="00743CF2">
        <w:t>or</w:t>
      </w:r>
      <w:r>
        <w:t xml:space="preserve"> example, if the five samples are compared at the same location such </w:t>
      </w:r>
      <w:r w:rsidRPr="0002667F">
        <w:t xml:space="preserve">as layer </w:t>
      </w:r>
      <w:r>
        <w:t>4,</w:t>
      </w:r>
      <w:r w:rsidRPr="002B595B">
        <w:rPr>
          <w:b/>
        </w:rPr>
        <w:t xml:space="preserve"> </w:t>
      </w:r>
      <w:r>
        <w:t>it can be observed that samples 1 and 2 have similar profiles with lower WSS than the other samples with values up to 0.1 Pa. Values in sample 5 are also up to 0.1 Pa although the maximum WSS is found at the centre of the scaffold and not at the external part as in samples 1 and 2. Sample 3 shows more repeatability between 0.05 and 0.15 Pa, sample 4 is the one with highest WSS values and sample 5 shows the most regular profile.</w:t>
      </w:r>
    </w:p>
    <w:p w:rsidR="005D1052" w:rsidRDefault="005D1052" w:rsidP="005D1052">
      <w:r>
        <w:t xml:space="preserve">With respect to the </w:t>
      </w:r>
      <w:r w:rsidRPr="00CD0342">
        <w:t>inter-layer variability</w:t>
      </w:r>
      <w:r>
        <w:t xml:space="preserve"> inside the samples, samples 1 and 2 show higher WSS in the centre for the first layers and then higher at the edges. In sample 4 and sample 5, the WSS values increase from layer 1 on although in sample 4 higher values are reached. In the case of sample 3, the location of the highest WSS values vary from layer to layer.</w:t>
      </w:r>
    </w:p>
    <w:p w:rsidR="005D1052" w:rsidRDefault="005D1052" w:rsidP="005D1052">
      <w:pPr>
        <w:pStyle w:val="Heading4"/>
      </w:pPr>
      <w:bookmarkStart w:id="210" w:name="_Toc440823209"/>
      <w:r>
        <w:lastRenderedPageBreak/>
        <w:t>Statistical analysis</w:t>
      </w:r>
      <w:bookmarkEnd w:id="210"/>
    </w:p>
    <w:p w:rsidR="005D1052" w:rsidRPr="008A5A2A" w:rsidRDefault="005D1052" w:rsidP="005D1052">
      <w:r>
        <w:t>An unbalanced two-way Anova test was carried out to confirm the variability found among the five samples. The sample itself and the layer number are considered as the two independent factors that could affect the velocity and WSS that in this case are the dependant variables. The statistical analysis corroborates that the dependant variables vary from sample-to-sample at different scaffold layers with a significance of P&lt;0.001.</w:t>
      </w:r>
    </w:p>
    <w:p w:rsidR="005D1052" w:rsidRDefault="005D1052" w:rsidP="005D1052">
      <w:pPr>
        <w:pStyle w:val="Heading3"/>
      </w:pPr>
      <w:bookmarkStart w:id="211" w:name="_Toc310605606"/>
      <w:bookmarkStart w:id="212" w:name="_Toc310605901"/>
      <w:bookmarkStart w:id="213" w:name="_Toc440823210"/>
      <w:r>
        <w:t>S</w:t>
      </w:r>
      <w:r w:rsidRPr="002A42FF">
        <w:t>ensitivity analysis</w:t>
      </w:r>
      <w:r>
        <w:t xml:space="preserve"> for the methodology applied</w:t>
      </w:r>
      <w:bookmarkEnd w:id="211"/>
      <w:bookmarkEnd w:id="212"/>
      <w:bookmarkEnd w:id="213"/>
    </w:p>
    <w:p w:rsidR="005D1052" w:rsidRDefault="005D1052" w:rsidP="005D1052">
      <w:pPr>
        <w:pStyle w:val="Heading4"/>
      </w:pPr>
      <w:bookmarkStart w:id="214" w:name="_Toc440823211"/>
      <w:r>
        <w:t>Structural analysis</w:t>
      </w:r>
      <w:bookmarkEnd w:id="214"/>
    </w:p>
    <w:p w:rsidR="005D1052" w:rsidRDefault="005D1052" w:rsidP="005D1052">
      <w:r>
        <w:t xml:space="preserve">One scaffold sample was reconstructed and characterised five times. It is noteworthy that the sample characterised five times is a different one from the five samples used in the intersample variability analysis. As a result, porosity, surface area and volume are 56 </w:t>
      </w:r>
      <w:r w:rsidRPr="00E2240E">
        <w:t>±</w:t>
      </w:r>
      <w:r>
        <w:t xml:space="preserve"> 1.03 %, 126.96 </w:t>
      </w:r>
      <w:r w:rsidRPr="00E2240E">
        <w:t>±</w:t>
      </w:r>
      <w:r>
        <w:t xml:space="preserve"> 0.34 mm</w:t>
      </w:r>
      <w:r w:rsidRPr="00F97E41">
        <w:rPr>
          <w:vertAlign w:val="superscript"/>
        </w:rPr>
        <w:t>2</w:t>
      </w:r>
      <w:r>
        <w:t xml:space="preserve"> and 12.97 </w:t>
      </w:r>
      <w:r w:rsidRPr="00E2240E">
        <w:t>±</w:t>
      </w:r>
      <w:r>
        <w:t xml:space="preserve"> 0.3 respectively. There is less variability between the five analyses based on the same sample than in the structural analysis of the five reconstructed samples. The standard deviation of porosity, surface area and volume of the five analyses based on the same sample are much lower than for the five reconstructed samples as </w:t>
      </w:r>
      <w:r w:rsidRPr="00743CF2">
        <w:t xml:space="preserve">shown in </w:t>
      </w:r>
      <w:r>
        <w:fldChar w:fldCharType="begin"/>
      </w:r>
      <w:r>
        <w:instrText xml:space="preserve"> REF _Ref312108770 \h </w:instrText>
      </w:r>
      <w:r>
        <w:fldChar w:fldCharType="separate"/>
      </w:r>
      <w:r w:rsidR="00924C7D">
        <w:t xml:space="preserve">Table </w:t>
      </w:r>
      <w:r w:rsidR="00924C7D">
        <w:rPr>
          <w:noProof/>
        </w:rPr>
        <w:t>3</w:t>
      </w:r>
      <w:r w:rsidR="00924C7D">
        <w:noBreakHyphen/>
      </w:r>
      <w:r w:rsidR="00924C7D">
        <w:rPr>
          <w:noProof/>
        </w:rPr>
        <w:t>5</w:t>
      </w:r>
      <w:r>
        <w:fldChar w:fldCharType="end"/>
      </w:r>
      <w:r w:rsidRPr="00743CF2">
        <w:t>.</w:t>
      </w:r>
    </w:p>
    <w:p w:rsidR="005D1052" w:rsidRDefault="005D1052" w:rsidP="005D1052"/>
    <w:p w:rsidR="005D1052" w:rsidRDefault="005D1052" w:rsidP="005D1052">
      <w:pPr>
        <w:keepNext/>
        <w:ind w:firstLine="0"/>
        <w:jc w:val="center"/>
      </w:pPr>
      <w:r>
        <w:rPr>
          <w:noProof/>
          <w:lang w:eastAsia="en-GB"/>
        </w:rPr>
        <w:lastRenderedPageBreak/>
        <w:drawing>
          <wp:inline distT="0" distB="0" distL="0" distR="0" wp14:anchorId="557A445F" wp14:editId="4E9DD6A3">
            <wp:extent cx="3702756" cy="1818053"/>
            <wp:effectExtent l="0" t="0" r="0" b="0"/>
            <wp:docPr id="8209" name="Picture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703152" cy="1818248"/>
                    </a:xfrm>
                    <a:prstGeom prst="rect">
                      <a:avLst/>
                    </a:prstGeom>
                  </pic:spPr>
                </pic:pic>
              </a:graphicData>
            </a:graphic>
          </wp:inline>
        </w:drawing>
      </w:r>
    </w:p>
    <w:p w:rsidR="005D1052" w:rsidRPr="00F97E41" w:rsidRDefault="005D1052" w:rsidP="005D1052">
      <w:pPr>
        <w:pStyle w:val="Caption"/>
      </w:pPr>
      <w:bookmarkStart w:id="215" w:name="_Ref312108770"/>
      <w:bookmarkStart w:id="216" w:name="_Toc440822955"/>
      <w:r>
        <w:t xml:space="preserve">Table </w:t>
      </w:r>
      <w:fldSimple w:instr=" STYLEREF 1 \s ">
        <w:r w:rsidR="00924C7D">
          <w:rPr>
            <w:noProof/>
          </w:rPr>
          <w:t>3</w:t>
        </w:r>
      </w:fldSimple>
      <w:r>
        <w:noBreakHyphen/>
      </w:r>
      <w:fldSimple w:instr=" SEQ Table \* ARABIC \s 1 ">
        <w:r w:rsidR="00924C7D">
          <w:rPr>
            <w:noProof/>
          </w:rPr>
          <w:t>5</w:t>
        </w:r>
      </w:fldSimple>
      <w:bookmarkEnd w:id="215"/>
      <w:r>
        <w:t xml:space="preserve"> </w:t>
      </w:r>
      <w:r w:rsidRPr="005803DA">
        <w:rPr>
          <w:b w:val="0"/>
        </w:rPr>
        <w:t>Mean and standard deviation of the porosity [%], surface area [mm</w:t>
      </w:r>
      <w:r w:rsidRPr="005803DA">
        <w:rPr>
          <w:b w:val="0"/>
          <w:vertAlign w:val="superscript"/>
        </w:rPr>
        <w:t>2</w:t>
      </w:r>
      <w:r w:rsidRPr="005803DA">
        <w:rPr>
          <w:b w:val="0"/>
        </w:rPr>
        <w:t>] and volume [mm</w:t>
      </w:r>
      <w:r w:rsidRPr="005803DA">
        <w:rPr>
          <w:b w:val="0"/>
          <w:vertAlign w:val="superscript"/>
        </w:rPr>
        <w:t>3</w:t>
      </w:r>
      <w:r w:rsidRPr="005803DA">
        <w:rPr>
          <w:b w:val="0"/>
        </w:rPr>
        <w:t>] obtained from the intersample variability study and the sensitive analysis study performed in one sample.</w:t>
      </w:r>
      <w:bookmarkEnd w:id="216"/>
    </w:p>
    <w:p w:rsidR="005D1052" w:rsidRDefault="005D1052" w:rsidP="005D1052">
      <w:pPr>
        <w:pStyle w:val="Heading4"/>
      </w:pPr>
      <w:bookmarkStart w:id="217" w:name="_Toc440823212"/>
      <w:r>
        <w:t>Local fluid velocities (CFD)</w:t>
      </w:r>
      <w:bookmarkEnd w:id="217"/>
    </w:p>
    <w:p w:rsidR="005D1052" w:rsidRPr="00335459" w:rsidRDefault="005D1052" w:rsidP="005D1052">
      <w:r>
        <w:t xml:space="preserve">There is low variability between the five analyses performed on the same </w:t>
      </w:r>
      <w:r w:rsidRPr="00335459">
        <w:t>µCT-reconstructed scaffold</w:t>
      </w:r>
      <w:r>
        <w:t xml:space="preserve">. In general, the five analyses agree well on the fluid velocity </w:t>
      </w:r>
      <w:r w:rsidRPr="0052321C">
        <w:t xml:space="preserve">profiles (see </w:t>
      </w:r>
      <w:r w:rsidRPr="0052321C">
        <w:fldChar w:fldCharType="begin"/>
      </w:r>
      <w:r w:rsidRPr="0052321C">
        <w:instrText xml:space="preserve"> REF _Ref312110008 \h </w:instrText>
      </w:r>
      <w:r w:rsidRPr="0052321C">
        <w:fldChar w:fldCharType="separate"/>
      </w:r>
      <w:r w:rsidR="00924C7D">
        <w:t xml:space="preserve">Figure </w:t>
      </w:r>
      <w:r w:rsidR="00924C7D">
        <w:rPr>
          <w:noProof/>
        </w:rPr>
        <w:t>3</w:t>
      </w:r>
      <w:r w:rsidR="00924C7D">
        <w:noBreakHyphen/>
      </w:r>
      <w:r w:rsidR="00924C7D">
        <w:rPr>
          <w:noProof/>
        </w:rPr>
        <w:t>21</w:t>
      </w:r>
      <w:r w:rsidRPr="0052321C">
        <w:fldChar w:fldCharType="end"/>
      </w:r>
      <w:r w:rsidRPr="0052321C">
        <w:t>). In layers 1 and 2</w:t>
      </w:r>
      <w:r>
        <w:t>,</w:t>
      </w:r>
      <w:r w:rsidRPr="0052321C">
        <w:t xml:space="preserve"> all analyses show high repeatability</w:t>
      </w:r>
      <w:r>
        <w:t xml:space="preserve"> between 2.5 and 5 mm/s although in the fifth analysis the most repeated values are in a wider range between close to zero and 5 mm/s. At layer 3, the profiles are similar but analyses 3, 4 and 5 results in velocities up to 7.5 mm/s and in analyses 1 and 2 up to 5 mm/s. In layers 4 and 5 there is almost no variability in the velocity profiles among the five analyses. </w:t>
      </w:r>
    </w:p>
    <w:p w:rsidR="005D1052" w:rsidRDefault="005D1052" w:rsidP="005D1052">
      <w:pPr>
        <w:pStyle w:val="Heading4"/>
      </w:pPr>
      <w:bookmarkStart w:id="218" w:name="_Toc440823213"/>
      <w:r>
        <w:t>WSS (CFD)</w:t>
      </w:r>
      <w:bookmarkEnd w:id="218"/>
    </w:p>
    <w:p w:rsidR="005D1052" w:rsidRPr="00E34B8C" w:rsidRDefault="005D1052" w:rsidP="005D1052">
      <w:r>
        <w:t xml:space="preserve">Good agreement in the WSS profiles is found in all layers for the five analyses (see </w:t>
      </w:r>
      <w:r>
        <w:fldChar w:fldCharType="begin"/>
      </w:r>
      <w:r>
        <w:instrText xml:space="preserve"> REF _Ref312110057 \h </w:instrText>
      </w:r>
      <w:r>
        <w:fldChar w:fldCharType="separate"/>
      </w:r>
      <w:r w:rsidR="00924C7D">
        <w:t xml:space="preserve">Figure </w:t>
      </w:r>
      <w:r w:rsidR="00924C7D">
        <w:rPr>
          <w:noProof/>
        </w:rPr>
        <w:t>3</w:t>
      </w:r>
      <w:r w:rsidR="00924C7D">
        <w:noBreakHyphen/>
      </w:r>
      <w:r w:rsidR="00924C7D">
        <w:rPr>
          <w:noProof/>
        </w:rPr>
        <w:t>22</w:t>
      </w:r>
      <w:r>
        <w:fldChar w:fldCharType="end"/>
      </w:r>
      <w:r>
        <w:t>). In layers 1 and 2 the most repeated values are within 0.05 and 0.1 Pa, in layers 3 and 4 values are more spread between 0.05 and 0.15 Pa and in layers 5 and 6 WSS values are found within 0.05 and 0.1 Pa.</w:t>
      </w:r>
    </w:p>
    <w:p w:rsidR="005D1052" w:rsidRDefault="005D1052" w:rsidP="005D1052">
      <w:pPr>
        <w:pStyle w:val="Heading4"/>
      </w:pPr>
      <w:bookmarkStart w:id="219" w:name="_Toc440823214"/>
      <w:r>
        <w:lastRenderedPageBreak/>
        <w:t>Statistical analysis</w:t>
      </w:r>
      <w:bookmarkEnd w:id="219"/>
    </w:p>
    <w:p w:rsidR="005D1052" w:rsidRDefault="005D1052" w:rsidP="005D1052">
      <w:r w:rsidRPr="00E57EA1">
        <w:t xml:space="preserve">An unbalanced two-way Anova test was carried out to </w:t>
      </w:r>
      <w:r>
        <w:t>test</w:t>
      </w:r>
      <w:r w:rsidRPr="00E57EA1">
        <w:t xml:space="preserve"> the variability found among the five </w:t>
      </w:r>
      <w:r>
        <w:t>analyses performed on the same sample. The analysis number</w:t>
      </w:r>
      <w:r w:rsidRPr="00E57EA1">
        <w:t xml:space="preserve"> and the </w:t>
      </w:r>
      <w:r>
        <w:t xml:space="preserve">layer </w:t>
      </w:r>
      <w:r w:rsidRPr="00E57EA1">
        <w:t xml:space="preserve">number are considered </w:t>
      </w:r>
      <w:r>
        <w:t xml:space="preserve">as </w:t>
      </w:r>
      <w:r w:rsidRPr="00E57EA1">
        <w:t xml:space="preserve">the two independent factors that could affect the velocity and WSS that in this case are the dependant variables. The statistical analysis </w:t>
      </w:r>
      <w:r>
        <w:t xml:space="preserve">for the variability in terms of fluid velocity results in a P value of 0.23 so the difference between the five analyses is not statistically significant. However, there is significant statistical difference between the five analyses when comparing them by layers. In terms of WSS, the statistical analysis shows that the dependant variable varies </w:t>
      </w:r>
      <w:r w:rsidRPr="00E57EA1">
        <w:t xml:space="preserve">according to the sample and the layer within </w:t>
      </w:r>
      <w:r>
        <w:t xml:space="preserve">the </w:t>
      </w:r>
      <w:r w:rsidRPr="00E57EA1">
        <w:t>sample with a significance of P&lt;0.001.</w:t>
      </w:r>
      <w:r>
        <w:t xml:space="preserve"> To sum up, the method shows good repeatability when measuring fluid velocities if taking into account the whole sample and for the WSS there is no good repeatability statistically.</w:t>
      </w:r>
    </w:p>
    <w:p w:rsidR="005D1052" w:rsidRPr="00BC224D" w:rsidRDefault="005D1052" w:rsidP="005D1052">
      <w:pPr>
        <w:sectPr w:rsidR="005D1052" w:rsidRPr="00BC224D" w:rsidSect="00EB11EA">
          <w:headerReference w:type="even" r:id="rId65"/>
          <w:headerReference w:type="default" r:id="rId66"/>
          <w:footerReference w:type="default" r:id="rId67"/>
          <w:headerReference w:type="first" r:id="rId68"/>
          <w:footerReference w:type="first" r:id="rId69"/>
          <w:pgSz w:w="11900" w:h="16840"/>
          <w:pgMar w:top="2268" w:right="1134" w:bottom="1701" w:left="2268" w:header="284" w:footer="454" w:gutter="0"/>
          <w:pgNumType w:chapSep="emDash"/>
          <w:cols w:space="708"/>
          <w:titlePg/>
          <w:docGrid w:linePitch="360"/>
        </w:sectPr>
      </w:pPr>
    </w:p>
    <w:p w:rsidR="005D1052" w:rsidRDefault="005D1052" w:rsidP="005D1052">
      <w:pPr>
        <w:pStyle w:val="Caption"/>
        <w:spacing w:after="120"/>
      </w:pPr>
      <w:r>
        <w:rPr>
          <w:noProof/>
          <w:lang w:eastAsia="en-GB"/>
        </w:rPr>
        <w:lastRenderedPageBreak/>
        <w:drawing>
          <wp:inline distT="0" distB="0" distL="0" distR="0" wp14:anchorId="18401B29" wp14:editId="6E5EB59B">
            <wp:extent cx="6206478" cy="8537944"/>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o.png"/>
                    <pic:cNvPicPr/>
                  </pic:nvPicPr>
                  <pic:blipFill>
                    <a:blip r:embed="rId70">
                      <a:extLst>
                        <a:ext uri="{28A0092B-C50C-407E-A947-70E740481C1C}">
                          <a14:useLocalDpi xmlns:a14="http://schemas.microsoft.com/office/drawing/2010/main" val="0"/>
                        </a:ext>
                      </a:extLst>
                    </a:blip>
                    <a:stretch>
                      <a:fillRect/>
                    </a:stretch>
                  </pic:blipFill>
                  <pic:spPr bwMode="auto">
                    <a:xfrm>
                      <a:off x="0" y="0"/>
                      <a:ext cx="6208338" cy="8540503"/>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D1052" w:rsidRPr="00743CF2" w:rsidRDefault="005D1052" w:rsidP="005D1052">
      <w:pPr>
        <w:pStyle w:val="Caption"/>
        <w:rPr>
          <w:b w:val="0"/>
        </w:rPr>
      </w:pPr>
      <w:bookmarkStart w:id="220" w:name="_Ref312108630"/>
      <w:bookmarkStart w:id="221" w:name="_Toc438590813"/>
      <w:bookmarkStart w:id="222" w:name="_Toc445718819"/>
      <w:r>
        <w:t xml:space="preserve">Figure </w:t>
      </w:r>
      <w:fldSimple w:instr=" STYLEREF 1 \s ">
        <w:r w:rsidR="00924C7D">
          <w:rPr>
            <w:noProof/>
          </w:rPr>
          <w:t>3</w:t>
        </w:r>
      </w:fldSimple>
      <w:r>
        <w:noBreakHyphen/>
      </w:r>
      <w:fldSimple w:instr=" SEQ Figure \* ARABIC \s 1 ">
        <w:r w:rsidR="00924C7D">
          <w:rPr>
            <w:noProof/>
          </w:rPr>
          <w:t>19</w:t>
        </w:r>
      </w:fldSimple>
      <w:bookmarkEnd w:id="220"/>
      <w:r>
        <w:t xml:space="preserve"> </w:t>
      </w:r>
      <w:r w:rsidRPr="00743CF2">
        <w:rPr>
          <w:b w:val="0"/>
        </w:rPr>
        <w:t>a) Velocity profiles and frequency diagram bars (b) of t</w:t>
      </w:r>
      <w:r>
        <w:rPr>
          <w:b w:val="0"/>
        </w:rPr>
        <w:t>he CAD scaffold (left) and the five</w:t>
      </w:r>
      <w:r w:rsidRPr="00743CF2">
        <w:rPr>
          <w:b w:val="0"/>
        </w:rPr>
        <w:t xml:space="preserve"> reconstructed samples (right) at all scaffold layers from layer 1 (top) to layer 5 (bottom).</w:t>
      </w:r>
      <w:bookmarkEnd w:id="221"/>
      <w:bookmarkEnd w:id="222"/>
    </w:p>
    <w:p w:rsidR="005D1052" w:rsidRDefault="005D1052" w:rsidP="005D1052">
      <w:pPr>
        <w:pStyle w:val="Caption"/>
        <w:keepNext/>
        <w:spacing w:after="120"/>
      </w:pPr>
      <w:r>
        <w:rPr>
          <w:noProof/>
          <w:lang w:eastAsia="en-GB"/>
        </w:rPr>
        <w:lastRenderedPageBreak/>
        <w:drawing>
          <wp:inline distT="0" distB="0" distL="0" distR="0" wp14:anchorId="4269E09D" wp14:editId="72DAB0B0">
            <wp:extent cx="5511165" cy="8743202"/>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ar.png"/>
                    <pic:cNvPicPr/>
                  </pic:nvPicPr>
                  <pic:blipFill>
                    <a:blip r:embed="rId71">
                      <a:extLst>
                        <a:ext uri="{28A0092B-C50C-407E-A947-70E740481C1C}">
                          <a14:useLocalDpi xmlns:a14="http://schemas.microsoft.com/office/drawing/2010/main" val="0"/>
                        </a:ext>
                      </a:extLst>
                    </a:blip>
                    <a:stretch>
                      <a:fillRect/>
                    </a:stretch>
                  </pic:blipFill>
                  <pic:spPr>
                    <a:xfrm>
                      <a:off x="0" y="0"/>
                      <a:ext cx="5511165" cy="8743202"/>
                    </a:xfrm>
                    <a:prstGeom prst="rect">
                      <a:avLst/>
                    </a:prstGeom>
                  </pic:spPr>
                </pic:pic>
              </a:graphicData>
            </a:graphic>
          </wp:inline>
        </w:drawing>
      </w:r>
      <w:bookmarkStart w:id="223" w:name="_Ref312108709"/>
    </w:p>
    <w:p w:rsidR="005D1052" w:rsidRDefault="005D1052" w:rsidP="005D1052">
      <w:pPr>
        <w:pStyle w:val="Caption"/>
        <w:spacing w:after="0"/>
      </w:pPr>
      <w:bookmarkStart w:id="224" w:name="_Ref440448459"/>
      <w:bookmarkStart w:id="225" w:name="_Toc438590814"/>
      <w:bookmarkStart w:id="226" w:name="_Toc445718820"/>
      <w:r>
        <w:t xml:space="preserve">Figure </w:t>
      </w:r>
      <w:fldSimple w:instr=" STYLEREF 1 \s ">
        <w:r w:rsidR="00924C7D">
          <w:rPr>
            <w:noProof/>
          </w:rPr>
          <w:t>3</w:t>
        </w:r>
      </w:fldSimple>
      <w:r>
        <w:noBreakHyphen/>
      </w:r>
      <w:fldSimple w:instr=" SEQ Figure \* ARABIC \s 1 ">
        <w:r w:rsidR="00924C7D">
          <w:rPr>
            <w:noProof/>
          </w:rPr>
          <w:t>20</w:t>
        </w:r>
      </w:fldSimple>
      <w:bookmarkEnd w:id="224"/>
      <w:r>
        <w:t xml:space="preserve"> </w:t>
      </w:r>
      <w:r w:rsidRPr="008F0CCE">
        <w:rPr>
          <w:b w:val="0"/>
        </w:rPr>
        <w:t>a) WSS profiles and frequency diagram bars (b) of t</w:t>
      </w:r>
      <w:r>
        <w:rPr>
          <w:b w:val="0"/>
        </w:rPr>
        <w:t>he CAD scaffold (left) and the five</w:t>
      </w:r>
      <w:r w:rsidRPr="008F0CCE">
        <w:rPr>
          <w:b w:val="0"/>
        </w:rPr>
        <w:t xml:space="preserve"> reconstructed samples (right) at all scaffold layers from layer 1 (top) to layer 6 (bottom).</w:t>
      </w:r>
      <w:bookmarkEnd w:id="225"/>
      <w:bookmarkEnd w:id="226"/>
    </w:p>
    <w:bookmarkEnd w:id="223"/>
    <w:p w:rsidR="005D1052" w:rsidRDefault="005D1052" w:rsidP="005D1052">
      <w:pPr>
        <w:pStyle w:val="Caption"/>
        <w:keepNext/>
        <w:spacing w:after="120"/>
      </w:pPr>
      <w:r>
        <w:rPr>
          <w:noProof/>
          <w:lang w:eastAsia="en-GB"/>
        </w:rPr>
        <w:lastRenderedPageBreak/>
        <w:drawing>
          <wp:inline distT="0" distB="0" distL="0" distR="0" wp14:anchorId="4AB93EFB" wp14:editId="3FB20484">
            <wp:extent cx="6189456" cy="8792308"/>
            <wp:effectExtent l="0" t="0" r="190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ocities5times.jpg"/>
                    <pic:cNvPicPr/>
                  </pic:nvPicPr>
                  <pic:blipFill rotWithShape="1">
                    <a:blip r:embed="rId72">
                      <a:extLst>
                        <a:ext uri="{28A0092B-C50C-407E-A947-70E740481C1C}">
                          <a14:useLocalDpi xmlns:a14="http://schemas.microsoft.com/office/drawing/2010/main" val="0"/>
                        </a:ext>
                      </a:extLst>
                    </a:blip>
                    <a:srcRect t="1701" b="1020"/>
                    <a:stretch/>
                  </pic:blipFill>
                  <pic:spPr bwMode="auto">
                    <a:xfrm>
                      <a:off x="0" y="0"/>
                      <a:ext cx="6189456" cy="8792308"/>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pPr>
      <w:bookmarkStart w:id="227" w:name="_Ref312110008"/>
      <w:bookmarkStart w:id="228" w:name="_Toc438590815"/>
      <w:bookmarkStart w:id="229" w:name="_Toc445718821"/>
      <w:r>
        <w:t xml:space="preserve">Figure </w:t>
      </w:r>
      <w:fldSimple w:instr=" STYLEREF 1 \s ">
        <w:r w:rsidR="00924C7D">
          <w:rPr>
            <w:noProof/>
          </w:rPr>
          <w:t>3</w:t>
        </w:r>
      </w:fldSimple>
      <w:r>
        <w:noBreakHyphen/>
      </w:r>
      <w:fldSimple w:instr=" SEQ Figure \* ARABIC \s 1 ">
        <w:r w:rsidR="00924C7D">
          <w:rPr>
            <w:noProof/>
          </w:rPr>
          <w:t>21</w:t>
        </w:r>
      </w:fldSimple>
      <w:bookmarkEnd w:id="227"/>
      <w:r>
        <w:t xml:space="preserve"> </w:t>
      </w:r>
      <w:r w:rsidRPr="0052321C">
        <w:rPr>
          <w:b w:val="0"/>
        </w:rPr>
        <w:t>a) Velocity profiles and velocity frequency diagram bars from the five analyses performed on the same reconstructed sample at all scaffold layers from layer 1 (top) to layer 5 (bottom).</w:t>
      </w:r>
      <w:bookmarkEnd w:id="228"/>
      <w:bookmarkEnd w:id="229"/>
    </w:p>
    <w:p w:rsidR="005D1052" w:rsidRDefault="005D1052" w:rsidP="005D1052">
      <w:pPr>
        <w:spacing w:after="0"/>
        <w:ind w:firstLine="0"/>
        <w:jc w:val="center"/>
      </w:pPr>
      <w:r>
        <w:rPr>
          <w:noProof/>
          <w:lang w:eastAsia="en-GB"/>
        </w:rPr>
        <w:lastRenderedPageBreak/>
        <w:drawing>
          <wp:inline distT="0" distB="0" distL="0" distR="0" wp14:anchorId="2B6413EC" wp14:editId="395D01A7">
            <wp:extent cx="5158596" cy="9013373"/>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s5times.jpg"/>
                    <pic:cNvPicPr/>
                  </pic:nvPicPr>
                  <pic:blipFill rotWithShape="1">
                    <a:blip r:embed="rId73">
                      <a:extLst>
                        <a:ext uri="{28A0092B-C50C-407E-A947-70E740481C1C}">
                          <a14:useLocalDpi xmlns:a14="http://schemas.microsoft.com/office/drawing/2010/main" val="0"/>
                        </a:ext>
                      </a:extLst>
                    </a:blip>
                    <a:srcRect l="2151" t="1515" b="1388"/>
                    <a:stretch/>
                  </pic:blipFill>
                  <pic:spPr bwMode="auto">
                    <a:xfrm>
                      <a:off x="0" y="0"/>
                      <a:ext cx="5164792" cy="9024200"/>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52321C" w:rsidRDefault="005D1052" w:rsidP="005D1052">
      <w:pPr>
        <w:pStyle w:val="Caption"/>
        <w:spacing w:before="0"/>
        <w:rPr>
          <w:b w:val="0"/>
        </w:rPr>
      </w:pPr>
      <w:bookmarkStart w:id="230" w:name="_Ref312110057"/>
      <w:bookmarkStart w:id="231" w:name="_Toc438590816"/>
      <w:bookmarkStart w:id="232" w:name="_Toc445718822"/>
      <w:r>
        <w:t xml:space="preserve">Figure </w:t>
      </w:r>
      <w:fldSimple w:instr=" STYLEREF 1 \s ">
        <w:r w:rsidR="00924C7D">
          <w:rPr>
            <w:noProof/>
          </w:rPr>
          <w:t>3</w:t>
        </w:r>
      </w:fldSimple>
      <w:r>
        <w:noBreakHyphen/>
      </w:r>
      <w:fldSimple w:instr=" SEQ Figure \* ARABIC \s 1 ">
        <w:r w:rsidR="00924C7D">
          <w:rPr>
            <w:noProof/>
          </w:rPr>
          <w:t>22</w:t>
        </w:r>
      </w:fldSimple>
      <w:bookmarkEnd w:id="230"/>
      <w:r>
        <w:t xml:space="preserve"> </w:t>
      </w:r>
      <w:r w:rsidRPr="0052321C">
        <w:rPr>
          <w:b w:val="0"/>
        </w:rPr>
        <w:t>a) WSS profiles and velocity frequency diagram bars from the five analyses performed on the same reconstructed sample at all scaffold layers from layer 1 (top) to layer 6 (bottom).</w:t>
      </w:r>
      <w:bookmarkEnd w:id="231"/>
      <w:bookmarkEnd w:id="232"/>
    </w:p>
    <w:p w:rsidR="005D1052" w:rsidRDefault="005D1052" w:rsidP="005D1052">
      <w:pPr>
        <w:pStyle w:val="Heading1"/>
        <w:sectPr w:rsidR="005D1052" w:rsidSect="00EB11EA">
          <w:headerReference w:type="even" r:id="rId74"/>
          <w:headerReference w:type="default" r:id="rId75"/>
          <w:headerReference w:type="first" r:id="rId76"/>
          <w:pgSz w:w="11900" w:h="16840"/>
          <w:pgMar w:top="567" w:right="851" w:bottom="567" w:left="851" w:header="284" w:footer="709" w:gutter="0"/>
          <w:cols w:space="708"/>
          <w:titlePg/>
          <w:docGrid w:linePitch="360"/>
        </w:sectPr>
      </w:pPr>
    </w:p>
    <w:p w:rsidR="005D1052" w:rsidRPr="002A30C0" w:rsidRDefault="005D1052" w:rsidP="005D1052">
      <w:pPr>
        <w:pStyle w:val="Heading2"/>
      </w:pPr>
      <w:bookmarkStart w:id="233" w:name="_Toc310605607"/>
      <w:bookmarkStart w:id="234" w:name="_Toc310605902"/>
      <w:bookmarkStart w:id="235" w:name="_Toc440823215"/>
      <w:r>
        <w:lastRenderedPageBreak/>
        <w:t>Discussion</w:t>
      </w:r>
      <w:bookmarkEnd w:id="233"/>
      <w:bookmarkEnd w:id="234"/>
      <w:bookmarkEnd w:id="235"/>
      <w:r>
        <w:t xml:space="preserve"> </w:t>
      </w:r>
    </w:p>
    <w:p w:rsidR="005D1052" w:rsidRDefault="005D1052" w:rsidP="005D1052">
      <w:r>
        <w:t xml:space="preserve">The fabrication of TE scaffolds is a challenging step that requires the control over scaffold micro-architecture and the capability to process different biomaterials. RP methods have been introduced in the last years in the TE field due to their feasibility to meet those requirements. However, the fabrication method of RP scaffolds needs to be further investigated for the successful implantation in real clinical scenarios. The fabricated scaffold is aimed to represent the design geometry and performance during in vitro tissue development and after patient-implantation. Limitations in the fabrication process could lead to unexpected </w:t>
      </w:r>
      <w:r w:rsidRPr="00C35AEF">
        <w:t>variations</w:t>
      </w:r>
      <w:r>
        <w:t xml:space="preserve"> in the scaffold architecture affecting the mechanical microenvironment and cell activity. A commercial RP scaffold from 3D Biotek was investigated to identify potential limitations of the fabrication process and their repercussion on tissue development. Five samples were analysed to show the ability of the fabrication method to replicate the original CAD design with no variability from sample-to-sample. The internal structure of the five samples was characterised as well as the local mechanical stimuli under fluid flow.</w:t>
      </w:r>
    </w:p>
    <w:p w:rsidR="005D1052" w:rsidRPr="0082045A" w:rsidRDefault="005D1052" w:rsidP="005D1052">
      <w:pPr>
        <w:pStyle w:val="Heading3"/>
      </w:pPr>
      <w:bookmarkStart w:id="236" w:name="_Toc310605608"/>
      <w:bookmarkStart w:id="237" w:name="_Toc310605903"/>
      <w:bookmarkStart w:id="238" w:name="_Toc440823216"/>
      <w:r w:rsidRPr="0082045A">
        <w:t>Structural analysis</w:t>
      </w:r>
      <w:bookmarkEnd w:id="236"/>
      <w:bookmarkEnd w:id="237"/>
      <w:bookmarkEnd w:id="238"/>
    </w:p>
    <w:p w:rsidR="005D1052" w:rsidRDefault="005D1052" w:rsidP="005D1052">
      <w:r>
        <w:t xml:space="preserve">The commercial scaffold selected for this study was fabricated using the FDM method. The PCL is preheated into a semi-molten temperature and extruded through a nozzle building layers of fibres on top of each other. Once the sheets of fibres are solidified punching is applied to extract the cylindrical scaffolds. The five samples were digitally reconstructed using the collected </w:t>
      </w:r>
      <w:r>
        <w:rPr>
          <w:rFonts w:ascii="Calibri" w:hAnsi="Calibri"/>
        </w:rPr>
        <w:t>µ</w:t>
      </w:r>
      <w:r>
        <w:t xml:space="preserve">CT-image data. All of them show a cone truncated shape instead of a cylindrical geometry. This is due to the punching process that also damages the side part of the samples. This undesired shape served in this study to select the top of the truncated cone scaffold as the first layer of fibres counting up to the sixth layer at the bottom of the scaffold. Furthermore, the five samples show a different internal distribution of fibres from the CAD scaffold. Alternative layers should </w:t>
      </w:r>
      <w:r>
        <w:lastRenderedPageBreak/>
        <w:t xml:space="preserve">present a fibre separation of one fibre diameter distance; however, the separation is only observed at the last two alternative layers at the bottom. This shows the lack of accuracy of the fabrication process to apply the expected fibre separation when building the scaffold bottom-up layer by layer. Furthermore, one of the five samples presents a different internal pattern from the others showing the fibre separation at the upper first two alternative layers and not at last two bottom ones. This could be due to the sheets of fibres being punched on the other side. In addition, the fibres are not perfect cylinders and the fibre diameter is not constant varying up to 200 </w:t>
      </w:r>
      <w:r>
        <w:rPr>
          <w:rFonts w:ascii="Calibri" w:hAnsi="Calibri"/>
        </w:rPr>
        <w:t xml:space="preserve">µm from fibre to fibre as also shown in literature </w:t>
      </w:r>
      <w:r>
        <w:rPr>
          <w:rFonts w:ascii="Calibri" w:hAnsi="Calibri"/>
        </w:rPr>
        <w:fldChar w:fldCharType="begin" w:fldLock="1"/>
      </w:r>
      <w:r>
        <w:rPr>
          <w:rFonts w:ascii="Calibri" w:hAnsi="Calibri"/>
        </w:rPr>
        <w:instrText>ADDIN CSL_CITATION { "citationItems" : [ { "id" : "ITEM-1", "itemData" : { "DOI" : "10.1007/s10439-014-0981-0", "abstract" : "Perfusion bioreactors are known to exert shear stresses on cultured cells, leading to cell differentiation and enhanced extracellular matrix deposition on scaffolds. The influence of the scaffold's porous microstructure is investigated for a polycaprolactone (PCL) scaffold with a regular microarchitecture and a silk fibroin (SF) scaffold with an irregular network of interconnected pores. Their complex 3D geometries are imaged by micro-computed tomography and used in direct pore-level simulations of the entire scaffold-bioreactor system to numerically solve the governing mass and momentum conservation equations for fluid flow through porous media. The velocity field and wall shear stress distribution are determined for both scaffolds. The PCL scaffold exhibited an asymmetric distribution with peak and plateau, while the SF scaffold exhibited a homogenous distribution and conditioned the flow more efficiently than the PCL scaffold. The methodology guides the design and optimization of the scaffold geometry.", "author" : [ { "family" : "Zermatten", "given" : "Emilie" }, { "family" : "Vetsch", "given" : "Jolanda Rita" }, { "family" : "Ruffoni", "given" : "Davide" }, { "family" : "Hofmann", "given" : "Sandra" }, { "family" : "M\u00fcller", "given" : "Ralph" }, { "family" : "Steinfeld", "given" : "Aldo" } ], "container-title" : "Annals of biomedical engineering", "id" : "ITEM-1", "issue" : "5", "issued" : { "date-parts" : [ [ "2014", "5" ] ] }, "page" : "1085-94", "title" : "Micro-computed tomography based computational fluid dynamics for the determination of shear stresses in scaffolds within a perfusion bioreactor.", "type" : "article-journal", "volume" : "42" }, "uris" : [ "http://www.mendeley.com/documents/?uuid=76a609dd-3773-46d6-8e8a-0d596021d549" ] } ], "mendeley" : { "formattedCitation" : "[118]", "plainTextFormattedCitation" : "[118]", "previouslyFormattedCitation" : "[119]" }, "properties" : { "noteIndex" : 0 }, "schema" : "https://github.com/citation-style-language/schema/raw/master/csl-citation.json" }</w:instrText>
      </w:r>
      <w:r>
        <w:rPr>
          <w:rFonts w:ascii="Calibri" w:hAnsi="Calibri"/>
        </w:rPr>
        <w:fldChar w:fldCharType="separate"/>
      </w:r>
      <w:r w:rsidRPr="00A15EFA">
        <w:rPr>
          <w:rFonts w:ascii="Calibri" w:hAnsi="Calibri"/>
          <w:noProof/>
        </w:rPr>
        <w:t>[119]</w:t>
      </w:r>
      <w:r>
        <w:rPr>
          <w:rFonts w:ascii="Calibri" w:hAnsi="Calibri"/>
        </w:rPr>
        <w:fldChar w:fldCharType="end"/>
      </w:r>
      <w:r w:rsidRPr="00113B3D">
        <w:rPr>
          <w:rFonts w:ascii="Calibri" w:hAnsi="Calibri"/>
        </w:rPr>
        <w:t>. T</w:t>
      </w:r>
      <w:r>
        <w:rPr>
          <w:rFonts w:ascii="Calibri" w:hAnsi="Calibri"/>
        </w:rPr>
        <w:t>his modification in the shape of the fibres occurs while they solidify</w:t>
      </w:r>
      <w:r>
        <w:t xml:space="preserve"> as the gravity acts and deforms them. In fact, while the fibres solidify they overlap with the fibres from adjacent layers to maintain inter-layer adhesion. However, the depth of overlap between fibres is not constant, thus the fibres that belong to the same layer are not well aligned.</w:t>
      </w:r>
    </w:p>
    <w:p w:rsidR="005D1052" w:rsidRPr="0082045A" w:rsidRDefault="005D1052" w:rsidP="005D1052">
      <w:pPr>
        <w:pStyle w:val="Heading3"/>
      </w:pPr>
      <w:bookmarkStart w:id="239" w:name="_Toc310605609"/>
      <w:bookmarkStart w:id="240" w:name="_Toc310605904"/>
      <w:bookmarkStart w:id="241" w:name="_Toc440823217"/>
      <w:r w:rsidRPr="0082045A">
        <w:t>CFD study</w:t>
      </w:r>
      <w:bookmarkEnd w:id="239"/>
      <w:bookmarkEnd w:id="240"/>
      <w:bookmarkEnd w:id="241"/>
    </w:p>
    <w:p w:rsidR="005D1052" w:rsidRPr="00D50B09" w:rsidRDefault="005D1052" w:rsidP="005D1052">
      <w:r w:rsidRPr="00D50B09">
        <w:t xml:space="preserve">The architecture of the five samples does not match with the CAD design as shown in the structural analysis. The local scaffold geometry is one of the factors that strongly determine the mechanical stimuli under fluid flow at the cell level. Therefore, in this study it was hypothesised that variations on the geometry of fabricated scaffolds due to the manufacturing process would alter the initial intended-mechanical performance and thereby cell response. To investigate this, a computational methodology was developed to compare the fluid flow velocity and WSS values of the fabricated samples and the CAD design. An in vitro microfluidic scenario under laminar flow was represented in the CFD model since laminar conditions are the most suitable for bone tissue growth as demonstrated in </w:t>
      </w:r>
      <w:r w:rsidRPr="00113B3D">
        <w:t xml:space="preserve">literature </w:t>
      </w:r>
      <w:r w:rsidRPr="00113B3D">
        <w:fldChar w:fldCharType="begin" w:fldLock="1"/>
      </w:r>
      <w:r>
        <w:instrText>ADDIN CSL_CITATION { "citationItems" : [ { "id" : "ITEM-1", "itemData" : { "DOI" : "10.1002/bit.23024", "abstract" : "There is a critical need to increase the size of bone grafts that can be cultured in vitro for use in regenerative medicine. Perfusion bioreactors have been used to improve the nutrient and gas transfer capabilities and reduce the size limitations inherent to static culture, as well as to modulate cellular responses by hydrodynamic shear. Our aim was to understand the effects of medium flow velocity on cellular phenotype and the formation of bone-like tissues in three-dimensional engineered constructs. We utilized custom-designed perfusion bioreactors to culture bone constructs for 5 weeks using a wide range of superficial flow velocities (80, 400, 800, 1,200, and 1,800\u2009\u00b5m/s), corresponding to estimated initial shear stresses ranging from 0.6 to 20\u2009mPa. Increasing the flow velocity significantly affected cell morphology, cell-cell interactions, matrix production and composition, and the expression of osteogenic genes. Within the range studied, the flow velocities ranging from 400 to 800\u2009\u00b5m/s yielded the best overall osteogenic responses. Using mathematical models, we determined that even at the lowest flow velocity (80\u2009\u00b5m/s) the oxygen provided was sufficient to maintain viability of the cells within the construct. Yet it was clear that this flow velocity did not adequately support the development of bone-like tissue. The complexity of the cellular responses found at different flow velocities underscores the need to use a range of evaluation parameters to determine the quality of engineered bone.", "author" : [ { "family" : "Grayson", "given" : "Warren L" }, { "family" : "Marolt", "given" : "Darja" }, { "family" : "Bhumiratana", "given" : "Sarindr" }, { "family" : "Fr\u00f6hlich", "given" : "Mirjam" }, { "family" : "Guo", "given" : "X Edward" }, { "family" : "Vunjak-Novakovic", "given" : "Gordana" } ], "container-title" : "Biotechnology and bioengineering", "id" : "ITEM-1", "issue" : "5", "issued" : { "date-parts" : [ [ "2011", "5" ] ] }, "page" : "1159-70", "title" : "Optimizing the medium perfusion rate in bone tissue engineering bioreactors.", "type" : "article-journal", "volume" : "108" }, "uris" : [ "http://www.mendeley.com/documents/?uuid=0b7c58b5-a35d-4e16-ba7e-dd0cb3ee4101" ] } ], "mendeley" : { "formattedCitation" : "[129]", "manualFormatting" : "[129, ", "plainTextFormattedCitation" : "[129]", "previouslyFormattedCitation" : "[130]" }, "properties" : { "noteIndex" : 0 }, "schema" : "https://github.com/citation-style-language/schema/raw/master/csl-citation.json" }</w:instrText>
      </w:r>
      <w:r w:rsidRPr="00113B3D">
        <w:fldChar w:fldCharType="separate"/>
      </w:r>
      <w:r w:rsidRPr="00113B3D">
        <w:rPr>
          <w:noProof/>
        </w:rPr>
        <w:t>[129</w:t>
      </w:r>
      <w:r>
        <w:rPr>
          <w:noProof/>
        </w:rPr>
        <w:t xml:space="preserve">, </w:t>
      </w:r>
      <w:r w:rsidRPr="00113B3D">
        <w:fldChar w:fldCharType="end"/>
      </w:r>
      <w:r>
        <w:fldChar w:fldCharType="begin" w:fldLock="1"/>
      </w:r>
      <w:r>
        <w:instrText>ADDIN CSL_CITATION { "citationItems" : [ { "id" : "ITEM-1", "itemData" : { "DOI" : "10.1111/j.1582-4934.2012.01545.x", "abstract" : "In many tissue engineering approaches, the basic difference between in vitro and in vivo conditions for cells within three-dimensional (3D) constructs is the nutrition flow dynamics. To achieve comparable results in vitro, bioreactors are advised for improved cell survival, as they are able to provide a controlled flow through the scaffold. We hypothesize that a bioreactor would enhance long-term differentiation conditions of osteogenic cells in 3D scaffolds. To achieve this either primary rat osteoblasts or bone marrow stromal cells (BMSC) were implanted on uniform-sized biphasic calcium phosphate (BCP) scaffolds produced by a 3D printing method. Three types of culture conditions were applied: static culture without osteoinduction (Group A); static culture with osteoinduction (Group B); dynamic culture with osteoinduction (Group C). After 3 and 6\u00a0weeks, the scaffolds were analysed by alkaline phosphatase (ALP), dsDNA amount, SEM, fluorescent labelled live-dead assay, and real-time RT-PCR in addition to weekly alamarBlue assays. With osteoinduction, increased ALP values and calcium deposition are observed; however, under static conditions, a significant decrease in the cell number on the biomaterial is observed. Interestingly, the bioreactor system not only reversed the decreased cell numbers but also increased their differentiation potential. We conclude from this study that a continuous flow bioreactor not only preserves the number of osteogenic cells but also keeps their differentiation ability in balance providing a suitable cell-seeded scaffold product for applications in regenerative medicine.", "author" : [ { "family" : "Rath", "given" : "Subha N" }, { "family" : "Strobel", "given" : "Leonie a" }, { "family" : "Arkudas", "given" : "Andreas" }, { "family" : "Beier", "given" : "Justus P" }, { "family" : "Maier", "given" : "Anne-Kathrin" }, { "family" : "Greil", "given" : "Peter" }, { "family" : "Horch", "given" : "Raymund E" }, { "family" : "Kneser", "given" : "Ulrich" } ], "container-title" : "Journal of cellular and molecular medicine", "id" : "ITEM-1", "issue" : "10", "issued" : { "date-parts" : [ [ "2012", "10" ] ] }, "page" : "2350-61", "title" : "Osteoinduction and survival of osteoblasts and bone-marrow stromal cells in 3D biphasic calcium phosphate scaffolds under static and dynamic culture conditions.", "type" : "article-journal", "volume" : "16" }, "uris" : [ "http://www.mendeley.com/documents/?uuid=caf2b7db-269b-4642-855e-d6830fe54102" ] } ], "mendeley" : { "formattedCitation" : "[154]", "manualFormatting" : "149]", "plainTextFormattedCitation" : "[154]", "previouslyFormattedCitation" : "[155]" }, "properties" : { "noteIndex" : 0 }, "schema" : "https://github.com/citation-style-language/schema/raw/master/csl-citation.json" }</w:instrText>
      </w:r>
      <w:r>
        <w:fldChar w:fldCharType="separate"/>
      </w:r>
      <w:r w:rsidRPr="00113B3D">
        <w:rPr>
          <w:noProof/>
        </w:rPr>
        <w:t>149]</w:t>
      </w:r>
      <w:r>
        <w:fldChar w:fldCharType="end"/>
      </w:r>
      <w:r w:rsidRPr="00113B3D">
        <w:t>.</w:t>
      </w:r>
      <w:r w:rsidRPr="00D50B09">
        <w:t xml:space="preserve"> The CFD solution supports this assumption as the local Reynolds number inside the scaffold pores is 10. The CFD study shows that the velocity and WSS profiles inside the CAD scaffold are regular and constant in all layers. As the pore size and pore distribution vary inside the five samples they all present irregular velocity and WSS profiles that differ from layer-</w:t>
      </w:r>
      <w:r w:rsidRPr="00D50B09">
        <w:lastRenderedPageBreak/>
        <w:t xml:space="preserve">to-layer and also among samples. The fact that no similar patterns are found between samples highlights the lack of repeatability in the fabrication process. </w:t>
      </w:r>
    </w:p>
    <w:p w:rsidR="005D1052" w:rsidRPr="00D50B09" w:rsidRDefault="005D1052" w:rsidP="005D1052">
      <w:r w:rsidRPr="00D50B09">
        <w:t xml:space="preserve">The same cylinder dimensions were used to enclose all the µCT- reconstructed samples and the CAD scaffold. In the case of the CAD scaffold, the distance between the wall cylinder and the scaffold side was constant around </w:t>
      </w:r>
      <w:r>
        <w:t>it</w:t>
      </w:r>
      <w:r w:rsidRPr="00D50B09">
        <w:t xml:space="preserve"> as it has a perfect circular profile. However, this does not occur to the five </w:t>
      </w:r>
      <w:r>
        <w:t>samples since the damage caused</w:t>
      </w:r>
      <w:r w:rsidRPr="00D50B09">
        <w:t xml:space="preserve"> during punching at the scaffold periphery makes the </w:t>
      </w:r>
      <w:r>
        <w:t xml:space="preserve">scaffold diameter and the </w:t>
      </w:r>
      <w:r w:rsidRPr="00D50B09">
        <w:t>cylinder-scaffold gap irregular</w:t>
      </w:r>
      <w:r>
        <w:t>. These irregularities</w:t>
      </w:r>
      <w:r w:rsidRPr="00D50B09">
        <w:t xml:space="preserve"> at the scaffold-cylinder side</w:t>
      </w:r>
      <w:r>
        <w:t xml:space="preserve"> alter the velocity and WSS profiles;</w:t>
      </w:r>
      <w:r w:rsidRPr="0027681E">
        <w:t xml:space="preserve"> </w:t>
      </w:r>
      <w:r w:rsidRPr="00D50B09">
        <w:t>higher values are found at the outer part in a random manner</w:t>
      </w:r>
      <w:r>
        <w:t>. This variability can</w:t>
      </w:r>
      <w:r w:rsidRPr="00D50B09">
        <w:t xml:space="preserve"> also</w:t>
      </w:r>
      <w:r>
        <w:t xml:space="preserve"> be</w:t>
      </w:r>
      <w:r w:rsidRPr="00D50B09">
        <w:t xml:space="preserve"> found in in vitro experiments in the same manner. In cell culture studies, scaffold samples are fitted in commercial standard tubes with fixed diameter however they could present empty spaces between the wall of the tube and the scaffold due to irregularities in the scaffold geometry inducing the fluid flow passing by, instead of perfusing the scaffold pores. </w:t>
      </w:r>
    </w:p>
    <w:p w:rsidR="005D1052" w:rsidRDefault="005D1052" w:rsidP="005D1052">
      <w:r w:rsidRPr="00D50B09">
        <w:t xml:space="preserve">µPIV data from an in vitro model would be necessary for the validation of the CFD simulations. However, the purpose of this study was to assess the variability in the local fluid dynamics due to scaffold geometry rather than predicting the physiological conditions. Thus, the exact same boundary conditions </w:t>
      </w:r>
      <w:r>
        <w:t>were</w:t>
      </w:r>
      <w:r w:rsidRPr="00D50B09">
        <w:t xml:space="preserve"> applied regardless </w:t>
      </w:r>
      <w:r>
        <w:t>of being</w:t>
      </w:r>
      <w:r w:rsidRPr="00D50B09">
        <w:t xml:space="preserve"> realistic or not to all scaffolds</w:t>
      </w:r>
      <w:r>
        <w:t>,</w:t>
      </w:r>
      <w:r w:rsidRPr="00D50B09">
        <w:t xml:space="preserve"> ensuring that the only source of variability is the scaffold geometry which is the key aspect of this study. It is noteworthy to mention that the final geometry of µCT-based scaffolds could be affected by the partial-volume effect generated by the voxel size selected. Moreover, this effect becomes more significant for the adequate digital reconstruction of the scaffold substrate roughness that could potentially induce different cell response.</w:t>
      </w:r>
    </w:p>
    <w:p w:rsidR="005D1052" w:rsidRPr="0082045A" w:rsidRDefault="005D1052" w:rsidP="005D1052">
      <w:pPr>
        <w:pStyle w:val="Heading3"/>
      </w:pPr>
      <w:bookmarkStart w:id="242" w:name="_Toc310605610"/>
      <w:bookmarkStart w:id="243" w:name="_Toc310605905"/>
      <w:bookmarkStart w:id="244" w:name="_Toc440823218"/>
      <w:r w:rsidRPr="0082045A">
        <w:t>Sensitivity analysis of the methodology presented</w:t>
      </w:r>
      <w:bookmarkEnd w:id="242"/>
      <w:bookmarkEnd w:id="243"/>
      <w:bookmarkEnd w:id="244"/>
    </w:p>
    <w:p w:rsidR="005D1052" w:rsidRDefault="005D1052" w:rsidP="005D1052">
      <w:r>
        <w:t xml:space="preserve">Variability in the local fluid dynamics of the five samples due to the fabrication process is reported. However, the methodology developed to analyse the five samples </w:t>
      </w:r>
      <w:r>
        <w:lastRenderedPageBreak/>
        <w:t xml:space="preserve">may contribute to the variability found in this study. The analysis of the samples involved few steps from the </w:t>
      </w:r>
      <w:r>
        <w:rPr>
          <w:rFonts w:ascii="Calibri" w:hAnsi="Calibri"/>
        </w:rPr>
        <w:t>µ</w:t>
      </w:r>
      <w:r>
        <w:t xml:space="preserve">CT scanning up to the data collection in the CFD post processing. Each step could be a source of error such as the filtering and segmentation of the </w:t>
      </w:r>
      <w:r>
        <w:rPr>
          <w:rFonts w:ascii="Calibri" w:hAnsi="Calibri"/>
        </w:rPr>
        <w:t>µ</w:t>
      </w:r>
      <w:r>
        <w:t xml:space="preserve">CT raw images or the extraction of velocity or WSS data from locations manually picked. Therefore, the same sample was investigated five times to assess the level of uncertainty that could be originated from the methodology proposed. The same sample was reconstructed five times from scratch and a new CFD analysis was performed each time. When observing the velocity and WSS profiles of the five analyses it seems that there is no significant variability although the statistical analyses only proved significant agreement between the five cases in terms of fluid velocities, but no WSS. The sensitivity analysis shows that the main source of variability comes from the CFD-post processing especially from the WSS measurements. The WSS values are extracted from the scaffold at the intersection of a plane crossing the centre of fibres within one layer with the scaffold surface as shown in </w:t>
      </w:r>
      <w:r>
        <w:fldChar w:fldCharType="begin"/>
      </w:r>
      <w:r>
        <w:instrText xml:space="preserve"> REF _Ref440467723 \h </w:instrText>
      </w:r>
      <w:r>
        <w:fldChar w:fldCharType="separate"/>
      </w:r>
      <w:r w:rsidR="00924C7D">
        <w:t xml:space="preserve">Figure </w:t>
      </w:r>
      <w:r w:rsidR="00924C7D">
        <w:rPr>
          <w:noProof/>
        </w:rPr>
        <w:t>A</w:t>
      </w:r>
      <w:r w:rsidR="00924C7D">
        <w:noBreakHyphen/>
      </w:r>
      <w:r w:rsidR="00924C7D">
        <w:rPr>
          <w:noProof/>
        </w:rPr>
        <w:t>I</w:t>
      </w:r>
      <w:r>
        <w:fldChar w:fldCharType="end"/>
      </w:r>
      <w:r>
        <w:t xml:space="preserve"> in the appendix. Due to the irregular overlapping between layers as observed in the structural analysis, the intersections from where the WSS values are extracted cross different parts of the fibres which complicates the comparison between the five analysis at the same location. These results identify the key aspects to be improved in the inspection protocol presented in order to design a consistent methodology able to report the variability due to the morphology of the samples.</w:t>
      </w:r>
    </w:p>
    <w:p w:rsidR="005D1052" w:rsidRPr="008B08D3" w:rsidRDefault="005D1052" w:rsidP="005D1052">
      <w:pPr>
        <w:pStyle w:val="Heading3"/>
      </w:pPr>
      <w:bookmarkStart w:id="245" w:name="_Toc310605611"/>
      <w:bookmarkStart w:id="246" w:name="_Toc310605906"/>
      <w:bookmarkStart w:id="247" w:name="_Toc440823219"/>
      <w:r w:rsidRPr="008B08D3">
        <w:t xml:space="preserve">Variability </w:t>
      </w:r>
      <w:r>
        <w:t>in</w:t>
      </w:r>
      <w:r w:rsidRPr="008B08D3">
        <w:t xml:space="preserve"> cell response</w:t>
      </w:r>
      <w:bookmarkEnd w:id="245"/>
      <w:bookmarkEnd w:id="246"/>
      <w:bookmarkEnd w:id="247"/>
    </w:p>
    <w:p w:rsidR="005D1052" w:rsidRDefault="005D1052" w:rsidP="005D1052">
      <w:r>
        <w:t>It is unknown whether the variations found</w:t>
      </w:r>
      <w:r w:rsidRPr="00C55927">
        <w:t xml:space="preserve"> </w:t>
      </w:r>
      <w:r>
        <w:t xml:space="preserve">herein in terms of WSS would imply cell response variability. In the literature, there is no agreement yet on what range of shear stresses could alter cell behaviour. A multishear perfusion device was developed by Weiliang et al. </w:t>
      </w:r>
      <w:r>
        <w:fldChar w:fldCharType="begin" w:fldLock="1"/>
      </w:r>
      <w:r>
        <w:instrText>ADDIN CSL_CITATION { "citationItems" : [ { "id" : "ITEM-1", "itemData" : { "DOI" : "10.1371/journal.pone.0089966", "abstract" : "Interstitial fluid flow (IFF) within the extracellular matrix (ECM) produces low magnitude shear stresses on cells. Fluid flow-induced stress (FSS) plays an important role during tissue morphogenesis. To investigate the effect of low FSS generated by IFF on cells, we developed a microfluidic-based cell culture device that can generate multiple low shear stresses. By changing the length and width of the flow-in channels, different continuous low level shear stresses could be generated in individual cell culture chambers. Numerical calculations demonstrate uniform shear stress distributions of the major cell culture area of each chamber. This calculation is further confirmed by the wall shear stress curves. The effects of low FSS on MC3T3-E1 proliferation and differentiation were studied using this device. It was found that FSS ranging from 1.5 to 52.6 \u00b5Pa promoted MC3T3-E1 proliferation and differentiation, but FSS over 412 \u00b5Pa inhibited the proliferation and differentiation of MC3T3-E1 cells. FSS ranging from 1.5 to 52.6 \u00b5Pa also increased the expression of Runx2, a key transcription factor regulating osteoblast differentiation. It is suggested that Runx2 might be an important regulator in low FSS-induced MC3T3-E1 differentiation. This device allows for detailed study of the effect of low FSS on the behaviors of cells; thus, it would be a useful tool for analysis of the effects of IFF-induced shear stresses on cells.", "author" : [ { "family" : "Yu", "given" : "Weiliang" }, { "family" : "Qu", "given" : "Hong" }, { "family" : "Hu", "given" : "Guoqing" }, { "family" : "Zhang", "given" : "Qian" }, { "family" : "Song", "given" : "Kui" }, { "family" : "Guan", "given" : "Haijie" }, { "family" : "Liu", "given" : "Tingjiao" }, { "family" : "Qin", "given" : "Jianhua" } ], "container-title" : "PloS one", "id" : "ITEM-1", "issue" : "2", "issued" : { "date-parts" : [ [ "2014", "1" ] ] }, "page" : "e89966", "title" : "A microfluidic-based multi-shear device for investigating the effects of low fluid-induced stresses on osteoblasts.", "type" : "article-journal", "volume" : "9" }, "uris" : [ "http://www.mendeley.com/documents/?uuid=9f95d748-f97a-4326-bef1-1c34857318a9" ] } ], "mendeley" : { "formattedCitation" : "[155]", "plainTextFormattedCitation" : "[155]", "previouslyFormattedCitation" : "[156]" }, "properties" : { "noteIndex" : 0 }, "schema" : "https://github.com/citation-style-language/schema/raw/master/csl-citation.json" }</w:instrText>
      </w:r>
      <w:r>
        <w:fldChar w:fldCharType="separate"/>
      </w:r>
      <w:r w:rsidRPr="00A15EFA">
        <w:rPr>
          <w:noProof/>
        </w:rPr>
        <w:t>[156]</w:t>
      </w:r>
      <w:r>
        <w:fldChar w:fldCharType="end"/>
      </w:r>
      <w:r>
        <w:t xml:space="preserve"> to address this question permitting the analysis of cell constructs at different shear stress levels. It was found that the proliferation and differentiation as well as the expression of Runx2 of MCT3T3-E1 cells can be enhanced by applying low shear stresses (1.5-52.6</w:t>
      </w:r>
      <w:r>
        <w:rPr>
          <w:rFonts w:ascii="Calibri" w:hAnsi="Calibri"/>
        </w:rPr>
        <w:t>·</w:t>
      </w:r>
      <w:r>
        <w:t>10</w:t>
      </w:r>
      <w:r w:rsidRPr="00C93193">
        <w:rPr>
          <w:vertAlign w:val="superscript"/>
        </w:rPr>
        <w:t>-6</w:t>
      </w:r>
      <w:r>
        <w:t xml:space="preserve"> Pa). On the other hand, fluid-induced stresses over 4.12</w:t>
      </w:r>
      <w:r>
        <w:rPr>
          <w:rFonts w:ascii="Calibri" w:hAnsi="Calibri"/>
        </w:rPr>
        <w:t>·</w:t>
      </w:r>
      <w:r>
        <w:t>10</w:t>
      </w:r>
      <w:r>
        <w:rPr>
          <w:vertAlign w:val="superscript"/>
        </w:rPr>
        <w:t>-</w:t>
      </w:r>
      <w:r w:rsidRPr="00C93193">
        <w:rPr>
          <w:vertAlign w:val="superscript"/>
        </w:rPr>
        <w:lastRenderedPageBreak/>
        <w:t>4</w:t>
      </w:r>
      <w:r>
        <w:t xml:space="preserve"> Pa have contrary effects. </w:t>
      </w:r>
      <w:r w:rsidRPr="00C55927">
        <w:t xml:space="preserve">Zhao et al. </w:t>
      </w:r>
      <w:r>
        <w:fldChar w:fldCharType="begin" w:fldLock="1"/>
      </w:r>
      <w:r>
        <w:instrText>ADDIN CSL_CITATION { "citationItems" : [ { "id" : "ITEM-1", "itemData" : { "DOI" : "10.1002/bit", "author" : [ { "family" : "Zhao", "given" : "Feng" }, { "family" : "Chella", "given" : "Ravindran" }, { "family" : "Ma", "given" : "Teng" } ], "id" : "ITEM-1", "issue" : "3", "issued" : { "date-parts" : [ [ "2007" ] ] }, "page" : "584-595", "title" : "Effects of Shear Stress on 3-D Human Mesenchymal Stem Cell Construct Development in a Perfusion Bioreactor System : Experiments and Hydrodynamic Modeling", "type" : "article-journal", "volume" : "96" }, "uris" : [ "http://www.mendeley.com/documents/?uuid=525e2037-47ec-46e4-a8c6-86dfbef3bb61" ] } ], "mendeley" : { "formattedCitation" : "[112]", "plainTextFormattedCitation" : "[112]", "previouslyFormattedCitation" : "[113]" }, "properties" : { "noteIndex" : 0 }, "schema" : "https://github.com/citation-style-language/schema/raw/master/csl-citation.json" }</w:instrText>
      </w:r>
      <w:r>
        <w:fldChar w:fldCharType="separate"/>
      </w:r>
      <w:r w:rsidRPr="00A15EFA">
        <w:rPr>
          <w:noProof/>
        </w:rPr>
        <w:t>[113]</w:t>
      </w:r>
      <w:r>
        <w:fldChar w:fldCharType="end"/>
      </w:r>
      <w:r w:rsidRPr="00C55927">
        <w:t xml:space="preserve"> investigated the effect of shear stresses </w:t>
      </w:r>
      <w:r>
        <w:t xml:space="preserve">ranging </w:t>
      </w:r>
      <w:r w:rsidRPr="00C55927">
        <w:t>from 1</w:t>
      </w:r>
      <w:r w:rsidRPr="00C55927">
        <w:rPr>
          <w:rFonts w:ascii="Calibri" w:hAnsi="Calibri"/>
        </w:rPr>
        <w:t>·</w:t>
      </w:r>
      <w:r w:rsidRPr="00C55927">
        <w:t>10</w:t>
      </w:r>
      <w:r w:rsidRPr="00C55927">
        <w:rPr>
          <w:vertAlign w:val="superscript"/>
        </w:rPr>
        <w:t>-5</w:t>
      </w:r>
      <w:r w:rsidRPr="00C55927">
        <w:t>-1</w:t>
      </w:r>
      <w:r w:rsidRPr="00C55927">
        <w:rPr>
          <w:rFonts w:ascii="Calibri" w:hAnsi="Calibri"/>
        </w:rPr>
        <w:t>·</w:t>
      </w:r>
      <w:r w:rsidRPr="00C55927">
        <w:t>10</w:t>
      </w:r>
      <w:r w:rsidRPr="00C55927">
        <w:rPr>
          <w:vertAlign w:val="superscript"/>
        </w:rPr>
        <w:t>-4</w:t>
      </w:r>
      <w:r>
        <w:t xml:space="preserve"> Pa on</w:t>
      </w:r>
      <w:r w:rsidRPr="00C55927">
        <w:t xml:space="preserve"> hMSCs</w:t>
      </w:r>
      <w:r>
        <w:t xml:space="preserve"> stating that l</w:t>
      </w:r>
      <w:r w:rsidRPr="00586B32">
        <w:t xml:space="preserve">ower </w:t>
      </w:r>
      <w:r>
        <w:t xml:space="preserve">shear </w:t>
      </w:r>
      <w:r w:rsidRPr="00586B32">
        <w:t xml:space="preserve">values promote </w:t>
      </w:r>
      <w:r w:rsidRPr="007B74EF">
        <w:t>proliferation</w:t>
      </w:r>
      <w:r>
        <w:rPr>
          <w:color w:val="C00000"/>
        </w:rPr>
        <w:t xml:space="preserve"> </w:t>
      </w:r>
      <w:r>
        <w:t>and higher values upregulate osteogenesis</w:t>
      </w:r>
      <w:r w:rsidRPr="007B74EF">
        <w:t xml:space="preserve">. </w:t>
      </w:r>
      <w:r>
        <w:t>Levels of s</w:t>
      </w:r>
      <w:r w:rsidRPr="005A3CD6">
        <w:t xml:space="preserve">hear </w:t>
      </w:r>
      <w:r>
        <w:t>stress</w:t>
      </w:r>
      <w:r w:rsidRPr="005A3CD6">
        <w:t xml:space="preserve"> </w:t>
      </w:r>
      <w:r>
        <w:t xml:space="preserve">within the same order of magnitude that the ones calculated in this study </w:t>
      </w:r>
      <w:r w:rsidRPr="005A3CD6">
        <w:t xml:space="preserve">were </w:t>
      </w:r>
      <w:r>
        <w:t>imposed by</w:t>
      </w:r>
      <w:r>
        <w:rPr>
          <w:b/>
        </w:rPr>
        <w:t xml:space="preserve"> </w:t>
      </w:r>
      <w:r w:rsidRPr="00334C01">
        <w:t>Rotenberg et al.</w:t>
      </w:r>
      <w:r>
        <w:rPr>
          <w:b/>
        </w:rPr>
        <w:t xml:space="preserve"> </w:t>
      </w:r>
      <w:r>
        <w:rPr>
          <w:b/>
        </w:rPr>
        <w:fldChar w:fldCharType="begin" w:fldLock="1"/>
      </w:r>
      <w:r>
        <w:rPr>
          <w:b/>
        </w:rPr>
        <w:instrText>ADDIN CSL_CITATION { "citationItems" : [ { "id" : "ITEM-1", "itemData" : { "DOI" : "10.1039/c2lc40144d", "abstract" : "Tissue engineering research is increasingly relying on the use of advanced cultivation technologies that provide rigorously-controlled cell microenvironments. Herein, we describe the features of a micro-fabricated Multi-Shear Perfusion Bioreactor (MSPB) designed to deliver up to six different levels of physiologically-relevant shear stresses (1-13 dyne cm(-2)) to six cell constructs simultaneously, during a single run. To attain a homogeneous fluid flow within each construct, flow-distributing nets photo-etched with a set of openings for fluid flow were placed up- and down-stream from each construct. Human umbilical vein endothelial cells (HUVECs) seeded in alginate scaffolds within the MSPB and subjected to three different levels of shear stress for 24 h, responded accordingly by expressing three different levels of the membranal marker Intercellular Adhesion Molecule 1 (ICAM-1) and the phosphorylated endothelial nitric oxide synthetase (eNOS). A longer period of cultivation, 17 d, under two different levels of shear stress resulted in different lengths of cell sprouts within the constructs. Collectively, the HUVEC behaviour within the different constructs confirms the feasibility of using the MSPB system for simultaneously imposing different shear stress levels, and for validating the flow regime in the bioreactor vessel as assessed by the computational fluid dynamic (CFD) model.", "author" : [ { "family" : "Rotenberg", "given" : "Menahem Y" }, { "family" : "Ruvinov", "given" : "Emil" }, { "family" : "Armoza", "given" : "Anna" }, { "family" : "Cohen", "given" : "Smadar" } ], "container-title" : "Lab on a chip", "id" : "ITEM-1", "issue" : "15", "issued" : { "date-parts" : [ [ "2012", "8", "7" ] ] }, "page" : "2696-703", "title" : "A multi-shear perfusion bioreactor for investigating shear stress effects in endothelial cell constructs.", "type" : "article-journal", "volume" : "12" }, "uris" : [ "http://www.mendeley.com/documents/?uuid=8534a81b-afe3-4a20-bca3-915f6e7001a5" ] } ], "mendeley" : { "formattedCitation" : "[156]", "plainTextFormattedCitation" : "[156]", "previouslyFormattedCitation" : "[157]" }, "properties" : { "noteIndex" : 0 }, "schema" : "https://github.com/citation-style-language/schema/raw/master/csl-citation.json" }</w:instrText>
      </w:r>
      <w:r>
        <w:rPr>
          <w:b/>
        </w:rPr>
        <w:fldChar w:fldCharType="separate"/>
      </w:r>
      <w:r w:rsidRPr="00A15EFA">
        <w:rPr>
          <w:noProof/>
        </w:rPr>
        <w:t>[157]</w:t>
      </w:r>
      <w:r>
        <w:rPr>
          <w:b/>
        </w:rPr>
        <w:fldChar w:fldCharType="end"/>
      </w:r>
      <w:r>
        <w:rPr>
          <w:b/>
        </w:rPr>
        <w:t xml:space="preserve"> </w:t>
      </w:r>
      <w:r>
        <w:t xml:space="preserve">to </w:t>
      </w:r>
      <w:r w:rsidRPr="005A3CD6">
        <w:t>human umbilical vein endothelial</w:t>
      </w:r>
      <w:r w:rsidRPr="00CC296D">
        <w:t>.</w:t>
      </w:r>
      <w:r>
        <w:rPr>
          <w:b/>
        </w:rPr>
        <w:t xml:space="preserve"> </w:t>
      </w:r>
      <w:r>
        <w:t>C</w:t>
      </w:r>
      <w:r w:rsidRPr="005A3CD6">
        <w:t>ells</w:t>
      </w:r>
      <w:r>
        <w:t xml:space="preserve"> showed</w:t>
      </w:r>
      <w:r w:rsidRPr="00BF760C">
        <w:t xml:space="preserve"> </w:t>
      </w:r>
      <w:r w:rsidRPr="00CC296D">
        <w:t xml:space="preserve">shear dependent expression levels of intercellular adhesion molecule-1 and the endothelial nitric oxide synthetase from static conditions up to 0.9 Pa. Another study also investigated the effect of shear stress values within this order of magnitude on the differentiation of MSCs. It was found that when subjected to 0.25 Pa they differentiate into endothelial cells whereas under 1 Pa they showed high markers levels linked to smooth muscle cells </w:t>
      </w:r>
      <w:r w:rsidRPr="00CC296D">
        <w:fldChar w:fldCharType="begin" w:fldLock="1"/>
      </w:r>
      <w:r>
        <w:instrText>ADDIN CSL_CITATION { "citationItems" : [ { "id" : "ITEM-1", "itemData" : { "DOI" : "10.1007/s10529-011-0706-5", "ISBN" : "1052901107", "abstract" : "Human mesenchymal stem cells (MSC) were seeded onto the inner surface of a tubular silicon construct and, after 24 h, were exposed to a shearing stress of either 2.5 or 10 dyne/cm(2) for 1 day. The fluid contained endothelial growth factors in both cases. Morphological changes and cytoskeletal rearrangements were observed in the stimulated cells. Immunofluorescence staining showed that low (2.5 dyne/cm(2)) and high shear stress (10 dyne/cm(2)) resulted in the expression of von Willebrand factor (vWF) and calponin, respectively. At low shear stress, CD31 (PECAM-1) was significantly expressed whereas vWF and KDR expression was only slightly higher than those under 10 dyne/cm(2). All three markers related to smooth muscle cells (myocardin, myosin heavy chain, and SM-22\u03b1) had significantly higher expression under shear stress of 10 dyne/cm(2) compared with a 2.5 dyne/cm(2), even in endothelial growth medium. Shear stress plays a critical role in regulating MSC differentiation and must be considered for bioengineered blood vessels.", "author" : [ { "family" : "Kim", "given" : "Dong Hwa" }, { "family" : "Heo", "given" : "Su-Jin" }, { "family" : "Kim", "given" : "Su-Hyang" }, { "family" : "Shin", "given" : "Ji Won" }, { "family" : "Park", "given" : "So Hee" }, { "family" : "Shin", "given" : "Jung-Woog" } ], "container-title" : "Biotechnology letters", "id" : "ITEM-1", "issue" : "12", "issued" : { "date-parts" : [ [ "2011", "12" ] ] }, "page" : "2351-9", "title" : "Shear stress magnitude is critical in regulating the differentiation of mesenchymal stem cells even with endothelial growth medium.", "type" : "article-journal", "volume" : "33" }, "uris" : [ "http://www.mendeley.com/documents/?uuid=5ad3a973-b059-4ee7-96a1-e1512c709c1f" ] } ], "mendeley" : { "formattedCitation" : "[157]", "plainTextFormattedCitation" : "[157]", "previouslyFormattedCitation" : "[158]" }, "properties" : { "noteIndex" : 0 }, "schema" : "https://github.com/citation-style-language/schema/raw/master/csl-citation.json" }</w:instrText>
      </w:r>
      <w:r w:rsidRPr="00CC296D">
        <w:fldChar w:fldCharType="separate"/>
      </w:r>
      <w:r w:rsidRPr="00CC296D">
        <w:rPr>
          <w:noProof/>
        </w:rPr>
        <w:t>[158]</w:t>
      </w:r>
      <w:r w:rsidRPr="00CC296D">
        <w:fldChar w:fldCharType="end"/>
      </w:r>
      <w:r w:rsidRPr="00CC296D">
        <w:t>.</w:t>
      </w:r>
      <w:r>
        <w:t xml:space="preserve"> These studies suggest that the range of WSS variability reported in this chapter could induce changes in cell mechano-response. However, there is no clear understanding on how shear stress under fluid flow modifies the cell mechanoresponse. Moreover, the fact that cells hold intrinsic variability being able to respond differently under identical conditions makes more difficult to tackle this question.</w:t>
      </w:r>
    </w:p>
    <w:p w:rsidR="005D1052" w:rsidRDefault="005D1052" w:rsidP="005D1052">
      <w:r>
        <w:t xml:space="preserve">The variability of local velocities can also influence cell response. Pore velocities affect the transport of nutrients and oxygen to the cells attached to the scaffold substrate. Therefore, in the case of irregular velocity profiles not all the cells will be exposed to an adequate amount of solutes required to ensure their viability. In addition, cell </w:t>
      </w:r>
      <w:r w:rsidRPr="00764225">
        <w:t>seeding</w:t>
      </w:r>
      <w:r>
        <w:t xml:space="preserve"> under heterogeneous velocity profiles can result in an i</w:t>
      </w:r>
      <w:r w:rsidRPr="00764225">
        <w:t xml:space="preserve">rregular </w:t>
      </w:r>
      <w:r>
        <w:t>distribution</w:t>
      </w:r>
      <w:r w:rsidRPr="00764225">
        <w:t xml:space="preserve"> </w:t>
      </w:r>
      <w:r>
        <w:t>of cells inside the scaffold and those cells in direct contact with the fluid could induce variations in the local fluid flow.</w:t>
      </w:r>
    </w:p>
    <w:p w:rsidR="005D1052" w:rsidRPr="00FB2164" w:rsidRDefault="005D1052" w:rsidP="005D1052">
      <w:r w:rsidRPr="000D473F">
        <w:t xml:space="preserve">Despite the potential of the methodology presented to evaluate the variability of the local </w:t>
      </w:r>
      <w:r w:rsidRPr="00D50B09">
        <w:t xml:space="preserve">mechanical stimuli due to imperfections in the scaffold geometry, this study lacks of experimental validation to determine the actual repercussion on cell activity. The use of the same five samples reconstructed with µCT images in in vitro experiments would be advantageous in order to relate the calculated shear stresses to cellular events </w:t>
      </w:r>
      <w:r w:rsidRPr="00D50B09">
        <w:lastRenderedPageBreak/>
        <w:t>throughout the entire scaffold structure. A first approach was followed by Jae et al</w:t>
      </w:r>
      <w:r w:rsidRPr="002D246E">
        <w:t xml:space="preserve">. </w:t>
      </w:r>
      <w:r w:rsidRPr="002D246E">
        <w:fldChar w:fldCharType="begin" w:fldLock="1"/>
      </w:r>
      <w:r>
        <w:instrText>ADDIN CSL_CITATION { "citationItems" : [ { "id" : "ITEM-1", "itemData" : { "DOI" : "10.1016/j.biomaterials.2013.04.023", "author" : [ { "family" : "Jae", "given" : "Min" }, { "family" : "Dean", "given" : "David" }, { "family" : "Knothe", "given" : "Melissa L" } ], "container-title" : "Biomaterials", "id" : "ITEM-1", "issue" : "23", "issued" : { "date-parts" : [ [ "2013" ] ] }, "page" : "5766-5775", "publisher" : "Elsevier Ltd", "title" : "Biomaterials Mechanical modulation of nascent stem cell lineage commitment in tissue engineering scaffolds", "type" : "article-journal", "volume" : "34" }, "uris" : [ "http://www.mendeley.com/documents/?uuid=2238dcfd-f671-4b4f-9a0d-49679ebffea8" ] } ], "mendeley" : { "formattedCitation" : "[139]", "plainTextFormattedCitation" : "[139]", "previouslyFormattedCitation" : "[140]" }, "properties" : { "noteIndex" : 0 }, "schema" : "https://github.com/citation-style-language/schema/raw/master/csl-citation.json" }</w:instrText>
      </w:r>
      <w:r w:rsidRPr="002D246E">
        <w:fldChar w:fldCharType="separate"/>
      </w:r>
      <w:r w:rsidRPr="00A15EFA">
        <w:rPr>
          <w:noProof/>
        </w:rPr>
        <w:t>[140]</w:t>
      </w:r>
      <w:r w:rsidRPr="002D246E">
        <w:fldChar w:fldCharType="end"/>
      </w:r>
      <w:r>
        <w:t xml:space="preserve"> by measuring</w:t>
      </w:r>
      <w:r w:rsidRPr="00D50B09">
        <w:t xml:space="preserve"> the genetic markers of cells under the applied shear stress that was previously calculated with CFD </w:t>
      </w:r>
      <w:r>
        <w:t>so</w:t>
      </w:r>
      <w:r w:rsidRPr="00D50B09">
        <w:t xml:space="preserve"> a reference library</w:t>
      </w:r>
      <w:r>
        <w:t xml:space="preserve"> of mechanical stimuli and cell phenotype could be created.</w:t>
      </w:r>
    </w:p>
    <w:p w:rsidR="005D1052" w:rsidRDefault="005D1052" w:rsidP="005D1052">
      <w:pPr>
        <w:pStyle w:val="Heading3"/>
      </w:pPr>
      <w:bookmarkStart w:id="248" w:name="_Toc310605612"/>
      <w:bookmarkStart w:id="249" w:name="_Toc310605907"/>
      <w:bookmarkStart w:id="250" w:name="_Toc440823220"/>
      <w:r>
        <w:t>Impact of the study</w:t>
      </w:r>
      <w:bookmarkEnd w:id="248"/>
      <w:bookmarkEnd w:id="249"/>
      <w:bookmarkEnd w:id="250"/>
    </w:p>
    <w:p w:rsidR="005D1052" w:rsidRDefault="005D1052" w:rsidP="005D1052">
      <w:r>
        <w:t xml:space="preserve">TE researchers aim to generate the knowledge and methods to construct patient-specific tissues that can be used in the clinical practice. However, these methods need to be regulated and standardised for the adequate incorporation in hospitals as common treatments while reducing the economic impact. In a future perspective, industry will play an important role; the knowledge and methodology will be transferred from academia to companies able to fabricate patient-specific tissues in an automatic and cost-effective manner. In order to regulate the fabrication of engineered tissues, inspection tools should be incorporated to ensure the quality and the reproducibility of the process. One of the key aspects for the formation of tissue is the architecture of the scaffold; thus, every fabricated sample should be inspected to guarantee the expected performance otherwise scaffold variability could trigger undesired tissue outcomes. </w:t>
      </w:r>
    </w:p>
    <w:p w:rsidR="005D1052" w:rsidRDefault="005D1052" w:rsidP="005D1052">
      <w:r>
        <w:t xml:space="preserve">Furthermore, geometrical defects on scaffold structure may not be noticed with the naked eye and at the same time, they can become critical as long as transferring down to cell scale. For this, in silico methods using </w:t>
      </w:r>
      <w:r w:rsidRPr="009C2D0B">
        <w:t>the µCT-</w:t>
      </w:r>
      <w:r>
        <w:t xml:space="preserve">reconstructed scaffolds can provide access to the internal scaffold microstructure as well as allowing the measurement of the mechanical stimuli sensed by cells </w:t>
      </w:r>
      <w:r w:rsidRPr="00D34D09">
        <w:t>otherwise</w:t>
      </w:r>
      <w:r>
        <w:t xml:space="preserve"> not possible under laboratory settings. The computational method presented in this chapter is a new protocol that calculates the fluid flow velocities and shear stresses inside fabricated scaffolds and reports the differences from the original design as well as the variability from sample to sample. This study shows the importance of working towards the conversion of TE approaches into more standard processes for the successful application in real clinical scenarios. </w:t>
      </w:r>
    </w:p>
    <w:p w:rsidR="005D1052" w:rsidRDefault="005D1052" w:rsidP="005D1052">
      <w:r>
        <w:lastRenderedPageBreak/>
        <w:t>It is noteworthy that the presented protocol only investigates the scaffold performance under fluid flow. Other aspects during tissue formation need to be explored such as the actual mechanical stimuli that the scaffold structure transfers to cells from the mesoscale level. For that, FE-based models could also serve as potential tools to develop inspection protocols able to report the effect of the fabricated scaffold mechanical properties on cell behaviour.</w:t>
      </w:r>
    </w:p>
    <w:p w:rsidR="005D1052" w:rsidRDefault="005D1052" w:rsidP="005D1052">
      <w:pPr>
        <w:pStyle w:val="Heading2"/>
      </w:pPr>
      <w:bookmarkStart w:id="251" w:name="_Toc310605613"/>
      <w:bookmarkStart w:id="252" w:name="_Toc310605908"/>
      <w:bookmarkStart w:id="253" w:name="_Toc440823221"/>
      <w:r>
        <w:t>Conclusion</w:t>
      </w:r>
      <w:bookmarkEnd w:id="251"/>
      <w:bookmarkEnd w:id="252"/>
      <w:r>
        <w:t>s</w:t>
      </w:r>
      <w:bookmarkEnd w:id="253"/>
      <w:r>
        <w:t xml:space="preserve"> </w:t>
      </w:r>
    </w:p>
    <w:p w:rsidR="005D1052" w:rsidRDefault="005D1052" w:rsidP="00903017">
      <w:r>
        <w:t>Fabricated scaffolds</w:t>
      </w:r>
      <w:r w:rsidRPr="00234905">
        <w:t xml:space="preserve"> could present variations from the intended-design purpose</w:t>
      </w:r>
      <w:r>
        <w:t xml:space="preserve"> caused by limitations in the manufacturing process</w:t>
      </w:r>
      <w:r w:rsidRPr="00B744F1">
        <w:t>. In this chapter</w:t>
      </w:r>
      <w:r>
        <w:rPr>
          <w:i/>
        </w:rPr>
        <w:t xml:space="preserve">, </w:t>
      </w:r>
      <w:r w:rsidRPr="00B744F1">
        <w:t xml:space="preserve">current imaging techniques and in silico methods </w:t>
      </w:r>
      <w:r>
        <w:t xml:space="preserve">with great potential </w:t>
      </w:r>
      <w:r w:rsidRPr="00B744F1">
        <w:t xml:space="preserve">to </w:t>
      </w:r>
      <w:r>
        <w:t xml:space="preserve">inspect scaffolds are discussed. </w:t>
      </w:r>
      <w:r w:rsidRPr="000D473F">
        <w:rPr>
          <w:rFonts w:ascii="Calibri" w:hAnsi="Calibri"/>
        </w:rPr>
        <w:t>µ</w:t>
      </w:r>
      <w:r w:rsidRPr="000D473F">
        <w:t>CT</w:t>
      </w:r>
      <w:r>
        <w:t xml:space="preserve">-scanning permits the digitalization of the actual shape of scaffolds for their structural characterization. Current available computational tools are developing towards the automation of </w:t>
      </w:r>
      <w:r w:rsidRPr="000D473F">
        <w:rPr>
          <w:rFonts w:ascii="Calibri" w:hAnsi="Calibri"/>
        </w:rPr>
        <w:t>µ</w:t>
      </w:r>
      <w:r w:rsidRPr="000D473F">
        <w:t>CT</w:t>
      </w:r>
      <w:r>
        <w:t xml:space="preserve">-data reconstruction as well as the full shape characterization avoiding manual handling that could become a source of error. In addition, the inclusion of </w:t>
      </w:r>
      <w:r w:rsidRPr="000D473F">
        <w:rPr>
          <w:rFonts w:ascii="Calibri" w:hAnsi="Calibri"/>
        </w:rPr>
        <w:t>µ</w:t>
      </w:r>
      <w:r w:rsidRPr="000D473F">
        <w:t>CT</w:t>
      </w:r>
      <w:r>
        <w:t xml:space="preserve">-based scaffolds in CFD models allows the calculation of local fluid flow variables relating them to the actual scaffold geometry. In this study, </w:t>
      </w:r>
      <w:r w:rsidRPr="00B744F1">
        <w:t>a</w:t>
      </w:r>
      <w:r>
        <w:t xml:space="preserve"> novel computational protocol </w:t>
      </w:r>
      <w:r w:rsidRPr="00B744F1">
        <w:t xml:space="preserve">to evaluate fabricated scaffolds in </w:t>
      </w:r>
      <w:r>
        <w:t xml:space="preserve">a systematic way was presented. A commercial RP scaffold was investigated by combining current technology </w:t>
      </w:r>
      <w:r w:rsidRPr="00EF2419">
        <w:t>to analyse scaffold micro-structure and its effect on the fluid dynamics</w:t>
      </w:r>
      <w:r>
        <w:t xml:space="preserve">. Five samples were analysed and significant variations from the initial design were quantified as well as variability from sample-to-sample. The inability of the fabrication process to replicate the scaffold design in a reproducible manner highlights the fact that fabricated scaffolds need to be analysed prior to any in vitro or clinical trial. The new proposed approach can be applied to any RP scaffold identifying any variation from the original design that could become a source of noise yielding to unexpected scaffold performance and tissue development. Furthermore, there is not a consensus yet in the literature about the </w:t>
      </w:r>
      <w:r>
        <w:lastRenderedPageBreak/>
        <w:t>ranges of shear stress values that can induce different cell responses so any level of scaffold variability should not be underestimated as it could be detrimental for cell activity and tissue growth. Scaffold geometry can only be considered regular if there is no unexpected tissue development and tolerances of the fabrication process should be subjected to the final tissue properties. Moreover, inspections methods can serve as feedback for further optimization of the fabrication methods.</w:t>
      </w:r>
    </w:p>
    <w:p w:rsidR="00B23CEB" w:rsidRDefault="00B23CEB" w:rsidP="00903017">
      <w:pPr>
        <w:ind w:firstLine="0"/>
      </w:pPr>
    </w:p>
    <w:p w:rsidR="00B23CEB" w:rsidRDefault="00B23CEB" w:rsidP="00903017">
      <w:pPr>
        <w:ind w:firstLine="0"/>
      </w:pPr>
    </w:p>
    <w:p w:rsidR="00B23CEB" w:rsidRDefault="00B23CEB" w:rsidP="00903017">
      <w:pPr>
        <w:ind w:firstLine="0"/>
      </w:pPr>
    </w:p>
    <w:p w:rsidR="00B23CEB" w:rsidRDefault="00B23CEB" w:rsidP="00903017">
      <w:pPr>
        <w:ind w:firstLine="0"/>
        <w:sectPr w:rsidR="00B23CEB" w:rsidSect="00EB11EA">
          <w:headerReference w:type="even" r:id="rId77"/>
          <w:headerReference w:type="default" r:id="rId78"/>
          <w:footerReference w:type="default" r:id="rId79"/>
          <w:pgSz w:w="11906" w:h="16838"/>
          <w:pgMar w:top="2268" w:right="1134" w:bottom="1701" w:left="2268" w:header="284" w:footer="454" w:gutter="0"/>
          <w:cols w:space="708"/>
          <w:docGrid w:linePitch="360"/>
        </w:sectPr>
      </w:pPr>
    </w:p>
    <w:p w:rsidR="00B23CEB" w:rsidRDefault="00B23CEB" w:rsidP="00903017">
      <w:pPr>
        <w:ind w:firstLine="0"/>
        <w:sectPr w:rsidR="00B23CEB" w:rsidSect="00EB11EA">
          <w:headerReference w:type="even" r:id="rId80"/>
          <w:pgSz w:w="11906" w:h="16838"/>
          <w:pgMar w:top="2268" w:right="1134" w:bottom="1701" w:left="2268" w:header="284" w:footer="454" w:gutter="0"/>
          <w:cols w:space="708"/>
          <w:docGrid w:linePitch="360"/>
        </w:sectPr>
      </w:pPr>
    </w:p>
    <w:p w:rsidR="005D1052" w:rsidRDefault="005D1052" w:rsidP="005D1052">
      <w:pPr>
        <w:pStyle w:val="Heading1"/>
      </w:pPr>
      <w:bookmarkStart w:id="254" w:name="_Toc310605614"/>
      <w:bookmarkStart w:id="255" w:name="_Toc310605909"/>
      <w:bookmarkStart w:id="256" w:name="_Ref312176967"/>
      <w:bookmarkStart w:id="257" w:name="_Ref312177003"/>
      <w:bookmarkStart w:id="258" w:name="_Toc440823222"/>
      <w:bookmarkEnd w:id="86"/>
      <w:r w:rsidRPr="00924C45">
        <w:lastRenderedPageBreak/>
        <w:t>µ-Particle Image Velocimetry and Computational Fluid Dynamics s</w:t>
      </w:r>
      <w:r>
        <w:t>tudy of cell seeding within a 3D</w:t>
      </w:r>
      <w:r w:rsidRPr="00924C45">
        <w:t xml:space="preserve"> porous scaffold</w:t>
      </w:r>
      <w:bookmarkEnd w:id="254"/>
      <w:bookmarkEnd w:id="255"/>
      <w:bookmarkEnd w:id="256"/>
      <w:bookmarkEnd w:id="257"/>
      <w:bookmarkEnd w:id="258"/>
    </w:p>
    <w:p w:rsidR="005D1052" w:rsidRDefault="005D1052" w:rsidP="005D1052"/>
    <w:p w:rsidR="005D1052" w:rsidRPr="00BA418F" w:rsidRDefault="005D1052" w:rsidP="005D1052">
      <w:pPr>
        <w:pStyle w:val="Quote"/>
        <w:rPr>
          <w:b/>
        </w:rPr>
      </w:pPr>
      <w:r w:rsidRPr="00BA418F">
        <w:rPr>
          <w:b/>
        </w:rPr>
        <w:t>Summary</w:t>
      </w:r>
    </w:p>
    <w:p w:rsidR="005D1052" w:rsidRPr="006B520A" w:rsidRDefault="005D1052" w:rsidP="005D1052">
      <w:pPr>
        <w:pStyle w:val="Quote"/>
      </w:pPr>
      <w:r>
        <w:t xml:space="preserve">Perfusion systems can help to drive cells to scaffold substrate with regular distribution and high efficiency. However, it is difficult to predict experimentally which are the best bioreactor conditions for such outcomes. In this chapter, a </w:t>
      </w:r>
      <w:r>
        <w:rPr>
          <w:rFonts w:eastAsiaTheme="minorEastAsia"/>
        </w:rPr>
        <w:t>CFD model is developed to</w:t>
      </w:r>
      <w:r>
        <w:t xml:space="preserve"> predict the local fluid flow conditions inside the scaffold and a discrete phase representing the cells is included to describe cell motion near the scaffold substrate. The computational model is developed in combination with particle tracking experiments performed inside a 3D scaffold in order to configure and validate the model with well characterized experimental data. The study showed that the computational model can describe the velocity profiles inside the scaffold as well as cell path. It was found that cells mainly follow the fluid streamlines passing throughout all scaffold pores. High permeability in scaffolds is beneficial to distribute cells; however, it does not guarantee the deposition of cells on the scaffold substrate and cell adhesion. The presented CFD model can help to design and optimise perfusion systems to reach the desired cell distribution and density which will affect the final tissue properties. </w:t>
      </w:r>
    </w:p>
    <w:p w:rsidR="005D1052" w:rsidRPr="003429AD" w:rsidRDefault="005D1052" w:rsidP="005D1052">
      <w:pPr>
        <w:pStyle w:val="Heading2"/>
      </w:pPr>
      <w:bookmarkStart w:id="259" w:name="_Toc310605615"/>
      <w:bookmarkStart w:id="260" w:name="_Toc310605910"/>
      <w:bookmarkStart w:id="261" w:name="_Toc440823223"/>
      <w:r w:rsidRPr="003429AD">
        <w:t>Introduction</w:t>
      </w:r>
      <w:bookmarkEnd w:id="259"/>
      <w:bookmarkEnd w:id="260"/>
      <w:bookmarkEnd w:id="261"/>
    </w:p>
    <w:p w:rsidR="005D1052" w:rsidRDefault="005D1052" w:rsidP="005D1052">
      <w:r>
        <w:t xml:space="preserve">Tissue growth and functionality in 3D scaffolds are strongly related to the initial spatial distribution and density of cells. It is crucial to achieve homogeneous cell distribution during cell seeding so that uniform tissue growth can be </w:t>
      </w:r>
      <w:r w:rsidRPr="003F1D24">
        <w:t>expected</w:t>
      </w:r>
      <w:r>
        <w:t xml:space="preserve"> </w:t>
      </w:r>
      <w:r>
        <w:fldChar w:fldCharType="begin" w:fldLock="1"/>
      </w:r>
      <w:r>
        <w:instrText>ADDIN CSL_CITATION { "citationItems" : [ { "id" : "ITEM-1", "itemData" : { "DOI" : "10.1634/stemcells.2005-0002", "author" : [ { "family" : "Braccini", "given" : "Alessandra" }, { "family" : "Wendt", "given" : "David" }, { "family" : "Jaquiery", "given" : "Claude" }, { "family" : "Jakob", "given" : "Marcel" }, { "family" : "Heberer", "given" : "Michael" }, { "family" : "Kenins", "given" : "Linda" }, { "family" : "Wodnar-Filipowicz", "given" : "Aleksandra" }, { "family" : "Quarto", "given" : "Rodolfo" }, { "family" : "Martin", "given" : "Ivan" } ], "container-title" : "Stem Cells", "id" : "ITEM-1", "issued" : { "date-parts" : [ [ "2005" ] ] }, "page" : "1066-1072", "title" : "Three-Dimensional Perfusion Culture of Human Bone Marrow Cells and Generation of Osteoinductive Grafts", "type" : "article-journal", "volume" : "23" }, "uris" : [ "http://www.mendeley.com/documents/?uuid=a34deda8-d90a-49c9-bc0b-1a9abb2ad76f" ] } ], "mendeley" : { "formattedCitation" : "[158]", "plainTextFormattedCitation" : "[158]", "previouslyFormattedCitation" : "[159]" }, "properties" : { "noteIndex" : 0 }, "schema" : "https://github.com/citation-style-language/schema/raw/master/csl-citation.json" }</w:instrText>
      </w:r>
      <w:r>
        <w:fldChar w:fldCharType="separate"/>
      </w:r>
      <w:r w:rsidRPr="00A15EFA">
        <w:rPr>
          <w:noProof/>
        </w:rPr>
        <w:t>[159]</w:t>
      </w:r>
      <w:r>
        <w:fldChar w:fldCharType="end"/>
      </w:r>
      <w:r>
        <w:t xml:space="preserve">. Furthermore, maximum cell seeding efficiency is essential since donor cells are limited and sufficient cell density in the scaffold unit is required to promote ECM formation and cell proliferation </w:t>
      </w:r>
      <w:r>
        <w:fldChar w:fldCharType="begin" w:fldLock="1"/>
      </w:r>
      <w:r>
        <w:instrText>ADDIN CSL_CITATION { "citationItems" : [ { "id" : "ITEM-1", "itemData" : { "DOI" : "10.1021/bp0256519", "abstract" : "A concentric cylinder bioreactor has been developed to culture tissue engineered cartilage constructs under hydrodynamic loading. This bioreactor operates in a low shear stress environment, has a large growth area for construct production, allows for dynamic seeding of constructs, and provides for a uniform loading environment. Porous poly-lactic acid constructs, seeded dynamically in the bioreactor using isolated bovine chondrocytes, were cultured for 4 weeks at three seeding densities (60, 80, 100 x 10(6) cells per bioreactor) and three different shear stresses (imposed at 19, 38, and 76 rpm) to characterize the effect of chondrocyte density and hydrodynamic loading on construct growth. Construct seeding efficiency with chondrocytes is greater than 95% within 24 h. Extensive chondrocyte proliferation and matrix deposition are achieved so that after 28 days in culture, constructs from bioreactors seeded at the highest cell densities contain up to 15 x 10(6) cells, 2 mg GAG, and 3.5 mg collagen per construct and exhibit morphology similar to that of native cartilage. Bioreactors seeded with 60 million chondrocytes do not exhibit robust proliferation or matrix deposition and do not achieve morphology similar to that of native cartilage. In cultures under different steady hydrodynamic loading, the data demonstrate that higher shear stress suppresses matrix GAG deposition and encourages collagen incorporation. In contrast, under dynamic hydrodynamic loading conditions, cartilage constructs exhibit robust matrix collagen and GAG deposition. The data demonstrate that the concentric cylinder bioreactor provides a favorable hydrodynamic environment for cartilage construct growth and differentiation. Notably, construct matrix accumulation can be manipulated by hydrodynamic loading. This bioreactor is useful for fundamental studies of construct growth and to assess the significance of cell density, nutrients, and hydrodynamic loading on cartilage development. In addition, studies of cartilage tissue engineering in the well-characterized, uniform environment of the concentric cylinder bioreactor will develop important knowledge of bioprocessing parameters critical for large-scale production of engineered tissues.", "author" : [ { "family" : "Saini", "given" : "Sunil" }, { "family" : "Wick", "given" : "Timothy M." } ], "container-title" : "Biotechnology Progress", "id" : "ITEM-1", "issued" : { "date-parts" : [ [ "2003" ] ] }, "page" : "510-521", "title" : "Concentric cylinder bioreactor for production of tissue engineered cartilage: Effect of seeding density and hydrodynamic loading on construct development", "type" : "article-journal", "volume" : "19" }, "uris" : [ "http://www.mendeley.com/documents/?uuid=36d55ec3-efae-427e-b5c1-b427907fdb82" ] } ], "mendeley" : { "formattedCitation" : "[159]", "plainTextFormattedCitation" : "[159]", "previouslyFormattedCitation" : "[160]" }, "properties" : { "noteIndex" : 0 }, "schema" : "https://github.com/citation-style-language/schema/raw/master/csl-citation.json" }</w:instrText>
      </w:r>
      <w:r>
        <w:fldChar w:fldCharType="separate"/>
      </w:r>
      <w:r w:rsidRPr="00A15EFA">
        <w:rPr>
          <w:noProof/>
        </w:rPr>
        <w:t>[160]</w:t>
      </w:r>
      <w:r>
        <w:fldChar w:fldCharType="end"/>
      </w:r>
      <w:r w:rsidRPr="00EA361F">
        <w:t>.</w:t>
      </w:r>
    </w:p>
    <w:p w:rsidR="005D1052" w:rsidRDefault="005D1052" w:rsidP="005D1052">
      <w:r>
        <w:lastRenderedPageBreak/>
        <w:t xml:space="preserve">Traditional </w:t>
      </w:r>
      <w:r w:rsidRPr="00D73989">
        <w:t xml:space="preserve">static </w:t>
      </w:r>
      <w:r>
        <w:t xml:space="preserve">methods for cell seeding such as manual pipetting, where gravity-driven cell deposition occurs, generally result in irregular cell density with higher number of cells on the outer part. In addition, there is a lack of cell viability since nutrients and oxygen do not always reach the centre of the 3D </w:t>
      </w:r>
      <w:r w:rsidRPr="003F1D24">
        <w:t>structure</w:t>
      </w:r>
      <w:r>
        <w:t xml:space="preserve"> </w:t>
      </w:r>
      <w:r>
        <w:fldChar w:fldCharType="begin" w:fldLock="1"/>
      </w:r>
      <w:r>
        <w:instrText>ADDIN CSL_CITATION { "citationItems" : [ { "id" : "ITEM-1", "itemData" : { "DOI" : "238489 [pii]", "ISBN" : "0957-4530", "abstract" : "The present study aims at optimizing dermal fibroblast seeding and cultivation in Polyactive scaffolds in order to limit the biopsy size needed for autologous treatment of full-thickness skin defects and chronic wounds. Three methods for seeding and cultivation of fibroblasts in porous scaffolds were compared: dynamic seeding followed by static cultivation (DS), static seeding followed by static cultivation (SS) and dynamic seeding followed by dynamic cultivation (DD). Human dermal fibroblasts isolated from cultured explants were seeded in porous PEO/PBT (Polyactive) scaffolds. Samples were taken from 6 h to 21 days post-seeding for both histological analysis (cell distribution and extracellular matrix (ECM) formation), and quantitative cell number assay. The seeding efficiency 24 h post-seeding was 76% (+/-3.6%) for dynamically seeded matrices, whereas it was only 30% (+/-5%) for statically seeded matrices (p&lt;0.001). ECM formation was abundant in DS samples already at day 10, while even after 21 days ECM formation was less pronounced in SS samples. Surprisingly, cells detached from DD samples as aggregates, starting from day 10. Cell numbers as assayed quantitatively correlated with the histological results. At all timepoints cell numbers found for DS samples were significantly higher as compared to SS samples. At day 21, DS samples contained approximately twofold more cells as compared to SS and DD samples and comprised ECM consisting of collagen types I and III. Our results indicate that the combination of dynamic seeding and static cultivation assures efficient utilization of isolated fibroblasts and improved neodermis formation, thereby allowing a reduction in the skin biopsy size needed for the engineering of living skin substitute.", "author" : [ { "family" : "Xiao", "given" : "Y L" }, { "family" : "Riesle", "given" : "J" }, { "family" : "Van Blitterswijk", "given" : "C a" } ], "container-title" : "Journal of materials science. Materials in medicine", "id" : "ITEM-1", "issued" : { "date-parts" : [ [ "1999" ] ] }, "page" : "773-7", "title" : "Static and dynamic fibroblast seeding and cultivation in porous PEO/PBT scaffolds.", "type" : "article-journal", "volume" : "10" }, "uris" : [ "http://www.mendeley.com/documents/?uuid=e3f0a41d-82c5-423d-9e17-1f3c963b8d16" ] } ], "mendeley" : { "formattedCitation" : "[160]", "plainTextFormattedCitation" : "[160]", "previouslyFormattedCitation" : "[161]" }, "properties" : { "noteIndex" : 0 }, "schema" : "https://github.com/citation-style-language/schema/raw/master/csl-citation.json" }</w:instrText>
      </w:r>
      <w:r>
        <w:fldChar w:fldCharType="separate"/>
      </w:r>
      <w:r w:rsidRPr="00A15EFA">
        <w:rPr>
          <w:noProof/>
        </w:rPr>
        <w:t>[161]</w:t>
      </w:r>
      <w:r>
        <w:fldChar w:fldCharType="end"/>
      </w:r>
      <w:r w:rsidRPr="00EA361F">
        <w:t>.</w:t>
      </w:r>
      <w:r>
        <w:t xml:space="preserve"> As an alternative, different dynamic flow strategies have been presented </w:t>
      </w:r>
      <w:r w:rsidRPr="00F87FCD">
        <w:t>such</w:t>
      </w:r>
      <w:r w:rsidRPr="00DA696C">
        <w:rPr>
          <w:b/>
        </w:rPr>
        <w:t xml:space="preserve"> </w:t>
      </w:r>
      <w:r w:rsidRPr="00DA696C">
        <w:t>as</w:t>
      </w:r>
      <w:r w:rsidRPr="00DA696C">
        <w:rPr>
          <w:b/>
        </w:rPr>
        <w:t xml:space="preserve"> </w:t>
      </w:r>
      <w:r w:rsidRPr="00DA696C">
        <w:t>spinner</w:t>
      </w:r>
      <w:r>
        <w:t xml:space="preserve"> flasks [10</w:t>
      </w:r>
      <w:r w:rsidR="00032781">
        <w:t>8</w:t>
      </w:r>
      <w:r>
        <w:t xml:space="preserve">], wavy-walled bioreactors </w:t>
      </w:r>
      <w:r w:rsidRPr="00EA361F">
        <w:t>[</w:t>
      </w:r>
      <w:r>
        <w:t>10</w:t>
      </w:r>
      <w:r w:rsidR="00032781">
        <w:t>9</w:t>
      </w:r>
      <w:r w:rsidRPr="00EA361F">
        <w:t>],</w:t>
      </w:r>
      <w:r>
        <w:t xml:space="preserve"> rotating </w:t>
      </w:r>
      <w:r w:rsidRPr="00012F79">
        <w:t>vessels [10</w:t>
      </w:r>
      <w:r w:rsidR="00032781">
        <w:t>7</w:t>
      </w:r>
      <w:r w:rsidRPr="00012F79">
        <w:t>],</w:t>
      </w:r>
      <w:r>
        <w:t xml:space="preserve"> compression force-induced suction techniques [11</w:t>
      </w:r>
      <w:r w:rsidR="00032781">
        <w:t>1</w:t>
      </w:r>
      <w:r>
        <w:t xml:space="preserve">] and perfusion systems </w:t>
      </w:r>
      <w:r w:rsidRPr="00012F79">
        <w:t>[</w:t>
      </w:r>
      <w:r>
        <w:t>11</w:t>
      </w:r>
      <w:r w:rsidR="00032781">
        <w:t>3</w:t>
      </w:r>
      <w:r w:rsidRPr="00012F79">
        <w:t>]. Among all these hydrodynamic-based strategies perfusion seems the mo</w:t>
      </w:r>
      <w:r>
        <w:t xml:space="preserve">st promising solution since it enhances mass transfer inside the scaffold in comparison with the other approaches </w:t>
      </w:r>
      <w:r>
        <w:fldChar w:fldCharType="begin" w:fldLock="1"/>
      </w:r>
      <w:r>
        <w:instrText>ADDIN CSL_CITATION { "citationItems" : [ { "id" : "ITEM-1", "itemData" : { "DOI" : "10.1002/bit.10759", "abstract" : "We developed a bioreactor for automated cell seeding of three-dimensional scaffolds by continuous perfusion of a cell suspension through the scaffold pores in oscillating directions. Using quantitative biochemical and image analysis techniques, we then evaluated the efficiency and uniformity of perfusion seeding of Polyactive foams as compared to conventional static and spinner flask methods. Finally, we assessed the efficacy of the perfusion seeding technique for different scaffolds and cell types. Perfusion seeding of chondrocytes into Polyactive foams resulted in \"viable cell seeding efficiencies,\" defined as the percentages of initially loaded cells that were seeded and remained viable, that were significantly higher (75 +/- 6%) than those by static (57% +/- 5%) and spinner flask seeding (55% +/- 8%). In addition, as compared to static and spinner flask methods, cells seeded by perfusion were respectively 2.6-fold and 3.8-fold more uniformly distributed and formed more homogeneously sized cell clusters. Chondrocytes seeded by perfusion into Hyaff-11 nonwoven meshes were 26% and 63%, respectively, more uniformly distributed than following static and spinner flask seeding. Bone marrow stromal cells seeded by perfusion into ChronOS porous ceramics were homogeneously distributed throughout the scaffold volume, while following the static method, cells were found only near the top surface of the ceramic. In summary, we demonstrated that our cell seeding perfusion bioreactor generated constructs with remarkably uniform cell distributions at high efficiencies, and was effective for a variety of scaffolds and different mesenchymal cell types.", "author" : [ { "family" : "Wendt", "given" : "D" }, { "family" : "Marsano", "given" : "a" }, { "family" : "Jakob", "given" : "M" }, { "family" : "Heberer", "given" : "M" }, { "family" : "Martin", "given" : "I" } ], "container-title" : "Biotechnology and bioengineering", "id" : "ITEM-1", "issue" : "2", "issued" : { "date-parts" : [ [ "2003", "10", "20" ] ] }, "page" : "205-14", "title" : "Oscillating perfusion of cell suspensions through three-dimensional scaffolds enhances cell seeding efficiency and uniformity.", "type" : "article-journal", "volume" : "84" }, "uris" : [ "http://www.mendeley.com/documents/?uuid=593f2d7a-ab6d-436b-b0f4-473d679e6337" ] } ], "mendeley" : { "formattedCitation" : "[161]", "manualFormatting" : "[161,", "plainTextFormattedCitation" : "[161]", "previouslyFormattedCitation" : "[162]" }, "properties" : { "noteIndex" : 0 }, "schema" : "https://github.com/citation-style-language/schema/raw/master/csl-citation.json" }</w:instrText>
      </w:r>
      <w:r>
        <w:fldChar w:fldCharType="separate"/>
      </w:r>
      <w:r w:rsidRPr="000C17D9">
        <w:rPr>
          <w:noProof/>
        </w:rPr>
        <w:t>[161</w:t>
      </w:r>
      <w:r>
        <w:rPr>
          <w:noProof/>
        </w:rPr>
        <w:t>,</w:t>
      </w:r>
      <w:r>
        <w:fldChar w:fldCharType="end"/>
      </w:r>
      <w:r>
        <w:t xml:space="preserve"> </w:t>
      </w:r>
      <w:r>
        <w:fldChar w:fldCharType="begin" w:fldLock="1"/>
      </w:r>
      <w:r w:rsidR="00B36ACF">
        <w:instrText>ADDIN CSL_CITATION { "citationItems" : [ { "id" : "ITEM-1", "itemData" : { "DOI" : "10.1007/s10439-006-9244-z", "ISBN" : "0090-6964 (Print) 0090-6964 (Linking)", "ISSN" : "00906964", "PMID" : "17216348", "abstract" : "Engineered bone grafts have been generated in static and dynamic systems by seeding and culturing osteoblastic cells on 3-D scaffolds. Seeding determines initial cellularity and cell spatial distribution throughout the scaffold, and affects cell-matrix interactions. Static seeding often yields low seeding efficiencies and poor cell distributions; thus creating a need for techniques that can improve these parameters. We have evaluated the effect of oscillating flow perfusion on seeding efficiency and spatial distribution of MC3T3-E1 pre-osteoblastic cells in fibrous polystyrene matrices (20, 35 and 50-microm fibers) and foams prepared by salt leaching, using as controls statically seeded scaffolds. An additional control was investigated where static seeding was followed by unidirectional perfusion. Oscillating perfusion resulted in the most efficient technique by yielding higher seeding efficiencies, more homogeneous distribution and stronger cell-matrix interactions. Cell surface density increased with inoculation cell number and then reached a maximum, but significant detachment occurred at greater flow rates. Oxygen plasma treatment of the fibers greatly improved seeding efficiency. Having similar porosity and dimensions, fibrous matrices yielded higher cell surface densities than foams. Fluorescence microscopy and histological analyses in polystyrene and PLLA scaffolds demonstrated that perfusion seeding produced more homogeneous cell distribution, with fibrous matrices presenting greater uniformity than the foams.", "author" : [ { "dropping-particle" : "", "family" : "Alvarez-Barreto", "given" : "Jose F.", "non-dropping-particle" : "", "parse-names" : false, "suffix" : "" }, { "dropping-particle" : "", "family" : "Linehan", "given" : "Shawna M.", "non-dropping-particle" : "", "parse-names" : false, "suffix" : "" }, { "dropping-particle" : "", "family" : "Shambaugh", "given" : "Robert L.", "non-dropping-particle" : "", "parse-names" : false, "suffix" : "" }, { "dropping-particle" : "", "family" : "Sikavitsas", "given" : "Vassilios I.", "non-dropping-particle" : "", "parse-names" : false, "suffix" : "" } ], "container-title" : "Annals of Biomedical Engineering", "id" : "ITEM-1", "issue" : "3", "issued" : { "date-parts" : [ [ "2007" ] ] }, "page" : "429-442", "title" : "Flow perfusion improves seeding of tissue engineering scaffolds with different architectures", "type" : "article-journal", "volume" : "35" }, "uris" : [ "http://www.mendeley.com/documents/?uuid=d7f1f1e4-8534-49a9-b386-67e22cce2124" ] } ], "mendeley" : { "formattedCitation" : "[162]", "manualFormatting" : "162, 163]", "plainTextFormattedCitation" : "[162]", "previouslyFormattedCitation" : "[163]" }, "properties" : { "noteIndex" : 0 }, "schema" : "https://github.com/citation-style-language/schema/raw/master/csl-citation.json" }</w:instrText>
      </w:r>
      <w:r>
        <w:fldChar w:fldCharType="separate"/>
      </w:r>
      <w:r w:rsidRPr="005F4AF9">
        <w:rPr>
          <w:noProof/>
        </w:rPr>
        <w:t>162</w:t>
      </w:r>
      <w:r w:rsidR="0081681D">
        <w:rPr>
          <w:noProof/>
        </w:rPr>
        <w:t>, 163</w:t>
      </w:r>
      <w:r w:rsidRPr="005F4AF9">
        <w:rPr>
          <w:noProof/>
        </w:rPr>
        <w:t>]</w:t>
      </w:r>
      <w:r>
        <w:fldChar w:fldCharType="end"/>
      </w:r>
      <w:r w:rsidRPr="000C17D9">
        <w:t>.</w:t>
      </w:r>
      <w:r>
        <w:t xml:space="preserve"> However, perfusion methods for cell seeding need further development and optimization. Many researchers have used CFD techniques to optimise the parameters involved in scaffold cell seeding in perfusion bioreactors in order to find the most suitable hydrodynamic conditions while avoiding expensive and time consuming trial and error experiments. Melchels </w:t>
      </w:r>
      <w:r w:rsidRPr="00012F79">
        <w:t>et al. [12</w:t>
      </w:r>
      <w:r w:rsidR="007E3959">
        <w:t>3</w:t>
      </w:r>
      <w:r w:rsidRPr="00012F79">
        <w:t>] studied</w:t>
      </w:r>
      <w:r>
        <w:t xml:space="preserve"> the effect of scaffold pore size on the shear rate and its effect on cell </w:t>
      </w:r>
      <w:r w:rsidRPr="00012F79">
        <w:t>adhesion. Zermatten et al.</w:t>
      </w:r>
      <w:r>
        <w:t xml:space="preserve"> [11</w:t>
      </w:r>
      <w:r w:rsidR="00387639">
        <w:t>9</w:t>
      </w:r>
      <w:r>
        <w:t xml:space="preserve">] compared the flow field inside a scaffold with regular microstructure and another with an irregular pore network showing that in irregular scaffold networks the streamlines follow preferable channels so no regular distribution of cells can be reached. Furthermore, scaffold location inside the bioreactor and flow rate are also key parameters in perfusion systems as demonstrated by </w:t>
      </w:r>
      <w:r w:rsidRPr="00012F79">
        <w:t>Papadimitropoulos et al</w:t>
      </w:r>
      <w:r>
        <w:t>.</w:t>
      </w:r>
      <w:r w:rsidRPr="00012F79">
        <w:t xml:space="preserve"> [12</w:t>
      </w:r>
      <w:r w:rsidR="007E3959">
        <w:t>4</w:t>
      </w:r>
      <w:r w:rsidRPr="00012F79">
        <w:t>].</w:t>
      </w:r>
      <w:r>
        <w:t xml:space="preserve"> </w:t>
      </w:r>
      <w:r w:rsidRPr="00012F79">
        <w:t>The geometry of the chamber can also modify the flo</w:t>
      </w:r>
      <w:r>
        <w:t xml:space="preserve">w profile inside the scaffold as shown </w:t>
      </w:r>
      <w:r w:rsidRPr="00D248F0">
        <w:t xml:space="preserve">by </w:t>
      </w:r>
      <w:r>
        <w:t>Bastida et al. [12</w:t>
      </w:r>
      <w:r w:rsidR="007E3959">
        <w:t>5</w:t>
      </w:r>
      <w:r>
        <w:t>]</w:t>
      </w:r>
      <w:r>
        <w:rPr>
          <w:b/>
        </w:rPr>
        <w:t xml:space="preserve"> </w:t>
      </w:r>
      <w:r>
        <w:t>where</w:t>
      </w:r>
      <w:r w:rsidRPr="005329FF">
        <w:t xml:space="preserve"> a circular and a rectangular bioreactor-system</w:t>
      </w:r>
      <w:r>
        <w:t xml:space="preserve"> were compared</w:t>
      </w:r>
      <w:r w:rsidRPr="005329FF">
        <w:t>.</w:t>
      </w:r>
      <w:r>
        <w:t xml:space="preserve"> </w:t>
      </w:r>
    </w:p>
    <w:p w:rsidR="005D1052" w:rsidRDefault="005D1052" w:rsidP="005D1052">
      <w:r>
        <w:t xml:space="preserve">The combined use of perfusion systems with CFD tools can provide the most favourable fluid dynamic conditions to drive cells inside all scaffold pores as well as oxygen and nutrients to guarantee the viability of cells attached. However, the fact that cells penetrate in all scaffold regions during perfusion does not necessarily imply cell deposition on scaffold substrate. Cell deposition from suspension flow during perfusion is a complex mechanism that is not well understood yet. It can involve inertial impaction, interception, sedimentation and </w:t>
      </w:r>
      <w:r w:rsidRPr="004F6AFF">
        <w:t>London-Vander Waals forces</w:t>
      </w:r>
      <w:r>
        <w:t xml:space="preserve"> </w:t>
      </w:r>
      <w:r w:rsidRPr="00971820">
        <w:fldChar w:fldCharType="begin" w:fldLock="1"/>
      </w:r>
      <w:r>
        <w:instrText>ADDIN CSL_CITATION { "citationItems" : [ { "id" : "ITEM-1", "itemData" : { "DOI" : "10.1021/bp0100878", "abstract" : "The cell seeding density and spatial distribution in a 3-D scaffold are critical to the morphogenetic development of an engineered tissue. A dynamic depth-filtration seeding method was developed to improve the initial cell seeding density and spatial distribution in 3-D nonwoven fibrous matrices commonly used as tissue scaffolds. In this work, trophoblast-like ED27 cells were seeded in poly(ethylene terephthalate) (PET) matrices with various porosities (0.85-0.93). The effects of the initial concentration of cells in the suspension used to seed the PET matrix and the pore size of the matrix on the resulting seeding density and subsequent cell proliferation and tissue development were studied. Compared to the conventional static seeding method, the dynamic depth-filtration seeding method gave a significantly higher initial seeding density (2-4 x 10(7) vs 4 x 10(6) cells/cm3), more uniform cell distribution, and a higher final cell density in the tissue scaffold. The more uniform initial cell spatial distribution from the filtration seeding method also led to more cells in S phase and a prolonged proliferation period. However, both uniform spatial cell distribution and the pore size of the matrices are important to cell proliferation and morphological development in the seeded tissue scaffold. Large-pore matrices led to the formation of cell aggregates and thus might reduce cell proliferation. The dynamic depth-filtration seeding method is better in providing a higher initial seeding density and more uniform cell distribution and is easier to apply to large tissue scaffolds. A depth-filtration model was also developed and can be used to simulate the seeding process and to predict the maximum initial seeding densities in matrices with different porosities.", "author" : [ { "family" : "Li", "given" : "Y." }, { "family" : "Ma", "given" : "T." }, { "family" : "Kniss", "given" : "D. a." }, { "family" : "Lasky", "given" : "L. C." }, { "family" : "Yang", "given" : "S. T." } ], "container-title" : "Biotechnology Progress", "id" : "ITEM-1", "issued" : { "date-parts" : [ [ "2001" ] ] }, "page" : "935-944", "title" : "Effects of filtration seeding on cell density, spatial distribution, and proliferation in nonwoven fibrous matrices", "type" : "article-journal", "volume" : "17" }, "uris" : [ "http://www.mendeley.com/documents/?uuid=29f1e443-3d97-49c7-bfba-191360514095" ] } ], "mendeley" : { "formattedCitation" : "[163]", "plainTextFormattedCitation" : "[163]", "previouslyFormattedCitation" : "[164]" }, "properties" : { "noteIndex" : 0 }, "schema" : "https://github.com/citation-style-language/schema/raw/master/csl-citation.json" }</w:instrText>
      </w:r>
      <w:r w:rsidRPr="00971820">
        <w:fldChar w:fldCharType="separate"/>
      </w:r>
      <w:r w:rsidRPr="00A15EFA">
        <w:rPr>
          <w:noProof/>
        </w:rPr>
        <w:t>[164]</w:t>
      </w:r>
      <w:r w:rsidRPr="00971820">
        <w:fldChar w:fldCharType="end"/>
      </w:r>
      <w:r w:rsidRPr="00971820">
        <w:t>.</w:t>
      </w:r>
    </w:p>
    <w:p w:rsidR="005D1052" w:rsidRPr="00012F79" w:rsidRDefault="005D1052" w:rsidP="005D1052">
      <w:pPr>
        <w:rPr>
          <w:highlight w:val="yellow"/>
        </w:rPr>
      </w:pPr>
      <w:r>
        <w:lastRenderedPageBreak/>
        <w:t>The effect of the local dynamics on deposition of cells on scaffold substrate needs to be further understood. Little has been explored on how CFD can predict cell transport inside perfusion systems and 3D scaffolds</w:t>
      </w:r>
      <w:r w:rsidR="00B36ACF">
        <w:t>. Adebiyi et al. [135</w:t>
      </w:r>
      <w:r w:rsidRPr="00012F79">
        <w:t>]</w:t>
      </w:r>
      <w:r w:rsidRPr="00012F79">
        <w:rPr>
          <w:b/>
        </w:rPr>
        <w:t xml:space="preserve"> </w:t>
      </w:r>
      <w:r w:rsidRPr="00012F79">
        <w:t>used</w:t>
      </w:r>
      <w:r w:rsidRPr="004448AA">
        <w:t xml:space="preserve"> </w:t>
      </w:r>
      <w:r>
        <w:t xml:space="preserve">the Fluent Ansys Discrete Phase Model (DPM) to simulate scaffold cell seeding on a vacuum based bioreactor, however the scaffold was simulated as a porous region that obeyed Darcy’s law; therefore, real cell-substrate interaction was not investigated. </w:t>
      </w:r>
      <w:r w:rsidR="00B36ACF">
        <w:t>Olivares and Lacroix [133</w:t>
      </w:r>
      <w:r w:rsidRPr="00012F79">
        <w:t>] also applied the Fluent Ansys DPM model on the real</w:t>
      </w:r>
      <w:r>
        <w:t xml:space="preserve"> scaffold structure by including </w:t>
      </w:r>
      <w:r w:rsidRPr="00AD5752">
        <w:t xml:space="preserve">the </w:t>
      </w:r>
      <w:r w:rsidRPr="00AD5752">
        <w:sym w:font="Symbol" w:char="F06D"/>
      </w:r>
      <w:r w:rsidRPr="00AD5752">
        <w:t>CT</w:t>
      </w:r>
      <w:r>
        <w:t>-based geometry in the model. However, the velocity of the particles was not compared and validated with the velocity of the cells in the real experiment</w:t>
      </w:r>
      <w:r w:rsidRPr="00290350">
        <w:rPr>
          <w:b/>
        </w:rPr>
        <w:t>.</w:t>
      </w:r>
      <w:r>
        <w:rPr>
          <w:b/>
        </w:rPr>
        <w:t xml:space="preserve"> </w:t>
      </w:r>
      <w:r>
        <w:t xml:space="preserve">In addition, the model does not account for cell-scaffold interactions on the contrary as </w:t>
      </w:r>
      <w:r w:rsidRPr="00012F79">
        <w:t>Spencer et al.</w:t>
      </w:r>
      <w:r>
        <w:t xml:space="preserve"> </w:t>
      </w:r>
      <w:r w:rsidR="00B36ACF">
        <w:t>[136</w:t>
      </w:r>
      <w:r>
        <w:t xml:space="preserve">] who </w:t>
      </w:r>
      <w:r w:rsidRPr="0031270A">
        <w:t xml:space="preserve">developed a </w:t>
      </w:r>
      <w:r w:rsidRPr="0031270A">
        <w:sym w:font="Symbol" w:char="F06D"/>
      </w:r>
      <w:r w:rsidRPr="0031270A">
        <w:t>CT-based</w:t>
      </w:r>
      <w:r>
        <w:t xml:space="preserve"> scaffold model to predict the local fluid flow as well as transport of species and cell adhesion. However, no experimental validation was carried out and cells were modelled as suspension concentrations being unable to predict individual cell behaviour.</w:t>
      </w:r>
    </w:p>
    <w:p w:rsidR="005D1052" w:rsidRDefault="005D1052" w:rsidP="005D1052">
      <w:r>
        <w:t xml:space="preserve">The aim of this study was to develop a multiphase-based CFD model able to predict how perfusion-bioreactor conditions modulate the local fluid dynamics and cell deposition on scaffold substrate. Despite the potential of CFD, some studies have claimed the importance of complementing computational models with well characterized experimental data such as </w:t>
      </w:r>
      <w:r>
        <w:sym w:font="Symbol" w:char="F06D"/>
      </w:r>
      <w:r>
        <w:t xml:space="preserve">PIV to optimize </w:t>
      </w:r>
      <w:r w:rsidRPr="00655BED">
        <w:t>and make them more reliable [13</w:t>
      </w:r>
      <w:r w:rsidR="00B36ACF">
        <w:t>9</w:t>
      </w:r>
      <w:r w:rsidRPr="00655BED">
        <w:t xml:space="preserve">]. Thus, the CFD model was developed in combination with </w:t>
      </w:r>
      <w:r w:rsidRPr="00655BED">
        <w:sym w:font="Symbol" w:char="F06D"/>
      </w:r>
      <w:r w:rsidRPr="00655BED">
        <w:t>PIV and</w:t>
      </w:r>
      <w:r>
        <w:t xml:space="preserve"> PTV experiments using a commercial 3D regular scaffold. The goal of the experiments was to quantify the fluid flow and cell motion at the pore level inside the scaffold. The experimental data from the actual 3D scaffold was used to build and validate the presented CFD model that holds great potential to optimize cell seeding hydrodynamic-based systems in order to achieve maximum efficiency.</w:t>
      </w:r>
    </w:p>
    <w:p w:rsidR="005D1052" w:rsidRPr="003429AD" w:rsidRDefault="005D1052" w:rsidP="005D1052">
      <w:pPr>
        <w:pStyle w:val="Heading2"/>
      </w:pPr>
      <w:bookmarkStart w:id="262" w:name="_Toc310605616"/>
      <w:bookmarkStart w:id="263" w:name="_Toc310605911"/>
      <w:bookmarkStart w:id="264" w:name="_Toc440823224"/>
      <w:r w:rsidRPr="003429AD">
        <w:lastRenderedPageBreak/>
        <w:t xml:space="preserve">Materials </w:t>
      </w:r>
      <w:r>
        <w:t>and Methods</w:t>
      </w:r>
      <w:bookmarkEnd w:id="262"/>
      <w:bookmarkEnd w:id="263"/>
      <w:bookmarkEnd w:id="264"/>
    </w:p>
    <w:p w:rsidR="005D1052" w:rsidRPr="003C67C3" w:rsidRDefault="005D1052" w:rsidP="005D1052">
      <w:pPr>
        <w:pStyle w:val="Heading3"/>
      </w:pPr>
      <w:bookmarkStart w:id="265" w:name="_Toc310605617"/>
      <w:bookmarkStart w:id="266" w:name="_Toc310605912"/>
      <w:bookmarkStart w:id="267" w:name="_Toc440823225"/>
      <w:r w:rsidRPr="003C67C3">
        <w:t>Scaffold and Polydimethylsiloxane (PDMS) chamber</w:t>
      </w:r>
      <w:bookmarkEnd w:id="265"/>
      <w:bookmarkEnd w:id="266"/>
      <w:bookmarkEnd w:id="267"/>
    </w:p>
    <w:p w:rsidR="005D1052" w:rsidRDefault="005D1052" w:rsidP="005D1052">
      <w:r>
        <w:t xml:space="preserve">A commercial PCL </w:t>
      </w:r>
      <w:r w:rsidRPr="00E84FAF">
        <w:t>scaffold</w:t>
      </w:r>
      <w:r>
        <w:rPr>
          <w:b/>
        </w:rPr>
        <w:t xml:space="preserve"> </w:t>
      </w:r>
      <w:r>
        <w:t xml:space="preserve">from 3D Biotek (New Jersey, USA) was selected for this study </w:t>
      </w:r>
      <w:r w:rsidRPr="00EE20FB">
        <w:t>(see description</w:t>
      </w:r>
      <w:r>
        <w:t xml:space="preserve"> of the scaffold</w:t>
      </w:r>
      <w:r w:rsidRPr="00EE20FB">
        <w:t xml:space="preserve"> in section </w:t>
      </w:r>
      <w:r w:rsidRPr="00EE20FB">
        <w:fldChar w:fldCharType="begin"/>
      </w:r>
      <w:r w:rsidRPr="00EE20FB">
        <w:instrText xml:space="preserve"> REF _Ref312105060 \r \h </w:instrText>
      </w:r>
      <w:r w:rsidRPr="00EE20FB">
        <w:fldChar w:fldCharType="separate"/>
      </w:r>
      <w:r w:rsidR="00924C7D">
        <w:t>3.2.1</w:t>
      </w:r>
      <w:r w:rsidRPr="00EE20FB">
        <w:fldChar w:fldCharType="end"/>
      </w:r>
      <w:r w:rsidRPr="00EE20FB">
        <w:t>).</w:t>
      </w:r>
      <w:r>
        <w:t xml:space="preserve"> The cylindrical scaffold was trimmed and located inside a</w:t>
      </w:r>
      <w:r w:rsidRPr="001A68DF">
        <w:t xml:space="preserve"> </w:t>
      </w:r>
      <w:r>
        <w:t>micro-</w:t>
      </w:r>
      <w:r w:rsidRPr="001A68DF">
        <w:t xml:space="preserve">channel </w:t>
      </w:r>
      <w:r>
        <w:t xml:space="preserve">with rectangular profile to allow optical access to the </w:t>
      </w:r>
      <w:r>
        <w:sym w:font="Symbol" w:char="F06D"/>
      </w:r>
      <w:r>
        <w:t>PIV system inside the scaffold and</w:t>
      </w:r>
      <w:r w:rsidRPr="001A68DF">
        <w:t xml:space="preserve"> </w:t>
      </w:r>
      <w:r>
        <w:t>therefore quantify</w:t>
      </w:r>
      <w:r w:rsidRPr="001A68DF">
        <w:t xml:space="preserve"> the flow field </w:t>
      </w:r>
      <w:r>
        <w:t>near the scaffold fibres</w:t>
      </w:r>
      <w:r w:rsidRPr="00C375B6">
        <w:t xml:space="preserve">. </w:t>
      </w:r>
      <w:r w:rsidRPr="00D45CB1">
        <w:t xml:space="preserve">The depth of field of </w:t>
      </w:r>
      <w:r w:rsidRPr="00FD5E6C">
        <w:t xml:space="preserve">the </w:t>
      </w:r>
      <w:r w:rsidRPr="00FD5E6C">
        <w:sym w:font="Symbol" w:char="F06D"/>
      </w:r>
      <w:r w:rsidRPr="00FD5E6C">
        <w:t>PIV system</w:t>
      </w:r>
      <w:r w:rsidRPr="00D45CB1">
        <w:t xml:space="preserve"> </w:t>
      </w:r>
      <w:r>
        <w:t>permitted</w:t>
      </w:r>
      <w:r w:rsidRPr="00D45CB1">
        <w:t xml:space="preserve"> </w:t>
      </w:r>
      <w:r>
        <w:t>to</w:t>
      </w:r>
      <w:r w:rsidRPr="009616E7">
        <w:t xml:space="preserve"> </w:t>
      </w:r>
      <w:r w:rsidRPr="00FA678F">
        <w:t>focus the working plane within the first layer of pores</w:t>
      </w:r>
      <w:r>
        <w:t xml:space="preserve"> that consisted of series of vertical and horizontal fibres arranged in 3D (see </w:t>
      </w:r>
      <w:r>
        <w:rPr>
          <w:highlight w:val="yellow"/>
        </w:rPr>
        <w:fldChar w:fldCharType="begin"/>
      </w:r>
      <w:r>
        <w:instrText xml:space="preserve"> REF _Ref312104857 \h </w:instrText>
      </w:r>
      <w:r>
        <w:rPr>
          <w:highlight w:val="yellow"/>
        </w:rPr>
      </w:r>
      <w:r>
        <w:rPr>
          <w:highlight w:val="yellow"/>
        </w:rPr>
        <w:fldChar w:fldCharType="separate"/>
      </w:r>
      <w:r w:rsidR="00924C7D" w:rsidRPr="00D248F0">
        <w:t xml:space="preserve">Figure </w:t>
      </w:r>
      <w:r w:rsidR="00924C7D">
        <w:rPr>
          <w:noProof/>
        </w:rPr>
        <w:t>4</w:t>
      </w:r>
      <w:r w:rsidR="00924C7D">
        <w:noBreakHyphen/>
      </w:r>
      <w:r w:rsidR="00924C7D">
        <w:rPr>
          <w:noProof/>
        </w:rPr>
        <w:t>1</w:t>
      </w:r>
      <w:r>
        <w:rPr>
          <w:highlight w:val="yellow"/>
        </w:rPr>
        <w:fldChar w:fldCharType="end"/>
      </w:r>
      <w:r>
        <w:t>)</w:t>
      </w:r>
      <w:r w:rsidRPr="009355CD">
        <w:t>.</w:t>
      </w:r>
      <w:r>
        <w:rPr>
          <w:b/>
        </w:rPr>
        <w:t xml:space="preserve"> </w:t>
      </w:r>
      <w:r>
        <w:t>The micro-chamber was made of PDMS with the following dimensions; 3x1x40 mm</w:t>
      </w:r>
      <w:r>
        <w:rPr>
          <w:vertAlign w:val="superscript"/>
        </w:rPr>
        <w:t>3</w:t>
      </w:r>
      <w:r>
        <w:t xml:space="preserve">. The chamber was mounted on a surface glass by plasma-activated bounding. A machined mould made of </w:t>
      </w:r>
      <w:r w:rsidRPr="00FE5037">
        <w:t>Poly(methyl methacrylate)</w:t>
      </w:r>
      <w:r>
        <w:t xml:space="preserve"> was used to build the chambers thereby ensuring reproducibility among experimental trials.</w:t>
      </w:r>
    </w:p>
    <w:p w:rsidR="005D1052" w:rsidRDefault="005D1052" w:rsidP="005D1052"/>
    <w:p w:rsidR="005D1052" w:rsidRDefault="005D1052" w:rsidP="005D1052">
      <w:pPr>
        <w:keepNext/>
      </w:pPr>
      <w:r>
        <w:rPr>
          <w:noProof/>
          <w:lang w:eastAsia="en-GB"/>
        </w:rPr>
        <w:drawing>
          <wp:inline distT="0" distB="0" distL="0" distR="0" wp14:anchorId="3BB17975" wp14:editId="228D49EF">
            <wp:extent cx="4744579" cy="1891748"/>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81">
                      <a:extLst>
                        <a:ext uri="{28A0092B-C50C-407E-A947-70E740481C1C}">
                          <a14:useLocalDpi xmlns:a14="http://schemas.microsoft.com/office/drawing/2010/main" val="0"/>
                        </a:ext>
                      </a:extLst>
                    </a:blip>
                    <a:stretch>
                      <a:fillRect/>
                    </a:stretch>
                  </pic:blipFill>
                  <pic:spPr>
                    <a:xfrm>
                      <a:off x="0" y="0"/>
                      <a:ext cx="4744579" cy="1891748"/>
                    </a:xfrm>
                    <a:prstGeom prst="rect">
                      <a:avLst/>
                    </a:prstGeom>
                  </pic:spPr>
                </pic:pic>
              </a:graphicData>
            </a:graphic>
          </wp:inline>
        </w:drawing>
      </w:r>
    </w:p>
    <w:p w:rsidR="005D1052" w:rsidRDefault="005D1052" w:rsidP="005D1052">
      <w:pPr>
        <w:pStyle w:val="Caption"/>
        <w:rPr>
          <w:noProof/>
        </w:rPr>
      </w:pPr>
      <w:bookmarkStart w:id="268" w:name="_Ref312104857"/>
      <w:bookmarkStart w:id="269" w:name="_Toc438590817"/>
      <w:bookmarkStart w:id="270" w:name="_Toc445718823"/>
      <w:r w:rsidRPr="00D248F0">
        <w:t xml:space="preserve">Figure </w:t>
      </w:r>
      <w:fldSimple w:instr=" STYLEREF 1 \s ">
        <w:r w:rsidR="00924C7D">
          <w:rPr>
            <w:noProof/>
          </w:rPr>
          <w:t>4</w:t>
        </w:r>
      </w:fldSimple>
      <w:r>
        <w:noBreakHyphen/>
      </w:r>
      <w:fldSimple w:instr=" SEQ Figure \* ARABIC \s 1 ">
        <w:r w:rsidR="00924C7D">
          <w:rPr>
            <w:noProof/>
          </w:rPr>
          <w:t>1</w:t>
        </w:r>
      </w:fldSimple>
      <w:bookmarkEnd w:id="268"/>
      <w:r>
        <w:rPr>
          <w:noProof/>
        </w:rPr>
        <w:t xml:space="preserve"> </w:t>
      </w:r>
      <w:r>
        <w:rPr>
          <w:b w:val="0"/>
          <w:noProof/>
        </w:rPr>
        <w:t xml:space="preserve">a) </w:t>
      </w:r>
      <w:r w:rsidRPr="00DA3C01">
        <w:rPr>
          <w:b w:val="0"/>
          <w:noProof/>
        </w:rPr>
        <w:t>Microfluidic chamber made of PDMS mounted on the microscope st</w:t>
      </w:r>
      <w:r>
        <w:rPr>
          <w:b w:val="0"/>
          <w:noProof/>
        </w:rPr>
        <w:t>age. The trimmed scaffold (b) was</w:t>
      </w:r>
      <w:r w:rsidRPr="00DA3C01">
        <w:rPr>
          <w:b w:val="0"/>
          <w:noProof/>
        </w:rPr>
        <w:t xml:space="preserve"> placed inside the rectangular channel to allow optical access to the µPIV system.</w:t>
      </w:r>
      <w:bookmarkEnd w:id="269"/>
      <w:bookmarkEnd w:id="270"/>
    </w:p>
    <w:p w:rsidR="005D1052" w:rsidRPr="008E2D17" w:rsidRDefault="005D1052" w:rsidP="005D1052">
      <w:pPr>
        <w:pStyle w:val="Heading3"/>
      </w:pPr>
      <w:bookmarkStart w:id="271" w:name="_Toc310605618"/>
      <w:bookmarkStart w:id="272" w:name="_Toc310605913"/>
      <w:bookmarkStart w:id="273" w:name="_Toc440823226"/>
      <w:r w:rsidRPr="008E2D17">
        <w:lastRenderedPageBreak/>
        <w:t>Characterization of the local fluid flow inside the scaffold</w:t>
      </w:r>
      <w:bookmarkEnd w:id="271"/>
      <w:bookmarkEnd w:id="272"/>
      <w:bookmarkEnd w:id="273"/>
    </w:p>
    <w:p w:rsidR="005D1052" w:rsidRPr="008E2D17" w:rsidRDefault="005D1052" w:rsidP="005D1052">
      <w:pPr>
        <w:pStyle w:val="Heading4"/>
      </w:pPr>
      <w:bookmarkStart w:id="274" w:name="_Toc440823227"/>
      <w:r w:rsidRPr="008E2D17">
        <w:t>Experimental methods</w:t>
      </w:r>
      <w:bookmarkEnd w:id="274"/>
    </w:p>
    <w:p w:rsidR="005D1052" w:rsidRPr="00475988" w:rsidRDefault="005D1052" w:rsidP="005D1052">
      <w:pPr>
        <w:pStyle w:val="Heading5"/>
      </w:pPr>
      <w:bookmarkStart w:id="275" w:name="_Toc440823228"/>
      <w:r w:rsidRPr="00475988">
        <w:t>Microfluidic system</w:t>
      </w:r>
      <w:bookmarkEnd w:id="275"/>
    </w:p>
    <w:p w:rsidR="005D1052" w:rsidRDefault="005D1052" w:rsidP="005D1052">
      <w:r>
        <w:t xml:space="preserve">1 </w:t>
      </w:r>
      <w:r>
        <w:sym w:font="Symbol" w:char="F06D"/>
      </w:r>
      <w:r>
        <w:t>m diameter polystyrene fluorescent particles (orange, 540/560 nm) were diluted in deionized water</w:t>
      </w:r>
      <w:r w:rsidRPr="003002EB">
        <w:rPr>
          <w:b/>
          <w:color w:val="ED7D31" w:themeColor="accent2"/>
        </w:rPr>
        <w:t xml:space="preserve"> </w:t>
      </w:r>
      <w:r w:rsidRPr="006B3890">
        <w:t>with a concentration of 2</w:t>
      </w:r>
      <w:r w:rsidRPr="006B3890">
        <w:sym w:font="Symbol" w:char="F0D7"/>
      </w:r>
      <w:r w:rsidRPr="006B3890">
        <w:t>10</w:t>
      </w:r>
      <w:r w:rsidRPr="006B3890">
        <w:rPr>
          <w:vertAlign w:val="superscript"/>
        </w:rPr>
        <w:t>8</w:t>
      </w:r>
      <w:r w:rsidRPr="006B3890">
        <w:t xml:space="preserve"> beads/ml</w:t>
      </w:r>
      <w:r>
        <w:t xml:space="preserve">. A syringe pump was connected at the inlet of the chamber to infuse the working fluid with a constant flow rate of 18 </w:t>
      </w:r>
      <w:r>
        <w:sym w:font="Symbol" w:char="F06D"/>
      </w:r>
      <w:r>
        <w:t xml:space="preserve">l/min corresponding to 0.1 mm/s at the scaffold entrance. The outlet of the chamber was connected to a tube that drove the fluid towards a reservoir. </w:t>
      </w:r>
    </w:p>
    <w:p w:rsidR="005D1052" w:rsidRPr="003A5642" w:rsidRDefault="005D1052" w:rsidP="005D1052">
      <w:pPr>
        <w:pStyle w:val="Heading5"/>
      </w:pPr>
      <w:bookmarkStart w:id="276" w:name="_Toc440823229"/>
      <w:r w:rsidRPr="003A5642">
        <w:sym w:font="Symbol" w:char="F06D"/>
      </w:r>
      <w:r w:rsidRPr="003A5642">
        <w:t>PIV experimental procedure</w:t>
      </w:r>
      <w:bookmarkEnd w:id="276"/>
    </w:p>
    <w:p w:rsidR="005D1052" w:rsidRDefault="005D1052" w:rsidP="005D1052">
      <w:r>
        <w:t xml:space="preserve">The microfluidic chamber was placed on top of an </w:t>
      </w:r>
      <w:r w:rsidRPr="00825CFB">
        <w:t xml:space="preserve">inverted </w:t>
      </w:r>
      <w:r>
        <w:t>Olympus IX71 microscope stage with 10X optics magnification. A synchronised laser (Nd:YAG 532 nm) was used</w:t>
      </w:r>
      <w:r w:rsidRPr="00565317">
        <w:t xml:space="preserve"> </w:t>
      </w:r>
      <w:r>
        <w:t>to excite the tracer particles at two time points with an interval of 10,</w:t>
      </w:r>
      <w:r w:rsidRPr="00655BED">
        <w:t xml:space="preserve">000 </w:t>
      </w:r>
      <w:r>
        <w:t>µ</w:t>
      </w:r>
      <w:r w:rsidRPr="00655BED">
        <w:t>s</w:t>
      </w:r>
      <w:r>
        <w:t xml:space="preserve">. The emitted light from the particles was recorded by a camera </w:t>
      </w:r>
      <w:r w:rsidRPr="00C3688C">
        <w:t>(P</w:t>
      </w:r>
      <w:r>
        <w:t>ower</w:t>
      </w:r>
      <w:r w:rsidRPr="00C3688C">
        <w:t xml:space="preserve"> V</w:t>
      </w:r>
      <w:r>
        <w:t>iew</w:t>
      </w:r>
      <w:r w:rsidRPr="00C3688C">
        <w:t xml:space="preserve"> 4M, 2048 x 2048 pixels) </w:t>
      </w:r>
      <w:r>
        <w:t>in double frame images. The time interval was selected to obtain particles displacement of 6-12 pixels from frame to frame to facilitate further post-processing.  50 double frame images were combined to reach at least five particles per interrogation region in order to calculate the velocity field accurately. The field of view was 0.94 x 0.94 mm</w:t>
      </w:r>
      <w:r w:rsidRPr="00A46127">
        <w:rPr>
          <w:vertAlign w:val="superscript"/>
        </w:rPr>
        <w:t>2</w:t>
      </w:r>
      <w:r>
        <w:rPr>
          <w:vertAlign w:val="superscript"/>
        </w:rPr>
        <w:t xml:space="preserve"> </w:t>
      </w:r>
      <w:r>
        <w:t>and the regions investigated were in the vicinity of the fibres in order to understand the effect of the local fluid dynamics on cell-surface deposition</w:t>
      </w:r>
      <w:r w:rsidRPr="00825CFB">
        <w:t>.</w:t>
      </w:r>
      <w:r w:rsidRPr="00424B9B">
        <w:t xml:space="preserve"> </w:t>
      </w:r>
    </w:p>
    <w:p w:rsidR="005D1052" w:rsidRPr="003429AD" w:rsidRDefault="005D1052" w:rsidP="005D1052">
      <w:r>
        <w:t xml:space="preserve">However, due to the optics and the size of the tracer particles, out-of-focus particles within a specific depth could contribute to the velocity correlations algorithm. This depth is commonly known as depth of correlation (DOC) and for this setup it is </w:t>
      </w:r>
      <w:r>
        <w:rPr>
          <w:rFonts w:ascii="Times New Roman" w:hAnsi="Times New Roman" w:cs="Times New Roman"/>
        </w:rPr>
        <w:t>~</w:t>
      </w:r>
      <w:r>
        <w:t xml:space="preserve">25 </w:t>
      </w:r>
      <w:r w:rsidRPr="00CB4F81">
        <w:t>µ</w:t>
      </w:r>
      <w:r>
        <w:t xml:space="preserve">m which was calculated using equation 4-1 proposed </w:t>
      </w:r>
      <w:r w:rsidRPr="00A91479">
        <w:t xml:space="preserve">by Olsen and Adrian </w:t>
      </w:r>
      <w:r w:rsidRPr="00A91479">
        <w:fldChar w:fldCharType="begin" w:fldLock="1"/>
      </w:r>
      <w:r>
        <w:instrText>ADDIN CSL_CITATION { "citationItems" : [ { "id" : "ITEM-1", "itemData" : { "DOI" : "10.1007/s003480070018", "ISBN" : "0030-3992", "abstract" : "Abstract&amp;nbsp;&amp;nbsp; In microscopic particle image velocimetry (\u03bcPIV) the entire volume of a flowfield is illuminated, resulting in all of the particles in the field of view contributing to the image, either by forming discrete particle images or contributing to a background glow. The theory of PIV is expanded to encompass this situation. Equations are derived for a particle image intensity function that yields image diameter and intensity as a function of distance from the object plane, as well as an equation for a new quantity, termed particle visibility. The effect of changing experimental parameters is discussed. Next, the contribution of out-of-focus particles to the correlation function is addressed. A weighting function that can be used to calculate either velocity measurement bias or the distance from the object plane beyond which particles no longer significantly contribute to the correlation function is derived. A new experimental parameter, the depth of correlation, is then introduced, and its dependence on experimental parameters is discussed.", "author" : [ { "family" : "Olsen", "given" : "M. G." }, { "family" : "Adrian", "given" : "R. J." } ], "container-title" : "Experiments in Fluids", "id" : "ITEM-1", "issued" : { "date-parts" : [ [ "2000" ] ] }, "page" : "S166-S174", "title" : "Out-of-focus effects on particle image visibility and correlation in microscopic particle image velocimetry", "type" : "article-journal", "volume" : "29" }, "uris" : [ "http://www.mendeley.com/documents/?uuid=e638e0c2-a231-4e6e-a657-4bd0a9fdc769" ] } ], "mendeley" : { "formattedCitation" : "[164]", "plainTextFormattedCitation" : "[164]", "previouslyFormattedCitation" : "[165]" }, "properties" : { "noteIndex" : 0 }, "schema" : "https://github.com/citation-style-language/schema/raw/master/csl-citation.json" }</w:instrText>
      </w:r>
      <w:r w:rsidRPr="00A91479">
        <w:fldChar w:fldCharType="separate"/>
      </w:r>
      <w:r w:rsidRPr="00A15EFA">
        <w:rPr>
          <w:noProof/>
        </w:rPr>
        <w:t>[165]</w:t>
      </w:r>
      <w:r w:rsidRPr="00A91479">
        <w:fldChar w:fldCharType="end"/>
      </w:r>
      <w:r w:rsidRPr="00A91479">
        <w:t>:</w:t>
      </w:r>
    </w:p>
    <w:p w:rsidR="005D1052" w:rsidRDefault="005D1052" w:rsidP="005D1052">
      <w:pPr>
        <w:pStyle w:val="Caption"/>
        <w:jc w:val="right"/>
        <w:rPr>
          <w:noProof/>
        </w:rPr>
      </w:pPr>
      <w:bookmarkStart w:id="277" w:name="_Ref312110203"/>
      <w:r>
        <w:rPr>
          <w:noProof/>
          <w:position w:val="-36"/>
          <w:lang w:eastAsia="en-GB"/>
        </w:rPr>
        <w:drawing>
          <wp:inline distT="0" distB="0" distL="0" distR="0" wp14:anchorId="215A13CB" wp14:editId="17B60E8B">
            <wp:extent cx="3111500" cy="584200"/>
            <wp:effectExtent l="0" t="0" r="12700" b="0"/>
            <wp:docPr id="206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11500" cy="584200"/>
                    </a:xfrm>
                    <a:prstGeom prst="rect">
                      <a:avLst/>
                    </a:prstGeom>
                    <a:noFill/>
                    <a:ln>
                      <a:noFill/>
                    </a:ln>
                  </pic:spPr>
                </pic:pic>
              </a:graphicData>
            </a:graphic>
          </wp:inline>
        </w:drawing>
      </w:r>
      <w:bookmarkStart w:id="278" w:name="_Toc310621720"/>
      <w:r>
        <w:t xml:space="preserve">  </w:t>
      </w:r>
      <w:r>
        <w:tab/>
      </w:r>
      <w:r>
        <w:tab/>
      </w:r>
      <w:r>
        <w:tab/>
        <w:t>[</w:t>
      </w:r>
      <w:fldSimple w:instr=" STYLEREF 1 \s ">
        <w:r w:rsidR="00924C7D">
          <w:rPr>
            <w:noProof/>
          </w:rPr>
          <w:t>4</w:t>
        </w:r>
      </w:fldSimple>
      <w:r>
        <w:noBreakHyphen/>
      </w:r>
      <w:fldSimple w:instr=" SEQ Equation \* ARABIC \s 1 ">
        <w:r w:rsidR="00924C7D">
          <w:rPr>
            <w:noProof/>
          </w:rPr>
          <w:t>1</w:t>
        </w:r>
      </w:fldSimple>
      <w:r>
        <w:rPr>
          <w:noProof/>
        </w:rPr>
        <w:t>]</w:t>
      </w:r>
      <w:bookmarkEnd w:id="277"/>
      <w:r>
        <w:rPr>
          <w:noProof/>
        </w:rPr>
        <w:t xml:space="preserve"> </w:t>
      </w:r>
    </w:p>
    <w:p w:rsidR="005D1052" w:rsidRDefault="005D1052" w:rsidP="005D1052">
      <w:pPr>
        <w:ind w:firstLine="0"/>
        <w:rPr>
          <w:noProof/>
        </w:rPr>
      </w:pPr>
      <w:r>
        <w:rPr>
          <w:noProof/>
        </w:rPr>
        <w:lastRenderedPageBreak/>
        <w:t>where</w:t>
      </w:r>
      <w:r>
        <w:t>,</w:t>
      </w:r>
      <w:r w:rsidRPr="00CB4F81">
        <w:t xml:space="preserve"> magnification</w:t>
      </w:r>
      <w:r>
        <w:rPr>
          <w:rFonts w:ascii="Times New Roman" w:hAnsi="Times New Roman" w:cs="Times New Roman"/>
        </w:rPr>
        <w:t xml:space="preserve">, </w:t>
      </w:r>
      <w:r w:rsidRPr="00364C2F">
        <w:rPr>
          <w:i/>
        </w:rPr>
        <w:t>M</w:t>
      </w:r>
      <w:r>
        <w:rPr>
          <w:rFonts w:ascii="Times New Roman" w:hAnsi="Times New Roman" w:cs="Times New Roman"/>
        </w:rPr>
        <w:t xml:space="preserve">= </w:t>
      </w:r>
      <w:r w:rsidRPr="008101CE">
        <w:t>10; wavelength of the light emitted by the particles,</w:t>
      </w:r>
      <w:r>
        <w:rPr>
          <w:rFonts w:ascii="Times New Roman" w:hAnsi="Times New Roman" w:cs="Times New Roman"/>
        </w:rPr>
        <w:t xml:space="preserve"> </w:t>
      </w:r>
      <w:r w:rsidRPr="00364C2F">
        <w:rPr>
          <w:i/>
        </w:rPr>
        <w:t>λ</w:t>
      </w:r>
      <w:r w:rsidRPr="00CB4F81">
        <w:t xml:space="preserve">= </w:t>
      </w:r>
      <w:r>
        <w:t>0.</w:t>
      </w:r>
      <w:r w:rsidRPr="00CB4F81">
        <w:t>532</w:t>
      </w:r>
      <w:r>
        <w:t xml:space="preserve"> </w:t>
      </w:r>
      <w:r w:rsidRPr="00CB4F81">
        <w:t>µ</w:t>
      </w:r>
      <w:r>
        <w:t>m</w:t>
      </w:r>
      <w:r w:rsidRPr="00AC5BED">
        <w:t>; diameter of the particles</w:t>
      </w:r>
      <w:r>
        <w:t xml:space="preserve">, </w:t>
      </w:r>
      <w:r w:rsidRPr="00752B94">
        <w:rPr>
          <w:i/>
        </w:rPr>
        <w:t>d</w:t>
      </w:r>
      <w:r w:rsidRPr="00752B94">
        <w:rPr>
          <w:i/>
          <w:vertAlign w:val="subscript"/>
        </w:rPr>
        <w:t>p</w:t>
      </w:r>
      <w:r w:rsidRPr="00AC5BED">
        <w:t xml:space="preserve">= </w:t>
      </w:r>
      <w:r>
        <w:t xml:space="preserve">10 </w:t>
      </w:r>
      <w:r w:rsidRPr="00CB4F81">
        <w:t>µ</w:t>
      </w:r>
      <w:r>
        <w:t>m;</w:t>
      </w:r>
      <w:r w:rsidRPr="00AC5BED">
        <w:t xml:space="preserve"> threshold value to determine the contribution of a particle to the measured velocity</w:t>
      </w:r>
      <w:r>
        <w:rPr>
          <w:rFonts w:ascii="Times New Roman" w:hAnsi="Times New Roman" w:cs="Times New Roman"/>
        </w:rPr>
        <w:t>,</w:t>
      </w:r>
      <w:bookmarkStart w:id="279" w:name="OLE_LINK5"/>
      <w:bookmarkStart w:id="280" w:name="OLE_LINK6"/>
      <w:r>
        <w:t xml:space="preserve"> </w:t>
      </w:r>
      <w:r w:rsidRPr="00364C2F">
        <w:rPr>
          <w:i/>
        </w:rPr>
        <w:t>ε</w:t>
      </w:r>
      <w:bookmarkEnd w:id="279"/>
      <w:bookmarkEnd w:id="280"/>
      <w:r>
        <w:rPr>
          <w:rFonts w:ascii="Times New Roman" w:hAnsi="Times New Roman" w:cs="Times New Roman"/>
          <w:sz w:val="28"/>
        </w:rPr>
        <w:t>=</w:t>
      </w:r>
      <w:r w:rsidRPr="000124A4">
        <w:t>0</w:t>
      </w:r>
      <w:r w:rsidRPr="00A20543">
        <w:t>.01 and focal number</w:t>
      </w:r>
      <w:r>
        <w:t>,</w:t>
      </w:r>
      <w:r w:rsidRPr="00A20543">
        <w:t xml:space="preserve"> </w:t>
      </w:r>
      <w:r w:rsidRPr="00364C2F">
        <w:rPr>
          <w:i/>
        </w:rPr>
        <w:t>f</w:t>
      </w:r>
      <w:r w:rsidRPr="00364C2F">
        <w:rPr>
          <w:i/>
          <w:vertAlign w:val="superscript"/>
        </w:rPr>
        <w:t>#</w:t>
      </w:r>
      <w:r>
        <w:t xml:space="preserve"> </w:t>
      </w:r>
      <w:r>
        <w:rPr>
          <w:noProof/>
        </w:rPr>
        <w:t xml:space="preserve">is calculated by </w:t>
      </w:r>
      <w:r>
        <w:rPr>
          <w:noProof/>
        </w:rPr>
        <w:fldChar w:fldCharType="begin" w:fldLock="1"/>
      </w:r>
      <w:r>
        <w:rPr>
          <w:noProof/>
        </w:rPr>
        <w:instrText>ADDIN CSL_CITATION { "citationItems" : [ { "id" : "ITEM-1", "itemData" : { "author" : [ { "family" : "Meinhart", "given" : "Carl D" }, { "family" : "Wereley", "given" : "Steven T" } ], "id" : "ITEM-1", "issued" : { "date-parts" : [ [ "0" ] ] }, "title" : "The theory of diffraction-limited resolution in microparticle image velocimetry", "type" : "article-journal", "volume" : "1047" }, "uris" : [ "http://www.mendeley.com/documents/?uuid=20cbf902-6597-48e0-a555-8f819c2630fe" ] } ], "mendeley" : { "formattedCitation" : "[165]", "plainTextFormattedCitation" : "[165]", "previouslyFormattedCitation" : "[166]" }, "properties" : { "noteIndex" : 0 }, "schema" : "https://github.com/citation-style-language/schema/raw/master/csl-citation.json" }</w:instrText>
      </w:r>
      <w:r>
        <w:rPr>
          <w:noProof/>
        </w:rPr>
        <w:fldChar w:fldCharType="separate"/>
      </w:r>
      <w:r w:rsidRPr="00A15EFA">
        <w:rPr>
          <w:noProof/>
        </w:rPr>
        <w:t>[166]</w:t>
      </w:r>
      <w:r>
        <w:rPr>
          <w:noProof/>
        </w:rPr>
        <w:fldChar w:fldCharType="end"/>
      </w:r>
      <w:r>
        <w:rPr>
          <w:noProof/>
        </w:rPr>
        <w:t>:</w:t>
      </w:r>
    </w:p>
    <w:p w:rsidR="005D1052" w:rsidRDefault="005D1052" w:rsidP="005D1052">
      <w:pPr>
        <w:pStyle w:val="Caption"/>
        <w:jc w:val="right"/>
      </w:pPr>
      <w:r w:rsidRPr="00FC2D45">
        <w:rPr>
          <w:rFonts w:asciiTheme="minorHAnsi" w:eastAsiaTheme="minorEastAsia" w:hAnsiTheme="minorHAnsi" w:cstheme="minorBidi"/>
          <w:b w:val="0"/>
          <w:noProof/>
          <w:position w:val="-36"/>
          <w:sz w:val="28"/>
        </w:rPr>
        <w:object w:dxaOrig="2020" w:dyaOrig="860">
          <v:shape id="_x0000_i1026" type="#_x0000_t75" style="width:102.75pt;height:45.75pt" o:ole="">
            <v:imagedata r:id="rId83" o:title=""/>
          </v:shape>
          <o:OLEObject Type="Embed" ProgID="Equation.3" ShapeID="_x0000_i1026" DrawAspect="Content" ObjectID="_1529218009" r:id="rId84"/>
        </w:object>
      </w:r>
      <w:r>
        <w:rPr>
          <w:rFonts w:asciiTheme="minorHAnsi" w:eastAsiaTheme="minorEastAsia" w:hAnsiTheme="minorHAnsi" w:cstheme="minorBidi"/>
          <w:b w:val="0"/>
          <w:noProof/>
          <w:sz w:val="28"/>
        </w:rPr>
        <w:t xml:space="preserve">  </w:t>
      </w:r>
      <w:r>
        <w:rPr>
          <w:rFonts w:asciiTheme="minorHAnsi" w:eastAsiaTheme="minorEastAsia" w:hAnsiTheme="minorHAnsi" w:cstheme="minorBidi"/>
          <w:b w:val="0"/>
          <w:noProof/>
          <w:sz w:val="28"/>
        </w:rPr>
        <w:tab/>
      </w:r>
      <w:r>
        <w:rPr>
          <w:rFonts w:asciiTheme="minorHAnsi" w:eastAsiaTheme="minorEastAsia" w:hAnsiTheme="minorHAnsi" w:cstheme="minorBidi"/>
          <w:b w:val="0"/>
          <w:noProof/>
          <w:sz w:val="28"/>
        </w:rPr>
        <w:tab/>
      </w:r>
      <w:r>
        <w:rPr>
          <w:rFonts w:asciiTheme="minorHAnsi" w:eastAsiaTheme="minorEastAsia" w:hAnsiTheme="minorHAnsi" w:cstheme="minorBidi"/>
          <w:b w:val="0"/>
          <w:noProof/>
          <w:sz w:val="28"/>
        </w:rPr>
        <w:tab/>
      </w:r>
      <w:r>
        <w:rPr>
          <w:rFonts w:asciiTheme="minorHAnsi" w:eastAsiaTheme="minorEastAsia" w:hAnsiTheme="minorHAnsi" w:cstheme="minorBidi"/>
          <w:b w:val="0"/>
          <w:noProof/>
          <w:sz w:val="28"/>
        </w:rPr>
        <w:tab/>
      </w:r>
      <w:r>
        <w:t>[</w:t>
      </w:r>
      <w:fldSimple w:instr=" STYLEREF 1 \s ">
        <w:r w:rsidR="00924C7D">
          <w:rPr>
            <w:noProof/>
          </w:rPr>
          <w:t>4</w:t>
        </w:r>
      </w:fldSimple>
      <w:r>
        <w:noBreakHyphen/>
      </w:r>
      <w:fldSimple w:instr=" SEQ Equation \* ARABIC \s 1 ">
        <w:r w:rsidR="00924C7D">
          <w:rPr>
            <w:noProof/>
          </w:rPr>
          <w:t>2</w:t>
        </w:r>
      </w:fldSimple>
      <w:r>
        <w:t>]</w:t>
      </w:r>
      <w:r w:rsidRPr="00FC2D45">
        <w:rPr>
          <w:position w:val="-4"/>
        </w:rPr>
        <w:object w:dxaOrig="180" w:dyaOrig="260">
          <v:shape id="_x0000_i1027" type="#_x0000_t75" style="width:8.25pt;height:14.25pt" o:ole="">
            <v:imagedata r:id="rId85" o:title=""/>
          </v:shape>
          <o:OLEObject Type="Embed" ProgID="Equation.3" ShapeID="_x0000_i1027" DrawAspect="Content" ObjectID="_1529218010" r:id="rId86"/>
        </w:object>
      </w:r>
    </w:p>
    <w:p w:rsidR="005D1052" w:rsidRPr="001D2619" w:rsidRDefault="005D1052" w:rsidP="005D1052">
      <w:r>
        <w:t xml:space="preserve">where </w:t>
      </w:r>
      <w:r w:rsidRPr="001D2619">
        <w:rPr>
          <w:rFonts w:ascii="Times" w:hAnsi="Times"/>
          <w:i/>
        </w:rPr>
        <w:t>n</w:t>
      </w:r>
      <w:r w:rsidRPr="001D2619">
        <w:rPr>
          <w:rFonts w:ascii="Times" w:hAnsi="Times"/>
          <w:i/>
          <w:vertAlign w:val="subscript"/>
        </w:rPr>
        <w:t>o</w:t>
      </w:r>
      <w:r w:rsidRPr="001D2619">
        <w:t>, refractive index=1</w:t>
      </w:r>
      <w:r>
        <w:t xml:space="preserve"> and numerical aperture, </w:t>
      </w:r>
      <w:r w:rsidRPr="00364C2F">
        <w:rPr>
          <w:i/>
        </w:rPr>
        <w:t>NA</w:t>
      </w:r>
      <w:r>
        <w:t>=0.3.</w:t>
      </w:r>
    </w:p>
    <w:bookmarkEnd w:id="278"/>
    <w:p w:rsidR="005D1052" w:rsidRDefault="005D1052" w:rsidP="005D1052">
      <w:r w:rsidRPr="00FD5E6C">
        <w:t>As the depth of the pore was around 300 µm, the</w:t>
      </w:r>
      <w:r>
        <w:t xml:space="preserve"> effect of calculated DOC on the velocity measurements was considered negligible.</w:t>
      </w:r>
    </w:p>
    <w:p w:rsidR="005D1052" w:rsidRDefault="005D1052" w:rsidP="005D1052">
      <w:r>
        <w:t xml:space="preserve">A preliminary study in a simple scenario was carried out to determine the accuracy of the system by comparing </w:t>
      </w:r>
      <w:r w:rsidRPr="001D2C1C">
        <w:t>the µPIV measured</w:t>
      </w:r>
      <w:r>
        <w:t xml:space="preserve"> velocities of a laminar flow inside the rectangular channel without scaffold with the analytical and CFD solutions </w:t>
      </w:r>
      <w:r w:rsidRPr="001D2C1C">
        <w:t xml:space="preserve">(see results in section </w:t>
      </w:r>
      <w:r w:rsidRPr="001D2C1C">
        <w:fldChar w:fldCharType="begin"/>
      </w:r>
      <w:r w:rsidRPr="001D2C1C">
        <w:instrText xml:space="preserve"> REF _Ref312110908 \r \h </w:instrText>
      </w:r>
      <w:r w:rsidRPr="001D2C1C">
        <w:fldChar w:fldCharType="separate"/>
      </w:r>
      <w:r w:rsidR="00924C7D">
        <w:t>4.3.1.1.1</w:t>
      </w:r>
      <w:r w:rsidRPr="001D2C1C">
        <w:fldChar w:fldCharType="end"/>
      </w:r>
      <w:r w:rsidRPr="001D2C1C">
        <w:t>).</w:t>
      </w:r>
    </w:p>
    <w:p w:rsidR="005D1052" w:rsidRPr="003A5642" w:rsidRDefault="005D1052" w:rsidP="005D1052">
      <w:pPr>
        <w:pStyle w:val="Heading5"/>
      </w:pPr>
      <w:bookmarkStart w:id="281" w:name="_Toc440823230"/>
      <w:r w:rsidRPr="003A5642">
        <w:sym w:font="Symbol" w:char="F06D"/>
      </w:r>
      <w:r w:rsidRPr="003A5642">
        <w:t xml:space="preserve">PIV </w:t>
      </w:r>
      <w:r>
        <w:t>d</w:t>
      </w:r>
      <w:r w:rsidRPr="003A5642">
        <w:t>ata post-processing</w:t>
      </w:r>
      <w:bookmarkEnd w:id="281"/>
    </w:p>
    <w:p w:rsidR="005D1052" w:rsidRDefault="005D1052" w:rsidP="005D1052">
      <w:r>
        <w:t xml:space="preserve">Noise background was subtracted from raw images and the resulting images were processed with a Gaussian filter. </w:t>
      </w:r>
      <w:r w:rsidRPr="00825CFB">
        <w:t xml:space="preserve">Velocity vector maps were calculated by using </w:t>
      </w:r>
      <w:r>
        <w:t xml:space="preserve">25% overlap with </w:t>
      </w:r>
      <w:r w:rsidRPr="00825CFB">
        <w:t>the Recursive Gaussian algorithm of Insight 3G (TSI Incorporated, Minneapolis, USA). The calculated velocity fields were analysed in Tecplot.</w:t>
      </w:r>
      <w:r>
        <w:t xml:space="preserve"> </w:t>
      </w:r>
    </w:p>
    <w:p w:rsidR="005D1052" w:rsidRPr="00DD33E8" w:rsidRDefault="005D1052" w:rsidP="005D1052">
      <w:pPr>
        <w:pStyle w:val="Heading4"/>
      </w:pPr>
      <w:bookmarkStart w:id="282" w:name="_Toc440823231"/>
      <w:r w:rsidRPr="00DD33E8">
        <w:t>Computational methods</w:t>
      </w:r>
      <w:bookmarkEnd w:id="282"/>
    </w:p>
    <w:p w:rsidR="005D1052" w:rsidRDefault="005D1052" w:rsidP="005D1052">
      <w:pPr>
        <w:pStyle w:val="Heading5"/>
      </w:pPr>
      <w:bookmarkStart w:id="283" w:name="_Toc440823232"/>
      <w:r w:rsidRPr="003A5642">
        <w:rPr>
          <w:rFonts w:ascii="Times New Roman" w:hAnsi="Times New Roman" w:cs="Times New Roman"/>
        </w:rPr>
        <w:t>µ</w:t>
      </w:r>
      <w:r w:rsidRPr="003A5642">
        <w:t>CT scanning</w:t>
      </w:r>
      <w:r>
        <w:t xml:space="preserve"> of trimmed scaffold</w:t>
      </w:r>
      <w:bookmarkEnd w:id="283"/>
    </w:p>
    <w:p w:rsidR="005D1052" w:rsidRPr="00B27974" w:rsidRDefault="005D1052" w:rsidP="005D1052">
      <w:r>
        <w:t xml:space="preserve">The trimmed scaffold was </w:t>
      </w:r>
      <w:r w:rsidRPr="00FD5E6C">
        <w:t xml:space="preserve">scanned using </w:t>
      </w:r>
      <w:r w:rsidRPr="00FD5E6C">
        <w:sym w:font="Symbol" w:char="F06D"/>
      </w:r>
      <w:r w:rsidRPr="00FD5E6C">
        <w:t>CT with</w:t>
      </w:r>
      <w:r>
        <w:t xml:space="preserve"> 7x7x7 </w:t>
      </w:r>
      <w:r>
        <w:rPr>
          <w:rFonts w:ascii="Symbol" w:hAnsi="Symbol"/>
        </w:rPr>
        <w:t></w:t>
      </w:r>
      <w:r>
        <w:t>m</w:t>
      </w:r>
      <w:r>
        <w:rPr>
          <w:vertAlign w:val="superscript"/>
        </w:rPr>
        <w:t>3</w:t>
      </w:r>
      <w:r>
        <w:t xml:space="preserve"> of voxel size following the procedure explained in </w:t>
      </w:r>
      <w:r w:rsidRPr="001D2C1C">
        <w:t xml:space="preserve">section </w:t>
      </w:r>
      <w:r w:rsidRPr="001D2C1C">
        <w:fldChar w:fldCharType="begin"/>
      </w:r>
      <w:r w:rsidRPr="001D2C1C">
        <w:instrText xml:space="preserve"> REF _Ref312110965 \r \h </w:instrText>
      </w:r>
      <w:r w:rsidRPr="001D2C1C">
        <w:fldChar w:fldCharType="separate"/>
      </w:r>
      <w:r w:rsidR="00924C7D">
        <w:t>3.2.1.1</w:t>
      </w:r>
      <w:r w:rsidRPr="001D2C1C">
        <w:fldChar w:fldCharType="end"/>
      </w:r>
      <w:r>
        <w:t xml:space="preserve"> (see </w:t>
      </w:r>
      <w:r>
        <w:fldChar w:fldCharType="begin"/>
      </w:r>
      <w:r>
        <w:instrText xml:space="preserve"> REF _Ref440619416 \h </w:instrText>
      </w:r>
      <w:r>
        <w:fldChar w:fldCharType="separate"/>
      </w:r>
      <w:r w:rsidR="00924C7D" w:rsidRPr="004352A5">
        <w:t xml:space="preserve">Figure </w:t>
      </w:r>
      <w:r w:rsidR="00924C7D">
        <w:rPr>
          <w:noProof/>
        </w:rPr>
        <w:t>4</w:t>
      </w:r>
      <w:r w:rsidR="00924C7D">
        <w:noBreakHyphen/>
      </w:r>
      <w:r w:rsidR="00924C7D">
        <w:rPr>
          <w:noProof/>
        </w:rPr>
        <w:t>2</w:t>
      </w:r>
      <w:r>
        <w:fldChar w:fldCharType="end"/>
      </w:r>
      <w:r>
        <w:t>)</w:t>
      </w:r>
      <w:r w:rsidRPr="001D2C1C">
        <w:t>.</w:t>
      </w:r>
    </w:p>
    <w:p w:rsidR="005D1052" w:rsidRDefault="005D1052" w:rsidP="005D1052">
      <w:pPr>
        <w:ind w:firstLine="0"/>
        <w:jc w:val="center"/>
      </w:pPr>
      <w:r>
        <w:rPr>
          <w:noProof/>
          <w:lang w:eastAsia="en-GB"/>
        </w:rPr>
        <w:lastRenderedPageBreak/>
        <w:drawing>
          <wp:inline distT="0" distB="0" distL="0" distR="0" wp14:anchorId="3E589C06" wp14:editId="68666E7D">
            <wp:extent cx="2123440" cy="1533332"/>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6452" t="24263" r="27292" b="32993"/>
                    <a:stretch/>
                  </pic:blipFill>
                  <pic:spPr bwMode="auto">
                    <a:xfrm>
                      <a:off x="0" y="0"/>
                      <a:ext cx="2132369" cy="1539780"/>
                    </a:xfrm>
                    <a:prstGeom prst="rect">
                      <a:avLst/>
                    </a:prstGeom>
                    <a:noFill/>
                    <a:ln>
                      <a:noFill/>
                    </a:ln>
                    <a:extLst/>
                  </pic:spPr>
                </pic:pic>
              </a:graphicData>
            </a:graphic>
          </wp:inline>
        </w:drawing>
      </w:r>
    </w:p>
    <w:p w:rsidR="005D1052" w:rsidRPr="005803DA" w:rsidRDefault="005D1052" w:rsidP="005D1052">
      <w:pPr>
        <w:pStyle w:val="Caption"/>
        <w:rPr>
          <w:b w:val="0"/>
          <w:noProof/>
        </w:rPr>
      </w:pPr>
      <w:bookmarkStart w:id="284" w:name="_Ref440619416"/>
      <w:bookmarkStart w:id="285" w:name="_Toc438590818"/>
      <w:bookmarkStart w:id="286" w:name="_Toc445718824"/>
      <w:r w:rsidRPr="004352A5">
        <w:t xml:space="preserve">Figure </w:t>
      </w:r>
      <w:fldSimple w:instr=" STYLEREF 1 \s ">
        <w:r w:rsidR="00924C7D">
          <w:rPr>
            <w:noProof/>
          </w:rPr>
          <w:t>4</w:t>
        </w:r>
      </w:fldSimple>
      <w:r>
        <w:noBreakHyphen/>
      </w:r>
      <w:fldSimple w:instr=" SEQ Figure \* ARABIC \s 1 ">
        <w:r w:rsidR="00924C7D">
          <w:rPr>
            <w:noProof/>
          </w:rPr>
          <w:t>2</w:t>
        </w:r>
      </w:fldSimple>
      <w:bookmarkEnd w:id="284"/>
      <w:r>
        <w:rPr>
          <w:noProof/>
        </w:rPr>
        <w:t xml:space="preserve"> </w:t>
      </w:r>
      <w:r w:rsidRPr="005803DA">
        <w:rPr>
          <w:b w:val="0"/>
        </w:rPr>
        <w:t>3D digital reconstruction of the trimmed scaffold using µCT data.</w:t>
      </w:r>
      <w:bookmarkEnd w:id="285"/>
      <w:bookmarkEnd w:id="286"/>
    </w:p>
    <w:p w:rsidR="005D1052" w:rsidRPr="00155FD7" w:rsidRDefault="005D1052" w:rsidP="005D1052">
      <w:pPr>
        <w:pStyle w:val="Heading5"/>
      </w:pPr>
      <w:bookmarkStart w:id="287" w:name="_Toc440823233"/>
      <w:r w:rsidRPr="00155FD7">
        <w:t>µCT-images reconstruction</w:t>
      </w:r>
      <w:bookmarkEnd w:id="287"/>
    </w:p>
    <w:p w:rsidR="005D1052" w:rsidRDefault="005D1052" w:rsidP="005D1052">
      <w:r>
        <w:t xml:space="preserve">The µCT images data were reconstructed with Simpleware. A median filter was applied to the raw images to reduce the noise level and then the images were segmented to extract the scaffold region. The mask created in the segmentation process was smoothed using the recursive </w:t>
      </w:r>
      <w:r w:rsidRPr="00734600">
        <w:t>Gaussian</w:t>
      </w:r>
      <w:r>
        <w:t xml:space="preserve"> filter and a final binarisation filter was applied to the mask in order to eliminate the connection between the background images and the segmented mask. Then, a surface triangular mesh was generated to represent the µCT-based scaffold geometry. The surface mesh was exported in STL format. This reconstruction process is explained with more details </w:t>
      </w:r>
      <w:r w:rsidRPr="009D009E">
        <w:t xml:space="preserve">in section </w:t>
      </w:r>
      <w:r w:rsidRPr="009D009E">
        <w:fldChar w:fldCharType="begin"/>
      </w:r>
      <w:r w:rsidRPr="009D009E">
        <w:instrText xml:space="preserve"> REF _Ref312115914 \r \h </w:instrText>
      </w:r>
      <w:r w:rsidRPr="009D009E">
        <w:fldChar w:fldCharType="separate"/>
      </w:r>
      <w:r w:rsidR="00924C7D">
        <w:t>3.2.1.2</w:t>
      </w:r>
      <w:r w:rsidRPr="009D009E">
        <w:fldChar w:fldCharType="end"/>
      </w:r>
      <w:r w:rsidRPr="009D009E">
        <w:t>.</w:t>
      </w:r>
    </w:p>
    <w:p w:rsidR="005D1052" w:rsidRDefault="005D1052" w:rsidP="005D1052">
      <w:pPr>
        <w:pStyle w:val="Heading5"/>
      </w:pPr>
      <w:bookmarkStart w:id="288" w:name="_Toc440823234"/>
      <w:r>
        <w:t>Fluid volume m</w:t>
      </w:r>
      <w:r w:rsidRPr="003A5642">
        <w:t>esh</w:t>
      </w:r>
      <w:r>
        <w:t xml:space="preserve"> generation</w:t>
      </w:r>
      <w:bookmarkEnd w:id="288"/>
    </w:p>
    <w:p w:rsidR="005D1052" w:rsidRDefault="005D1052" w:rsidP="005D1052">
      <w:r>
        <w:t xml:space="preserve">The STL mesh of the trimmed scaffold was imported into ICEM Ansys and located inside a CAD-based rectangular channel following the specifications of the experimental microfluidic chamber (see </w:t>
      </w:r>
      <w:r>
        <w:fldChar w:fldCharType="begin"/>
      </w:r>
      <w:r>
        <w:instrText xml:space="preserve"> REF _Ref312149712 \h </w:instrText>
      </w:r>
      <w:r>
        <w:fldChar w:fldCharType="separate"/>
      </w:r>
      <w:r w:rsidR="00924C7D" w:rsidRPr="007B70D6">
        <w:t xml:space="preserve">Figure </w:t>
      </w:r>
      <w:r w:rsidR="00924C7D">
        <w:rPr>
          <w:noProof/>
        </w:rPr>
        <w:t>4</w:t>
      </w:r>
      <w:r w:rsidR="00924C7D">
        <w:noBreakHyphen/>
      </w:r>
      <w:r w:rsidR="00924C7D">
        <w:rPr>
          <w:noProof/>
        </w:rPr>
        <w:t>3</w:t>
      </w:r>
      <w:r>
        <w:fldChar w:fldCharType="end"/>
      </w:r>
      <w:r>
        <w:t xml:space="preserve">). The fluid domain was meshed with tetrahedral elements using the robust octree </w:t>
      </w:r>
      <w:r w:rsidRPr="009D009E">
        <w:t xml:space="preserve">algorithm (see section </w:t>
      </w:r>
      <w:r w:rsidRPr="009D009E">
        <w:fldChar w:fldCharType="begin"/>
      </w:r>
      <w:r w:rsidRPr="009D009E">
        <w:instrText xml:space="preserve"> REF _Ref312115955 \r \h </w:instrText>
      </w:r>
      <w:r w:rsidRPr="009D009E">
        <w:fldChar w:fldCharType="separate"/>
      </w:r>
      <w:r w:rsidR="00924C7D">
        <w:t>3.2.1.5</w:t>
      </w:r>
      <w:r w:rsidRPr="009D009E">
        <w:fldChar w:fldCharType="end"/>
      </w:r>
      <w:r w:rsidRPr="009D009E">
        <w:t>).</w:t>
      </w:r>
      <w:r>
        <w:t xml:space="preserve"> Mesh sensitivity analysis was carried out by calculating the impact of the maximum length of the edge of the triangular faces of the tetrahedral elements inside the scaffold region and the maximum length for the elements outside it on velocity values </w:t>
      </w:r>
      <w:r w:rsidRPr="00C76678">
        <w:t xml:space="preserve">(see results in section </w:t>
      </w:r>
      <w:r w:rsidRPr="00C76678">
        <w:fldChar w:fldCharType="begin"/>
      </w:r>
      <w:r w:rsidRPr="00C76678">
        <w:instrText xml:space="preserve"> REF _Ref312149667 \r \h </w:instrText>
      </w:r>
      <w:r w:rsidRPr="00C76678">
        <w:fldChar w:fldCharType="separate"/>
      </w:r>
      <w:r w:rsidR="00924C7D">
        <w:t>4.3.1.2.1</w:t>
      </w:r>
      <w:r w:rsidRPr="00C76678">
        <w:fldChar w:fldCharType="end"/>
      </w:r>
      <w:r w:rsidRPr="00C76678">
        <w:t>). As a resul</w:t>
      </w:r>
      <w:r>
        <w:t xml:space="preserve">t, around 4 million elements represented the fluid domain with maximum element length of 20 µm inside the scaffold and maximum length of 0.1 </w:t>
      </w:r>
      <w:r w:rsidRPr="006D1E94">
        <w:t xml:space="preserve">mm outside it. </w:t>
      </w:r>
      <w:r>
        <w:t xml:space="preserve">Despite of the fact that the elements outside the scaffold can be up to five </w:t>
      </w:r>
      <w:r>
        <w:lastRenderedPageBreak/>
        <w:t>times bigger than the ones inside it, the meshing algorithm applied provides a smooth transition from the elements far from the scaffold to the elements close to it</w:t>
      </w:r>
      <w:r w:rsidRPr="00C76678">
        <w:t>.</w:t>
      </w:r>
    </w:p>
    <w:p w:rsidR="005D1052" w:rsidRDefault="005D1052" w:rsidP="005D1052"/>
    <w:p w:rsidR="005D1052" w:rsidRDefault="005D1052" w:rsidP="005D1052">
      <w:pPr>
        <w:keepNext/>
        <w:ind w:firstLine="0"/>
        <w:jc w:val="center"/>
      </w:pPr>
      <w:r>
        <w:rPr>
          <w:b/>
          <w:noProof/>
          <w:lang w:eastAsia="en-GB"/>
        </w:rPr>
        <w:drawing>
          <wp:inline distT="0" distB="0" distL="0" distR="0" wp14:anchorId="3CA9A939" wp14:editId="53CDB431">
            <wp:extent cx="5006269" cy="2858347"/>
            <wp:effectExtent l="0" t="0" r="0"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014684" cy="2863152"/>
                    </a:xfrm>
                    <a:prstGeom prst="rect">
                      <a:avLst/>
                    </a:prstGeom>
                  </pic:spPr>
                </pic:pic>
              </a:graphicData>
            </a:graphic>
          </wp:inline>
        </w:drawing>
      </w:r>
    </w:p>
    <w:p w:rsidR="005D1052" w:rsidRPr="009D009E" w:rsidRDefault="005D1052" w:rsidP="005D1052">
      <w:pPr>
        <w:pStyle w:val="Caption"/>
        <w:rPr>
          <w:b w:val="0"/>
        </w:rPr>
      </w:pPr>
      <w:bookmarkStart w:id="289" w:name="_Ref312149712"/>
      <w:bookmarkStart w:id="290" w:name="_Toc438590819"/>
      <w:bookmarkStart w:id="291" w:name="_Toc445718825"/>
      <w:r w:rsidRPr="007B70D6">
        <w:t xml:space="preserve">Figure </w:t>
      </w:r>
      <w:fldSimple w:instr=" STYLEREF 1 \s ">
        <w:r w:rsidR="00924C7D">
          <w:rPr>
            <w:noProof/>
          </w:rPr>
          <w:t>4</w:t>
        </w:r>
      </w:fldSimple>
      <w:r>
        <w:noBreakHyphen/>
      </w:r>
      <w:fldSimple w:instr=" SEQ Figure \* ARABIC \s 1 ">
        <w:r w:rsidR="00924C7D">
          <w:rPr>
            <w:noProof/>
          </w:rPr>
          <w:t>3</w:t>
        </w:r>
      </w:fldSimple>
      <w:bookmarkEnd w:id="289"/>
      <w:r>
        <w:t xml:space="preserve"> </w:t>
      </w:r>
      <w:r w:rsidRPr="009D009E">
        <w:rPr>
          <w:b w:val="0"/>
        </w:rPr>
        <w:t>Geometrical boundary conditions of the CFD model.</w:t>
      </w:r>
      <w:bookmarkEnd w:id="290"/>
      <w:bookmarkEnd w:id="291"/>
    </w:p>
    <w:p w:rsidR="005D1052" w:rsidRPr="003A5642" w:rsidRDefault="005D1052" w:rsidP="005D1052">
      <w:pPr>
        <w:pStyle w:val="Heading5"/>
      </w:pPr>
      <w:bookmarkStart w:id="292" w:name="_Toc440823235"/>
      <w:r w:rsidRPr="003A5642">
        <w:t xml:space="preserve">CFD </w:t>
      </w:r>
      <w:r>
        <w:t>model setup and simulations</w:t>
      </w:r>
      <w:bookmarkEnd w:id="292"/>
    </w:p>
    <w:p w:rsidR="005D1052" w:rsidRDefault="005D1052" w:rsidP="005D1052">
      <w:r>
        <w:t xml:space="preserve">The fluid mesh was modelled in Fluent Ansys 15.0 as an </w:t>
      </w:r>
      <w:r w:rsidRPr="00B14BFF">
        <w:t xml:space="preserve">incompressible Newtonian fluid </w:t>
      </w:r>
      <w:r w:rsidRPr="00C95F03">
        <w:t xml:space="preserve">with </w:t>
      </w:r>
      <w:r>
        <w:t xml:space="preserve">dynamic </w:t>
      </w:r>
      <w:r w:rsidRPr="00C95F03">
        <w:t>viscosity of</w:t>
      </w:r>
      <w:r w:rsidRPr="00B14BFF">
        <w:t xml:space="preserve"> </w:t>
      </w:r>
      <w:r>
        <w:t>0.001 Pa·s and</w:t>
      </w:r>
      <w:r w:rsidRPr="00B14BFF">
        <w:t xml:space="preserve"> </w:t>
      </w:r>
      <w:r>
        <w:t xml:space="preserve">density of </w:t>
      </w:r>
      <w:r w:rsidRPr="00B14BFF">
        <w:t>1000 kg/m</w:t>
      </w:r>
      <w:r w:rsidRPr="00B14BFF">
        <w:rPr>
          <w:vertAlign w:val="superscript"/>
        </w:rPr>
        <w:t>3</w:t>
      </w:r>
      <w:r w:rsidRPr="00B14BFF">
        <w:t xml:space="preserve"> representing the deionized water from the experiments</w:t>
      </w:r>
      <w:r>
        <w:rPr>
          <w:b/>
        </w:rPr>
        <w:t xml:space="preserve">. </w:t>
      </w:r>
      <w:r w:rsidRPr="00B14BFF">
        <w:t xml:space="preserve">The fluid flow </w:t>
      </w:r>
      <w:r>
        <w:t>was</w:t>
      </w:r>
      <w:r w:rsidRPr="00B14BFF">
        <w:t xml:space="preserve"> described by the </w:t>
      </w:r>
      <w:r>
        <w:t>3</w:t>
      </w:r>
      <w:r w:rsidRPr="00B14BFF">
        <w:t xml:space="preserve">D Navier Stokes equation and a steady state laminar flow was simulated with </w:t>
      </w:r>
      <w:r>
        <w:t xml:space="preserve">a </w:t>
      </w:r>
      <w:r w:rsidRPr="00B14BFF">
        <w:t xml:space="preserve">mass </w:t>
      </w:r>
      <w:r>
        <w:t xml:space="preserve">flow </w:t>
      </w:r>
      <w:r w:rsidRPr="00B14BFF">
        <w:t xml:space="preserve">rate </w:t>
      </w:r>
      <w:r>
        <w:t xml:space="preserve">of </w:t>
      </w:r>
      <w:r w:rsidRPr="0063786B">
        <w:t xml:space="preserve">18 </w:t>
      </w:r>
      <w:r w:rsidRPr="0063786B">
        <w:sym w:font="Symbol" w:char="F06D"/>
      </w:r>
      <w:r w:rsidRPr="0063786B">
        <w:t>l/min</w:t>
      </w:r>
      <w:r w:rsidRPr="00B14BFF">
        <w:t xml:space="preserve"> at the inlet</w:t>
      </w:r>
      <w:r>
        <w:t xml:space="preserve"> which corresponds to an average velocity of 0.1 mm/s at the scaffold entrance</w:t>
      </w:r>
      <w:r w:rsidRPr="00B14BFF">
        <w:t xml:space="preserve">, zero pressure </w:t>
      </w:r>
      <w:r>
        <w:t xml:space="preserve">at the </w:t>
      </w:r>
      <w:r w:rsidRPr="00B14BFF">
        <w:t>outlet and non-slip wall condition.</w:t>
      </w:r>
    </w:p>
    <w:p w:rsidR="005D1052" w:rsidRDefault="005D1052" w:rsidP="005D1052">
      <w:r>
        <w:t xml:space="preserve">For the numerical calculations, the Fluent </w:t>
      </w:r>
      <w:r w:rsidRPr="001B7CA9">
        <w:t>pressure-based coupled solver</w:t>
      </w:r>
      <w:r>
        <w:t xml:space="preserve"> was selected where the continuity and momentum equations are solved simultaneously (see equations 3-1 and 3-2). The second order upwind scheme was applied for the interpolation of the momentum and pressure variables and for the spatial discretization </w:t>
      </w:r>
      <w:r>
        <w:lastRenderedPageBreak/>
        <w:t>the least square cell based approach was used. Non-convergence criterion was imposed for the residuals so the numerical calculations were stopped when reaching a plateau.</w:t>
      </w:r>
    </w:p>
    <w:p w:rsidR="005D1052" w:rsidRPr="00B14BFF" w:rsidRDefault="005D1052" w:rsidP="005D1052">
      <w:r>
        <w:t xml:space="preserve">A benchmark study of the computational model was carried out on the Iceberg high performance computing </w:t>
      </w:r>
      <w:r w:rsidRPr="005445E3">
        <w:t>facilities</w:t>
      </w:r>
      <w:r>
        <w:t xml:space="preserve"> centrally provided by the University of Sheffield. The computational performance of the presented CFD model was investigated for a 2*8-core Intel E5-2670 machine with 256 GB of memory. Serial and parallel calculations were performed to select the most cost-effective computational set-up to solve the presented CFD model. A maximum of 8 partitions were tested and the mesh was partitioned to assign one mesh part per machine core in order to speed-up the numerical calculations.</w:t>
      </w:r>
    </w:p>
    <w:p w:rsidR="005D1052" w:rsidRPr="008E2D17" w:rsidRDefault="005D1052" w:rsidP="005D1052">
      <w:pPr>
        <w:pStyle w:val="Heading3"/>
      </w:pPr>
      <w:bookmarkStart w:id="293" w:name="_Toc310605619"/>
      <w:bookmarkStart w:id="294" w:name="_Toc310605914"/>
      <w:bookmarkStart w:id="295" w:name="_Toc440823236"/>
      <w:r>
        <w:t>Analysis of c</w:t>
      </w:r>
      <w:r w:rsidRPr="008E2D17">
        <w:t xml:space="preserve">ell transport inside </w:t>
      </w:r>
      <w:r>
        <w:t xml:space="preserve">the </w:t>
      </w:r>
      <w:r w:rsidRPr="008E2D17">
        <w:t>scaffold</w:t>
      </w:r>
      <w:bookmarkEnd w:id="293"/>
      <w:bookmarkEnd w:id="294"/>
      <w:bookmarkEnd w:id="295"/>
      <w:r w:rsidRPr="008E2D17">
        <w:t xml:space="preserve"> </w:t>
      </w:r>
    </w:p>
    <w:p w:rsidR="005D1052" w:rsidRPr="008E2D17" w:rsidRDefault="005D1052" w:rsidP="005D1052">
      <w:pPr>
        <w:pStyle w:val="Heading4"/>
      </w:pPr>
      <w:bookmarkStart w:id="296" w:name="_Toc440823237"/>
      <w:r w:rsidRPr="008E2D17">
        <w:t>Experimental methods</w:t>
      </w:r>
      <w:bookmarkEnd w:id="296"/>
    </w:p>
    <w:p w:rsidR="005D1052" w:rsidRPr="008D6754" w:rsidRDefault="005D1052" w:rsidP="005D1052">
      <w:pPr>
        <w:pStyle w:val="Heading5"/>
      </w:pPr>
      <w:bookmarkStart w:id="297" w:name="_Toc440823238"/>
      <w:r w:rsidRPr="008D6754">
        <w:t>Cell culture and labelling</w:t>
      </w:r>
      <w:bookmarkEnd w:id="297"/>
    </w:p>
    <w:p w:rsidR="005D1052" w:rsidRDefault="005D1052" w:rsidP="005D1052">
      <w:r w:rsidRPr="006E0DE5">
        <w:t xml:space="preserve">MG63 cells were cultured </w:t>
      </w:r>
      <w:r>
        <w:t>in T-flasks under standard culturing conditions at 37</w:t>
      </w:r>
      <w:r>
        <w:sym w:font="Symbol" w:char="F0B0"/>
      </w:r>
      <w:r>
        <w:t xml:space="preserve">C and 5% </w:t>
      </w:r>
      <w:r w:rsidRPr="00E502F0">
        <w:t>CO</w:t>
      </w:r>
      <w:r w:rsidRPr="00E502F0">
        <w:rPr>
          <w:vertAlign w:val="subscript"/>
        </w:rPr>
        <w:t>2</w:t>
      </w:r>
      <w:r>
        <w:rPr>
          <w:vertAlign w:val="subscript"/>
        </w:rPr>
        <w:t xml:space="preserve"> </w:t>
      </w:r>
      <w:r>
        <w:t>in an atmosphere of 99 % humidity. The culture medium was compounded by</w:t>
      </w:r>
      <w:r w:rsidRPr="006E0DE5">
        <w:t xml:space="preserve"> DMEM (Dulvecco's Modified Eagle Medium, Sigma D5671) supplemented with 1 mM sodium pyruvate, 10 mM HEPES buffer, 100 U/mL penicillin, 0.1</w:t>
      </w:r>
      <w:r>
        <w:t xml:space="preserve"> mg/mL streptomycin, 2 mM glutamine</w:t>
      </w:r>
      <w:r w:rsidRPr="006E0DE5">
        <w:t xml:space="preserve"> and 10% FBS (Fetal Bovine Serum</w:t>
      </w:r>
      <w:r>
        <w:t>)</w:t>
      </w:r>
      <w:r w:rsidRPr="006E0DE5">
        <w:t>.</w:t>
      </w:r>
      <w:r>
        <w:t xml:space="preserve"> Media was refreshed every 48 hours and when confluency was reached, cells were trypsinized prior to the experiment.</w:t>
      </w:r>
    </w:p>
    <w:p w:rsidR="005D1052" w:rsidRDefault="005D1052" w:rsidP="005D1052">
      <w:pPr>
        <w:rPr>
          <w:highlight w:val="white"/>
        </w:rPr>
      </w:pPr>
      <w:r>
        <w:rPr>
          <w:highlight w:val="white"/>
        </w:rPr>
        <w:t>Cells were labelled with orange CMTMR fluorescent dye (Life Technologies) using 10 µ</w:t>
      </w:r>
      <w:r w:rsidRPr="0063786B">
        <w:rPr>
          <w:highlight w:val="white"/>
        </w:rPr>
        <w:t>M concentration</w:t>
      </w:r>
      <w:r>
        <w:rPr>
          <w:highlight w:val="white"/>
        </w:rPr>
        <w:t xml:space="preserve"> in serum free medium. Cells were incubated for 45 min. Then, cells were centrifuged to remove the cell tracker working solution. Labelled cells were resuspended in culture media before the experiments. The final cell concentration for each experimental trial was </w:t>
      </w:r>
      <w:r>
        <w:t>1.10</w:t>
      </w:r>
      <w:r>
        <w:rPr>
          <w:vertAlign w:val="superscript"/>
        </w:rPr>
        <w:t xml:space="preserve">6 </w:t>
      </w:r>
      <w:r>
        <w:rPr>
          <w:highlight w:val="white"/>
        </w:rPr>
        <w:t>cells/mL.</w:t>
      </w:r>
    </w:p>
    <w:p w:rsidR="005D1052" w:rsidRPr="008D6754" w:rsidRDefault="005D1052" w:rsidP="005D1052">
      <w:pPr>
        <w:pStyle w:val="Heading5"/>
      </w:pPr>
      <w:bookmarkStart w:id="298" w:name="_Toc440823239"/>
      <w:r w:rsidRPr="008D6754">
        <w:lastRenderedPageBreak/>
        <w:t>Microfluidic system</w:t>
      </w:r>
      <w:r>
        <w:t xml:space="preserve"> configuration</w:t>
      </w:r>
      <w:bookmarkEnd w:id="298"/>
    </w:p>
    <w:p w:rsidR="005D1052" w:rsidRPr="00522769" w:rsidRDefault="005D1052" w:rsidP="005D1052">
      <w:r>
        <w:t xml:space="preserve">A time dependent flow pattern using a programmable syringe pump (NE-500, New Era Pump Systems, Farmingdale, NY, US) was selected. At the beginning a 300 </w:t>
      </w:r>
      <w:r>
        <w:sym w:font="Symbol" w:char="F06D"/>
      </w:r>
      <w:r>
        <w:t>l/min</w:t>
      </w:r>
      <w:r w:rsidRPr="00327543">
        <w:rPr>
          <w:b/>
          <w:color w:val="ED7D31" w:themeColor="accent2"/>
        </w:rPr>
        <w:t xml:space="preserve"> </w:t>
      </w:r>
      <w:r w:rsidRPr="00031938">
        <w:rPr>
          <w:color w:val="000000" w:themeColor="text1"/>
        </w:rPr>
        <w:t>flow rate was selected</w:t>
      </w:r>
      <w:r>
        <w:rPr>
          <w:b/>
          <w:color w:val="ED7D31" w:themeColor="accent2"/>
        </w:rPr>
        <w:t xml:space="preserve"> </w:t>
      </w:r>
      <w:r>
        <w:t xml:space="preserve">to carry cells to the scaffold to avoid cell sedimentation in the channel. Then, the flow rate was changed from 90 to 50 </w:t>
      </w:r>
      <w:r>
        <w:sym w:font="Symbol" w:char="F06D"/>
      </w:r>
      <w:r>
        <w:t xml:space="preserve">l/min every 0.125 seconds. </w:t>
      </w:r>
      <w:r w:rsidRPr="0063786B">
        <w:t xml:space="preserve">Above 50 </w:t>
      </w:r>
      <w:r w:rsidRPr="0063786B">
        <w:sym w:font="Symbol" w:char="F06D"/>
      </w:r>
      <w:r w:rsidRPr="0063786B">
        <w:t>l/min cells could</w:t>
      </w:r>
      <w:r w:rsidRPr="00155FD7">
        <w:t xml:space="preserve"> be maintained in suspension so cells could be observed inside the scaffold</w:t>
      </w:r>
      <w:r>
        <w:t>, however</w:t>
      </w:r>
      <w:r w:rsidRPr="00155FD7">
        <w:t xml:space="preserve"> if </w:t>
      </w:r>
      <w:r>
        <w:t xml:space="preserve">the </w:t>
      </w:r>
      <w:r w:rsidRPr="00155FD7">
        <w:t xml:space="preserve">flow rate was higher than 90 </w:t>
      </w:r>
      <w:r w:rsidRPr="00155FD7">
        <w:sym w:font="Symbol" w:char="F06D"/>
      </w:r>
      <w:r w:rsidRPr="00155FD7">
        <w:t xml:space="preserve">L/min the camera frame rate did not permit to track them. </w:t>
      </w:r>
    </w:p>
    <w:p w:rsidR="005D1052" w:rsidRPr="008D6754" w:rsidRDefault="005D1052" w:rsidP="005D1052">
      <w:pPr>
        <w:pStyle w:val="Heading5"/>
      </w:pPr>
      <w:bookmarkStart w:id="299" w:name="_Toc440823240"/>
      <w:r w:rsidRPr="008D6754">
        <w:t>Cell tracking procedure</w:t>
      </w:r>
      <w:bookmarkEnd w:id="299"/>
    </w:p>
    <w:p w:rsidR="005D1052" w:rsidRDefault="005D1052" w:rsidP="005D1052">
      <w:r>
        <w:t xml:space="preserve">PTV methods follow a similar principle to the µPIV but instead cells are tracked individually in a lagrangian manner. </w:t>
      </w:r>
      <w:r w:rsidRPr="00825CFB">
        <w:t>Single laser pulses were synchronised with the camera to capture the reflected light from the labelled cells</w:t>
      </w:r>
      <w:r>
        <w:t xml:space="preserve"> in suspension</w:t>
      </w:r>
      <w:r w:rsidRPr="00825CFB">
        <w:t xml:space="preserve"> in single frame images with a frequency of 14.5 Hz. </w:t>
      </w:r>
      <w:r w:rsidRPr="00F7455A">
        <w:t xml:space="preserve">The same optical parameters from the </w:t>
      </w:r>
      <w:r w:rsidRPr="00F7455A">
        <w:rPr>
          <w:rFonts w:ascii="Times New Roman" w:hAnsi="Times New Roman" w:cs="Times New Roman"/>
        </w:rPr>
        <w:t>µ</w:t>
      </w:r>
      <w:r w:rsidRPr="00F7455A">
        <w:t>PIV experiments were applied for the PTV tests</w:t>
      </w:r>
      <w:r>
        <w:t>. However,</w:t>
      </w:r>
      <w:r w:rsidRPr="00F7455A">
        <w:t xml:space="preserve"> the fact that cells are ten times bigger than the tracer particles increases the DOC </w:t>
      </w:r>
      <w:r>
        <w:t xml:space="preserve">up </w:t>
      </w:r>
      <w:r w:rsidRPr="00FF62FD">
        <w:t xml:space="preserve">to </w:t>
      </w:r>
      <w:r>
        <w:rPr>
          <w:rFonts w:ascii="Times New Roman" w:hAnsi="Times New Roman" w:cs="Times New Roman"/>
        </w:rPr>
        <w:t>~</w:t>
      </w:r>
      <w:r w:rsidRPr="00FF62FD">
        <w:t xml:space="preserve"> 50 </w:t>
      </w:r>
      <w:r w:rsidRPr="00FF62FD">
        <w:rPr>
          <w:rFonts w:cs="Times New Roman"/>
        </w:rPr>
        <w:t>µ</w:t>
      </w:r>
      <w:r w:rsidRPr="00FF62FD">
        <w:t>m.</w:t>
      </w:r>
      <w:r>
        <w:t xml:space="preserve"> </w:t>
      </w:r>
      <w:r w:rsidRPr="00825CFB">
        <w:t>Recorded images were imported to ImageJ where manual tracking was carried out using the plugin MJTrack</w:t>
      </w:r>
      <w:r>
        <w:t xml:space="preserve"> based on the bright centroid criteria</w:t>
      </w:r>
      <w:r w:rsidRPr="00825CFB">
        <w:t>.</w:t>
      </w:r>
      <w:r>
        <w:t xml:space="preserve"> </w:t>
      </w:r>
    </w:p>
    <w:p w:rsidR="005D1052" w:rsidRPr="008E2D17" w:rsidRDefault="005D1052" w:rsidP="005D1052">
      <w:pPr>
        <w:pStyle w:val="Heading4"/>
      </w:pPr>
      <w:bookmarkStart w:id="300" w:name="_Toc440823241"/>
      <w:r w:rsidRPr="008E2D17">
        <w:t>Computational methods</w:t>
      </w:r>
      <w:bookmarkEnd w:id="300"/>
    </w:p>
    <w:p w:rsidR="005D1052" w:rsidRPr="00DD33E8" w:rsidRDefault="005D1052" w:rsidP="005D1052">
      <w:pPr>
        <w:pStyle w:val="Heading5"/>
      </w:pPr>
      <w:bookmarkStart w:id="301" w:name="_Toc440823242"/>
      <w:r w:rsidRPr="00DD33E8">
        <w:t>Continuous phase modelling</w:t>
      </w:r>
      <w:bookmarkEnd w:id="301"/>
    </w:p>
    <w:p w:rsidR="005D1052" w:rsidRPr="00CE7FAF" w:rsidRDefault="005D1052" w:rsidP="005D1052">
      <w:r>
        <w:t>The fluid phase represented the culture medium that was considered as an incompressible Newtonian fluid with a viscosity of 0.001 Pa·s and a density of 1000 kg/m</w:t>
      </w:r>
      <w:r w:rsidRPr="00D27D2B">
        <w:rPr>
          <w:vertAlign w:val="superscript"/>
        </w:rPr>
        <w:t>3</w:t>
      </w:r>
      <w:r>
        <w:t>. The fluid is a continuum phase that was solved by the continuity and Navier-Stokes momentum equations 3-1 and 3-2</w:t>
      </w:r>
      <w:r w:rsidRPr="00EA5A07">
        <w:t>. Transient</w:t>
      </w:r>
      <w:r>
        <w:t xml:space="preserve"> laminar flow was simulated with a varying mass flow rate; during the first 10 seconds of the simulation the inlet flow rate was 300 µl/min and then it changed continuously between 50 to 90 µl/min every 0.125 seconds during 5 seconds. This mass flow rate was applied by hooking at the inlet boundary a UDF written in C++. Zero pressure was set at the outlet and non-wall slip condition was imposed on the wall boundaries.</w:t>
      </w:r>
    </w:p>
    <w:p w:rsidR="005D1052" w:rsidRPr="00DD33E8" w:rsidRDefault="005D1052" w:rsidP="005D1052">
      <w:pPr>
        <w:pStyle w:val="Heading5"/>
      </w:pPr>
      <w:bookmarkStart w:id="302" w:name="_Ref312161092"/>
      <w:bookmarkStart w:id="303" w:name="_Toc440823243"/>
      <w:r w:rsidRPr="00DD33E8">
        <w:lastRenderedPageBreak/>
        <w:t xml:space="preserve">Discrete </w:t>
      </w:r>
      <w:r>
        <w:t>p</w:t>
      </w:r>
      <w:r w:rsidRPr="00DD33E8">
        <w:t>hase</w:t>
      </w:r>
      <w:r>
        <w:t xml:space="preserve"> modelling</w:t>
      </w:r>
      <w:bookmarkEnd w:id="302"/>
      <w:bookmarkEnd w:id="303"/>
    </w:p>
    <w:p w:rsidR="005D1052" w:rsidRDefault="005D1052" w:rsidP="005D1052">
      <w:pPr>
        <w:spacing w:after="480"/>
      </w:pPr>
      <w:r w:rsidRPr="00EB437F">
        <w:t xml:space="preserve">Cells were modelled as a discrete phase of inert microsphere particles with 10 </w:t>
      </w:r>
      <w:r w:rsidRPr="00EB437F">
        <w:sym w:font="Symbol" w:char="F06D"/>
      </w:r>
      <w:r w:rsidRPr="00EB437F">
        <w:t xml:space="preserve">m diameter suspended within the continuous phase. DPM model of Fluent Ansys 15.0 </w:t>
      </w:r>
      <w:r>
        <w:t xml:space="preserve">tracks the particles </w:t>
      </w:r>
      <w:r w:rsidRPr="00EB437F">
        <w:t>along the</w:t>
      </w:r>
      <w:r>
        <w:t xml:space="preserve"> previously calculated</w:t>
      </w:r>
      <w:r w:rsidRPr="00EB437F">
        <w:t xml:space="preserve"> continuous phase in a Lagrangian formulation</w:t>
      </w:r>
      <w:r>
        <w:t xml:space="preserve"> described in equation 4-3</w:t>
      </w:r>
      <w:r w:rsidRPr="00B565A4">
        <w:t>. O</w:t>
      </w:r>
      <w:r>
        <w:t>nly one-way coupling was considered between both phases so the fluid phase could only affect the discrete phase. The discrete phase was sufficiently diluted that the effect of particle volume fraction on the continuum phase could be neglected. The same applies to particle-particle interactions as the particles were too dispersed to intercept each other. The trajectories of the particles were computed individually at specified time steps during the fluid phase calculation. T</w:t>
      </w:r>
      <w:r w:rsidRPr="00EB437F">
        <w:t xml:space="preserve">he trajectory </w:t>
      </w:r>
      <w:r>
        <w:t>of the discrete phase</w:t>
      </w:r>
      <w:r w:rsidRPr="00EB437F">
        <w:t xml:space="preserve"> </w:t>
      </w:r>
      <w:r>
        <w:t>was calculated by integrating the force balance acting on the particle as shown in 4-4</w:t>
      </w:r>
      <w:r w:rsidRPr="001F2212">
        <w:t xml:space="preserve"> </w:t>
      </w:r>
      <w:r>
        <w:t>where the particle inertia is equal to the sum of the forces acting on the particle.</w:t>
      </w:r>
    </w:p>
    <w:p w:rsidR="005D1052" w:rsidRPr="00F70073" w:rsidRDefault="005D1052" w:rsidP="005D1052">
      <w:pPr>
        <w:pStyle w:val="Caption"/>
        <w:ind w:left="1440"/>
        <w:jc w:val="right"/>
        <w:rPr>
          <w:szCs w:val="22"/>
        </w:rPr>
      </w:pPr>
      <w:bookmarkStart w:id="304" w:name="_Toc310621721"/>
      <w:bookmarkStart w:id="305" w:name="_Ref312153847"/>
      <w:r>
        <w:rPr>
          <w:noProof/>
          <w:position w:val="-24"/>
          <w:lang w:eastAsia="en-GB"/>
        </w:rPr>
        <w:drawing>
          <wp:inline distT="0" distB="0" distL="0" distR="0" wp14:anchorId="15869664" wp14:editId="674444F4">
            <wp:extent cx="1057275" cy="405765"/>
            <wp:effectExtent l="0" t="0" r="0" b="0"/>
            <wp:docPr id="83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57275" cy="405765"/>
                    </a:xfrm>
                    <a:prstGeom prst="rect">
                      <a:avLst/>
                    </a:prstGeom>
                    <a:noFill/>
                    <a:ln>
                      <a:noFill/>
                    </a:ln>
                  </pic:spPr>
                </pic:pic>
              </a:graphicData>
            </a:graphic>
          </wp:inline>
        </w:drawing>
      </w:r>
      <w:r>
        <w:rPr>
          <w:szCs w:val="22"/>
        </w:rPr>
        <w:t xml:space="preserve"> </w:t>
      </w:r>
      <w:r>
        <w:rPr>
          <w:szCs w:val="22"/>
        </w:rPr>
        <w:tab/>
      </w:r>
      <w:r>
        <w:rPr>
          <w:szCs w:val="22"/>
        </w:rPr>
        <w:tab/>
      </w:r>
      <w:r>
        <w:rPr>
          <w:szCs w:val="22"/>
        </w:rPr>
        <w:tab/>
      </w:r>
      <w:r>
        <w:rPr>
          <w:szCs w:val="22"/>
        </w:rPr>
        <w:tab/>
      </w:r>
      <w:r>
        <w:rPr>
          <w:szCs w:val="22"/>
        </w:rPr>
        <w:tab/>
        <w:t xml:space="preserve"> [</w:t>
      </w:r>
      <w:r w:rsidRPr="00F70073">
        <w:rPr>
          <w:szCs w:val="22"/>
        </w:rPr>
        <w:fldChar w:fldCharType="begin"/>
      </w:r>
      <w:r w:rsidRPr="00F70073">
        <w:rPr>
          <w:szCs w:val="22"/>
        </w:rPr>
        <w:instrText xml:space="preserve"> STYLEREF 1 \s </w:instrText>
      </w:r>
      <w:r w:rsidRPr="00F70073">
        <w:rPr>
          <w:szCs w:val="22"/>
        </w:rPr>
        <w:fldChar w:fldCharType="separate"/>
      </w:r>
      <w:r w:rsidR="00924C7D">
        <w:rPr>
          <w:noProof/>
          <w:szCs w:val="22"/>
        </w:rPr>
        <w:t>4</w:t>
      </w:r>
      <w:r w:rsidRPr="00F70073">
        <w:rPr>
          <w:noProof/>
          <w:szCs w:val="22"/>
        </w:rPr>
        <w:fldChar w:fldCharType="end"/>
      </w:r>
      <w:r w:rsidRPr="00F70073">
        <w:rPr>
          <w:szCs w:val="22"/>
        </w:rPr>
        <w:noBreakHyphen/>
      </w:r>
      <w:r w:rsidRPr="00F70073">
        <w:rPr>
          <w:szCs w:val="22"/>
        </w:rPr>
        <w:fldChar w:fldCharType="begin"/>
      </w:r>
      <w:r w:rsidRPr="00F70073">
        <w:rPr>
          <w:szCs w:val="22"/>
        </w:rPr>
        <w:instrText xml:space="preserve"> SEQ Equation \* ARABIC \s 1 </w:instrText>
      </w:r>
      <w:r w:rsidRPr="00F70073">
        <w:rPr>
          <w:szCs w:val="22"/>
        </w:rPr>
        <w:fldChar w:fldCharType="separate"/>
      </w:r>
      <w:r w:rsidR="00924C7D">
        <w:rPr>
          <w:noProof/>
          <w:szCs w:val="22"/>
        </w:rPr>
        <w:t>3</w:t>
      </w:r>
      <w:r w:rsidRPr="00F70073">
        <w:rPr>
          <w:noProof/>
          <w:szCs w:val="22"/>
        </w:rPr>
        <w:fldChar w:fldCharType="end"/>
      </w:r>
      <w:bookmarkEnd w:id="304"/>
      <w:bookmarkEnd w:id="305"/>
      <w:r w:rsidRPr="00F70073">
        <w:rPr>
          <w:noProof/>
          <w:szCs w:val="22"/>
        </w:rPr>
        <w:t>]</w:t>
      </w:r>
      <w:r>
        <w:rPr>
          <w:noProof/>
          <w:szCs w:val="22"/>
        </w:rPr>
        <w:t xml:space="preserve"> </w:t>
      </w:r>
    </w:p>
    <w:bookmarkStart w:id="306" w:name="_Ref312154205"/>
    <w:bookmarkStart w:id="307" w:name="_Toc310621722"/>
    <w:bookmarkStart w:id="308" w:name="_Ref312180007"/>
    <w:p w:rsidR="005D1052" w:rsidRDefault="005D1052" w:rsidP="005D1052">
      <w:pPr>
        <w:pStyle w:val="Caption"/>
        <w:ind w:left="1440"/>
        <w:jc w:val="right"/>
        <w:rPr>
          <w:noProof/>
          <w:szCs w:val="22"/>
        </w:rPr>
      </w:pPr>
      <w:r w:rsidRPr="00902440">
        <w:rPr>
          <w:position w:val="-34"/>
        </w:rPr>
        <w:object w:dxaOrig="4120" w:dyaOrig="760">
          <v:shape id="_x0000_i1028" type="#_x0000_t75" style="width:206.25pt;height:39pt" o:ole="">
            <v:imagedata r:id="rId90" o:title=""/>
          </v:shape>
          <o:OLEObject Type="Embed" ProgID="Equation.3" ShapeID="_x0000_i1028" DrawAspect="Content" ObjectID="_1529218011" r:id="rId91"/>
        </w:object>
      </w:r>
      <w:r>
        <w:tab/>
      </w:r>
      <w:r>
        <w:tab/>
      </w:r>
      <w:r>
        <w:tab/>
      </w:r>
      <w:r w:rsidRPr="00F70073">
        <w:rPr>
          <w:szCs w:val="22"/>
        </w:rPr>
        <w:t xml:space="preserve"> [</w:t>
      </w:r>
      <w:r w:rsidRPr="00F70073">
        <w:rPr>
          <w:szCs w:val="22"/>
        </w:rPr>
        <w:fldChar w:fldCharType="begin"/>
      </w:r>
      <w:r w:rsidRPr="00F70073">
        <w:rPr>
          <w:szCs w:val="22"/>
        </w:rPr>
        <w:instrText xml:space="preserve"> STYLEREF 1 \s </w:instrText>
      </w:r>
      <w:r w:rsidRPr="00F70073">
        <w:rPr>
          <w:szCs w:val="22"/>
        </w:rPr>
        <w:fldChar w:fldCharType="separate"/>
      </w:r>
      <w:r w:rsidR="00924C7D">
        <w:rPr>
          <w:noProof/>
          <w:szCs w:val="22"/>
        </w:rPr>
        <w:t>4</w:t>
      </w:r>
      <w:r w:rsidRPr="00F70073">
        <w:rPr>
          <w:noProof/>
          <w:szCs w:val="22"/>
        </w:rPr>
        <w:fldChar w:fldCharType="end"/>
      </w:r>
      <w:r w:rsidRPr="00F70073">
        <w:rPr>
          <w:szCs w:val="22"/>
        </w:rPr>
        <w:noBreakHyphen/>
      </w:r>
      <w:r w:rsidRPr="00F70073">
        <w:rPr>
          <w:szCs w:val="22"/>
        </w:rPr>
        <w:fldChar w:fldCharType="begin"/>
      </w:r>
      <w:r w:rsidRPr="00F70073">
        <w:rPr>
          <w:szCs w:val="22"/>
        </w:rPr>
        <w:instrText xml:space="preserve"> SEQ Equation \* ARABIC \s 1 </w:instrText>
      </w:r>
      <w:r w:rsidRPr="00F70073">
        <w:rPr>
          <w:szCs w:val="22"/>
        </w:rPr>
        <w:fldChar w:fldCharType="separate"/>
      </w:r>
      <w:r w:rsidR="00924C7D">
        <w:rPr>
          <w:noProof/>
          <w:szCs w:val="22"/>
        </w:rPr>
        <w:t>4</w:t>
      </w:r>
      <w:r w:rsidRPr="00F70073">
        <w:rPr>
          <w:noProof/>
          <w:szCs w:val="22"/>
        </w:rPr>
        <w:fldChar w:fldCharType="end"/>
      </w:r>
      <w:bookmarkEnd w:id="306"/>
      <w:r w:rsidRPr="00F70073">
        <w:rPr>
          <w:noProof/>
          <w:szCs w:val="22"/>
        </w:rPr>
        <w:t>]</w:t>
      </w:r>
      <w:bookmarkEnd w:id="307"/>
      <w:bookmarkEnd w:id="308"/>
    </w:p>
    <w:p w:rsidR="005D1052" w:rsidRPr="00364C2F" w:rsidRDefault="005D1052" w:rsidP="005D1052">
      <w:r>
        <w:t xml:space="preserve">The first term on the right of equation 4-4 is the drag force where </w:t>
      </w:r>
      <w:r w:rsidRPr="00364C2F">
        <w:rPr>
          <w:i/>
        </w:rPr>
        <w:t>η</w:t>
      </w:r>
      <w:r>
        <w:rPr>
          <w:i/>
        </w:rPr>
        <w:t xml:space="preserve"> </w:t>
      </w:r>
      <w:r>
        <w:t xml:space="preserve">is </w:t>
      </w:r>
      <w:r w:rsidRPr="007860F4">
        <w:t>the fluid dynamic viscosity</w:t>
      </w:r>
      <w:r>
        <w:t>,</w:t>
      </w:r>
      <w:r w:rsidRPr="007860F4">
        <w:t xml:space="preserve"> </w:t>
      </w:r>
      <w:r w:rsidRPr="007860F4">
        <w:rPr>
          <w:i/>
        </w:rPr>
        <w:t>ρ</w:t>
      </w:r>
      <w:r>
        <w:t xml:space="preserve"> is the</w:t>
      </w:r>
      <w:r w:rsidRPr="007860F4">
        <w:t xml:space="preserve"> fluid density</w:t>
      </w:r>
      <w:r>
        <w:t xml:space="preserve">, </w:t>
      </w:r>
      <w:r w:rsidRPr="00BD7AE1">
        <w:rPr>
          <w:i/>
        </w:rPr>
        <w:t>ρ</w:t>
      </w:r>
      <w:r w:rsidRPr="007860F4">
        <w:rPr>
          <w:i/>
          <w:vertAlign w:val="subscript"/>
        </w:rPr>
        <w:t>p</w:t>
      </w:r>
      <w:r>
        <w:rPr>
          <w:vertAlign w:val="subscript"/>
        </w:rPr>
        <w:t xml:space="preserve"> </w:t>
      </w:r>
      <w:r>
        <w:t xml:space="preserve">is the density of the particle, </w:t>
      </w:r>
      <w:r>
        <w:rPr>
          <w:i/>
        </w:rPr>
        <w:t>d</w:t>
      </w:r>
      <w:r>
        <w:rPr>
          <w:i/>
          <w:vertAlign w:val="subscript"/>
        </w:rPr>
        <w:t>p</w:t>
      </w:r>
      <w:r>
        <w:rPr>
          <w:vertAlign w:val="subscript"/>
        </w:rPr>
        <w:t xml:space="preserve"> </w:t>
      </w:r>
      <w:r>
        <w:t xml:space="preserve">is the diameter of the particle and </w:t>
      </w:r>
      <w:r w:rsidRPr="002A5053">
        <w:rPr>
          <w:i/>
        </w:rPr>
        <w:t>Re</w:t>
      </w:r>
      <w:r>
        <w:t xml:space="preserve"> is the relative Reynolds number defined in </w:t>
      </w:r>
      <w:r w:rsidRPr="00F00C49">
        <w:t xml:space="preserve">equation </w:t>
      </w:r>
      <w:r>
        <w:t>4-5</w:t>
      </w:r>
      <w:r w:rsidRPr="00F00C49">
        <w:t>.</w:t>
      </w:r>
      <w:r>
        <w:t xml:space="preserve"> The drag force is based on Stokes’ law and it is due to the relative velocity of the particle and the fluid. The drag force was originally calculated for creeping flows where the inertia effects are negligible for Re&lt;&lt;1.</w:t>
      </w:r>
    </w:p>
    <w:p w:rsidR="005D1052" w:rsidRDefault="005D1052" w:rsidP="005D1052">
      <w:pPr>
        <w:pStyle w:val="Caption"/>
        <w:ind w:left="1440"/>
        <w:jc w:val="right"/>
        <w:rPr>
          <w:rFonts w:cstheme="minorBidi"/>
          <w:sz w:val="28"/>
          <w:szCs w:val="28"/>
        </w:rPr>
      </w:pPr>
      <w:bookmarkStart w:id="309" w:name="_Ref312155680"/>
      <w:bookmarkStart w:id="310" w:name="_Toc310621723"/>
      <w:r>
        <w:rPr>
          <w:noProof/>
          <w:position w:val="-30"/>
          <w:lang w:eastAsia="en-GB"/>
        </w:rPr>
        <w:drawing>
          <wp:inline distT="0" distB="0" distL="0" distR="0" wp14:anchorId="4116418C" wp14:editId="0DDD69D6">
            <wp:extent cx="1025525" cy="524510"/>
            <wp:effectExtent l="0" t="0" r="3175" b="8890"/>
            <wp:docPr id="83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25525" cy="524510"/>
                    </a:xfrm>
                    <a:prstGeom prst="rect">
                      <a:avLst/>
                    </a:prstGeom>
                    <a:noFill/>
                    <a:ln>
                      <a:noFill/>
                    </a:ln>
                  </pic:spPr>
                </pic:pic>
              </a:graphicData>
            </a:graphic>
          </wp:inline>
        </w:drawing>
      </w:r>
      <w:r w:rsidRPr="00F05E3B">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t xml:space="preserve"> </w:t>
      </w:r>
      <w:r w:rsidRPr="00F70073">
        <w:rPr>
          <w:szCs w:val="22"/>
        </w:rPr>
        <w:t>[</w:t>
      </w:r>
      <w:r w:rsidRPr="00F70073">
        <w:rPr>
          <w:szCs w:val="22"/>
        </w:rPr>
        <w:fldChar w:fldCharType="begin"/>
      </w:r>
      <w:r w:rsidRPr="00F70073">
        <w:rPr>
          <w:szCs w:val="22"/>
        </w:rPr>
        <w:instrText xml:space="preserve"> STYLEREF 1 \s </w:instrText>
      </w:r>
      <w:r w:rsidRPr="00F70073">
        <w:rPr>
          <w:szCs w:val="22"/>
        </w:rPr>
        <w:fldChar w:fldCharType="separate"/>
      </w:r>
      <w:r w:rsidR="00924C7D">
        <w:rPr>
          <w:noProof/>
          <w:szCs w:val="22"/>
        </w:rPr>
        <w:t>4</w:t>
      </w:r>
      <w:r w:rsidRPr="00F70073">
        <w:rPr>
          <w:noProof/>
          <w:szCs w:val="22"/>
        </w:rPr>
        <w:fldChar w:fldCharType="end"/>
      </w:r>
      <w:r w:rsidRPr="00F70073">
        <w:rPr>
          <w:szCs w:val="22"/>
        </w:rPr>
        <w:noBreakHyphen/>
      </w:r>
      <w:r w:rsidRPr="00F70073">
        <w:rPr>
          <w:szCs w:val="22"/>
        </w:rPr>
        <w:fldChar w:fldCharType="begin"/>
      </w:r>
      <w:r w:rsidRPr="00F70073">
        <w:rPr>
          <w:szCs w:val="22"/>
        </w:rPr>
        <w:instrText xml:space="preserve"> SEQ Equation \* ARABIC \s 1 </w:instrText>
      </w:r>
      <w:r w:rsidRPr="00F70073">
        <w:rPr>
          <w:szCs w:val="22"/>
        </w:rPr>
        <w:fldChar w:fldCharType="separate"/>
      </w:r>
      <w:r w:rsidR="00924C7D">
        <w:rPr>
          <w:noProof/>
          <w:szCs w:val="22"/>
        </w:rPr>
        <w:t>5</w:t>
      </w:r>
      <w:r w:rsidRPr="00F70073">
        <w:rPr>
          <w:noProof/>
          <w:szCs w:val="22"/>
        </w:rPr>
        <w:fldChar w:fldCharType="end"/>
      </w:r>
      <w:bookmarkEnd w:id="309"/>
      <w:r w:rsidRPr="00F70073">
        <w:rPr>
          <w:noProof/>
          <w:szCs w:val="22"/>
        </w:rPr>
        <w:t>]</w:t>
      </w:r>
      <w:r w:rsidRPr="00F05E3B">
        <w:rPr>
          <w:sz w:val="28"/>
          <w:szCs w:val="28"/>
        </w:rPr>
        <w:t xml:space="preserve"> </w:t>
      </w:r>
      <w:bookmarkEnd w:id="310"/>
    </w:p>
    <w:p w:rsidR="005D1052" w:rsidRPr="00F00C49" w:rsidRDefault="005D1052" w:rsidP="005D1052">
      <w:pPr>
        <w:spacing w:after="480"/>
      </w:pPr>
      <w:r>
        <w:lastRenderedPageBreak/>
        <w:t xml:space="preserve">However, the drag force can be accounted for over the entire range of Reynolds by expressing it in terms of an empirical drag coefficient factor for spherical particles </w:t>
      </w:r>
      <w:r w:rsidRPr="00D13792">
        <w:rPr>
          <w:i/>
        </w:rPr>
        <w:t>C</w:t>
      </w:r>
      <w:r w:rsidRPr="00D13792">
        <w:rPr>
          <w:i/>
          <w:vertAlign w:val="subscript"/>
        </w:rPr>
        <w:t>d</w:t>
      </w:r>
      <w:r>
        <w:t xml:space="preserve">. This factor is described in equation 4-6 where </w:t>
      </w:r>
      <w:r w:rsidRPr="00F00C49">
        <w:t>the constants a</w:t>
      </w:r>
      <w:r w:rsidRPr="00F00C49">
        <w:rPr>
          <w:vertAlign w:val="subscript"/>
        </w:rPr>
        <w:t>1</w:t>
      </w:r>
      <w:r w:rsidRPr="00F00C49">
        <w:t>, a</w:t>
      </w:r>
      <w:r w:rsidRPr="00F00C49">
        <w:rPr>
          <w:vertAlign w:val="subscript"/>
        </w:rPr>
        <w:t>2</w:t>
      </w:r>
      <w:r w:rsidRPr="00F00C49">
        <w:t xml:space="preserve"> and a</w:t>
      </w:r>
      <w:r w:rsidRPr="00F00C49">
        <w:rPr>
          <w:vertAlign w:val="subscript"/>
        </w:rPr>
        <w:t xml:space="preserve">3 </w:t>
      </w:r>
      <w:r>
        <w:t>define the range</w:t>
      </w:r>
      <w:r w:rsidRPr="00F00C49">
        <w:t xml:space="preserve"> of Re as specified by Morsi and Alexander </w:t>
      </w:r>
      <w:r w:rsidRPr="00F00C49">
        <w:fldChar w:fldCharType="begin" w:fldLock="1"/>
      </w:r>
      <w:r w:rsidR="00FD29F4">
        <w:instrText>ADDIN CSL_CITATION { "citationItems" : [ { "id" : "ITEM-1", "itemData" : { "DOI" : "10.1017/S0022112072001806", "ISSN" : "0022-1120", "abstract" : "This paper describes a theoretical investigation into (i) the response of a spherical particle to a one-dimensional fluid flow, (ii) the motion of a spherical particle in a uniform two-dimensional fluid flow about a circular cylinder and (iii) the motion of a particle about a lifting aerofoil section. In all three cases the drag of the particle is allowed to vary with (instantaneous) Reynolds number by using an analytical approximation to the standard experimental drag-Reynolds-number relationship for spherical particles.", "author" : [ { "dropping-particle" : "", "family" : "Morsi", "given" : "Sa", "non-dropping-particle" : "", "parse-names" : false, "suffix" : "" }, { "dropping-particle" : "", "family" : "Alexander", "given" : "Aj", "non-dropping-particle" : "", "parse-names" : false, "suffix" : "" } ], "container-title" : "J. Fluid Mech", "id" : "ITEM-1", "issued" : { "date-parts" : [ [ "1972" ] ] }, "page" : "193\u2013208", "title" : "An investigation of particle trajectories in two-phase flow systems", "type" : "article-journal", "volume" : "55" }, "uris" : [ "http://www.mendeley.com/documents/?uuid=cea3b6f1-0425-4e88-8979-a348819c4f3b" ] } ], "mendeley" : { "formattedCitation" : "[166]", "manualFormatting" : "[167]", "plainTextFormattedCitation" : "[166]", "previouslyFormattedCitation" : "[167]" }, "properties" : { "noteIndex" : 0 }, "schema" : "https://github.com/citation-style-language/schema/raw/master/csl-citation.json" }</w:instrText>
      </w:r>
      <w:r w:rsidRPr="00F00C49">
        <w:fldChar w:fldCharType="separate"/>
      </w:r>
      <w:r w:rsidRPr="00224979">
        <w:rPr>
          <w:noProof/>
        </w:rPr>
        <w:t>[16</w:t>
      </w:r>
      <w:r w:rsidR="00B36ACF">
        <w:rPr>
          <w:noProof/>
        </w:rPr>
        <w:t>7</w:t>
      </w:r>
      <w:r w:rsidRPr="00224979">
        <w:rPr>
          <w:noProof/>
        </w:rPr>
        <w:t>]</w:t>
      </w:r>
      <w:r w:rsidRPr="00F00C49">
        <w:fldChar w:fldCharType="end"/>
      </w:r>
      <w:r w:rsidRPr="00F00C49">
        <w:t>.</w:t>
      </w:r>
      <w:r>
        <w:t xml:space="preserve"> In the presented model the fluid flow is laminar as the </w:t>
      </w:r>
      <w:r w:rsidRPr="007F65F6">
        <w:t xml:space="preserve">maximum </w:t>
      </w:r>
      <w:r>
        <w:t xml:space="preserve">fluid </w:t>
      </w:r>
      <w:r w:rsidRPr="007F65F6">
        <w:t xml:space="preserve">Re number </w:t>
      </w:r>
      <w:r w:rsidRPr="002135C1">
        <w:t>is</w:t>
      </w:r>
      <w:r w:rsidRPr="00E13A44">
        <w:t xml:space="preserve"> </w:t>
      </w:r>
      <w:r>
        <w:rPr>
          <w:rFonts w:ascii="Times New Roman" w:hAnsi="Times New Roman" w:cs="Times New Roman"/>
        </w:rPr>
        <w:t>~</w:t>
      </w:r>
      <w:r>
        <w:t>10 and</w:t>
      </w:r>
      <w:r w:rsidRPr="00E13A44">
        <w:t xml:space="preserve"> </w:t>
      </w:r>
      <w:r w:rsidRPr="00D13792">
        <w:rPr>
          <w:i/>
        </w:rPr>
        <w:t>C</w:t>
      </w:r>
      <w:r w:rsidRPr="00D13792">
        <w:rPr>
          <w:i/>
          <w:vertAlign w:val="subscript"/>
        </w:rPr>
        <w:t>d</w:t>
      </w:r>
      <w:r>
        <w:rPr>
          <w:vertAlign w:val="subscript"/>
        </w:rPr>
        <w:t xml:space="preserve"> </w:t>
      </w:r>
      <w:r>
        <w:t xml:space="preserve">approximates to </w:t>
      </w:r>
      <w:r w:rsidR="00514496">
        <w:t>24/Re</w:t>
      </w:r>
      <w:r>
        <w:t>.</w:t>
      </w:r>
      <w:r w:rsidRPr="00F05E3B">
        <w:rPr>
          <w:b/>
        </w:rPr>
        <w:t xml:space="preserve"> </w:t>
      </w:r>
    </w:p>
    <w:p w:rsidR="005D1052" w:rsidRPr="00F00C49" w:rsidRDefault="005D1052" w:rsidP="005D1052">
      <w:pPr>
        <w:pStyle w:val="Caption"/>
        <w:spacing w:after="480"/>
        <w:jc w:val="right"/>
        <w:rPr>
          <w:rFonts w:cstheme="minorBidi"/>
          <w:szCs w:val="22"/>
        </w:rPr>
      </w:pPr>
      <w:bookmarkStart w:id="311" w:name="_Ref312155785"/>
      <w:bookmarkStart w:id="312" w:name="_Toc310621724"/>
      <w:r>
        <w:rPr>
          <w:noProof/>
          <w:sz w:val="24"/>
          <w:szCs w:val="24"/>
          <w:lang w:eastAsia="en-GB"/>
        </w:rPr>
        <w:drawing>
          <wp:inline distT="0" distB="0" distL="0" distR="0" wp14:anchorId="0231DF48" wp14:editId="4E4F8AE6">
            <wp:extent cx="1116330" cy="403860"/>
            <wp:effectExtent l="0" t="0" r="7620" b="0"/>
            <wp:docPr id="8320" name="Picture 8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16330" cy="403860"/>
                    </a:xfrm>
                    <a:prstGeom prst="rect">
                      <a:avLst/>
                    </a:prstGeom>
                    <a:noFill/>
                    <a:ln>
                      <a:noFill/>
                    </a:ln>
                  </pic:spPr>
                </pic:pic>
              </a:graphicData>
            </a:graphic>
          </wp:inline>
        </w:drawing>
      </w:r>
      <w:r>
        <w:rPr>
          <w:sz w:val="24"/>
          <w:szCs w:val="24"/>
        </w:rPr>
        <w:tab/>
      </w:r>
      <w:r>
        <w:rPr>
          <w:sz w:val="24"/>
          <w:szCs w:val="24"/>
        </w:rPr>
        <w:tab/>
      </w:r>
      <w:r>
        <w:rPr>
          <w:sz w:val="24"/>
          <w:szCs w:val="24"/>
        </w:rPr>
        <w:tab/>
      </w:r>
      <w:r>
        <w:rPr>
          <w:sz w:val="24"/>
          <w:szCs w:val="24"/>
        </w:rPr>
        <w:tab/>
      </w:r>
      <w:r>
        <w:rPr>
          <w:sz w:val="20"/>
          <w:szCs w:val="24"/>
        </w:rPr>
        <w:tab/>
      </w:r>
      <w:r w:rsidRPr="00F70073">
        <w:rPr>
          <w:szCs w:val="22"/>
        </w:rPr>
        <w:t>[</w:t>
      </w:r>
      <w:r w:rsidRPr="00F70073">
        <w:rPr>
          <w:szCs w:val="22"/>
        </w:rPr>
        <w:fldChar w:fldCharType="begin"/>
      </w:r>
      <w:r w:rsidRPr="00F70073">
        <w:rPr>
          <w:szCs w:val="22"/>
        </w:rPr>
        <w:instrText xml:space="preserve"> STYLEREF 1 \s </w:instrText>
      </w:r>
      <w:r w:rsidRPr="00F70073">
        <w:rPr>
          <w:szCs w:val="22"/>
        </w:rPr>
        <w:fldChar w:fldCharType="separate"/>
      </w:r>
      <w:r w:rsidR="00924C7D">
        <w:rPr>
          <w:noProof/>
          <w:szCs w:val="22"/>
        </w:rPr>
        <w:t>4</w:t>
      </w:r>
      <w:r w:rsidRPr="00F70073">
        <w:rPr>
          <w:szCs w:val="22"/>
        </w:rPr>
        <w:fldChar w:fldCharType="end"/>
      </w:r>
      <w:r w:rsidRPr="00F70073">
        <w:rPr>
          <w:szCs w:val="22"/>
        </w:rPr>
        <w:noBreakHyphen/>
      </w:r>
      <w:r w:rsidRPr="00F70073">
        <w:rPr>
          <w:szCs w:val="22"/>
        </w:rPr>
        <w:fldChar w:fldCharType="begin"/>
      </w:r>
      <w:r w:rsidRPr="00F70073">
        <w:rPr>
          <w:szCs w:val="22"/>
        </w:rPr>
        <w:instrText xml:space="preserve"> SEQ Equation \* ARABIC \s 1 </w:instrText>
      </w:r>
      <w:r w:rsidRPr="00F70073">
        <w:rPr>
          <w:szCs w:val="22"/>
        </w:rPr>
        <w:fldChar w:fldCharType="separate"/>
      </w:r>
      <w:r w:rsidR="00924C7D">
        <w:rPr>
          <w:noProof/>
          <w:szCs w:val="22"/>
        </w:rPr>
        <w:t>6</w:t>
      </w:r>
      <w:r w:rsidRPr="00F70073">
        <w:rPr>
          <w:szCs w:val="22"/>
        </w:rPr>
        <w:fldChar w:fldCharType="end"/>
      </w:r>
      <w:bookmarkEnd w:id="311"/>
      <w:r w:rsidRPr="00F70073">
        <w:rPr>
          <w:szCs w:val="22"/>
        </w:rPr>
        <w:t xml:space="preserve">] </w:t>
      </w:r>
      <w:bookmarkEnd w:id="312"/>
    </w:p>
    <w:p w:rsidR="005D1052" w:rsidRDefault="005D1052" w:rsidP="005D1052">
      <w:pPr>
        <w:spacing w:before="480"/>
      </w:pPr>
      <w:r>
        <w:t xml:space="preserve">The second term on </w:t>
      </w:r>
      <w:r w:rsidRPr="007C362E">
        <w:t xml:space="preserve">the right of </w:t>
      </w:r>
      <w:r>
        <w:t xml:space="preserve">equation 4-4 considers the </w:t>
      </w:r>
      <w:r w:rsidRPr="00EB437F">
        <w:t xml:space="preserve">gravity </w:t>
      </w:r>
      <w:r>
        <w:t xml:space="preserve">effect </w:t>
      </w:r>
      <w:r w:rsidRPr="00EB437F">
        <w:t xml:space="preserve">and </w:t>
      </w:r>
      <w:r>
        <w:t>thereby the buoyancy force.</w:t>
      </w:r>
      <w:r w:rsidRPr="00EB437F">
        <w:t xml:space="preserve"> </w:t>
      </w:r>
      <w:r>
        <w:t>This term contributes to the calculation of the trajectory of the particle as cell density is assumed to be different from the density of the fluid phase with a value of 1130 kg/</w:t>
      </w:r>
      <w:r w:rsidRPr="00A15EFA">
        <w:t>m</w:t>
      </w:r>
      <w:r w:rsidRPr="00A15EFA">
        <w:rPr>
          <w:vertAlign w:val="superscript"/>
        </w:rPr>
        <w:t>3</w:t>
      </w:r>
      <w:r w:rsidRPr="00A15EFA">
        <w:t xml:space="preserve"> </w:t>
      </w:r>
      <w:r w:rsidRPr="00A15EFA">
        <w:fldChar w:fldCharType="begin" w:fldLock="1"/>
      </w:r>
      <w:r w:rsidR="00FD29F4">
        <w:instrText>ADDIN CSL_CITATION { "citationItems" : [ { "id" : "ITEM-1", "itemData" : { "DOI" : "10.1039/c3lc51022k", "ISSN" : "1473-0189", "PMID" : "24296901", "abstract" : "Cell size, measured as either volume or mass, is a fundamental indicator of cell state. Far more tightly regulated than size is density, the ratio between mass and volume, which can be used to distinguish between cell populations even when volume and mass appear to remain constant. Here we expand upon a previous method for measuring cell density involving a suspended microchannel resonator (SMR). We introduce a new device, the dual SMR, as a high-precision instrument for measuring single-cell mass, volume, and density using two resonators connected by a serpentine fluidic channel. The dual SMR designs considered herein demonstrate the critical role of channel geometry in ensuring proper mixing and damping of pressure fluctuations in microfluidic systems designed for precision measurement. We use the dual SMR to compare the physical properties of two well-known cancer cell lines: human lung cancer cell H1650 and mouse lymphoblastic leukemia cell line L1210.", "author" : [ { "dropping-particle" : "", "family" : "Bryan", "given" : "Andrea K", "non-dropping-particle" : "", "parse-names" : false, "suffix" : "" }, { "dropping-particle" : "", "family" : "Hecht", "given" : "Vivian C", "non-dropping-particle" : "", "parse-names" : false, "suffix" : "" }, { "dropping-particle" : "", "family" : "Shen", "given" : "Wenjiang", "non-dropping-particle" : "", "parse-names" : false, "suffix" : "" }, { "dropping-particle" : "", "family" : "Payer", "given" : "Kristofor", "non-dropping-particle" : "", "parse-names" : false, "suffix" : "" }, { "dropping-particle" : "", "family" : "Grover", "given" : "William H", "non-dropping-particle" : "", "parse-names" : false, "suffix" : "" }, { "dropping-particle" : "", "family" : "Manalis", "given" : "Scott R", "non-dropping-particle" : "", "parse-names" : false, "suffix" : "" } ], "container-title" : "Lab on a chip", "id" : "ITEM-1", "issue" : "3", "issued" : { "date-parts" : [ [ "2014", "2", "7" ] ] }, "note" : "cell density measurement", "page" : "569-76", "title" : "Measuring single cell mass, volume, and density with dual suspended microchannel resonators.", "type" : "article-journal", "volume" : "14" }, "uris" : [ "http://www.mendeley.com/documents/?uuid=2f6764e8-4993-4986-897d-bba9cf023c96" ] } ], "mendeley" : { "formattedCitation" : "[167]", "manualFormatting" : "[168", "plainTextFormattedCitation" : "[167]", "previouslyFormattedCitation" : "[168]" }, "properties" : { "noteIndex" : 0 }, "schema" : "https://github.com/citation-style-language/schema/raw/master/csl-citation.json" }</w:instrText>
      </w:r>
      <w:r w:rsidRPr="00A15EFA">
        <w:fldChar w:fldCharType="separate"/>
      </w:r>
      <w:r w:rsidRPr="00A15EFA">
        <w:rPr>
          <w:noProof/>
        </w:rPr>
        <w:t>[16</w:t>
      </w:r>
      <w:r w:rsidR="00FD29F4">
        <w:rPr>
          <w:noProof/>
        </w:rPr>
        <w:t>8</w:t>
      </w:r>
      <w:r w:rsidRPr="00A15EFA">
        <w:fldChar w:fldCharType="end"/>
      </w:r>
      <w:r w:rsidRPr="00A15EFA">
        <w:fldChar w:fldCharType="begin" w:fldLock="1"/>
      </w:r>
      <w:r w:rsidR="00FD29F4">
        <w:instrText>ADDIN CSL_CITATION { "citationItems" : [ { "id" : "ITEM-1", "itemData" : { "DOI" : "10.1039/C4LC00795F", "ISSN" : "1473-0197", "author" : [ { "dropping-particle" : "", "family" : "Zhao", "given" : "Yuliang", "non-dropping-particle" : "", "parse-names" : false, "suffix" : "" }, { "dropping-particle" : "", "family" : "Lai", "given" : "Hok Sum Sam", "non-dropping-particle" : "", "parse-names" : false, "suffix" : "" }, { "dropping-particle" : "", "family" : "Zhang", "given" : "Guanglie", "non-dropping-particle" : "", "parse-names" : false, "suffix" : "" }, { "dropping-particle" : "", "family" : "Lee", "given" : "Gwo-Bin", "non-dropping-particle" : "", "parse-names" : false, "suffix" : "" }, { "dropping-particle" : "", "family" : "Li", "given" : "Wen J.", "non-dropping-particle" : "", "parse-names" : false, "suffix" : "" } ], "container-title" : "Lab Chip", "id" : "ITEM-1", "issued" : { "date-parts" : [ [ "2014", "9", "4" ] ] }, "note" : "cell density measurement", "publisher" : "Royal Society of Chemistry", "title" : "Rapid Determination of Cell Mass and Density using Digitally-Controlled Electric Field in a Microfluidic Chip", "type" : "article-journal" }, "uris" : [ "http://www.mendeley.com/documents/?uuid=ed4638de-a70d-4d41-9f99-32ca414cd62d" ] } ], "mendeley" : { "formattedCitation" : "[168]", "manualFormatting" : ", 169]", "plainTextFormattedCitation" : "[168]", "previouslyFormattedCitation" : "[169]" }, "properties" : { "noteIndex" : 0 }, "schema" : "https://github.com/citation-style-language/schema/raw/master/csl-citation.json" }</w:instrText>
      </w:r>
      <w:r w:rsidRPr="00A15EFA">
        <w:fldChar w:fldCharType="separate"/>
      </w:r>
      <w:r>
        <w:rPr>
          <w:noProof/>
        </w:rPr>
        <w:t xml:space="preserve">, </w:t>
      </w:r>
      <w:r w:rsidRPr="00A15EFA">
        <w:rPr>
          <w:noProof/>
        </w:rPr>
        <w:t>16</w:t>
      </w:r>
      <w:r w:rsidR="00FD29F4">
        <w:rPr>
          <w:noProof/>
        </w:rPr>
        <w:t>9</w:t>
      </w:r>
      <w:r w:rsidRPr="00A15EFA">
        <w:rPr>
          <w:noProof/>
        </w:rPr>
        <w:t>]</w:t>
      </w:r>
      <w:r w:rsidRPr="00A15EFA">
        <w:fldChar w:fldCharType="end"/>
      </w:r>
      <w:r w:rsidRPr="00A15EFA">
        <w:t>.</w:t>
      </w:r>
    </w:p>
    <w:p w:rsidR="005D1052" w:rsidRDefault="005D1052" w:rsidP="005D1052">
      <w:r>
        <w:t xml:space="preserve">Brownian forces were neglected due to the size of the particles that exceeds 0.03 </w:t>
      </w:r>
      <w:r w:rsidRPr="000A63D4">
        <w:t>µm o</w:t>
      </w:r>
      <w:r>
        <w:t>f diameter. It is noteworthy that Saffman’s lift force, which is the lift due to shear, could affect the deposition of the particles. However, this force could not be accounted for since Fluent only implements it for submicron particles.</w:t>
      </w:r>
    </w:p>
    <w:p w:rsidR="005D1052" w:rsidRPr="00D27D2B" w:rsidRDefault="005D1052" w:rsidP="005D1052">
      <w:r>
        <w:t xml:space="preserve">The surface injection method was applied where one cell is injected per mesh element face at the inlet boundary. The inlet face presents 1,000 surface elements so 4 injections were required to inject a total of 4,000 cells in the fluid domain. The cells were injected with zero initial velocity. To model the interaction of cells with scaffold surface, cells were trapped as soon as they were in contact with the scaffold or channel surfaces. </w:t>
      </w:r>
    </w:p>
    <w:p w:rsidR="005D1052" w:rsidRPr="001B6E68" w:rsidRDefault="005D1052" w:rsidP="005D1052">
      <w:pPr>
        <w:pStyle w:val="Heading5"/>
      </w:pPr>
      <w:bookmarkStart w:id="313" w:name="_Toc440823244"/>
      <w:r w:rsidRPr="001B6E68">
        <w:t>Numerical simulations</w:t>
      </w:r>
      <w:bookmarkEnd w:id="313"/>
    </w:p>
    <w:p w:rsidR="005D1052" w:rsidRDefault="005D1052" w:rsidP="005D1052">
      <w:r>
        <w:t xml:space="preserve">The continuous phase was resolved every 0.01 seconds and cells were progressing at the end of each time step. 60 iterations per time step were imposed in the numerical calculations for the residuals to stabilize. A total of 15 seconds were simulated as shown in </w:t>
      </w:r>
      <w:r>
        <w:fldChar w:fldCharType="begin"/>
      </w:r>
      <w:r>
        <w:instrText xml:space="preserve"> REF _Ref312150999 \h </w:instrText>
      </w:r>
      <w:r>
        <w:fldChar w:fldCharType="separate"/>
      </w:r>
      <w:r w:rsidR="00924C7D" w:rsidRPr="00891E2B">
        <w:t xml:space="preserve">Figure </w:t>
      </w:r>
      <w:r w:rsidR="00924C7D">
        <w:rPr>
          <w:noProof/>
        </w:rPr>
        <w:t>4</w:t>
      </w:r>
      <w:r w:rsidR="00924C7D">
        <w:noBreakHyphen/>
      </w:r>
      <w:r w:rsidR="00924C7D">
        <w:rPr>
          <w:noProof/>
        </w:rPr>
        <w:t>4</w:t>
      </w:r>
      <w:r>
        <w:fldChar w:fldCharType="end"/>
      </w:r>
      <w:r>
        <w:t xml:space="preserve">. The four injections were performed during the first four time steps of the simulation. Discrete phase data was saved every time step in order </w:t>
      </w:r>
      <w:r>
        <w:lastRenderedPageBreak/>
        <w:t xml:space="preserve">to visualize cell path and to measure key variables such as cell velocity during the simulation. In addition, the total number of cells trapped at the scaffold including their position was recorded at each time step. </w:t>
      </w:r>
    </w:p>
    <w:p w:rsidR="005D1052" w:rsidRDefault="005D1052" w:rsidP="005D1052"/>
    <w:p w:rsidR="005D1052" w:rsidRDefault="005D1052" w:rsidP="005D1052">
      <w:pPr>
        <w:keepNext/>
        <w:spacing w:after="0"/>
        <w:ind w:firstLine="0"/>
      </w:pPr>
      <w:r>
        <w:rPr>
          <w:noProof/>
          <w:lang w:eastAsia="en-GB"/>
        </w:rPr>
        <w:drawing>
          <wp:inline distT="0" distB="0" distL="0" distR="0" wp14:anchorId="5C9066CF" wp14:editId="2AC4E818">
            <wp:extent cx="5377218" cy="2304288"/>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png"/>
                    <pic:cNvPicPr/>
                  </pic:nvPicPr>
                  <pic:blipFill>
                    <a:blip r:embed="rId94">
                      <a:extLst>
                        <a:ext uri="{28A0092B-C50C-407E-A947-70E740481C1C}">
                          <a14:useLocalDpi xmlns:a14="http://schemas.microsoft.com/office/drawing/2010/main" val="0"/>
                        </a:ext>
                      </a:extLst>
                    </a:blip>
                    <a:stretch>
                      <a:fillRect/>
                    </a:stretch>
                  </pic:blipFill>
                  <pic:spPr>
                    <a:xfrm>
                      <a:off x="0" y="0"/>
                      <a:ext cx="5392033" cy="2310637"/>
                    </a:xfrm>
                    <a:prstGeom prst="rect">
                      <a:avLst/>
                    </a:prstGeom>
                  </pic:spPr>
                </pic:pic>
              </a:graphicData>
            </a:graphic>
          </wp:inline>
        </w:drawing>
      </w:r>
    </w:p>
    <w:p w:rsidR="005D1052" w:rsidRPr="00891E2B" w:rsidRDefault="005D1052" w:rsidP="005D1052">
      <w:pPr>
        <w:pStyle w:val="Caption"/>
      </w:pPr>
      <w:bookmarkStart w:id="314" w:name="_Ref312150999"/>
      <w:bookmarkStart w:id="315" w:name="_Toc438590820"/>
      <w:bookmarkStart w:id="316" w:name="_Toc445718826"/>
      <w:r w:rsidRPr="00891E2B">
        <w:t xml:space="preserve">Figure </w:t>
      </w:r>
      <w:fldSimple w:instr=" STYLEREF 1 \s ">
        <w:r w:rsidR="00924C7D">
          <w:rPr>
            <w:noProof/>
          </w:rPr>
          <w:t>4</w:t>
        </w:r>
      </w:fldSimple>
      <w:r>
        <w:noBreakHyphen/>
      </w:r>
      <w:fldSimple w:instr=" SEQ Figure \* ARABIC \s 1 ">
        <w:r w:rsidR="00924C7D">
          <w:rPr>
            <w:noProof/>
          </w:rPr>
          <w:t>4</w:t>
        </w:r>
      </w:fldSimple>
      <w:bookmarkEnd w:id="314"/>
      <w:r>
        <w:t xml:space="preserve"> </w:t>
      </w:r>
      <w:r w:rsidRPr="00EA5A07">
        <w:rPr>
          <w:b w:val="0"/>
        </w:rPr>
        <w:t>Simulation strategy. Four injections of cells are performed at the beginning of the simulation with temporal space of 0.01 s</w:t>
      </w:r>
      <w:r>
        <w:rPr>
          <w:b w:val="0"/>
        </w:rPr>
        <w:t>econds</w:t>
      </w:r>
      <w:r w:rsidRPr="00EA5A07">
        <w:rPr>
          <w:b w:val="0"/>
        </w:rPr>
        <w:t>. Then, the cells progress every 0.01 s</w:t>
      </w:r>
      <w:r>
        <w:rPr>
          <w:b w:val="0"/>
        </w:rPr>
        <w:t>econds</w:t>
      </w:r>
      <w:r w:rsidRPr="00EA5A07">
        <w:rPr>
          <w:b w:val="0"/>
        </w:rPr>
        <w:t xml:space="preserve"> during 10 s</w:t>
      </w:r>
      <w:r>
        <w:rPr>
          <w:b w:val="0"/>
        </w:rPr>
        <w:t>econds</w:t>
      </w:r>
      <w:r w:rsidRPr="00EA5A07">
        <w:rPr>
          <w:b w:val="0"/>
        </w:rPr>
        <w:t xml:space="preserve"> under 300 µl/min fluid flow conditions. At 10 s</w:t>
      </w:r>
      <w:r>
        <w:rPr>
          <w:b w:val="0"/>
        </w:rPr>
        <w:t>econds</w:t>
      </w:r>
      <w:r w:rsidRPr="00EA5A07">
        <w:rPr>
          <w:b w:val="0"/>
        </w:rPr>
        <w:t>, t</w:t>
      </w:r>
      <w:r>
        <w:rPr>
          <w:b w:val="0"/>
        </w:rPr>
        <w:t>he fluid flow conditions vary</w:t>
      </w:r>
      <w:r w:rsidRPr="00EA5A07">
        <w:rPr>
          <w:b w:val="0"/>
        </w:rPr>
        <w:t xml:space="preserve"> from 90 to 50 µl/min every 0.125 s</w:t>
      </w:r>
      <w:r>
        <w:rPr>
          <w:b w:val="0"/>
        </w:rPr>
        <w:t>econds</w:t>
      </w:r>
      <w:r w:rsidRPr="00EA5A07">
        <w:rPr>
          <w:b w:val="0"/>
        </w:rPr>
        <w:t xml:space="preserve"> during 5 s</w:t>
      </w:r>
      <w:r>
        <w:rPr>
          <w:b w:val="0"/>
        </w:rPr>
        <w:t>econds</w:t>
      </w:r>
      <w:r w:rsidRPr="00EA5A07">
        <w:rPr>
          <w:b w:val="0"/>
        </w:rPr>
        <w:t>. The cells progress every 0.01 s</w:t>
      </w:r>
      <w:r>
        <w:rPr>
          <w:b w:val="0"/>
        </w:rPr>
        <w:t>econds</w:t>
      </w:r>
      <w:r w:rsidRPr="00EA5A07">
        <w:rPr>
          <w:b w:val="0"/>
        </w:rPr>
        <w:t xml:space="preserve"> during those 5 s</w:t>
      </w:r>
      <w:r>
        <w:rPr>
          <w:b w:val="0"/>
        </w:rPr>
        <w:t>econds</w:t>
      </w:r>
      <w:r w:rsidRPr="00EA5A07">
        <w:rPr>
          <w:b w:val="0"/>
        </w:rPr>
        <w:t>.</w:t>
      </w:r>
      <w:bookmarkEnd w:id="315"/>
      <w:bookmarkEnd w:id="316"/>
    </w:p>
    <w:p w:rsidR="005D1052" w:rsidRDefault="005D1052" w:rsidP="005D1052">
      <w:r>
        <w:t xml:space="preserve">The fluid phase was solved under the same settings specified in section </w:t>
      </w:r>
      <w:r>
        <w:fldChar w:fldCharType="begin"/>
      </w:r>
      <w:r>
        <w:instrText xml:space="preserve"> REF _Ref312158908 \r \h </w:instrText>
      </w:r>
      <w:r>
        <w:fldChar w:fldCharType="separate"/>
      </w:r>
      <w:r w:rsidR="00924C7D">
        <w:t>3.2.2</w:t>
      </w:r>
      <w:r>
        <w:fldChar w:fldCharType="end"/>
      </w:r>
      <w:r>
        <w:t>. Discrete phase motion was solved with a tolerance for accuracy control of 10</w:t>
      </w:r>
      <w:r w:rsidRPr="000E0EE2">
        <w:rPr>
          <w:vertAlign w:val="superscript"/>
        </w:rPr>
        <w:t>-5</w:t>
      </w:r>
      <w:r>
        <w:t xml:space="preserve"> and the tracking scheme was set to change automatically between high order trapezoidal discretization and implicit low order, depending on target accuracy and the stability of both schemes. The CFD model was run in parallel </w:t>
      </w:r>
      <w:r w:rsidRPr="005445E3">
        <w:t xml:space="preserve">with 64 </w:t>
      </w:r>
      <w:r>
        <w:t>partitions</w:t>
      </w:r>
      <w:r w:rsidRPr="005445E3">
        <w:t xml:space="preserve"> </w:t>
      </w:r>
      <w:r>
        <w:t xml:space="preserve">in the Iceberg high performance computing </w:t>
      </w:r>
      <w:r w:rsidRPr="005445E3">
        <w:t>facilities centrally provided by the University</w:t>
      </w:r>
      <w:r>
        <w:t xml:space="preserve"> of </w:t>
      </w:r>
      <w:r w:rsidRPr="005445E3">
        <w:t>Sheffield</w:t>
      </w:r>
      <w:r>
        <w:t xml:space="preserve"> after a benchmark study (</w:t>
      </w:r>
      <w:r w:rsidRPr="002B4F1A">
        <w:t xml:space="preserve">see results in </w:t>
      </w:r>
      <w:r>
        <w:t xml:space="preserve">section </w:t>
      </w:r>
      <w:r>
        <w:rPr>
          <w:highlight w:val="yellow"/>
        </w:rPr>
        <w:fldChar w:fldCharType="begin"/>
      </w:r>
      <w:r>
        <w:instrText xml:space="preserve"> REF _Ref312158954 \r \h </w:instrText>
      </w:r>
      <w:r>
        <w:rPr>
          <w:highlight w:val="yellow"/>
        </w:rPr>
      </w:r>
      <w:r>
        <w:rPr>
          <w:highlight w:val="yellow"/>
        </w:rPr>
        <w:fldChar w:fldCharType="separate"/>
      </w:r>
      <w:r w:rsidR="00924C7D">
        <w:t>4.3.1.2.2</w:t>
      </w:r>
      <w:r>
        <w:rPr>
          <w:highlight w:val="yellow"/>
        </w:rPr>
        <w:fldChar w:fldCharType="end"/>
      </w:r>
      <w:r>
        <w:t xml:space="preserve">). </w:t>
      </w:r>
    </w:p>
    <w:p w:rsidR="005D1052" w:rsidRDefault="005D1052" w:rsidP="005D1052">
      <w:pPr>
        <w:pStyle w:val="Heading2"/>
      </w:pPr>
      <w:bookmarkStart w:id="317" w:name="_Toc440823245"/>
      <w:r>
        <w:lastRenderedPageBreak/>
        <w:t>Results</w:t>
      </w:r>
      <w:bookmarkEnd w:id="317"/>
    </w:p>
    <w:p w:rsidR="005D1052" w:rsidRPr="00EE20FB" w:rsidRDefault="005D1052" w:rsidP="005D1052">
      <w:pPr>
        <w:pStyle w:val="Heading3"/>
      </w:pPr>
      <w:bookmarkStart w:id="318" w:name="_Toc440823246"/>
      <w:r>
        <w:t>Characterization of the fluid flow inside the scaffold</w:t>
      </w:r>
      <w:bookmarkEnd w:id="318"/>
    </w:p>
    <w:p w:rsidR="005D1052" w:rsidRPr="008E2D17" w:rsidRDefault="005D1052" w:rsidP="005D1052">
      <w:pPr>
        <w:pStyle w:val="Heading4"/>
        <w:jc w:val="left"/>
      </w:pPr>
      <w:bookmarkStart w:id="319" w:name="_Toc310605621"/>
      <w:bookmarkStart w:id="320" w:name="_Toc310605916"/>
      <w:bookmarkStart w:id="321" w:name="_Toc440823247"/>
      <w:r w:rsidRPr="008E2D17">
        <w:t>Experimental results</w:t>
      </w:r>
      <w:bookmarkEnd w:id="319"/>
      <w:bookmarkEnd w:id="320"/>
      <w:bookmarkEnd w:id="321"/>
    </w:p>
    <w:p w:rsidR="005D1052" w:rsidRDefault="005D1052" w:rsidP="005D1052">
      <w:pPr>
        <w:pStyle w:val="Heading5"/>
      </w:pPr>
      <w:bookmarkStart w:id="322" w:name="_Ref312110908"/>
      <w:bookmarkStart w:id="323" w:name="_Toc440823248"/>
      <w:r>
        <w:t xml:space="preserve">Accuracy of the </w:t>
      </w:r>
      <w:r w:rsidRPr="000A3A23">
        <w:t>µ</w:t>
      </w:r>
      <w:r>
        <w:t>PIV system</w:t>
      </w:r>
      <w:bookmarkEnd w:id="322"/>
      <w:bookmarkEnd w:id="323"/>
    </w:p>
    <w:p w:rsidR="005D1052" w:rsidRPr="00850700" w:rsidRDefault="005D1052" w:rsidP="005D1052">
      <w:pPr>
        <w:spacing w:after="480"/>
        <w:rPr>
          <w:noProof/>
        </w:rPr>
      </w:pPr>
      <w:r w:rsidRPr="00850700">
        <w:t>The maximum velocity of a laminar flow inside a rectangular duct is not exactly double the average velocit</w:t>
      </w:r>
      <w:r>
        <w:t>y as in circular pipes. For this reason</w:t>
      </w:r>
      <w:r w:rsidRPr="00850700">
        <w:t xml:space="preserve">, Martineli and Viktorov </w:t>
      </w:r>
      <w:r w:rsidRPr="00850700">
        <w:fldChar w:fldCharType="begin" w:fldLock="1"/>
      </w:r>
      <w:r>
        <w:instrText>ADDIN CSL_CITATION { "citationItems" : [ { "id" : "ITEM-1", "itemData" : { "DOI" : "10.1088/0960-1317/19/2/025013", "author" : [ { "family" : "Martinelli", "given" : "Matteo" }, { "family" : "Viktorov", "given" : "Vladimir" } ], "container-title" : "Journal of Micromechanics and Microengineering", "id" : "ITEM-1", "issue" : "2", "issued" : { "date-parts" : [ [ "2009", "2", "1" ] ] }, "page" : "025013", "title" : "Modelling of laminar flow in the inlet section of rectangular microchannels", "type" : "article-journal", "volume" : "19" }, "uris" : [ "http://www.mendeley.com/documents/?uuid=a103764f-5698-4e40-ae49-1bb83dff96ba" ] } ], "mendeley" : { "formattedCitation" : "[169]", "plainTextFormattedCitation" : "[169]", "previouslyFormattedCitation" : "[170]" }, "properties" : { "noteIndex" : 0 }, "schema" : "https://github.com/citation-style-language/schema/raw/master/csl-citation.json" }</w:instrText>
      </w:r>
      <w:r w:rsidRPr="00850700">
        <w:fldChar w:fldCharType="separate"/>
      </w:r>
      <w:r w:rsidRPr="00A15EFA">
        <w:rPr>
          <w:noProof/>
        </w:rPr>
        <w:t>[170]</w:t>
      </w:r>
      <w:r w:rsidRPr="00850700">
        <w:fldChar w:fldCharType="end"/>
      </w:r>
      <w:r w:rsidRPr="00850700">
        <w:t xml:space="preserve"> presented the formula seen in equation </w:t>
      </w:r>
      <w:r>
        <w:t xml:space="preserve">4-7, where </w:t>
      </w:r>
      <w:r w:rsidRPr="001E578E">
        <w:rPr>
          <w:i/>
        </w:rPr>
        <w:t>h</w:t>
      </w:r>
      <w:r>
        <w:t xml:space="preserve"> and </w:t>
      </w:r>
      <w:r w:rsidRPr="001E578E">
        <w:rPr>
          <w:i/>
        </w:rPr>
        <w:t>w</w:t>
      </w:r>
      <w:r>
        <w:t xml:space="preserve"> are the</w:t>
      </w:r>
      <w:r w:rsidRPr="00850700">
        <w:t xml:space="preserve"> height and width respectively, to calculate the ratio of maximum velocity to average</w:t>
      </w:r>
      <w:r>
        <w:t xml:space="preserve"> velocity as a </w:t>
      </w:r>
      <w:r w:rsidRPr="00473084">
        <w:t xml:space="preserve">function of the </w:t>
      </w:r>
      <w:r>
        <w:t xml:space="preserve">channel </w:t>
      </w:r>
      <w:r w:rsidRPr="00473084">
        <w:t xml:space="preserve">aspect ratio </w:t>
      </w:r>
      <w:r>
        <w:t>(</w:t>
      </w:r>
      <w:r w:rsidRPr="00D64860">
        <w:rPr>
          <w:i/>
        </w:rPr>
        <w:t>h/w</w:t>
      </w:r>
      <w:r>
        <w:t>) for incompressible flows:</w:t>
      </w:r>
    </w:p>
    <w:p w:rsidR="005D1052" w:rsidRDefault="005D1052" w:rsidP="005D1052">
      <w:pPr>
        <w:pStyle w:val="Caption"/>
        <w:jc w:val="right"/>
        <w:rPr>
          <w:sz w:val="28"/>
        </w:rPr>
      </w:pPr>
      <w:bookmarkStart w:id="324" w:name="_Ref312156766"/>
      <w:bookmarkStart w:id="325" w:name="_Ref312158986"/>
      <w:bookmarkStart w:id="326" w:name="_Toc310621725"/>
      <w:r>
        <w:rPr>
          <w:noProof/>
          <w:position w:val="-32"/>
          <w:lang w:eastAsia="en-GB"/>
        </w:rPr>
        <w:drawing>
          <wp:inline distT="0" distB="0" distL="0" distR="0" wp14:anchorId="5F08B2D7" wp14:editId="6BC1BEF0">
            <wp:extent cx="2456815" cy="485140"/>
            <wp:effectExtent l="0" t="0" r="635" b="0"/>
            <wp:docPr id="83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56815" cy="485140"/>
                    </a:xfrm>
                    <a:prstGeom prst="rect">
                      <a:avLst/>
                    </a:prstGeom>
                    <a:noFill/>
                    <a:ln>
                      <a:noFill/>
                    </a:ln>
                  </pic:spPr>
                </pic:pic>
              </a:graphicData>
            </a:graphic>
          </wp:inline>
        </w:drawing>
      </w:r>
      <w:r>
        <w:rPr>
          <w:noProof/>
        </w:rPr>
        <w:t xml:space="preserve"> </w:t>
      </w:r>
      <w:r>
        <w:rPr>
          <w:noProof/>
        </w:rPr>
        <w:tab/>
      </w:r>
      <w:r>
        <w:rPr>
          <w:noProof/>
        </w:rPr>
        <w:tab/>
      </w:r>
      <w:r>
        <w:rPr>
          <w:noProof/>
        </w:rPr>
        <w:tab/>
      </w:r>
      <w:r w:rsidRPr="00FA2BB9">
        <w:rPr>
          <w:noProof/>
        </w:rPr>
        <w:t>[</w:t>
      </w:r>
      <w:fldSimple w:instr=" STYLEREF 1 \s ">
        <w:r w:rsidR="00924C7D">
          <w:rPr>
            <w:noProof/>
          </w:rPr>
          <w:t>4</w:t>
        </w:r>
      </w:fldSimple>
      <w:r w:rsidRPr="00FA2BB9">
        <w:noBreakHyphen/>
      </w:r>
      <w:fldSimple w:instr=" SEQ Equation \* ARABIC \s 1 ">
        <w:r w:rsidR="00924C7D">
          <w:rPr>
            <w:noProof/>
          </w:rPr>
          <w:t>7</w:t>
        </w:r>
      </w:fldSimple>
      <w:bookmarkEnd w:id="324"/>
      <w:r w:rsidRPr="00FA2BB9">
        <w:rPr>
          <w:noProof/>
        </w:rPr>
        <w:t>]</w:t>
      </w:r>
      <w:bookmarkEnd w:id="325"/>
      <w:r w:rsidRPr="00BC5421">
        <w:rPr>
          <w:sz w:val="28"/>
        </w:rPr>
        <w:t xml:space="preserve"> </w:t>
      </w:r>
    </w:p>
    <w:p w:rsidR="005D1052" w:rsidRPr="00850700" w:rsidRDefault="005D1052" w:rsidP="005D1052">
      <w:r>
        <w:t xml:space="preserve">The average inlet velocity is 1 mm/s for this test and the channel aspect ratio is 1/3; therefore, the expected maximum velocity at 1.5 mm distance from the lateral channel wall, corresponding to the centre of the channel, should be 1.82 mm/s. The CFD calculates a maximum velocity of 1.83 mm/s at the centre of the channel so it agrees well with the analytical value calculated using the formula </w:t>
      </w:r>
      <w:r w:rsidRPr="002C083D">
        <w:t xml:space="preserve">in equation </w:t>
      </w:r>
      <w:r>
        <w:t xml:space="preserve">4-7. In the case of µPIV, the velocity extracted from the pink line in </w:t>
      </w:r>
      <w:r>
        <w:rPr>
          <w:highlight w:val="yellow"/>
        </w:rPr>
        <w:fldChar w:fldCharType="begin"/>
      </w:r>
      <w:r>
        <w:instrText xml:space="preserve"> REF _Ref312159142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5</w:t>
      </w:r>
      <w:r>
        <w:rPr>
          <w:highlight w:val="yellow"/>
        </w:rPr>
        <w:fldChar w:fldCharType="end"/>
      </w:r>
      <w:r>
        <w:t xml:space="preserve"> reaches 1.89 mm/s at 0.9 mm distance from the channel wall, as seen in </w:t>
      </w:r>
      <w:r>
        <w:rPr>
          <w:highlight w:val="yellow"/>
        </w:rPr>
        <w:fldChar w:fldCharType="begin"/>
      </w:r>
      <w:r>
        <w:instrText xml:space="preserve"> REF _Ref312159184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6</w:t>
      </w:r>
      <w:r>
        <w:rPr>
          <w:highlight w:val="yellow"/>
        </w:rPr>
        <w:fldChar w:fldCharType="end"/>
      </w:r>
      <w:r>
        <w:t xml:space="preserve">, whereas the CFD value at that location is 1.73 mm/s. Assuming that the CFD can predict with accuracy the fluid flow velocities, the expected error from the </w:t>
      </w:r>
      <w:r w:rsidRPr="00AC3098">
        <w:t>µPI</w:t>
      </w:r>
      <w:r>
        <w:t xml:space="preserve">V to calculate fluid velocities is </w:t>
      </w:r>
      <w:r>
        <w:rPr>
          <w:rFonts w:ascii="Times New Roman" w:hAnsi="Times New Roman" w:cs="Times New Roman"/>
        </w:rPr>
        <w:t>~</w:t>
      </w:r>
      <w:r>
        <w:t>10% for the specific experimental scenario implemented in this study.</w:t>
      </w:r>
    </w:p>
    <w:bookmarkEnd w:id="326"/>
    <w:p w:rsidR="005D1052" w:rsidRDefault="005D1052" w:rsidP="005D1052">
      <w:pPr>
        <w:keepNext/>
        <w:ind w:firstLine="0"/>
        <w:jc w:val="center"/>
      </w:pPr>
    </w:p>
    <w:p w:rsidR="005D1052" w:rsidRDefault="005D1052" w:rsidP="005D1052">
      <w:pPr>
        <w:keepNext/>
        <w:ind w:firstLine="0"/>
        <w:jc w:val="center"/>
      </w:pPr>
      <w:r>
        <w:rPr>
          <w:noProof/>
          <w:lang w:eastAsia="en-GB"/>
        </w:rPr>
        <w:drawing>
          <wp:inline distT="0" distB="0" distL="0" distR="0" wp14:anchorId="02C6FF6B" wp14:editId="274153A9">
            <wp:extent cx="4875734" cy="2631091"/>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bola.png"/>
                    <pic:cNvPicPr/>
                  </pic:nvPicPr>
                  <pic:blipFill rotWithShape="1">
                    <a:blip r:embed="rId96">
                      <a:extLst>
                        <a:ext uri="{28A0092B-C50C-407E-A947-70E740481C1C}">
                          <a14:useLocalDpi xmlns:a14="http://schemas.microsoft.com/office/drawing/2010/main" val="0"/>
                        </a:ext>
                      </a:extLst>
                    </a:blip>
                    <a:srcRect t="6361"/>
                    <a:stretch/>
                  </pic:blipFill>
                  <pic:spPr bwMode="auto">
                    <a:xfrm>
                      <a:off x="0" y="0"/>
                      <a:ext cx="4879384" cy="2633061"/>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noProof/>
        </w:rPr>
      </w:pPr>
      <w:bookmarkStart w:id="327" w:name="_Ref312159142"/>
      <w:bookmarkStart w:id="328" w:name="_Toc438590821"/>
      <w:bookmarkStart w:id="329" w:name="_Toc445718827"/>
      <w:r w:rsidRPr="003D2CB3">
        <w:t xml:space="preserve">Figure </w:t>
      </w:r>
      <w:fldSimple w:instr=" STYLEREF 1 \s ">
        <w:r w:rsidR="00924C7D">
          <w:rPr>
            <w:noProof/>
          </w:rPr>
          <w:t>4</w:t>
        </w:r>
      </w:fldSimple>
      <w:r>
        <w:noBreakHyphen/>
      </w:r>
      <w:fldSimple w:instr=" SEQ Figure \* ARABIC \s 1 ">
        <w:r w:rsidR="00924C7D">
          <w:rPr>
            <w:noProof/>
          </w:rPr>
          <w:t>5</w:t>
        </w:r>
      </w:fldSimple>
      <w:bookmarkEnd w:id="327"/>
      <w:r>
        <w:rPr>
          <w:noProof/>
        </w:rPr>
        <w:t xml:space="preserve"> </w:t>
      </w:r>
      <w:r w:rsidRPr="00850700">
        <w:rPr>
          <w:b w:val="0"/>
          <w:noProof/>
        </w:rPr>
        <w:t xml:space="preserve">Velocity vectors from a plane </w:t>
      </w:r>
      <w:r>
        <w:rPr>
          <w:b w:val="0"/>
          <w:noProof/>
        </w:rPr>
        <w:t>located in the middle of</w:t>
      </w:r>
      <w:r w:rsidRPr="00850700">
        <w:rPr>
          <w:b w:val="0"/>
          <w:noProof/>
        </w:rPr>
        <w:t xml:space="preserve"> the rectangular channel calculated using µPIV (left) and CFD (right) methods. The pink </w:t>
      </w:r>
      <w:r>
        <w:rPr>
          <w:b w:val="0"/>
          <w:noProof/>
        </w:rPr>
        <w:t xml:space="preserve">dotted </w:t>
      </w:r>
      <w:r w:rsidRPr="00850700">
        <w:rPr>
          <w:b w:val="0"/>
          <w:noProof/>
        </w:rPr>
        <w:t>line</w:t>
      </w:r>
      <w:r>
        <w:rPr>
          <w:b w:val="0"/>
          <w:noProof/>
        </w:rPr>
        <w:t>s show from</w:t>
      </w:r>
      <w:r w:rsidRPr="00850700">
        <w:rPr>
          <w:b w:val="0"/>
          <w:noProof/>
        </w:rPr>
        <w:t xml:space="preserve"> where the velocity value</w:t>
      </w:r>
      <w:r>
        <w:rPr>
          <w:b w:val="0"/>
          <w:noProof/>
        </w:rPr>
        <w:t>s were</w:t>
      </w:r>
      <w:r w:rsidRPr="00850700">
        <w:rPr>
          <w:b w:val="0"/>
          <w:noProof/>
        </w:rPr>
        <w:t xml:space="preserve"> extracted to compare both techniques numerically.</w:t>
      </w:r>
      <w:bookmarkEnd w:id="328"/>
      <w:bookmarkEnd w:id="329"/>
      <w:r w:rsidRPr="00850700">
        <w:rPr>
          <w:b w:val="0"/>
          <w:noProof/>
        </w:rPr>
        <w:t xml:space="preserve"> </w:t>
      </w:r>
    </w:p>
    <w:p w:rsidR="005D1052" w:rsidRPr="008D2F6A" w:rsidRDefault="005D1052" w:rsidP="005D1052"/>
    <w:p w:rsidR="005D1052" w:rsidRDefault="005D1052" w:rsidP="005D1052">
      <w:pPr>
        <w:pStyle w:val="Normal1"/>
        <w:tabs>
          <w:tab w:val="left" w:pos="1503"/>
        </w:tabs>
      </w:pPr>
      <w:r>
        <w:rPr>
          <w:noProof/>
          <w:lang w:eastAsia="en-GB"/>
        </w:rPr>
        <w:drawing>
          <wp:inline distT="0" distB="0" distL="0" distR="0" wp14:anchorId="10333F2F" wp14:editId="190BAED1">
            <wp:extent cx="5903366" cy="1945843"/>
            <wp:effectExtent l="0" t="0" r="254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5899780" cy="1944661"/>
                    </a:xfrm>
                    <a:prstGeom prst="rect">
                      <a:avLst/>
                    </a:prstGeom>
                    <a:noFill/>
                  </pic:spPr>
                </pic:pic>
              </a:graphicData>
            </a:graphic>
          </wp:inline>
        </w:drawing>
      </w:r>
    </w:p>
    <w:p w:rsidR="005D1052" w:rsidRPr="007852A8" w:rsidRDefault="005D1052" w:rsidP="005D1052">
      <w:pPr>
        <w:pStyle w:val="Caption"/>
        <w:rPr>
          <w:noProof/>
        </w:rPr>
      </w:pPr>
      <w:bookmarkStart w:id="330" w:name="_Ref312159184"/>
      <w:bookmarkStart w:id="331" w:name="_Toc438590822"/>
      <w:bookmarkStart w:id="332" w:name="_Toc445718828"/>
      <w:r w:rsidRPr="003D2CB3">
        <w:t xml:space="preserve">Figure </w:t>
      </w:r>
      <w:fldSimple w:instr=" STYLEREF 1 \s ">
        <w:r w:rsidR="00924C7D">
          <w:rPr>
            <w:noProof/>
          </w:rPr>
          <w:t>4</w:t>
        </w:r>
      </w:fldSimple>
      <w:r>
        <w:noBreakHyphen/>
      </w:r>
      <w:fldSimple w:instr=" SEQ Figure \* ARABIC \s 1 ">
        <w:r w:rsidR="00924C7D">
          <w:rPr>
            <w:noProof/>
          </w:rPr>
          <w:t>6</w:t>
        </w:r>
      </w:fldSimple>
      <w:bookmarkEnd w:id="330"/>
      <w:r w:rsidRPr="003D2CB3">
        <w:rPr>
          <w:noProof/>
        </w:rPr>
        <w:t xml:space="preserve"> </w:t>
      </w:r>
      <w:r w:rsidRPr="0078220B">
        <w:rPr>
          <w:b w:val="0"/>
          <w:noProof/>
        </w:rPr>
        <w:t xml:space="preserve">The blue line and green lines represent the velocity values extracted from the profiles </w:t>
      </w:r>
      <w:r w:rsidRPr="002F0F3F">
        <w:rPr>
          <w:b w:val="0"/>
          <w:noProof/>
        </w:rPr>
        <w:t xml:space="preserve">shown in </w:t>
      </w:r>
      <w:r w:rsidRPr="002F0F3F">
        <w:rPr>
          <w:b w:val="0"/>
          <w:noProof/>
          <w:highlight w:val="yellow"/>
        </w:rPr>
        <w:fldChar w:fldCharType="begin"/>
      </w:r>
      <w:r w:rsidRPr="002F0F3F">
        <w:rPr>
          <w:b w:val="0"/>
          <w:noProof/>
        </w:rPr>
        <w:instrText xml:space="preserve"> REF _Ref312159142 \h </w:instrText>
      </w:r>
      <w:r w:rsidRPr="002F0F3F">
        <w:rPr>
          <w:b w:val="0"/>
          <w:noProof/>
          <w:highlight w:val="yellow"/>
        </w:rPr>
        <w:instrText xml:space="preserve"> \* MERGEFORMAT </w:instrText>
      </w:r>
      <w:r w:rsidRPr="002F0F3F">
        <w:rPr>
          <w:b w:val="0"/>
          <w:noProof/>
          <w:highlight w:val="yellow"/>
        </w:rPr>
      </w:r>
      <w:r w:rsidRPr="002F0F3F">
        <w:rPr>
          <w:b w:val="0"/>
          <w:noProof/>
          <w:highlight w:val="yellow"/>
        </w:rPr>
        <w:fldChar w:fldCharType="separate"/>
      </w:r>
      <w:r w:rsidR="00924C7D" w:rsidRPr="00924C7D">
        <w:rPr>
          <w:b w:val="0"/>
        </w:rPr>
        <w:t xml:space="preserve">Figure </w:t>
      </w:r>
      <w:r w:rsidR="00924C7D" w:rsidRPr="00924C7D">
        <w:rPr>
          <w:b w:val="0"/>
          <w:noProof/>
        </w:rPr>
        <w:t>4</w:t>
      </w:r>
      <w:r w:rsidR="00924C7D" w:rsidRPr="00924C7D">
        <w:rPr>
          <w:b w:val="0"/>
          <w:noProof/>
        </w:rPr>
        <w:noBreakHyphen/>
        <w:t>5</w:t>
      </w:r>
      <w:r w:rsidRPr="002F0F3F">
        <w:rPr>
          <w:b w:val="0"/>
          <w:noProof/>
          <w:highlight w:val="yellow"/>
        </w:rPr>
        <w:fldChar w:fldCharType="end"/>
      </w:r>
      <w:r w:rsidRPr="002F0F3F">
        <w:rPr>
          <w:b w:val="0"/>
          <w:noProof/>
        </w:rPr>
        <w:t xml:space="preserve"> for</w:t>
      </w:r>
      <w:r w:rsidRPr="0078220B">
        <w:rPr>
          <w:b w:val="0"/>
          <w:noProof/>
        </w:rPr>
        <w:t xml:space="preserve"> the µPIV and CFD tools respectively. The red line is the maximum fluid velocity calculated analytically that can be reached inside the rectangular channel.</w:t>
      </w:r>
      <w:bookmarkEnd w:id="331"/>
      <w:bookmarkEnd w:id="332"/>
    </w:p>
    <w:p w:rsidR="005D1052" w:rsidRPr="000A3A23" w:rsidRDefault="005D1052" w:rsidP="005D1052">
      <w:pPr>
        <w:pStyle w:val="Heading5"/>
      </w:pPr>
      <w:bookmarkStart w:id="333" w:name="_Toc440823249"/>
      <w:r w:rsidRPr="000A3A23">
        <w:lastRenderedPageBreak/>
        <w:t xml:space="preserve">Local fluid velocities inside the scaffold </w:t>
      </w:r>
      <w:r>
        <w:t>measured</w:t>
      </w:r>
      <w:r w:rsidRPr="000A3A23">
        <w:t xml:space="preserve"> with µPIV</w:t>
      </w:r>
      <w:bookmarkEnd w:id="333"/>
    </w:p>
    <w:p w:rsidR="005D1052" w:rsidRDefault="005D1052" w:rsidP="005D1052">
      <w:r>
        <w:t xml:space="preserve">Two regions of interest were considered to characterize the fluid flow inside the scaffold pores. The fluid flow passing between the vertical fibres was observed, as well as the fluid flow underneath the horizontal fibre, as shown in </w:t>
      </w:r>
      <w:r>
        <w:rPr>
          <w:highlight w:val="yellow"/>
        </w:rPr>
        <w:fldChar w:fldCharType="begin"/>
      </w:r>
      <w:r>
        <w:instrText xml:space="preserve"> REF _Ref312159258 \h </w:instrText>
      </w:r>
      <w:r>
        <w:rPr>
          <w:highlight w:val="yellow"/>
        </w:rPr>
      </w:r>
      <w:r>
        <w:rPr>
          <w:highlight w:val="yellow"/>
        </w:rPr>
        <w:fldChar w:fldCharType="separate"/>
      </w:r>
      <w:r w:rsidR="00924C7D" w:rsidRPr="000A3A23">
        <w:t xml:space="preserve">Figure </w:t>
      </w:r>
      <w:r w:rsidR="00924C7D">
        <w:rPr>
          <w:noProof/>
        </w:rPr>
        <w:t>4</w:t>
      </w:r>
      <w:r w:rsidR="00924C7D">
        <w:noBreakHyphen/>
      </w:r>
      <w:r w:rsidR="00924C7D">
        <w:rPr>
          <w:noProof/>
        </w:rPr>
        <w:t>7</w:t>
      </w:r>
      <w:r>
        <w:rPr>
          <w:highlight w:val="yellow"/>
        </w:rPr>
        <w:fldChar w:fldCharType="end"/>
      </w:r>
      <w:r>
        <w:t>.</w:t>
      </w:r>
    </w:p>
    <w:p w:rsidR="005D1052" w:rsidRDefault="005D1052" w:rsidP="005D1052"/>
    <w:p w:rsidR="005D1052" w:rsidRDefault="005D1052" w:rsidP="005D1052">
      <w:pPr>
        <w:keepNext/>
        <w:spacing w:after="0"/>
        <w:ind w:firstLine="0"/>
        <w:jc w:val="center"/>
      </w:pPr>
      <w:r>
        <w:rPr>
          <w:noProof/>
          <w:lang w:eastAsia="en-GB"/>
        </w:rPr>
        <w:drawing>
          <wp:inline distT="0" distB="0" distL="0" distR="0" wp14:anchorId="703E3900" wp14:editId="1E1DB43B">
            <wp:extent cx="4786630" cy="4381986"/>
            <wp:effectExtent l="0" t="0" r="0" b="1270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fibre.png"/>
                    <pic:cNvPicPr/>
                  </pic:nvPicPr>
                  <pic:blipFill rotWithShape="1">
                    <a:blip r:embed="rId98">
                      <a:extLst>
                        <a:ext uri="{28A0092B-C50C-407E-A947-70E740481C1C}">
                          <a14:useLocalDpi xmlns:a14="http://schemas.microsoft.com/office/drawing/2010/main" val="0"/>
                        </a:ext>
                      </a:extLst>
                    </a:blip>
                    <a:srcRect b="4185"/>
                    <a:stretch/>
                  </pic:blipFill>
                  <pic:spPr bwMode="auto">
                    <a:xfrm>
                      <a:off x="0" y="0"/>
                      <a:ext cx="4795217" cy="4389848"/>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78220B" w:rsidRDefault="005D1052" w:rsidP="005D1052">
      <w:pPr>
        <w:pStyle w:val="Caption"/>
        <w:rPr>
          <w:b w:val="0"/>
        </w:rPr>
      </w:pPr>
      <w:bookmarkStart w:id="334" w:name="_Ref312159258"/>
      <w:bookmarkStart w:id="335" w:name="_Toc438590823"/>
      <w:bookmarkStart w:id="336" w:name="_Toc445718829"/>
      <w:r w:rsidRPr="000A3A23">
        <w:t xml:space="preserve">Figure </w:t>
      </w:r>
      <w:fldSimple w:instr=" STYLEREF 1 \s ">
        <w:r w:rsidR="00924C7D">
          <w:rPr>
            <w:noProof/>
          </w:rPr>
          <w:t>4</w:t>
        </w:r>
      </w:fldSimple>
      <w:r>
        <w:noBreakHyphen/>
      </w:r>
      <w:fldSimple w:instr=" SEQ Figure \* ARABIC \s 1 ">
        <w:r w:rsidR="00924C7D">
          <w:rPr>
            <w:noProof/>
          </w:rPr>
          <w:t>7</w:t>
        </w:r>
      </w:fldSimple>
      <w:bookmarkEnd w:id="334"/>
      <w:r>
        <w:rPr>
          <w:noProof/>
        </w:rPr>
        <w:t xml:space="preserve"> </w:t>
      </w:r>
      <w:r w:rsidRPr="0078220B">
        <w:rPr>
          <w:b w:val="0"/>
          <w:noProof/>
        </w:rPr>
        <w:t>a) Representation of a scaffold pore where the flow field is analysed. b) Region observed within the pore in order to asses</w:t>
      </w:r>
      <w:r>
        <w:rPr>
          <w:b w:val="0"/>
          <w:noProof/>
        </w:rPr>
        <w:t>s</w:t>
      </w:r>
      <w:r w:rsidRPr="0078220B">
        <w:rPr>
          <w:b w:val="0"/>
          <w:noProof/>
        </w:rPr>
        <w:t xml:space="preserve"> the fluid flow passing between </w:t>
      </w:r>
      <w:r>
        <w:rPr>
          <w:b w:val="0"/>
          <w:noProof/>
        </w:rPr>
        <w:t xml:space="preserve">the </w:t>
      </w:r>
      <w:r w:rsidRPr="0078220B">
        <w:rPr>
          <w:b w:val="0"/>
          <w:noProof/>
        </w:rPr>
        <w:t>two vertical fibres.</w:t>
      </w:r>
      <w:r>
        <w:rPr>
          <w:b w:val="0"/>
          <w:noProof/>
        </w:rPr>
        <w:t xml:space="preserve"> </w:t>
      </w:r>
      <w:r w:rsidRPr="0078220B">
        <w:rPr>
          <w:b w:val="0"/>
          <w:noProof/>
        </w:rPr>
        <w:t>c) Three planes observed underneath the horizontal fibre within the scaffold pore.</w:t>
      </w:r>
      <w:bookmarkEnd w:id="335"/>
      <w:bookmarkEnd w:id="336"/>
    </w:p>
    <w:p w:rsidR="005D1052" w:rsidRDefault="005D1052" w:rsidP="005D1052">
      <w:r>
        <w:t xml:space="preserve">The velocity of the fluid flow passing between the vertical fibres (see </w:t>
      </w:r>
      <w:r>
        <w:fldChar w:fldCharType="begin"/>
      </w:r>
      <w:r>
        <w:instrText xml:space="preserve"> REF _Ref312159258 \h </w:instrText>
      </w:r>
      <w:r>
        <w:fldChar w:fldCharType="separate"/>
      </w:r>
      <w:r w:rsidR="00924C7D" w:rsidRPr="000A3A23">
        <w:t xml:space="preserve">Figure </w:t>
      </w:r>
      <w:r w:rsidR="00924C7D">
        <w:rPr>
          <w:noProof/>
        </w:rPr>
        <w:t>4</w:t>
      </w:r>
      <w:r w:rsidR="00924C7D">
        <w:noBreakHyphen/>
      </w:r>
      <w:r w:rsidR="00924C7D">
        <w:rPr>
          <w:noProof/>
        </w:rPr>
        <w:t>7</w:t>
      </w:r>
      <w:r>
        <w:fldChar w:fldCharType="end"/>
      </w:r>
      <w:r w:rsidRPr="002C083D">
        <w:t>.b)</w:t>
      </w:r>
      <w:r>
        <w:t xml:space="preserve"> shows maximum values at the centre of the pore and it decreases towards the wall of the fibres as shown in</w:t>
      </w:r>
      <w:r w:rsidRPr="002C083D">
        <w:t xml:space="preserve"> </w:t>
      </w:r>
      <w:r>
        <w:fldChar w:fldCharType="begin"/>
      </w:r>
      <w:r>
        <w:instrText xml:space="preserve"> REF _Ref312159508 \h </w:instrText>
      </w:r>
      <w:r>
        <w:fldChar w:fldCharType="separate"/>
      </w:r>
      <w:r w:rsidR="00924C7D" w:rsidRPr="003D2CB3">
        <w:t xml:space="preserve">Figure </w:t>
      </w:r>
      <w:r w:rsidR="00924C7D">
        <w:rPr>
          <w:noProof/>
        </w:rPr>
        <w:t>4</w:t>
      </w:r>
      <w:r w:rsidR="00924C7D">
        <w:noBreakHyphen/>
      </w:r>
      <w:r w:rsidR="00924C7D">
        <w:rPr>
          <w:noProof/>
        </w:rPr>
        <w:t>8</w:t>
      </w:r>
      <w:r>
        <w:fldChar w:fldCharType="end"/>
      </w:r>
      <w:r>
        <w:t xml:space="preserve">. On the other hand, three different working </w:t>
      </w:r>
      <w:r>
        <w:lastRenderedPageBreak/>
        <w:t xml:space="preserve">planes were set to investigate the velocity gradients when moving down away from the horizontal fibre (see </w:t>
      </w:r>
      <w:r>
        <w:rPr>
          <w:highlight w:val="yellow"/>
        </w:rPr>
        <w:fldChar w:fldCharType="begin"/>
      </w:r>
      <w:r>
        <w:instrText xml:space="preserve"> REF _Ref312159258 \h </w:instrText>
      </w:r>
      <w:r>
        <w:rPr>
          <w:highlight w:val="yellow"/>
        </w:rPr>
      </w:r>
      <w:r>
        <w:rPr>
          <w:highlight w:val="yellow"/>
        </w:rPr>
        <w:fldChar w:fldCharType="separate"/>
      </w:r>
      <w:r w:rsidR="00924C7D" w:rsidRPr="000A3A23">
        <w:t xml:space="preserve">Figure </w:t>
      </w:r>
      <w:r w:rsidR="00924C7D">
        <w:rPr>
          <w:noProof/>
        </w:rPr>
        <w:t>4</w:t>
      </w:r>
      <w:r w:rsidR="00924C7D">
        <w:noBreakHyphen/>
      </w:r>
      <w:r w:rsidR="00924C7D">
        <w:rPr>
          <w:noProof/>
        </w:rPr>
        <w:t>7</w:t>
      </w:r>
      <w:r>
        <w:rPr>
          <w:highlight w:val="yellow"/>
        </w:rPr>
        <w:fldChar w:fldCharType="end"/>
      </w:r>
      <w:r>
        <w:t xml:space="preserve">.c). The measured velocities increase as the distance of the focus plane to the fibre increases. If observing the area inside the pink box shown in </w:t>
      </w:r>
      <w:r>
        <w:rPr>
          <w:highlight w:val="yellow"/>
        </w:rPr>
        <w:fldChar w:fldCharType="begin"/>
      </w:r>
      <w:r>
        <w:instrText xml:space="preserve"> REF _Ref312159529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9</w:t>
      </w:r>
      <w:r>
        <w:rPr>
          <w:highlight w:val="yellow"/>
        </w:rPr>
        <w:fldChar w:fldCharType="end"/>
      </w:r>
      <w:r>
        <w:t>.a, the non-slip wall effect on the fluid velocities is reduced when moving away from the horizontal fibre. Moreover, the velocity maps are closer to the expected continuity as the fluid velocity has to increase</w:t>
      </w:r>
      <w:r w:rsidRPr="005652B4">
        <w:t xml:space="preserve"> </w:t>
      </w:r>
      <w:r>
        <w:t>when</w:t>
      </w:r>
      <w:r w:rsidRPr="005652B4">
        <w:t xml:space="preserve"> it is forced</w:t>
      </w:r>
      <w:r>
        <w:t xml:space="preserve"> to flow through a </w:t>
      </w:r>
      <w:r w:rsidRPr="002C083D">
        <w:t>smaller area (</w:t>
      </w:r>
      <w:r w:rsidRPr="002C083D">
        <w:fldChar w:fldCharType="begin"/>
      </w:r>
      <w:r w:rsidRPr="002C083D">
        <w:instrText xml:space="preserve"> REF _Ref312159529 \h </w:instrText>
      </w:r>
      <w:r w:rsidRPr="002C083D">
        <w:fldChar w:fldCharType="separate"/>
      </w:r>
      <w:r w:rsidR="00924C7D" w:rsidRPr="003D2CB3">
        <w:t xml:space="preserve">Figure </w:t>
      </w:r>
      <w:r w:rsidR="00924C7D">
        <w:rPr>
          <w:noProof/>
        </w:rPr>
        <w:t>4</w:t>
      </w:r>
      <w:r w:rsidR="00924C7D">
        <w:noBreakHyphen/>
      </w:r>
      <w:r w:rsidR="00924C7D">
        <w:rPr>
          <w:noProof/>
        </w:rPr>
        <w:t>9</w:t>
      </w:r>
      <w:r w:rsidRPr="002C083D">
        <w:fldChar w:fldCharType="end"/>
      </w:r>
      <w:r w:rsidRPr="002C083D">
        <w:t xml:space="preserve">.b and </w:t>
      </w:r>
      <w:r>
        <w:fldChar w:fldCharType="begin"/>
      </w:r>
      <w:r>
        <w:instrText xml:space="preserve"> REF _Ref312159529 \h </w:instrText>
      </w:r>
      <w:r>
        <w:fldChar w:fldCharType="separate"/>
      </w:r>
      <w:r w:rsidR="00924C7D" w:rsidRPr="003D2CB3">
        <w:t xml:space="preserve">Figure </w:t>
      </w:r>
      <w:r w:rsidR="00924C7D">
        <w:rPr>
          <w:noProof/>
        </w:rPr>
        <w:t>4</w:t>
      </w:r>
      <w:r w:rsidR="00924C7D">
        <w:noBreakHyphen/>
      </w:r>
      <w:r w:rsidR="00924C7D">
        <w:rPr>
          <w:noProof/>
        </w:rPr>
        <w:t>9</w:t>
      </w:r>
      <w:r>
        <w:fldChar w:fldCharType="end"/>
      </w:r>
      <w:r w:rsidRPr="002C083D">
        <w:t>c).</w:t>
      </w:r>
    </w:p>
    <w:p w:rsidR="005D1052" w:rsidRDefault="005D1052" w:rsidP="005D1052"/>
    <w:p w:rsidR="005D1052" w:rsidRDefault="005D1052" w:rsidP="005D1052">
      <w:pPr>
        <w:spacing w:after="0"/>
        <w:ind w:firstLine="0"/>
        <w:jc w:val="center"/>
      </w:pPr>
      <w:r>
        <w:rPr>
          <w:noProof/>
          <w:lang w:eastAsia="en-GB"/>
        </w:rPr>
        <w:drawing>
          <wp:inline distT="0" distB="0" distL="0" distR="0" wp14:anchorId="7497FF64" wp14:editId="062D95DE">
            <wp:extent cx="2706624" cy="2063613"/>
            <wp:effectExtent l="0" t="0" r="0" b="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99">
                      <a:extLst>
                        <a:ext uri="{28A0092B-C50C-407E-A947-70E740481C1C}">
                          <a14:useLocalDpi xmlns:a14="http://schemas.microsoft.com/office/drawing/2010/main" val="0"/>
                        </a:ext>
                      </a:extLst>
                    </a:blip>
                    <a:stretch>
                      <a:fillRect/>
                    </a:stretch>
                  </pic:blipFill>
                  <pic:spPr>
                    <a:xfrm>
                      <a:off x="0" y="0"/>
                      <a:ext cx="2717280" cy="2071737"/>
                    </a:xfrm>
                    <a:prstGeom prst="rect">
                      <a:avLst/>
                    </a:prstGeom>
                  </pic:spPr>
                </pic:pic>
              </a:graphicData>
            </a:graphic>
          </wp:inline>
        </w:drawing>
      </w:r>
    </w:p>
    <w:p w:rsidR="005D1052" w:rsidRDefault="005D1052" w:rsidP="005D1052">
      <w:pPr>
        <w:pStyle w:val="Caption"/>
        <w:rPr>
          <w:b w:val="0"/>
          <w:noProof/>
        </w:rPr>
      </w:pPr>
      <w:bookmarkStart w:id="337" w:name="_Ref312159508"/>
      <w:bookmarkStart w:id="338" w:name="_Toc438590824"/>
      <w:bookmarkStart w:id="339" w:name="_Toc445718830"/>
      <w:r w:rsidRPr="003D2CB3">
        <w:t xml:space="preserve">Figure </w:t>
      </w:r>
      <w:fldSimple w:instr=" STYLEREF 1 \s ">
        <w:r w:rsidR="00924C7D">
          <w:rPr>
            <w:noProof/>
          </w:rPr>
          <w:t>4</w:t>
        </w:r>
      </w:fldSimple>
      <w:r>
        <w:noBreakHyphen/>
      </w:r>
      <w:fldSimple w:instr=" SEQ Figure \* ARABIC \s 1 ">
        <w:r w:rsidR="00924C7D">
          <w:rPr>
            <w:noProof/>
          </w:rPr>
          <w:t>8</w:t>
        </w:r>
      </w:fldSimple>
      <w:bookmarkEnd w:id="337"/>
      <w:r>
        <w:rPr>
          <w:noProof/>
        </w:rPr>
        <w:t xml:space="preserve"> </w:t>
      </w:r>
      <w:r w:rsidRPr="0078220B">
        <w:rPr>
          <w:b w:val="0"/>
          <w:noProof/>
        </w:rPr>
        <w:t>Velocity map between vertical fibres calculated with µPIV.</w:t>
      </w:r>
      <w:bookmarkEnd w:id="338"/>
      <w:bookmarkEnd w:id="339"/>
    </w:p>
    <w:p w:rsidR="005D1052" w:rsidRPr="0020335A" w:rsidRDefault="005D1052" w:rsidP="005D1052">
      <w:pPr>
        <w:rPr>
          <w:sz w:val="12"/>
        </w:rPr>
      </w:pPr>
    </w:p>
    <w:p w:rsidR="005D1052" w:rsidRDefault="005D1052" w:rsidP="005D1052">
      <w:pPr>
        <w:ind w:firstLine="0"/>
      </w:pPr>
      <w:r>
        <w:rPr>
          <w:noProof/>
          <w:lang w:eastAsia="en-GB"/>
        </w:rPr>
        <w:drawing>
          <wp:inline distT="0" distB="0" distL="0" distR="0" wp14:anchorId="1DDB26EA" wp14:editId="7B709A7F">
            <wp:extent cx="5656037" cy="1921883"/>
            <wp:effectExtent l="0" t="0" r="1905" b="254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png"/>
                    <pic:cNvPicPr/>
                  </pic:nvPicPr>
                  <pic:blipFill rotWithShape="1">
                    <a:blip r:embed="rId100">
                      <a:extLst>
                        <a:ext uri="{28A0092B-C50C-407E-A947-70E740481C1C}">
                          <a14:useLocalDpi xmlns:a14="http://schemas.microsoft.com/office/drawing/2010/main" val="0"/>
                        </a:ext>
                      </a:extLst>
                    </a:blip>
                    <a:srcRect l="1882"/>
                    <a:stretch/>
                  </pic:blipFill>
                  <pic:spPr bwMode="auto">
                    <a:xfrm>
                      <a:off x="0" y="0"/>
                      <a:ext cx="5661965" cy="1923897"/>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78220B" w:rsidRDefault="005D1052" w:rsidP="005D1052">
      <w:pPr>
        <w:pStyle w:val="Caption"/>
        <w:rPr>
          <w:b w:val="0"/>
          <w:noProof/>
        </w:rPr>
      </w:pPr>
      <w:bookmarkStart w:id="340" w:name="_Ref312159529"/>
      <w:bookmarkStart w:id="341" w:name="_Toc438590825"/>
      <w:bookmarkStart w:id="342" w:name="_Toc445718831"/>
      <w:r w:rsidRPr="003D2CB3">
        <w:t xml:space="preserve">Figure </w:t>
      </w:r>
      <w:fldSimple w:instr=" STYLEREF 1 \s ">
        <w:r w:rsidR="00924C7D">
          <w:rPr>
            <w:noProof/>
          </w:rPr>
          <w:t>4</w:t>
        </w:r>
      </w:fldSimple>
      <w:r>
        <w:noBreakHyphen/>
      </w:r>
      <w:fldSimple w:instr=" SEQ Figure \* ARABIC \s 1 ">
        <w:r w:rsidR="00924C7D">
          <w:rPr>
            <w:noProof/>
          </w:rPr>
          <w:t>9</w:t>
        </w:r>
      </w:fldSimple>
      <w:bookmarkEnd w:id="340"/>
      <w:r>
        <w:rPr>
          <w:noProof/>
        </w:rPr>
        <w:t xml:space="preserve"> </w:t>
      </w:r>
      <w:r w:rsidRPr="0078220B">
        <w:rPr>
          <w:b w:val="0"/>
          <w:noProof/>
        </w:rPr>
        <w:t>Velocity vectors from the 1</w:t>
      </w:r>
      <w:r>
        <w:rPr>
          <w:b w:val="0"/>
          <w:noProof/>
          <w:vertAlign w:val="superscript"/>
        </w:rPr>
        <w:t xml:space="preserve">st </w:t>
      </w:r>
      <w:r w:rsidRPr="00115D18">
        <w:rPr>
          <w:b w:val="0"/>
          <w:noProof/>
        </w:rPr>
        <w:t>(a),</w:t>
      </w:r>
      <w:r w:rsidRPr="0078220B">
        <w:rPr>
          <w:b w:val="0"/>
          <w:noProof/>
          <w:vertAlign w:val="superscript"/>
        </w:rPr>
        <w:t xml:space="preserve"> </w:t>
      </w:r>
      <w:r w:rsidRPr="0078220B">
        <w:rPr>
          <w:b w:val="0"/>
          <w:noProof/>
        </w:rPr>
        <w:t>2</w:t>
      </w:r>
      <w:r w:rsidRPr="0078220B">
        <w:rPr>
          <w:b w:val="0"/>
          <w:noProof/>
          <w:vertAlign w:val="superscript"/>
        </w:rPr>
        <w:t>nd</w:t>
      </w:r>
      <w:r w:rsidRPr="0078220B">
        <w:rPr>
          <w:b w:val="0"/>
          <w:noProof/>
        </w:rPr>
        <w:t xml:space="preserve"> (b) and 3</w:t>
      </w:r>
      <w:r w:rsidRPr="0078220B">
        <w:rPr>
          <w:b w:val="0"/>
          <w:noProof/>
          <w:vertAlign w:val="superscript"/>
        </w:rPr>
        <w:t>rd</w:t>
      </w:r>
      <w:r w:rsidRPr="0078220B">
        <w:rPr>
          <w:b w:val="0"/>
          <w:noProof/>
        </w:rPr>
        <w:t xml:space="preserve"> (c) planes underneath the horizontal fibres calculated with µPIV.</w:t>
      </w:r>
      <w:bookmarkEnd w:id="341"/>
      <w:bookmarkEnd w:id="342"/>
    </w:p>
    <w:p w:rsidR="005D1052" w:rsidRPr="008E2D17" w:rsidRDefault="005D1052" w:rsidP="005D1052">
      <w:pPr>
        <w:pStyle w:val="Heading4"/>
      </w:pPr>
      <w:bookmarkStart w:id="343" w:name="_Toc310605622"/>
      <w:bookmarkStart w:id="344" w:name="_Toc310605917"/>
      <w:bookmarkStart w:id="345" w:name="_Toc440823250"/>
      <w:r w:rsidRPr="008E2D17">
        <w:lastRenderedPageBreak/>
        <w:t>Computational results</w:t>
      </w:r>
      <w:bookmarkEnd w:id="343"/>
      <w:bookmarkEnd w:id="344"/>
      <w:bookmarkEnd w:id="345"/>
    </w:p>
    <w:p w:rsidR="005D1052" w:rsidRDefault="005D1052" w:rsidP="005D1052">
      <w:pPr>
        <w:pStyle w:val="Heading5"/>
      </w:pPr>
      <w:bookmarkStart w:id="346" w:name="_Ref312149667"/>
      <w:bookmarkStart w:id="347" w:name="_Toc440823251"/>
      <w:r>
        <w:t>Mesh independence test</w:t>
      </w:r>
      <w:bookmarkEnd w:id="346"/>
      <w:bookmarkEnd w:id="347"/>
    </w:p>
    <w:p w:rsidR="005D1052" w:rsidRDefault="005D1052" w:rsidP="005D1052">
      <w:r>
        <w:t>The study of the effect of the grid size imposed inside the scaffold on the local velocities suggests that a maximum length for the triangular faces of the tetrahedral elements</w:t>
      </w:r>
      <w:r w:rsidRPr="00460623">
        <w:t xml:space="preserve"> </w:t>
      </w:r>
      <w:r w:rsidRPr="00CB695A">
        <w:t xml:space="preserve">of 20 </w:t>
      </w:r>
      <w:r w:rsidRPr="00FE3265">
        <w:t xml:space="preserve">µm provides an accurate solution without compromising the computational cost. The results show that </w:t>
      </w:r>
      <w:r>
        <w:t>when</w:t>
      </w:r>
      <w:r w:rsidRPr="00FE3265">
        <w:t xml:space="preserve"> the length value </w:t>
      </w:r>
      <w:r>
        <w:t xml:space="preserve">is increased </w:t>
      </w:r>
      <w:r w:rsidRPr="00FE3265">
        <w:t>from 20 µm to 30 µm, the velocity</w:t>
      </w:r>
      <w:r>
        <w:t xml:space="preserve"> values from the line shown in </w:t>
      </w:r>
      <w:r>
        <w:rPr>
          <w:highlight w:val="yellow"/>
        </w:rPr>
        <w:fldChar w:fldCharType="begin"/>
      </w:r>
      <w:r>
        <w:instrText xml:space="preserve"> REF _Ref312159625 \h </w:instrText>
      </w:r>
      <w:r>
        <w:rPr>
          <w:highlight w:val="yellow"/>
        </w:rPr>
      </w:r>
      <w:r>
        <w:rPr>
          <w:highlight w:val="yellow"/>
        </w:rPr>
        <w:fldChar w:fldCharType="separate"/>
      </w:r>
      <w:r w:rsidR="00924C7D" w:rsidRPr="00F3436B">
        <w:t xml:space="preserve">Figure </w:t>
      </w:r>
      <w:r w:rsidR="00924C7D">
        <w:rPr>
          <w:noProof/>
        </w:rPr>
        <w:t>4</w:t>
      </w:r>
      <w:r w:rsidR="00924C7D">
        <w:noBreakHyphen/>
      </w:r>
      <w:r w:rsidR="00924C7D">
        <w:rPr>
          <w:noProof/>
        </w:rPr>
        <w:t>10</w:t>
      </w:r>
      <w:r>
        <w:rPr>
          <w:highlight w:val="yellow"/>
        </w:rPr>
        <w:fldChar w:fldCharType="end"/>
      </w:r>
      <w:r>
        <w:t xml:space="preserve"> change up to </w:t>
      </w:r>
      <w:r w:rsidRPr="00CB695A">
        <w:t>15%</w:t>
      </w:r>
      <w:r>
        <w:t xml:space="preserve">; whereas reducing the length down to 10 </w:t>
      </w:r>
      <w:r>
        <w:rPr>
          <w:rFonts w:ascii="Times New Roman" w:hAnsi="Times New Roman" w:cs="Times New Roman"/>
        </w:rPr>
        <w:t>µ</w:t>
      </w:r>
      <w:r>
        <w:t xml:space="preserve">m, they change less than </w:t>
      </w:r>
      <w:r w:rsidRPr="00EF6BE5">
        <w:t>1%</w:t>
      </w:r>
      <w:r>
        <w:t xml:space="preserve"> with the disadvantage of requiring four times the computational time needed for the case </w:t>
      </w:r>
      <w:r w:rsidRPr="00CB695A">
        <w:t xml:space="preserve">of </w:t>
      </w:r>
      <w:r w:rsidRPr="00FE3265">
        <w:t>20 µm</w:t>
      </w:r>
      <w:r>
        <w:t xml:space="preserve"> length (see </w:t>
      </w:r>
      <w:r>
        <w:rPr>
          <w:highlight w:val="yellow"/>
        </w:rPr>
        <w:fldChar w:fldCharType="begin"/>
      </w:r>
      <w:r>
        <w:instrText xml:space="preserve"> REF _Ref312159642 \h </w:instrText>
      </w:r>
      <w:r>
        <w:rPr>
          <w:highlight w:val="yellow"/>
        </w:rPr>
      </w:r>
      <w:r>
        <w:rPr>
          <w:highlight w:val="yellow"/>
        </w:rPr>
        <w:fldChar w:fldCharType="separate"/>
      </w:r>
      <w:r w:rsidR="00924C7D" w:rsidRPr="0091439C">
        <w:t xml:space="preserve">Figure </w:t>
      </w:r>
      <w:r w:rsidR="00924C7D">
        <w:rPr>
          <w:noProof/>
        </w:rPr>
        <w:t>4</w:t>
      </w:r>
      <w:r w:rsidR="00924C7D">
        <w:noBreakHyphen/>
      </w:r>
      <w:r w:rsidR="00924C7D">
        <w:rPr>
          <w:noProof/>
        </w:rPr>
        <w:t>11</w:t>
      </w:r>
      <w:r>
        <w:rPr>
          <w:highlight w:val="yellow"/>
        </w:rPr>
        <w:fldChar w:fldCharType="end"/>
      </w:r>
      <w:r>
        <w:t xml:space="preserve"> and </w:t>
      </w:r>
      <w:r>
        <w:rPr>
          <w:highlight w:val="yellow"/>
        </w:rPr>
        <w:fldChar w:fldCharType="begin"/>
      </w:r>
      <w:r>
        <w:instrText xml:space="preserve"> REF _Ref440624593 \h </w:instrText>
      </w:r>
      <w:r>
        <w:rPr>
          <w:highlight w:val="yellow"/>
        </w:rPr>
      </w:r>
      <w:r>
        <w:rPr>
          <w:highlight w:val="yellow"/>
        </w:rPr>
        <w:fldChar w:fldCharType="separate"/>
      </w:r>
      <w:r w:rsidR="00924C7D" w:rsidRPr="0091439C">
        <w:t xml:space="preserve">Table </w:t>
      </w:r>
      <w:r w:rsidR="00924C7D">
        <w:rPr>
          <w:noProof/>
        </w:rPr>
        <w:t>4</w:t>
      </w:r>
      <w:r w:rsidR="00924C7D">
        <w:noBreakHyphen/>
      </w:r>
      <w:r w:rsidR="00924C7D">
        <w:rPr>
          <w:noProof/>
        </w:rPr>
        <w:t>1</w:t>
      </w:r>
      <w:r>
        <w:rPr>
          <w:highlight w:val="yellow"/>
        </w:rPr>
        <w:fldChar w:fldCharType="end"/>
      </w:r>
      <w:r>
        <w:t>).</w:t>
      </w:r>
    </w:p>
    <w:p w:rsidR="005D1052" w:rsidRPr="005A4C84" w:rsidRDefault="005D1052" w:rsidP="005D1052">
      <w:pPr>
        <w:rPr>
          <w:sz w:val="14"/>
        </w:rPr>
      </w:pPr>
    </w:p>
    <w:p w:rsidR="005D1052" w:rsidRDefault="005D1052" w:rsidP="005D1052">
      <w:pPr>
        <w:keepNext/>
        <w:ind w:firstLine="0"/>
        <w:jc w:val="center"/>
      </w:pPr>
      <w:r>
        <w:rPr>
          <w:noProof/>
          <w:lang w:eastAsia="en-GB"/>
        </w:rPr>
        <w:drawing>
          <wp:inline distT="0" distB="0" distL="0" distR="0" wp14:anchorId="29E402E2" wp14:editId="2B4F5E9C">
            <wp:extent cx="3287910" cy="1727200"/>
            <wp:effectExtent l="0" t="0" r="8255" b="635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1.png"/>
                    <pic:cNvPicPr/>
                  </pic:nvPicPr>
                  <pic:blipFill rotWithShape="1">
                    <a:blip r:embed="rId101" cstate="print">
                      <a:extLst>
                        <a:ext uri="{28A0092B-C50C-407E-A947-70E740481C1C}">
                          <a14:useLocalDpi xmlns:a14="http://schemas.microsoft.com/office/drawing/2010/main" val="0"/>
                        </a:ext>
                      </a:extLst>
                    </a:blip>
                    <a:srcRect t="3259" r="10870" b="3851"/>
                    <a:stretch/>
                  </pic:blipFill>
                  <pic:spPr bwMode="auto">
                    <a:xfrm>
                      <a:off x="0" y="0"/>
                      <a:ext cx="3300262" cy="1733689"/>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rPr>
      </w:pPr>
      <w:bookmarkStart w:id="348" w:name="_Ref312159625"/>
      <w:bookmarkStart w:id="349" w:name="_Toc438590826"/>
      <w:bookmarkStart w:id="350" w:name="_Toc445718832"/>
      <w:r w:rsidRPr="00F3436B">
        <w:t xml:space="preserve">Figure </w:t>
      </w:r>
      <w:fldSimple w:instr=" STYLEREF 1 \s ">
        <w:r w:rsidR="00924C7D">
          <w:rPr>
            <w:noProof/>
          </w:rPr>
          <w:t>4</w:t>
        </w:r>
      </w:fldSimple>
      <w:r>
        <w:noBreakHyphen/>
      </w:r>
      <w:fldSimple w:instr=" SEQ Figure \* ARABIC \s 1 ">
        <w:r w:rsidR="00924C7D">
          <w:rPr>
            <w:noProof/>
          </w:rPr>
          <w:t>10</w:t>
        </w:r>
      </w:fldSimple>
      <w:bookmarkEnd w:id="348"/>
      <w:r>
        <w:t xml:space="preserve"> </w:t>
      </w:r>
      <w:r w:rsidRPr="0078220B">
        <w:rPr>
          <w:b w:val="0"/>
        </w:rPr>
        <w:t xml:space="preserve">Line 1 is where the velocity values </w:t>
      </w:r>
      <w:r>
        <w:rPr>
          <w:b w:val="0"/>
        </w:rPr>
        <w:t>were</w:t>
      </w:r>
      <w:r w:rsidRPr="0078220B">
        <w:rPr>
          <w:b w:val="0"/>
        </w:rPr>
        <w:t xml:space="preserve"> extracted in order to analyse the effect of </w:t>
      </w:r>
      <w:r>
        <w:rPr>
          <w:b w:val="0"/>
        </w:rPr>
        <w:t xml:space="preserve">the </w:t>
      </w:r>
      <w:r w:rsidRPr="0078220B">
        <w:rPr>
          <w:b w:val="0"/>
        </w:rPr>
        <w:t>grid size imposed inside the scaffold on velocity values at the scaffold pores.</w:t>
      </w:r>
      <w:bookmarkEnd w:id="349"/>
      <w:bookmarkEnd w:id="350"/>
    </w:p>
    <w:p w:rsidR="005D1052" w:rsidRPr="005A4C84" w:rsidRDefault="005D1052" w:rsidP="005D1052">
      <w:pPr>
        <w:rPr>
          <w:sz w:val="14"/>
        </w:rPr>
      </w:pPr>
    </w:p>
    <w:p w:rsidR="005D1052" w:rsidRDefault="005D1052" w:rsidP="005D1052">
      <w:pPr>
        <w:keepNext/>
        <w:spacing w:after="0"/>
        <w:ind w:firstLine="0"/>
        <w:jc w:val="center"/>
      </w:pPr>
      <w:r>
        <w:rPr>
          <w:noProof/>
          <w:lang w:eastAsia="en-GB"/>
        </w:rPr>
        <w:drawing>
          <wp:inline distT="0" distB="0" distL="0" distR="0" wp14:anchorId="1EED5D97" wp14:editId="132C384F">
            <wp:extent cx="4710085" cy="1268660"/>
            <wp:effectExtent l="0" t="0" r="0" b="825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4710085" cy="1268660"/>
                    </a:xfrm>
                    <a:prstGeom prst="rect">
                      <a:avLst/>
                    </a:prstGeom>
                    <a:noFill/>
                  </pic:spPr>
                </pic:pic>
              </a:graphicData>
            </a:graphic>
          </wp:inline>
        </w:drawing>
      </w:r>
    </w:p>
    <w:p w:rsidR="005D1052" w:rsidRPr="008C5B56" w:rsidRDefault="005D1052" w:rsidP="005D1052">
      <w:pPr>
        <w:pStyle w:val="Caption"/>
        <w:rPr>
          <w:b w:val="0"/>
        </w:rPr>
      </w:pPr>
      <w:bookmarkStart w:id="351" w:name="_Ref440624593"/>
      <w:bookmarkStart w:id="352" w:name="_Toc440822956"/>
      <w:r w:rsidRPr="0091439C">
        <w:t xml:space="preserve">Table </w:t>
      </w:r>
      <w:fldSimple w:instr=" STYLEREF 1 \s ">
        <w:r w:rsidR="00924C7D">
          <w:rPr>
            <w:noProof/>
          </w:rPr>
          <w:t>4</w:t>
        </w:r>
      </w:fldSimple>
      <w:r>
        <w:noBreakHyphen/>
      </w:r>
      <w:fldSimple w:instr=" SEQ Table \* ARABIC \s 1 ">
        <w:r w:rsidR="00924C7D">
          <w:rPr>
            <w:noProof/>
          </w:rPr>
          <w:t>1</w:t>
        </w:r>
      </w:fldSimple>
      <w:bookmarkEnd w:id="351"/>
      <w:r>
        <w:rPr>
          <w:noProof/>
        </w:rPr>
        <w:t xml:space="preserve"> </w:t>
      </w:r>
      <w:r w:rsidRPr="008C5B56">
        <w:rPr>
          <w:b w:val="0"/>
          <w:noProof/>
        </w:rPr>
        <w:t>Number of mesh elements and computational time for the three element sizes investigated inside the scaffold.</w:t>
      </w:r>
      <w:bookmarkEnd w:id="352"/>
    </w:p>
    <w:p w:rsidR="005D1052" w:rsidRDefault="005D1052" w:rsidP="005D1052">
      <w:pPr>
        <w:keepNext/>
        <w:spacing w:after="0"/>
        <w:ind w:firstLine="0"/>
      </w:pPr>
      <w:r>
        <w:rPr>
          <w:noProof/>
          <w:lang w:eastAsia="en-GB"/>
        </w:rPr>
        <w:lastRenderedPageBreak/>
        <w:drawing>
          <wp:inline distT="0" distB="0" distL="0" distR="0" wp14:anchorId="2278E8FF" wp14:editId="138F3E41">
            <wp:extent cx="5418666" cy="18376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h.png"/>
                    <pic:cNvPicPr/>
                  </pic:nvPicPr>
                  <pic:blipFill rotWithShape="1">
                    <a:blip r:embed="rId103">
                      <a:extLst>
                        <a:ext uri="{28A0092B-C50C-407E-A947-70E740481C1C}">
                          <a14:useLocalDpi xmlns:a14="http://schemas.microsoft.com/office/drawing/2010/main" val="0"/>
                        </a:ext>
                      </a:extLst>
                    </a:blip>
                    <a:srcRect l="1235"/>
                    <a:stretch/>
                  </pic:blipFill>
                  <pic:spPr bwMode="auto">
                    <a:xfrm>
                      <a:off x="0" y="0"/>
                      <a:ext cx="5430634" cy="1841707"/>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noProof/>
        </w:rPr>
      </w:pPr>
      <w:bookmarkStart w:id="353" w:name="_Ref312159642"/>
      <w:bookmarkStart w:id="354" w:name="_Toc438590827"/>
      <w:bookmarkStart w:id="355" w:name="_Toc445718833"/>
      <w:r w:rsidRPr="0091439C">
        <w:t xml:space="preserve">Figure </w:t>
      </w:r>
      <w:fldSimple w:instr=" STYLEREF 1 \s ">
        <w:r w:rsidR="00924C7D">
          <w:rPr>
            <w:noProof/>
          </w:rPr>
          <w:t>4</w:t>
        </w:r>
      </w:fldSimple>
      <w:r>
        <w:noBreakHyphen/>
      </w:r>
      <w:fldSimple w:instr=" SEQ Figure \* ARABIC \s 1 ">
        <w:r w:rsidR="00924C7D">
          <w:rPr>
            <w:noProof/>
          </w:rPr>
          <w:t>11</w:t>
        </w:r>
      </w:fldSimple>
      <w:bookmarkEnd w:id="353"/>
      <w:r>
        <w:rPr>
          <w:noProof/>
        </w:rPr>
        <w:t xml:space="preserve"> </w:t>
      </w:r>
      <w:r>
        <w:rPr>
          <w:b w:val="0"/>
          <w:noProof/>
        </w:rPr>
        <w:t>Velocity values extracted from</w:t>
      </w:r>
      <w:r w:rsidRPr="0078220B">
        <w:rPr>
          <w:b w:val="0"/>
          <w:noProof/>
        </w:rPr>
        <w:t xml:space="preserve"> line 1 </w:t>
      </w:r>
      <w:r w:rsidRPr="005A4C84">
        <w:rPr>
          <w:b w:val="0"/>
          <w:noProof/>
        </w:rPr>
        <w:t xml:space="preserve">shown in </w:t>
      </w:r>
      <w:r w:rsidRPr="005A4C84">
        <w:rPr>
          <w:b w:val="0"/>
          <w:noProof/>
        </w:rPr>
        <w:fldChar w:fldCharType="begin"/>
      </w:r>
      <w:r w:rsidRPr="005A4C84">
        <w:rPr>
          <w:b w:val="0"/>
          <w:noProof/>
        </w:rPr>
        <w:instrText xml:space="preserve"> REF _Ref312159625 \h  \* MERGEFORMAT </w:instrText>
      </w:r>
      <w:r w:rsidRPr="005A4C84">
        <w:rPr>
          <w:b w:val="0"/>
          <w:noProof/>
        </w:rPr>
      </w:r>
      <w:r w:rsidRPr="005A4C84">
        <w:rPr>
          <w:b w:val="0"/>
          <w:noProof/>
        </w:rPr>
        <w:fldChar w:fldCharType="separate"/>
      </w:r>
      <w:r w:rsidR="00924C7D" w:rsidRPr="00924C7D">
        <w:rPr>
          <w:b w:val="0"/>
        </w:rPr>
        <w:t xml:space="preserve">Figure </w:t>
      </w:r>
      <w:r w:rsidR="00924C7D" w:rsidRPr="00924C7D">
        <w:rPr>
          <w:b w:val="0"/>
          <w:noProof/>
        </w:rPr>
        <w:t>4</w:t>
      </w:r>
      <w:r w:rsidR="00924C7D" w:rsidRPr="00924C7D">
        <w:rPr>
          <w:b w:val="0"/>
          <w:noProof/>
        </w:rPr>
        <w:noBreakHyphen/>
        <w:t>10</w:t>
      </w:r>
      <w:r w:rsidRPr="005A4C84">
        <w:rPr>
          <w:b w:val="0"/>
          <w:noProof/>
        </w:rPr>
        <w:fldChar w:fldCharType="end"/>
      </w:r>
      <w:r>
        <w:rPr>
          <w:b w:val="0"/>
          <w:noProof/>
        </w:rPr>
        <w:t xml:space="preserve"> </w:t>
      </w:r>
      <w:r w:rsidRPr="005A4C84">
        <w:rPr>
          <w:b w:val="0"/>
          <w:noProof/>
        </w:rPr>
        <w:t>from three</w:t>
      </w:r>
      <w:r w:rsidRPr="0078220B">
        <w:rPr>
          <w:b w:val="0"/>
          <w:noProof/>
        </w:rPr>
        <w:t xml:space="preserve"> different meshes with imposed element size inside the scaffold of 30, 20 and 10 µm.</w:t>
      </w:r>
      <w:bookmarkEnd w:id="354"/>
      <w:bookmarkEnd w:id="355"/>
    </w:p>
    <w:p w:rsidR="005D1052" w:rsidRDefault="005D1052" w:rsidP="005D1052">
      <w:pPr>
        <w:keepNext/>
      </w:pPr>
      <w:r>
        <w:rPr>
          <w:noProof/>
          <w:lang w:eastAsia="en-GB"/>
        </w:rPr>
        <w:drawing>
          <wp:inline distT="0" distB="0" distL="0" distR="0" wp14:anchorId="7953FF41" wp14:editId="267450EF">
            <wp:extent cx="4705735" cy="2274147"/>
            <wp:effectExtent l="0" t="0" r="0" b="12065"/>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2.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721375" cy="2281705"/>
                    </a:xfrm>
                    <a:prstGeom prst="rect">
                      <a:avLst/>
                    </a:prstGeom>
                  </pic:spPr>
                </pic:pic>
              </a:graphicData>
            </a:graphic>
          </wp:inline>
        </w:drawing>
      </w:r>
    </w:p>
    <w:p w:rsidR="005D1052" w:rsidRDefault="005D1052" w:rsidP="005D1052">
      <w:pPr>
        <w:pStyle w:val="Caption"/>
        <w:rPr>
          <w:b w:val="0"/>
        </w:rPr>
      </w:pPr>
      <w:bookmarkStart w:id="356" w:name="_Ref440807680"/>
      <w:bookmarkStart w:id="357" w:name="_Toc438590828"/>
      <w:bookmarkStart w:id="358" w:name="_Toc445718834"/>
      <w:r w:rsidRPr="006A6282">
        <w:t xml:space="preserve">Figure </w:t>
      </w:r>
      <w:fldSimple w:instr=" STYLEREF 1 \s ">
        <w:r w:rsidR="00924C7D">
          <w:rPr>
            <w:noProof/>
          </w:rPr>
          <w:t>4</w:t>
        </w:r>
      </w:fldSimple>
      <w:r>
        <w:noBreakHyphen/>
      </w:r>
      <w:fldSimple w:instr=" SEQ Figure \* ARABIC \s 1 ">
        <w:r w:rsidR="00924C7D">
          <w:rPr>
            <w:noProof/>
          </w:rPr>
          <w:t>12</w:t>
        </w:r>
      </w:fldSimple>
      <w:bookmarkEnd w:id="356"/>
      <w:r>
        <w:t xml:space="preserve"> </w:t>
      </w:r>
      <w:r w:rsidRPr="0078220B">
        <w:rPr>
          <w:b w:val="0"/>
        </w:rPr>
        <w:t xml:space="preserve">Line 2 is where the velocity values </w:t>
      </w:r>
      <w:r>
        <w:rPr>
          <w:b w:val="0"/>
        </w:rPr>
        <w:t>were</w:t>
      </w:r>
      <w:r w:rsidRPr="0078220B">
        <w:rPr>
          <w:b w:val="0"/>
        </w:rPr>
        <w:t xml:space="preserve"> extracted in order to analyse the effect of the maximum element size imposed outside the scaffold on the fluid velocities.</w:t>
      </w:r>
      <w:bookmarkEnd w:id="357"/>
      <w:bookmarkEnd w:id="358"/>
    </w:p>
    <w:p w:rsidR="005D1052" w:rsidRDefault="005D1052" w:rsidP="005D1052">
      <w:r>
        <w:t xml:space="preserve">Once the optimal element size inside the scaffold is determined, the effect of the mesh element size outside the scaffold on the local fluid dynamics at the scaffold region needs also to be investigated. Three meshes with maximum edge lengths of 1, 0.1 and 0.05 mm outside the scaffold were generated, while maintaining the maximum edge length inside the scaffold as </w:t>
      </w:r>
      <w:r w:rsidRPr="00D035CA">
        <w:t xml:space="preserve">20 </w:t>
      </w:r>
      <w:r w:rsidRPr="00D035CA">
        <w:rPr>
          <w:rFonts w:ascii="Times New Roman" w:hAnsi="Times New Roman" w:cs="Times New Roman"/>
        </w:rPr>
        <w:t>µ</w:t>
      </w:r>
      <w:r w:rsidRPr="00D035CA">
        <w:t>m</w:t>
      </w:r>
      <w:r>
        <w:t xml:space="preserve">. As a result, all meshes provide maximum edge length ratios around 5. As </w:t>
      </w:r>
      <w:r w:rsidRPr="008312B5">
        <w:t xml:space="preserve">mentioned in </w:t>
      </w:r>
      <w:r>
        <w:t xml:space="preserve">section </w:t>
      </w:r>
      <w:r>
        <w:fldChar w:fldCharType="begin"/>
      </w:r>
      <w:r>
        <w:instrText xml:space="preserve"> REF _Ref312159692 \r \h </w:instrText>
      </w:r>
      <w:r>
        <w:fldChar w:fldCharType="separate"/>
      </w:r>
      <w:r w:rsidR="00924C7D">
        <w:t>3.2.1.5</w:t>
      </w:r>
      <w:r>
        <w:fldChar w:fldCharType="end"/>
      </w:r>
      <w:r w:rsidRPr="008312B5">
        <w:t>, this is due to</w:t>
      </w:r>
      <w:r>
        <w:t xml:space="preserve"> the fact that the robust octree meshing method regulates the aspect ratio between adjacent elements, thereby </w:t>
      </w:r>
      <w:r>
        <w:lastRenderedPageBreak/>
        <w:t xml:space="preserve">smoothing the mesh when approaching the scaffold surface where smaller elements are imposed. The difference between these meshes in terms of velocity values at the scaffold pores is less </w:t>
      </w:r>
      <w:r w:rsidRPr="008C5B56">
        <w:t xml:space="preserve">than 1 % (see </w:t>
      </w:r>
      <w:r>
        <w:fldChar w:fldCharType="begin"/>
      </w:r>
      <w:r>
        <w:instrText xml:space="preserve"> REF _Ref312159927 \h </w:instrText>
      </w:r>
      <w:r>
        <w:fldChar w:fldCharType="separate"/>
      </w:r>
      <w:r w:rsidR="00924C7D" w:rsidRPr="0091439C">
        <w:t xml:space="preserve">Figure </w:t>
      </w:r>
      <w:r w:rsidR="00924C7D">
        <w:rPr>
          <w:noProof/>
        </w:rPr>
        <w:t>4</w:t>
      </w:r>
      <w:r w:rsidR="00924C7D">
        <w:noBreakHyphen/>
      </w:r>
      <w:r w:rsidR="00924C7D">
        <w:rPr>
          <w:noProof/>
        </w:rPr>
        <w:t>13</w:t>
      </w:r>
      <w:r>
        <w:fldChar w:fldCharType="end"/>
      </w:r>
      <w:r w:rsidRPr="008C5B56">
        <w:t>).</w:t>
      </w:r>
      <w:r>
        <w:t xml:space="preserve"> However, outside the scaffold (see </w:t>
      </w:r>
      <w:r>
        <w:rPr>
          <w:highlight w:val="yellow"/>
        </w:rPr>
        <w:fldChar w:fldCharType="begin"/>
      </w:r>
      <w:r>
        <w:instrText xml:space="preserve"> REF _Ref440807680 \h </w:instrText>
      </w:r>
      <w:r>
        <w:rPr>
          <w:highlight w:val="yellow"/>
        </w:rPr>
      </w:r>
      <w:r>
        <w:rPr>
          <w:highlight w:val="yellow"/>
        </w:rPr>
        <w:fldChar w:fldCharType="separate"/>
      </w:r>
      <w:r w:rsidR="00924C7D" w:rsidRPr="006A6282">
        <w:t xml:space="preserve">Figure </w:t>
      </w:r>
      <w:r w:rsidR="00924C7D">
        <w:rPr>
          <w:noProof/>
        </w:rPr>
        <w:t>4</w:t>
      </w:r>
      <w:r w:rsidR="00924C7D">
        <w:noBreakHyphen/>
      </w:r>
      <w:r w:rsidR="00924C7D">
        <w:rPr>
          <w:noProof/>
        </w:rPr>
        <w:t>12</w:t>
      </w:r>
      <w:r>
        <w:rPr>
          <w:highlight w:val="yellow"/>
        </w:rPr>
        <w:fldChar w:fldCharType="end"/>
      </w:r>
      <w:r>
        <w:t xml:space="preserve"> and 4-14) the mesh with maximum global element length of 1 mm shows up to </w:t>
      </w:r>
      <w:r w:rsidRPr="000C1E49">
        <w:t>27 %</w:t>
      </w:r>
      <w:r>
        <w:t xml:space="preserve"> difference with respect to the other two. For the two cases of 0.1 and 0.05 mm the fluid flow is developed and at the centreline of the channel the fluid flow reaches the expected maximum velocity of 1.8 mm/s, as explained in </w:t>
      </w:r>
      <w:r w:rsidRPr="008C5B56">
        <w:t xml:space="preserve">section </w:t>
      </w:r>
      <w:r>
        <w:fldChar w:fldCharType="begin"/>
      </w:r>
      <w:r>
        <w:instrText xml:space="preserve"> REF _Ref312110908 \r \h </w:instrText>
      </w:r>
      <w:r>
        <w:fldChar w:fldCharType="separate"/>
      </w:r>
      <w:r w:rsidR="00924C7D">
        <w:t>4.3.1.1.1</w:t>
      </w:r>
      <w:r>
        <w:fldChar w:fldCharType="end"/>
      </w:r>
      <w:r w:rsidRPr="008C5B56">
        <w:t>.</w:t>
      </w:r>
      <w:r>
        <w:t xml:space="preserve"> The final edge length selected outside the scaffold was 0.1 mm which results in a mesh that can provide the same results as if using 0.05 mm edge length but performing more</w:t>
      </w:r>
      <w:r w:rsidRPr="00304B05">
        <w:t xml:space="preserve"> effectively</w:t>
      </w:r>
      <w:r>
        <w:rPr>
          <w:b/>
        </w:rPr>
        <w:t xml:space="preserve"> </w:t>
      </w:r>
      <w:r w:rsidRPr="00304B05">
        <w:t>in the computational</w:t>
      </w:r>
      <w:r>
        <w:t xml:space="preserve"> simulations, as shown in </w:t>
      </w:r>
      <w:r>
        <w:rPr>
          <w:highlight w:val="yellow"/>
        </w:rPr>
        <w:fldChar w:fldCharType="begin"/>
      </w:r>
      <w:r>
        <w:instrText xml:space="preserve"> REF _Ref312159740 \h </w:instrText>
      </w:r>
      <w:r>
        <w:rPr>
          <w:highlight w:val="yellow"/>
        </w:rPr>
      </w:r>
      <w:r>
        <w:rPr>
          <w:highlight w:val="yellow"/>
        </w:rPr>
        <w:fldChar w:fldCharType="separate"/>
      </w:r>
      <w:r w:rsidR="00924C7D" w:rsidRPr="00063EB8">
        <w:t xml:space="preserve">Table </w:t>
      </w:r>
      <w:r w:rsidR="00924C7D">
        <w:rPr>
          <w:noProof/>
        </w:rPr>
        <w:t>4</w:t>
      </w:r>
      <w:r w:rsidR="00924C7D">
        <w:noBreakHyphen/>
      </w:r>
      <w:r w:rsidR="00924C7D">
        <w:rPr>
          <w:noProof/>
        </w:rPr>
        <w:t>2</w:t>
      </w:r>
      <w:r>
        <w:rPr>
          <w:highlight w:val="yellow"/>
        </w:rPr>
        <w:fldChar w:fldCharType="end"/>
      </w:r>
      <w:r w:rsidRPr="00304B05">
        <w:t xml:space="preserve">. </w:t>
      </w:r>
    </w:p>
    <w:p w:rsidR="005D1052" w:rsidRDefault="005D1052" w:rsidP="005D1052"/>
    <w:p w:rsidR="005D1052" w:rsidRDefault="005D1052" w:rsidP="005D1052">
      <w:pPr>
        <w:pStyle w:val="Caption"/>
        <w:spacing w:after="240"/>
      </w:pPr>
      <w:r>
        <w:rPr>
          <w:noProof/>
          <w:lang w:eastAsia="en-GB"/>
        </w:rPr>
        <w:drawing>
          <wp:inline distT="0" distB="0" distL="0" distR="0" wp14:anchorId="57519F17" wp14:editId="71510D05">
            <wp:extent cx="5178980" cy="1666240"/>
            <wp:effectExtent l="0" t="0" r="3175"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h1.png"/>
                    <pic:cNvPicPr/>
                  </pic:nvPicPr>
                  <pic:blipFill rotWithShape="1">
                    <a:blip r:embed="rId105">
                      <a:extLst>
                        <a:ext uri="{28A0092B-C50C-407E-A947-70E740481C1C}">
                          <a14:useLocalDpi xmlns:a14="http://schemas.microsoft.com/office/drawing/2010/main" val="0"/>
                        </a:ext>
                      </a:extLst>
                    </a:blip>
                    <a:srcRect l="1311"/>
                    <a:stretch/>
                  </pic:blipFill>
                  <pic:spPr bwMode="auto">
                    <a:xfrm>
                      <a:off x="0" y="0"/>
                      <a:ext cx="5193755" cy="1670993"/>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noProof/>
        </w:rPr>
      </w:pPr>
      <w:bookmarkStart w:id="359" w:name="_Ref312159927"/>
      <w:bookmarkStart w:id="360" w:name="_Toc438590829"/>
      <w:bookmarkStart w:id="361" w:name="_Toc445718835"/>
      <w:r w:rsidRPr="0091439C">
        <w:t xml:space="preserve">Figure </w:t>
      </w:r>
      <w:fldSimple w:instr=" STYLEREF 1 \s ">
        <w:r w:rsidR="00924C7D">
          <w:rPr>
            <w:noProof/>
          </w:rPr>
          <w:t>4</w:t>
        </w:r>
      </w:fldSimple>
      <w:r>
        <w:noBreakHyphen/>
      </w:r>
      <w:fldSimple w:instr=" SEQ Figure \* ARABIC \s 1 ">
        <w:r w:rsidR="00924C7D">
          <w:rPr>
            <w:noProof/>
          </w:rPr>
          <w:t>13</w:t>
        </w:r>
      </w:fldSimple>
      <w:bookmarkEnd w:id="359"/>
      <w:r>
        <w:rPr>
          <w:noProof/>
        </w:rPr>
        <w:t xml:space="preserve"> </w:t>
      </w:r>
      <w:r w:rsidRPr="0078220B">
        <w:rPr>
          <w:b w:val="0"/>
          <w:noProof/>
        </w:rPr>
        <w:t>Velocity values extracted from the line 1 from three different meshes with element sizes outside the scaffold of 1, 0.1 and 0.05 mm.</w:t>
      </w:r>
      <w:bookmarkEnd w:id="360"/>
      <w:bookmarkEnd w:id="361"/>
    </w:p>
    <w:p w:rsidR="005D1052" w:rsidRDefault="005D1052" w:rsidP="005D1052">
      <w:pPr>
        <w:keepNext/>
        <w:ind w:firstLine="0"/>
        <w:jc w:val="center"/>
      </w:pPr>
      <w:r>
        <w:rPr>
          <w:noProof/>
          <w:lang w:eastAsia="en-GB"/>
        </w:rPr>
        <w:drawing>
          <wp:inline distT="0" distB="0" distL="0" distR="0" wp14:anchorId="4D6D6696" wp14:editId="79056660">
            <wp:extent cx="4420587" cy="1238586"/>
            <wp:effectExtent l="0" t="0" r="0"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4420587" cy="1238586"/>
                    </a:xfrm>
                    <a:prstGeom prst="rect">
                      <a:avLst/>
                    </a:prstGeom>
                    <a:noFill/>
                  </pic:spPr>
                </pic:pic>
              </a:graphicData>
            </a:graphic>
          </wp:inline>
        </w:drawing>
      </w:r>
    </w:p>
    <w:p w:rsidR="005D1052" w:rsidRPr="0078220B" w:rsidRDefault="005D1052" w:rsidP="005D1052">
      <w:pPr>
        <w:pStyle w:val="Caption"/>
        <w:rPr>
          <w:b w:val="0"/>
        </w:rPr>
      </w:pPr>
      <w:bookmarkStart w:id="362" w:name="_Ref312159740"/>
      <w:bookmarkStart w:id="363" w:name="_Toc440822957"/>
      <w:r w:rsidRPr="00063EB8">
        <w:t xml:space="preserve">Table </w:t>
      </w:r>
      <w:fldSimple w:instr=" STYLEREF 1 \s ">
        <w:r w:rsidR="00924C7D">
          <w:rPr>
            <w:noProof/>
          </w:rPr>
          <w:t>4</w:t>
        </w:r>
      </w:fldSimple>
      <w:r>
        <w:noBreakHyphen/>
      </w:r>
      <w:fldSimple w:instr=" SEQ Table \* ARABIC \s 1 ">
        <w:r w:rsidR="00924C7D">
          <w:rPr>
            <w:noProof/>
          </w:rPr>
          <w:t>2</w:t>
        </w:r>
      </w:fldSimple>
      <w:bookmarkEnd w:id="362"/>
      <w:r>
        <w:rPr>
          <w:noProof/>
        </w:rPr>
        <w:t xml:space="preserve"> </w:t>
      </w:r>
      <w:r w:rsidRPr="0078220B">
        <w:rPr>
          <w:b w:val="0"/>
          <w:noProof/>
        </w:rPr>
        <w:t>Number of mesh elements and computational time for the three element sizes investigated outside the scaffold.</w:t>
      </w:r>
      <w:bookmarkEnd w:id="363"/>
    </w:p>
    <w:p w:rsidR="005D1052" w:rsidRDefault="005D1052" w:rsidP="005D1052">
      <w:pPr>
        <w:keepNext/>
        <w:spacing w:after="240"/>
        <w:ind w:firstLine="0"/>
      </w:pPr>
      <w:r>
        <w:rPr>
          <w:noProof/>
          <w:lang w:eastAsia="en-GB"/>
        </w:rPr>
        <w:lastRenderedPageBreak/>
        <w:drawing>
          <wp:inline distT="0" distB="0" distL="0" distR="0" wp14:anchorId="5F356191" wp14:editId="1DECD8B6">
            <wp:extent cx="5448300" cy="1686887"/>
            <wp:effectExtent l="0" t="0" r="0" b="889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nellline.png"/>
                    <pic:cNvPicPr/>
                  </pic:nvPicPr>
                  <pic:blipFill>
                    <a:blip r:embed="rId107">
                      <a:extLst>
                        <a:ext uri="{28A0092B-C50C-407E-A947-70E740481C1C}">
                          <a14:useLocalDpi xmlns:a14="http://schemas.microsoft.com/office/drawing/2010/main" val="0"/>
                        </a:ext>
                      </a:extLst>
                    </a:blip>
                    <a:stretch>
                      <a:fillRect/>
                    </a:stretch>
                  </pic:blipFill>
                  <pic:spPr>
                    <a:xfrm>
                      <a:off x="0" y="0"/>
                      <a:ext cx="5463648" cy="1691639"/>
                    </a:xfrm>
                    <a:prstGeom prst="rect">
                      <a:avLst/>
                    </a:prstGeom>
                  </pic:spPr>
                </pic:pic>
              </a:graphicData>
            </a:graphic>
          </wp:inline>
        </w:drawing>
      </w:r>
    </w:p>
    <w:p w:rsidR="005D1052" w:rsidRDefault="005D1052" w:rsidP="005D1052">
      <w:pPr>
        <w:pStyle w:val="Caption"/>
        <w:rPr>
          <w:b w:val="0"/>
          <w:noProof/>
        </w:rPr>
      </w:pPr>
      <w:bookmarkStart w:id="364" w:name="_Ref312159941"/>
      <w:bookmarkStart w:id="365" w:name="_Toc438590830"/>
      <w:bookmarkStart w:id="366" w:name="_Toc445718836"/>
      <w:r w:rsidRPr="0091439C">
        <w:t xml:space="preserve">Figure </w:t>
      </w:r>
      <w:fldSimple w:instr=" STYLEREF 1 \s ">
        <w:r w:rsidR="00924C7D">
          <w:rPr>
            <w:noProof/>
          </w:rPr>
          <w:t>4</w:t>
        </w:r>
      </w:fldSimple>
      <w:r>
        <w:noBreakHyphen/>
      </w:r>
      <w:fldSimple w:instr=" SEQ Figure \* ARABIC \s 1 ">
        <w:r w:rsidR="00924C7D">
          <w:rPr>
            <w:noProof/>
          </w:rPr>
          <w:t>14</w:t>
        </w:r>
      </w:fldSimple>
      <w:bookmarkEnd w:id="364"/>
      <w:r>
        <w:t xml:space="preserve"> </w:t>
      </w:r>
      <w:r w:rsidRPr="0078220B">
        <w:rPr>
          <w:b w:val="0"/>
        </w:rPr>
        <w:t xml:space="preserve">Velocity values extracted from the centreline of the channel that goes from the inlet (0 mm) to the outlet (40 mm) passing through the scaffold (19-21 mm) </w:t>
      </w:r>
      <w:r w:rsidRPr="0078220B">
        <w:rPr>
          <w:b w:val="0"/>
          <w:noProof/>
        </w:rPr>
        <w:t>from three different meshes with element sizes outside the scaffold of 1, 0.1 and 0.05 mm.</w:t>
      </w:r>
      <w:bookmarkEnd w:id="365"/>
      <w:bookmarkEnd w:id="366"/>
    </w:p>
    <w:p w:rsidR="005D1052" w:rsidRDefault="005D1052" w:rsidP="005D1052">
      <w:pPr>
        <w:pStyle w:val="Heading5"/>
      </w:pPr>
      <w:bookmarkStart w:id="367" w:name="_Ref312158954"/>
      <w:bookmarkStart w:id="368" w:name="_Toc440823252"/>
      <w:r>
        <w:t>Computational model benchmark</w:t>
      </w:r>
      <w:bookmarkEnd w:id="367"/>
      <w:bookmarkEnd w:id="368"/>
    </w:p>
    <w:p w:rsidR="005D1052" w:rsidRDefault="005D1052" w:rsidP="005D1052">
      <w:r>
        <w:t>Serial and parallel simulations were compared to resolve the CFD model that requires a m</w:t>
      </w:r>
      <w:r w:rsidRPr="00E54082">
        <w:t>aximum v</w:t>
      </w:r>
      <w:r>
        <w:t xml:space="preserve">irtual </w:t>
      </w:r>
      <w:r w:rsidRPr="00E54082">
        <w:t xml:space="preserve">memory </w:t>
      </w:r>
      <w:r>
        <w:t>of</w:t>
      </w:r>
      <w:r w:rsidRPr="00E54082">
        <w:t xml:space="preserve"> </w:t>
      </w:r>
      <w:r w:rsidRPr="000B3466">
        <w:t>13 GB</w:t>
      </w:r>
      <w:r>
        <w:t xml:space="preserve">. Partitions in 2, 4 and 8 cores were carried out. It can be observed that the computing time is reduced until 4 partitions as shown in </w:t>
      </w:r>
      <w:r>
        <w:rPr>
          <w:highlight w:val="yellow"/>
        </w:rPr>
        <w:fldChar w:fldCharType="begin"/>
      </w:r>
      <w:r>
        <w:instrText xml:space="preserve"> REF _Ref312160165 \h </w:instrText>
      </w:r>
      <w:r>
        <w:rPr>
          <w:highlight w:val="yellow"/>
        </w:rPr>
      </w:r>
      <w:r>
        <w:rPr>
          <w:highlight w:val="yellow"/>
        </w:rPr>
        <w:fldChar w:fldCharType="separate"/>
      </w:r>
      <w:r w:rsidR="00924C7D" w:rsidRPr="00063EB8">
        <w:t xml:space="preserve">Figure </w:t>
      </w:r>
      <w:r w:rsidR="00924C7D">
        <w:rPr>
          <w:noProof/>
        </w:rPr>
        <w:t>4</w:t>
      </w:r>
      <w:r w:rsidR="00924C7D">
        <w:noBreakHyphen/>
      </w:r>
      <w:r w:rsidR="00924C7D">
        <w:rPr>
          <w:noProof/>
        </w:rPr>
        <w:t>15</w:t>
      </w:r>
      <w:r>
        <w:rPr>
          <w:highlight w:val="yellow"/>
        </w:rPr>
        <w:fldChar w:fldCharType="end"/>
      </w:r>
      <w:r>
        <w:t>. Finally, 8 partitions were selected since it solved the numerical problem in less time than the other set-ups with the available resources.</w:t>
      </w:r>
    </w:p>
    <w:p w:rsidR="005D1052" w:rsidRDefault="005D1052" w:rsidP="005D1052"/>
    <w:p w:rsidR="005D1052" w:rsidRDefault="005D1052" w:rsidP="005D1052">
      <w:pPr>
        <w:keepNext/>
        <w:ind w:firstLine="0"/>
        <w:jc w:val="center"/>
      </w:pPr>
      <w:r>
        <w:rPr>
          <w:noProof/>
          <w:lang w:eastAsia="en-GB"/>
        </w:rPr>
        <w:drawing>
          <wp:inline distT="0" distB="0" distL="0" distR="0" wp14:anchorId="22427A36" wp14:editId="6B573704">
            <wp:extent cx="4549052" cy="2374710"/>
            <wp:effectExtent l="0" t="0" r="4445" b="6985"/>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4544883" cy="2372534"/>
                    </a:xfrm>
                    <a:prstGeom prst="rect">
                      <a:avLst/>
                    </a:prstGeom>
                    <a:noFill/>
                    <a:ln>
                      <a:noFill/>
                    </a:ln>
                    <a:extLst>
                      <a:ext uri="{53640926-AAD7-44D8-BBD7-CCE9431645EC}">
                        <a14:shadowObscured xmlns:a14="http://schemas.microsoft.com/office/drawing/2010/main"/>
                      </a:ext>
                    </a:extLst>
                  </pic:spPr>
                </pic:pic>
              </a:graphicData>
            </a:graphic>
          </wp:inline>
        </w:drawing>
      </w:r>
    </w:p>
    <w:p w:rsidR="005D1052" w:rsidRPr="003B41A0" w:rsidRDefault="005D1052" w:rsidP="005D1052">
      <w:pPr>
        <w:pStyle w:val="Caption"/>
        <w:rPr>
          <w:b w:val="0"/>
        </w:rPr>
      </w:pPr>
      <w:bookmarkStart w:id="369" w:name="_Ref312160165"/>
      <w:bookmarkStart w:id="370" w:name="_Toc438590831"/>
      <w:bookmarkStart w:id="371" w:name="_Toc445718837"/>
      <w:r w:rsidRPr="00063EB8">
        <w:t xml:space="preserve">Figure </w:t>
      </w:r>
      <w:fldSimple w:instr=" STYLEREF 1 \s ">
        <w:r w:rsidR="00924C7D">
          <w:rPr>
            <w:noProof/>
          </w:rPr>
          <w:t>4</w:t>
        </w:r>
      </w:fldSimple>
      <w:r>
        <w:noBreakHyphen/>
      </w:r>
      <w:fldSimple w:instr=" SEQ Figure \* ARABIC \s 1 ">
        <w:r w:rsidR="00924C7D">
          <w:rPr>
            <w:noProof/>
          </w:rPr>
          <w:t>15</w:t>
        </w:r>
      </w:fldSimple>
      <w:bookmarkEnd w:id="369"/>
      <w:r>
        <w:rPr>
          <w:noProof/>
        </w:rPr>
        <w:t xml:space="preserve"> </w:t>
      </w:r>
      <w:r w:rsidRPr="003B41A0">
        <w:rPr>
          <w:b w:val="0"/>
          <w:noProof/>
        </w:rPr>
        <w:t xml:space="preserve">CPU and wall-clock time required to solve the CFD </w:t>
      </w:r>
      <w:r>
        <w:rPr>
          <w:b w:val="0"/>
          <w:noProof/>
        </w:rPr>
        <w:t>model</w:t>
      </w:r>
      <w:r w:rsidRPr="003B41A0">
        <w:rPr>
          <w:b w:val="0"/>
          <w:noProof/>
        </w:rPr>
        <w:t xml:space="preserve"> depending on the number of partitions.</w:t>
      </w:r>
      <w:bookmarkEnd w:id="370"/>
      <w:bookmarkEnd w:id="371"/>
    </w:p>
    <w:p w:rsidR="005D1052" w:rsidRPr="000A3A23" w:rsidRDefault="005D1052" w:rsidP="005D1052">
      <w:pPr>
        <w:pStyle w:val="Heading5"/>
      </w:pPr>
      <w:bookmarkStart w:id="372" w:name="_Toc440823253"/>
      <w:r w:rsidRPr="005832E7">
        <w:lastRenderedPageBreak/>
        <w:t xml:space="preserve">Validation with </w:t>
      </w:r>
      <w:r w:rsidRPr="000A3A23">
        <w:t>µPIV</w:t>
      </w:r>
      <w:r>
        <w:t xml:space="preserve"> results</w:t>
      </w:r>
      <w:bookmarkEnd w:id="372"/>
    </w:p>
    <w:p w:rsidR="005D1052" w:rsidRDefault="005D1052" w:rsidP="005D1052">
      <w:r>
        <w:t xml:space="preserve">The CFD results agree well with the velocity profiles calculated using </w:t>
      </w:r>
      <w:r w:rsidRPr="009D0FC8">
        <w:t xml:space="preserve">the </w:t>
      </w:r>
      <w:r w:rsidRPr="009D0FC8">
        <w:sym w:font="Symbol" w:char="F06D"/>
      </w:r>
      <w:r w:rsidRPr="009D0FC8">
        <w:t>PIV</w:t>
      </w:r>
      <w:r>
        <w:t xml:space="preserve"> system in the scaffold regions seen in </w:t>
      </w:r>
      <w:r>
        <w:rPr>
          <w:highlight w:val="yellow"/>
        </w:rPr>
        <w:fldChar w:fldCharType="begin"/>
      </w:r>
      <w:r>
        <w:instrText xml:space="preserve"> REF _Ref312160233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16</w:t>
      </w:r>
      <w:r>
        <w:rPr>
          <w:highlight w:val="yellow"/>
        </w:rPr>
        <w:fldChar w:fldCharType="end"/>
      </w:r>
      <w:r>
        <w:t xml:space="preserve">, </w:t>
      </w:r>
      <w:r>
        <w:fldChar w:fldCharType="begin"/>
      </w:r>
      <w:r>
        <w:instrText xml:space="preserve"> REF _Ref312160236 \h </w:instrText>
      </w:r>
      <w:r>
        <w:fldChar w:fldCharType="separate"/>
      </w:r>
      <w:r w:rsidR="00924C7D" w:rsidRPr="003D2CB3">
        <w:t xml:space="preserve">Figure </w:t>
      </w:r>
      <w:r w:rsidR="00924C7D">
        <w:rPr>
          <w:noProof/>
        </w:rPr>
        <w:t>4</w:t>
      </w:r>
      <w:r w:rsidR="00924C7D">
        <w:noBreakHyphen/>
      </w:r>
      <w:r w:rsidR="00924C7D">
        <w:rPr>
          <w:noProof/>
        </w:rPr>
        <w:t>18</w:t>
      </w:r>
      <w:r>
        <w:fldChar w:fldCharType="end"/>
      </w:r>
      <w:r>
        <w:t xml:space="preserve"> and </w:t>
      </w:r>
      <w:r>
        <w:fldChar w:fldCharType="begin"/>
      </w:r>
      <w:r>
        <w:instrText xml:space="preserve"> REF _Ref312160238 \h </w:instrText>
      </w:r>
      <w:r>
        <w:fldChar w:fldCharType="separate"/>
      </w:r>
      <w:r w:rsidR="00924C7D" w:rsidRPr="003D2CB3">
        <w:t xml:space="preserve">Figure </w:t>
      </w:r>
      <w:r w:rsidR="00924C7D">
        <w:rPr>
          <w:noProof/>
        </w:rPr>
        <w:t>4</w:t>
      </w:r>
      <w:r w:rsidR="00924C7D">
        <w:noBreakHyphen/>
      </w:r>
      <w:r w:rsidR="00924C7D">
        <w:rPr>
          <w:noProof/>
        </w:rPr>
        <w:t>20</w:t>
      </w:r>
      <w:r>
        <w:fldChar w:fldCharType="end"/>
      </w:r>
      <w:r>
        <w:t>.</w:t>
      </w:r>
      <w:r w:rsidRPr="0031304F">
        <w:t xml:space="preserve"> </w:t>
      </w:r>
      <w:r>
        <w:t>First</w:t>
      </w:r>
      <w:r w:rsidRPr="00BC5FA8">
        <w:t xml:space="preserve">, </w:t>
      </w:r>
      <w:r>
        <w:t xml:space="preserve">both approaches show that </w:t>
      </w:r>
      <w:r w:rsidRPr="00BC5FA8">
        <w:t xml:space="preserve">peak velocities are </w:t>
      </w:r>
      <w:r>
        <w:t xml:space="preserve">found at the centre of the pore defined by the vertical fibres as observed in </w:t>
      </w:r>
      <w:r>
        <w:rPr>
          <w:highlight w:val="yellow"/>
        </w:rPr>
        <w:fldChar w:fldCharType="begin"/>
      </w:r>
      <w:r>
        <w:instrText xml:space="preserve"> REF _Ref312160233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16</w:t>
      </w:r>
      <w:r>
        <w:rPr>
          <w:highlight w:val="yellow"/>
        </w:rPr>
        <w:fldChar w:fldCharType="end"/>
      </w:r>
      <w:r>
        <w:t xml:space="preserve"> and they decrease when approaching the wall fibres. The good agreement between the experimental and computational approaches is not only qualitative but also in terms of velocity magnitude which is due to the fact that the fluid velocity component in the depth direction is almost zero so fluid velocity vectors mostly fall in the focus plane. There is only a maximum difference of 12 % in velocity magnitude inside the pore. However, when reaching the fibres walls, the </w:t>
      </w:r>
      <w:r w:rsidRPr="003A033E">
        <w:t>µP</w:t>
      </w:r>
      <w:r>
        <w:t xml:space="preserve">IV velocities are non-zero on the contrary to the CFD where non-slip condition was </w:t>
      </w:r>
      <w:r w:rsidRPr="008C5B56">
        <w:t xml:space="preserve">applied (see </w:t>
      </w:r>
      <w:r>
        <w:fldChar w:fldCharType="begin"/>
      </w:r>
      <w:r>
        <w:instrText xml:space="preserve"> REF _Ref312160294 \h </w:instrText>
      </w:r>
      <w:r>
        <w:fldChar w:fldCharType="separate"/>
      </w:r>
      <w:r w:rsidR="00924C7D" w:rsidRPr="003D2CB3">
        <w:t xml:space="preserve">Figure </w:t>
      </w:r>
      <w:r w:rsidR="00924C7D">
        <w:rPr>
          <w:noProof/>
        </w:rPr>
        <w:t>4</w:t>
      </w:r>
      <w:r w:rsidR="00924C7D">
        <w:noBreakHyphen/>
      </w:r>
      <w:r w:rsidR="00924C7D">
        <w:rPr>
          <w:noProof/>
        </w:rPr>
        <w:t>17</w:t>
      </w:r>
      <w:r>
        <w:fldChar w:fldCharType="end"/>
      </w:r>
      <w:r w:rsidRPr="008C5B56">
        <w:t>).</w:t>
      </w:r>
      <w:r>
        <w:t xml:space="preserve"> </w:t>
      </w:r>
    </w:p>
    <w:p w:rsidR="005D1052" w:rsidRDefault="005D1052" w:rsidP="005D1052"/>
    <w:p w:rsidR="005D1052" w:rsidRDefault="005D1052" w:rsidP="005D1052">
      <w:pPr>
        <w:keepNext/>
        <w:ind w:firstLine="0"/>
        <w:jc w:val="center"/>
      </w:pPr>
      <w:r>
        <w:rPr>
          <w:noProof/>
          <w:lang w:eastAsia="en-GB"/>
        </w:rPr>
        <w:drawing>
          <wp:inline distT="0" distB="0" distL="0" distR="0" wp14:anchorId="0BE686A6" wp14:editId="25C83AE4">
            <wp:extent cx="4937478" cy="2979121"/>
            <wp:effectExtent l="0" t="0" r="0" b="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ical.png"/>
                    <pic:cNvPicPr/>
                  </pic:nvPicPr>
                  <pic:blipFill>
                    <a:blip r:embed="rId109">
                      <a:extLst>
                        <a:ext uri="{28A0092B-C50C-407E-A947-70E740481C1C}">
                          <a14:useLocalDpi xmlns:a14="http://schemas.microsoft.com/office/drawing/2010/main" val="0"/>
                        </a:ext>
                      </a:extLst>
                    </a:blip>
                    <a:stretch>
                      <a:fillRect/>
                    </a:stretch>
                  </pic:blipFill>
                  <pic:spPr>
                    <a:xfrm>
                      <a:off x="0" y="0"/>
                      <a:ext cx="4934874" cy="2977550"/>
                    </a:xfrm>
                    <a:prstGeom prst="rect">
                      <a:avLst/>
                    </a:prstGeom>
                  </pic:spPr>
                </pic:pic>
              </a:graphicData>
            </a:graphic>
          </wp:inline>
        </w:drawing>
      </w:r>
    </w:p>
    <w:p w:rsidR="005D1052" w:rsidRPr="0078220B" w:rsidRDefault="005D1052" w:rsidP="005D1052">
      <w:pPr>
        <w:pStyle w:val="Caption"/>
        <w:rPr>
          <w:b w:val="0"/>
          <w:noProof/>
        </w:rPr>
      </w:pPr>
      <w:bookmarkStart w:id="373" w:name="_Ref312160233"/>
      <w:bookmarkStart w:id="374" w:name="_Toc438590832"/>
      <w:bookmarkStart w:id="375" w:name="_Toc445718838"/>
      <w:r w:rsidRPr="003D2CB3">
        <w:t xml:space="preserve">Figure </w:t>
      </w:r>
      <w:fldSimple w:instr=" STYLEREF 1 \s ">
        <w:r w:rsidR="00924C7D">
          <w:rPr>
            <w:noProof/>
          </w:rPr>
          <w:t>4</w:t>
        </w:r>
      </w:fldSimple>
      <w:r>
        <w:noBreakHyphen/>
      </w:r>
      <w:fldSimple w:instr=" SEQ Figure \* ARABIC \s 1 ">
        <w:r w:rsidR="00924C7D">
          <w:rPr>
            <w:noProof/>
          </w:rPr>
          <w:t>16</w:t>
        </w:r>
      </w:fldSimple>
      <w:bookmarkEnd w:id="373"/>
      <w:r>
        <w:rPr>
          <w:noProof/>
        </w:rPr>
        <w:t xml:space="preserve"> </w:t>
      </w:r>
      <w:r w:rsidRPr="0078220B">
        <w:rPr>
          <w:b w:val="0"/>
          <w:noProof/>
        </w:rPr>
        <w:t xml:space="preserve">Velocity vectors from a plane inside a pore between the vertical fibres calculated using µPIV (right) and CFD (left) methods. The pink </w:t>
      </w:r>
      <w:r>
        <w:rPr>
          <w:b w:val="0"/>
          <w:noProof/>
        </w:rPr>
        <w:t xml:space="preserve">dotted </w:t>
      </w:r>
      <w:r w:rsidRPr="0078220B">
        <w:rPr>
          <w:b w:val="0"/>
          <w:noProof/>
        </w:rPr>
        <w:t>line sho</w:t>
      </w:r>
      <w:r>
        <w:rPr>
          <w:b w:val="0"/>
          <w:noProof/>
        </w:rPr>
        <w:t>ws where the velocity values were</w:t>
      </w:r>
      <w:r w:rsidRPr="0078220B">
        <w:rPr>
          <w:b w:val="0"/>
          <w:noProof/>
        </w:rPr>
        <w:t xml:space="preserve"> extracted to compare both techniques numerically.</w:t>
      </w:r>
      <w:bookmarkEnd w:id="374"/>
      <w:bookmarkEnd w:id="375"/>
    </w:p>
    <w:p w:rsidR="005D1052" w:rsidRPr="00917AC1" w:rsidRDefault="005D1052" w:rsidP="005D1052">
      <w:pPr>
        <w:spacing w:after="0"/>
        <w:ind w:firstLine="0"/>
        <w:jc w:val="center"/>
      </w:pPr>
      <w:r w:rsidRPr="003F3A20">
        <w:rPr>
          <w:rStyle w:val="BookTitle"/>
          <w:noProof/>
          <w:lang w:eastAsia="en-GB"/>
        </w:rPr>
        <w:lastRenderedPageBreak/>
        <w:drawing>
          <wp:inline distT="0" distB="0" distL="0" distR="0" wp14:anchorId="0D87F33B" wp14:editId="338ACCF7">
            <wp:extent cx="3379957" cy="2012220"/>
            <wp:effectExtent l="0" t="0" r="0" b="7620"/>
            <wp:docPr id="20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3379957" cy="2012220"/>
                    </a:xfrm>
                    <a:prstGeom prst="rect">
                      <a:avLst/>
                    </a:prstGeom>
                    <a:noFill/>
                    <a:ln>
                      <a:noFill/>
                    </a:ln>
                    <a:extLst>
                      <a:ext uri="{53640926-AAD7-44D8-BBD7-CCE9431645EC}">
                        <a14:shadowObscured xmlns:a14="http://schemas.microsoft.com/office/drawing/2010/main"/>
                      </a:ext>
                    </a:extLst>
                  </pic:spPr>
                </pic:pic>
              </a:graphicData>
            </a:graphic>
          </wp:inline>
        </w:drawing>
      </w:r>
    </w:p>
    <w:p w:rsidR="005D1052" w:rsidRPr="0078220B" w:rsidRDefault="005D1052" w:rsidP="005D1052">
      <w:pPr>
        <w:pStyle w:val="Caption"/>
        <w:rPr>
          <w:b w:val="0"/>
          <w:noProof/>
        </w:rPr>
      </w:pPr>
      <w:bookmarkStart w:id="376" w:name="_Ref312160294"/>
      <w:bookmarkStart w:id="377" w:name="_Toc438590833"/>
      <w:bookmarkStart w:id="378" w:name="_Toc445718839"/>
      <w:r w:rsidRPr="003D2CB3">
        <w:t xml:space="preserve">Figure </w:t>
      </w:r>
      <w:fldSimple w:instr=" STYLEREF 1 \s ">
        <w:r w:rsidR="00924C7D">
          <w:rPr>
            <w:noProof/>
          </w:rPr>
          <w:t>4</w:t>
        </w:r>
      </w:fldSimple>
      <w:r>
        <w:noBreakHyphen/>
      </w:r>
      <w:fldSimple w:instr=" SEQ Figure \* ARABIC \s 1 ">
        <w:r w:rsidR="00924C7D">
          <w:rPr>
            <w:noProof/>
          </w:rPr>
          <w:t>17</w:t>
        </w:r>
      </w:fldSimple>
      <w:bookmarkEnd w:id="376"/>
      <w:r w:rsidRPr="008F2685">
        <w:rPr>
          <w:noProof/>
        </w:rPr>
        <w:t xml:space="preserve"> </w:t>
      </w:r>
      <w:r w:rsidRPr="0078220B">
        <w:rPr>
          <w:b w:val="0"/>
          <w:noProof/>
        </w:rPr>
        <w:t xml:space="preserve">The blue and red lines represent the velocity values extracted from the profiles shown </w:t>
      </w:r>
      <w:r w:rsidRPr="003B41A0">
        <w:rPr>
          <w:b w:val="0"/>
          <w:noProof/>
        </w:rPr>
        <w:t xml:space="preserve">in </w:t>
      </w:r>
      <w:r w:rsidRPr="003B41A0">
        <w:rPr>
          <w:b w:val="0"/>
          <w:noProof/>
          <w:highlight w:val="yellow"/>
        </w:rPr>
        <w:fldChar w:fldCharType="begin"/>
      </w:r>
      <w:r w:rsidRPr="003B41A0">
        <w:rPr>
          <w:b w:val="0"/>
          <w:noProof/>
        </w:rPr>
        <w:instrText xml:space="preserve"> REF _Ref312160233 \h </w:instrText>
      </w:r>
      <w:r w:rsidRPr="003B41A0">
        <w:rPr>
          <w:b w:val="0"/>
          <w:noProof/>
          <w:highlight w:val="yellow"/>
        </w:rPr>
        <w:instrText xml:space="preserve"> \* MERGEFORMAT </w:instrText>
      </w:r>
      <w:r w:rsidRPr="003B41A0">
        <w:rPr>
          <w:b w:val="0"/>
          <w:noProof/>
          <w:highlight w:val="yellow"/>
        </w:rPr>
      </w:r>
      <w:r w:rsidRPr="003B41A0">
        <w:rPr>
          <w:b w:val="0"/>
          <w:noProof/>
          <w:highlight w:val="yellow"/>
        </w:rPr>
        <w:fldChar w:fldCharType="separate"/>
      </w:r>
      <w:r w:rsidR="00924C7D" w:rsidRPr="00924C7D">
        <w:rPr>
          <w:b w:val="0"/>
        </w:rPr>
        <w:t xml:space="preserve">Figure </w:t>
      </w:r>
      <w:r w:rsidR="00924C7D" w:rsidRPr="00924C7D">
        <w:rPr>
          <w:b w:val="0"/>
          <w:noProof/>
        </w:rPr>
        <w:t>4</w:t>
      </w:r>
      <w:r w:rsidR="00924C7D" w:rsidRPr="00924C7D">
        <w:rPr>
          <w:b w:val="0"/>
          <w:noProof/>
        </w:rPr>
        <w:noBreakHyphen/>
        <w:t>16</w:t>
      </w:r>
      <w:r w:rsidRPr="003B41A0">
        <w:rPr>
          <w:b w:val="0"/>
          <w:noProof/>
          <w:highlight w:val="yellow"/>
        </w:rPr>
        <w:fldChar w:fldCharType="end"/>
      </w:r>
      <w:r w:rsidRPr="003B41A0">
        <w:rPr>
          <w:b w:val="0"/>
          <w:noProof/>
        </w:rPr>
        <w:t xml:space="preserve"> for the µ</w:t>
      </w:r>
      <w:r w:rsidRPr="0078220B">
        <w:rPr>
          <w:b w:val="0"/>
          <w:noProof/>
        </w:rPr>
        <w:t>PIV and CFD respectively.</w:t>
      </w:r>
      <w:bookmarkEnd w:id="377"/>
      <w:bookmarkEnd w:id="378"/>
    </w:p>
    <w:p w:rsidR="005D1052" w:rsidRDefault="005D1052" w:rsidP="005D1052">
      <w:r>
        <w:t xml:space="preserve">The CFD </w:t>
      </w:r>
      <w:r w:rsidRPr="009D0FC8">
        <w:t>and µPIV results</w:t>
      </w:r>
      <w:r>
        <w:t xml:space="preserve"> show the same trend underneath the horizontal fibre as observed in </w:t>
      </w:r>
      <w:r>
        <w:rPr>
          <w:highlight w:val="yellow"/>
        </w:rPr>
        <w:fldChar w:fldCharType="begin"/>
      </w:r>
      <w:r>
        <w:instrText xml:space="preserve"> REF _Ref312160236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18</w:t>
      </w:r>
      <w:r>
        <w:rPr>
          <w:highlight w:val="yellow"/>
        </w:rPr>
        <w:fldChar w:fldCharType="end"/>
      </w:r>
      <w:r>
        <w:t xml:space="preserve">; the fluid velocity increases when approaching to the </w:t>
      </w:r>
      <w:r w:rsidRPr="00050F6D">
        <w:t>horizontal fibre and then decreases just before entering in the pore formed by the vertical fibres. The region where the velocity drops is the closest part of the focus plane to the horizontal fibre; thus, the non-slip wall effect reduces the fluid velocity.  In</w:t>
      </w:r>
      <w:r w:rsidRPr="008C5B56">
        <w:t xml:space="preserve"> theory, the </w:t>
      </w:r>
      <w:r>
        <w:t xml:space="preserve">velocity of the incompressible </w:t>
      </w:r>
      <w:r w:rsidRPr="008C5B56">
        <w:t>fluid</w:t>
      </w:r>
      <w:r>
        <w:t xml:space="preserve"> should increase as travelling towards the pore formed by the two vertical fibres where the area through which the fluid flows is smaller. Therefore, the velocity should increase to obey continuity. In terms of velocity magnitude, the agreement between both techniques becomes poorer as the fluid enters the pore with up to 70 % difference (</w:t>
      </w:r>
      <w:r>
        <w:rPr>
          <w:highlight w:val="yellow"/>
        </w:rPr>
        <w:fldChar w:fldCharType="begin"/>
      </w:r>
      <w:r>
        <w:instrText xml:space="preserve"> REF _Ref312160325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19</w:t>
      </w:r>
      <w:r>
        <w:rPr>
          <w:highlight w:val="yellow"/>
        </w:rPr>
        <w:fldChar w:fldCharType="end"/>
      </w:r>
      <w:r>
        <w:t>).</w:t>
      </w:r>
    </w:p>
    <w:p w:rsidR="005D1052" w:rsidRDefault="005D1052" w:rsidP="005D1052">
      <w:r>
        <w:t xml:space="preserve">In addition, the CFD and the </w:t>
      </w:r>
      <w:r w:rsidRPr="00EC462B">
        <w:t>µP</w:t>
      </w:r>
      <w:r>
        <w:t xml:space="preserve">IV results agree well also on the fact that the velocity starts increasing in the region where the flow encounters the horizontal fibre on its path as shown in </w:t>
      </w:r>
      <w:r>
        <w:rPr>
          <w:highlight w:val="yellow"/>
        </w:rPr>
        <w:fldChar w:fldCharType="begin"/>
      </w:r>
      <w:r>
        <w:instrText xml:space="preserve"> REF _Ref312160238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20</w:t>
      </w:r>
      <w:r>
        <w:rPr>
          <w:highlight w:val="yellow"/>
        </w:rPr>
        <w:fldChar w:fldCharType="end"/>
      </w:r>
      <w:r>
        <w:t xml:space="preserve">. When observing in </w:t>
      </w:r>
      <w:r>
        <w:rPr>
          <w:highlight w:val="yellow"/>
        </w:rPr>
        <w:fldChar w:fldCharType="begin"/>
      </w:r>
      <w:r>
        <w:instrText xml:space="preserve"> REF _Ref312160438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21</w:t>
      </w:r>
      <w:r>
        <w:rPr>
          <w:highlight w:val="yellow"/>
        </w:rPr>
        <w:fldChar w:fldCharType="end"/>
      </w:r>
      <w:r w:rsidRPr="00EC462B">
        <w:t>,</w:t>
      </w:r>
      <w:r>
        <w:t xml:space="preserve"> both techniques reach the same peak velocity value at the central position corresponding to the centre of the pore formed by the two vertical fibres. In addition, in both methods the velocities decrease as moving away from the centre of the pore, although velocity values can differ up to 46%.</w:t>
      </w:r>
    </w:p>
    <w:p w:rsidR="005D1052" w:rsidRDefault="005D1052" w:rsidP="005D1052">
      <w:pPr>
        <w:keepNext/>
        <w:ind w:firstLine="0"/>
        <w:jc w:val="center"/>
      </w:pPr>
    </w:p>
    <w:p w:rsidR="005D1052" w:rsidRDefault="005D1052" w:rsidP="005D1052">
      <w:pPr>
        <w:keepNext/>
        <w:ind w:firstLine="0"/>
        <w:jc w:val="center"/>
      </w:pPr>
      <w:r>
        <w:rPr>
          <w:noProof/>
          <w:lang w:eastAsia="en-GB"/>
        </w:rPr>
        <w:drawing>
          <wp:inline distT="0" distB="0" distL="0" distR="0" wp14:anchorId="6EE5F1D9" wp14:editId="067C1509">
            <wp:extent cx="5474707" cy="2324100"/>
            <wp:effectExtent l="0" t="0" r="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continuity.png"/>
                    <pic:cNvPicPr/>
                  </pic:nvPicPr>
                  <pic:blipFill>
                    <a:blip r:embed="rId111">
                      <a:extLst>
                        <a:ext uri="{BEBA8EAE-BF5A-486C-A8C5-ECC9F3942E4B}">
                          <a14:imgProps xmlns:a14="http://schemas.microsoft.com/office/drawing/2010/main">
                            <a14:imgLayer r:embed="rId1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98820" cy="2334336"/>
                    </a:xfrm>
                    <a:prstGeom prst="rect">
                      <a:avLst/>
                    </a:prstGeom>
                  </pic:spPr>
                </pic:pic>
              </a:graphicData>
            </a:graphic>
          </wp:inline>
        </w:drawing>
      </w:r>
    </w:p>
    <w:p w:rsidR="005D1052" w:rsidRDefault="005D1052" w:rsidP="005D1052">
      <w:pPr>
        <w:pStyle w:val="Caption"/>
        <w:rPr>
          <w:b w:val="0"/>
          <w:noProof/>
        </w:rPr>
      </w:pPr>
      <w:bookmarkStart w:id="379" w:name="_Ref312160236"/>
      <w:bookmarkStart w:id="380" w:name="_Toc438590834"/>
      <w:bookmarkStart w:id="381" w:name="_Toc445718840"/>
      <w:r w:rsidRPr="003D2CB3">
        <w:t xml:space="preserve">Figure </w:t>
      </w:r>
      <w:fldSimple w:instr=" STYLEREF 1 \s ">
        <w:r w:rsidR="00924C7D">
          <w:rPr>
            <w:noProof/>
          </w:rPr>
          <w:t>4</w:t>
        </w:r>
      </w:fldSimple>
      <w:r>
        <w:noBreakHyphen/>
      </w:r>
      <w:fldSimple w:instr=" SEQ Figure \* ARABIC \s 1 ">
        <w:r w:rsidR="00924C7D">
          <w:rPr>
            <w:noProof/>
          </w:rPr>
          <w:t>18</w:t>
        </w:r>
      </w:fldSimple>
      <w:bookmarkEnd w:id="379"/>
      <w:r>
        <w:rPr>
          <w:noProof/>
        </w:rPr>
        <w:t xml:space="preserve"> </w:t>
      </w:r>
      <w:r w:rsidRPr="008C5B56">
        <w:rPr>
          <w:b w:val="0"/>
          <w:noProof/>
        </w:rPr>
        <w:t>Velocity vectors from a focus plane underneath the horizontal fibre calculated using µPIV (right) and CFD (left) methods. The pink dotted lines shows where the vel</w:t>
      </w:r>
      <w:r>
        <w:rPr>
          <w:b w:val="0"/>
          <w:noProof/>
        </w:rPr>
        <w:t>ocity values were</w:t>
      </w:r>
      <w:r w:rsidRPr="008C5B56">
        <w:rPr>
          <w:b w:val="0"/>
          <w:noProof/>
        </w:rPr>
        <w:t xml:space="preserve"> extracted to compare both techniques numerically.</w:t>
      </w:r>
      <w:bookmarkEnd w:id="380"/>
      <w:bookmarkEnd w:id="381"/>
    </w:p>
    <w:p w:rsidR="005D1052" w:rsidRPr="000A5FA1" w:rsidRDefault="005D1052" w:rsidP="005D1052"/>
    <w:p w:rsidR="005D1052" w:rsidRDefault="005D1052" w:rsidP="005D1052">
      <w:pPr>
        <w:keepNext/>
        <w:ind w:firstLine="0"/>
        <w:jc w:val="center"/>
      </w:pPr>
      <w:r>
        <w:rPr>
          <w:noProof/>
          <w:lang w:eastAsia="en-GB"/>
        </w:rPr>
        <w:drawing>
          <wp:inline distT="0" distB="0" distL="0" distR="0" wp14:anchorId="613FAFD7" wp14:editId="6349C670">
            <wp:extent cx="4438670" cy="2678806"/>
            <wp:effectExtent l="0" t="0" r="0" b="762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continuity.png"/>
                    <pic:cNvPicPr/>
                  </pic:nvPicPr>
                  <pic:blipFill>
                    <a:blip r:embed="rId113">
                      <a:extLst>
                        <a:ext uri="{28A0092B-C50C-407E-A947-70E740481C1C}">
                          <a14:useLocalDpi xmlns:a14="http://schemas.microsoft.com/office/drawing/2010/main" val="0"/>
                        </a:ext>
                      </a:extLst>
                    </a:blip>
                    <a:stretch>
                      <a:fillRect/>
                    </a:stretch>
                  </pic:blipFill>
                  <pic:spPr>
                    <a:xfrm>
                      <a:off x="0" y="0"/>
                      <a:ext cx="4451313" cy="2686436"/>
                    </a:xfrm>
                    <a:prstGeom prst="rect">
                      <a:avLst/>
                    </a:prstGeom>
                  </pic:spPr>
                </pic:pic>
              </a:graphicData>
            </a:graphic>
          </wp:inline>
        </w:drawing>
      </w:r>
    </w:p>
    <w:p w:rsidR="005D1052" w:rsidRPr="0078220B" w:rsidRDefault="005D1052" w:rsidP="005D1052">
      <w:pPr>
        <w:pStyle w:val="Caption"/>
        <w:rPr>
          <w:b w:val="0"/>
          <w:noProof/>
        </w:rPr>
      </w:pPr>
      <w:bookmarkStart w:id="382" w:name="_Ref312160325"/>
      <w:bookmarkStart w:id="383" w:name="_Toc438590835"/>
      <w:bookmarkStart w:id="384" w:name="_Toc445718841"/>
      <w:r w:rsidRPr="003D2CB3">
        <w:t xml:space="preserve">Figure </w:t>
      </w:r>
      <w:fldSimple w:instr=" STYLEREF 1 \s ">
        <w:r w:rsidR="00924C7D">
          <w:rPr>
            <w:noProof/>
          </w:rPr>
          <w:t>4</w:t>
        </w:r>
      </w:fldSimple>
      <w:r>
        <w:noBreakHyphen/>
      </w:r>
      <w:fldSimple w:instr=" SEQ Figure \* ARABIC \s 1 ">
        <w:r w:rsidR="00924C7D">
          <w:rPr>
            <w:noProof/>
          </w:rPr>
          <w:t>19</w:t>
        </w:r>
      </w:fldSimple>
      <w:bookmarkEnd w:id="382"/>
      <w:r w:rsidRPr="0022128F">
        <w:rPr>
          <w:noProof/>
        </w:rPr>
        <w:t xml:space="preserve"> </w:t>
      </w:r>
      <w:r w:rsidRPr="0078220B">
        <w:rPr>
          <w:b w:val="0"/>
          <w:noProof/>
        </w:rPr>
        <w:t>The blue and red lines represent the velocity values extracted from the profiles shown in Figure 18 for the µPIV and CFD respectively.</w:t>
      </w:r>
      <w:bookmarkEnd w:id="383"/>
      <w:bookmarkEnd w:id="384"/>
      <w:r w:rsidRPr="0078220B">
        <w:rPr>
          <w:b w:val="0"/>
          <w:noProof/>
        </w:rPr>
        <w:t xml:space="preserve"> </w:t>
      </w:r>
    </w:p>
    <w:p w:rsidR="005D1052" w:rsidRDefault="005D1052" w:rsidP="005D1052">
      <w:pPr>
        <w:ind w:firstLine="0"/>
        <w:jc w:val="center"/>
      </w:pPr>
      <w:r>
        <w:rPr>
          <w:noProof/>
          <w:lang w:eastAsia="en-GB"/>
        </w:rPr>
        <w:lastRenderedPageBreak/>
        <w:drawing>
          <wp:inline distT="0" distB="0" distL="0" distR="0" wp14:anchorId="204E8FC8" wp14:editId="00EE9E03">
            <wp:extent cx="5087155" cy="2910626"/>
            <wp:effectExtent l="0" t="0" r="0" b="4445"/>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4">
                      <a:extLst>
                        <a:ext uri="{28A0092B-C50C-407E-A947-70E740481C1C}">
                          <a14:useLocalDpi xmlns:a14="http://schemas.microsoft.com/office/drawing/2010/main" val="0"/>
                        </a:ext>
                      </a:extLst>
                    </a:blip>
                    <a:srcRect l="2349" t="2492" r="2013" b="3665"/>
                    <a:stretch/>
                  </pic:blipFill>
                  <pic:spPr bwMode="auto">
                    <a:xfrm>
                      <a:off x="0" y="0"/>
                      <a:ext cx="5096703" cy="2916089"/>
                    </a:xfrm>
                    <a:prstGeom prst="rect">
                      <a:avLst/>
                    </a:prstGeom>
                    <a:noFill/>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noProof/>
        </w:rPr>
      </w:pPr>
      <w:bookmarkStart w:id="385" w:name="_Ref312160238"/>
      <w:bookmarkStart w:id="386" w:name="_Toc438590836"/>
      <w:bookmarkStart w:id="387" w:name="_Toc445718842"/>
      <w:r w:rsidRPr="003D2CB3">
        <w:t xml:space="preserve">Figure </w:t>
      </w:r>
      <w:fldSimple w:instr=" STYLEREF 1 \s ">
        <w:r w:rsidR="00924C7D">
          <w:rPr>
            <w:noProof/>
          </w:rPr>
          <w:t>4</w:t>
        </w:r>
      </w:fldSimple>
      <w:r>
        <w:noBreakHyphen/>
      </w:r>
      <w:fldSimple w:instr=" SEQ Figure \* ARABIC \s 1 ">
        <w:r w:rsidR="00924C7D">
          <w:rPr>
            <w:noProof/>
          </w:rPr>
          <w:t>20</w:t>
        </w:r>
      </w:fldSimple>
      <w:bookmarkEnd w:id="385"/>
      <w:r>
        <w:rPr>
          <w:noProof/>
        </w:rPr>
        <w:t xml:space="preserve"> </w:t>
      </w:r>
      <w:r w:rsidRPr="0078220B">
        <w:rPr>
          <w:b w:val="0"/>
          <w:noProof/>
        </w:rPr>
        <w:t>Velocity vectors from a focus plane underneath the horizontal fibre calculated using µPIV (right) and CFD (left) methods. The pink</w:t>
      </w:r>
      <w:r>
        <w:rPr>
          <w:b w:val="0"/>
          <w:noProof/>
        </w:rPr>
        <w:t xml:space="preserve"> dotted</w:t>
      </w:r>
      <w:r w:rsidRPr="0078220B">
        <w:rPr>
          <w:b w:val="0"/>
          <w:noProof/>
        </w:rPr>
        <w:t xml:space="preserve"> lines shows where the velocity values </w:t>
      </w:r>
      <w:r>
        <w:rPr>
          <w:b w:val="0"/>
          <w:noProof/>
        </w:rPr>
        <w:t>were</w:t>
      </w:r>
      <w:r w:rsidRPr="0078220B">
        <w:rPr>
          <w:b w:val="0"/>
          <w:noProof/>
        </w:rPr>
        <w:t xml:space="preserve"> extracted to compare both techniques numerically.</w:t>
      </w:r>
      <w:bookmarkEnd w:id="386"/>
      <w:bookmarkEnd w:id="387"/>
    </w:p>
    <w:p w:rsidR="005D1052" w:rsidRPr="000A5FA1" w:rsidRDefault="005D1052" w:rsidP="005D1052"/>
    <w:p w:rsidR="005D1052" w:rsidRDefault="005D1052" w:rsidP="005D1052">
      <w:pPr>
        <w:pStyle w:val="Caption"/>
        <w:spacing w:after="120"/>
      </w:pPr>
      <w:r w:rsidRPr="00863A05">
        <w:rPr>
          <w:noProof/>
          <w:lang w:eastAsia="en-GB"/>
        </w:rPr>
        <w:drawing>
          <wp:inline distT="0" distB="0" distL="0" distR="0" wp14:anchorId="5D308EF6" wp14:editId="2AE96436">
            <wp:extent cx="4172755" cy="2450947"/>
            <wp:effectExtent l="0" t="0" r="0" b="6985"/>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4181278" cy="2455953"/>
                    </a:xfrm>
                    <a:prstGeom prst="rect">
                      <a:avLst/>
                    </a:prstGeom>
                    <a:noFill/>
                    <a:ln>
                      <a:noFill/>
                    </a:ln>
                    <a:extLst/>
                  </pic:spPr>
                </pic:pic>
              </a:graphicData>
            </a:graphic>
          </wp:inline>
        </w:drawing>
      </w:r>
    </w:p>
    <w:p w:rsidR="005D1052" w:rsidRPr="0078220B" w:rsidRDefault="005D1052" w:rsidP="005D1052">
      <w:pPr>
        <w:pStyle w:val="Caption"/>
        <w:rPr>
          <w:b w:val="0"/>
          <w:noProof/>
        </w:rPr>
      </w:pPr>
      <w:bookmarkStart w:id="388" w:name="_Ref312160438"/>
      <w:bookmarkStart w:id="389" w:name="_Toc438590837"/>
      <w:bookmarkStart w:id="390" w:name="_Toc445718843"/>
      <w:r w:rsidRPr="003D2CB3">
        <w:t xml:space="preserve">Figure </w:t>
      </w:r>
      <w:fldSimple w:instr=" STYLEREF 1 \s ">
        <w:r w:rsidR="00924C7D">
          <w:rPr>
            <w:noProof/>
          </w:rPr>
          <w:t>4</w:t>
        </w:r>
      </w:fldSimple>
      <w:r>
        <w:noBreakHyphen/>
      </w:r>
      <w:fldSimple w:instr=" SEQ Figure \* ARABIC \s 1 ">
        <w:r w:rsidR="00924C7D">
          <w:rPr>
            <w:noProof/>
          </w:rPr>
          <w:t>21</w:t>
        </w:r>
      </w:fldSimple>
      <w:bookmarkEnd w:id="388"/>
      <w:r w:rsidRPr="00105F7D">
        <w:rPr>
          <w:noProof/>
        </w:rPr>
        <w:t xml:space="preserve"> </w:t>
      </w:r>
      <w:r w:rsidRPr="0078220B">
        <w:rPr>
          <w:b w:val="0"/>
          <w:noProof/>
        </w:rPr>
        <w:t>The blue and red lines represent the velocity values extracted from the profiles shown in Figure 20 for the µPIV and CFD respectively.</w:t>
      </w:r>
      <w:bookmarkEnd w:id="389"/>
      <w:bookmarkEnd w:id="390"/>
    </w:p>
    <w:p w:rsidR="005D1052" w:rsidRPr="008E2D17" w:rsidRDefault="005D1052" w:rsidP="005D1052">
      <w:pPr>
        <w:pStyle w:val="Heading3"/>
      </w:pPr>
      <w:bookmarkStart w:id="391" w:name="_Toc310605623"/>
      <w:bookmarkStart w:id="392" w:name="_Toc310605918"/>
      <w:bookmarkStart w:id="393" w:name="_Toc440823254"/>
      <w:r w:rsidRPr="008E2D17">
        <w:lastRenderedPageBreak/>
        <w:t xml:space="preserve">Cell transport inside </w:t>
      </w:r>
      <w:r>
        <w:t xml:space="preserve">the </w:t>
      </w:r>
      <w:r w:rsidRPr="008E2D17">
        <w:t>scaffold</w:t>
      </w:r>
      <w:bookmarkEnd w:id="391"/>
      <w:bookmarkEnd w:id="392"/>
      <w:bookmarkEnd w:id="393"/>
    </w:p>
    <w:p w:rsidR="005D1052" w:rsidRPr="008E2D17" w:rsidRDefault="005D1052" w:rsidP="005D1052">
      <w:pPr>
        <w:pStyle w:val="Heading4"/>
      </w:pPr>
      <w:bookmarkStart w:id="394" w:name="_Toc310605624"/>
      <w:bookmarkStart w:id="395" w:name="_Toc310605919"/>
      <w:bookmarkStart w:id="396" w:name="_Toc440823255"/>
      <w:r w:rsidRPr="008E2D17">
        <w:t>Experimental results</w:t>
      </w:r>
      <w:bookmarkEnd w:id="394"/>
      <w:bookmarkEnd w:id="395"/>
      <w:bookmarkEnd w:id="396"/>
    </w:p>
    <w:p w:rsidR="005D1052" w:rsidRPr="00AD4C27" w:rsidRDefault="005D1052" w:rsidP="005D1052">
      <w:pPr>
        <w:pStyle w:val="Heading5"/>
      </w:pPr>
      <w:bookmarkStart w:id="397" w:name="_Toc440823256"/>
      <w:r w:rsidRPr="00AD4C27">
        <w:t>PTV results</w:t>
      </w:r>
      <w:bookmarkEnd w:id="397"/>
    </w:p>
    <w:p w:rsidR="005D1052" w:rsidRDefault="005D1052" w:rsidP="005D1052">
      <w:r>
        <w:t>The manual tracking performed using ImageJ shows that cells mainly follow fluid streamlines. No cell adhesion was observed</w:t>
      </w:r>
      <w:r w:rsidRPr="00DB082A">
        <w:t>.</w:t>
      </w:r>
      <w:r>
        <w:t xml:space="preserve"> In the presented experiments, fluid streamlines seem preferable channels for cells to travel inside the scaffold; during cell tracking up to 10 cells can be observed passing by the same fluid streamline. In addition, higher frequency of cells traveling is found in the streamlines that pass by the centre of the pores, where fluid velocities are higher, as shown previously in </w:t>
      </w:r>
      <w:r>
        <w:rPr>
          <w:highlight w:val="yellow"/>
        </w:rPr>
        <w:fldChar w:fldCharType="begin"/>
      </w:r>
      <w:r>
        <w:instrText xml:space="preserve"> REF _Ref312160907 \h </w:instrText>
      </w:r>
      <w:r>
        <w:rPr>
          <w:highlight w:val="yellow"/>
        </w:rPr>
      </w:r>
      <w:r>
        <w:rPr>
          <w:highlight w:val="yellow"/>
        </w:rPr>
        <w:fldChar w:fldCharType="separate"/>
      </w:r>
      <w:r w:rsidR="00924C7D">
        <w:t xml:space="preserve">Figure </w:t>
      </w:r>
      <w:r w:rsidR="00924C7D">
        <w:rPr>
          <w:noProof/>
        </w:rPr>
        <w:t>3</w:t>
      </w:r>
      <w:r w:rsidR="00924C7D">
        <w:noBreakHyphen/>
      </w:r>
      <w:r w:rsidR="00924C7D">
        <w:rPr>
          <w:noProof/>
        </w:rPr>
        <w:t>16</w:t>
      </w:r>
      <w:r>
        <w:rPr>
          <w:highlight w:val="yellow"/>
        </w:rPr>
        <w:fldChar w:fldCharType="end"/>
      </w:r>
      <w:r>
        <w:t xml:space="preserve">. In </w:t>
      </w:r>
      <w:r>
        <w:rPr>
          <w:highlight w:val="yellow"/>
        </w:rPr>
        <w:fldChar w:fldCharType="begin"/>
      </w:r>
      <w:r>
        <w:instrText xml:space="preserve"> REF _Ref312160935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22</w:t>
      </w:r>
      <w:r>
        <w:rPr>
          <w:highlight w:val="yellow"/>
        </w:rPr>
        <w:fldChar w:fldCharType="end"/>
      </w:r>
      <w:r>
        <w:t xml:space="preserve">, it can be seen that in region 1 the velocities of cells are lower and they increase in region 2 where the cells travel towards the first pore. </w:t>
      </w:r>
    </w:p>
    <w:p w:rsidR="005D1052" w:rsidRDefault="005D1052" w:rsidP="005D1052"/>
    <w:p w:rsidR="005D1052" w:rsidRDefault="005D1052" w:rsidP="005D1052">
      <w:pPr>
        <w:keepNext/>
        <w:ind w:firstLine="0"/>
        <w:jc w:val="center"/>
      </w:pPr>
      <w:r>
        <w:rPr>
          <w:noProof/>
          <w:lang w:eastAsia="en-GB"/>
        </w:rPr>
        <w:drawing>
          <wp:inline distT="0" distB="0" distL="0" distR="0" wp14:anchorId="56B63FB0" wp14:editId="28B61523">
            <wp:extent cx="3592689" cy="3324225"/>
            <wp:effectExtent l="0" t="0" r="8255" b="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10804" cy="3340987"/>
                    </a:xfrm>
                    <a:prstGeom prst="rect">
                      <a:avLst/>
                    </a:prstGeom>
                    <a:noFill/>
                    <a:ln>
                      <a:noFill/>
                    </a:ln>
                  </pic:spPr>
                </pic:pic>
              </a:graphicData>
            </a:graphic>
          </wp:inline>
        </w:drawing>
      </w:r>
    </w:p>
    <w:p w:rsidR="005D1052" w:rsidRPr="0078220B" w:rsidRDefault="005D1052" w:rsidP="005D1052">
      <w:pPr>
        <w:pStyle w:val="Caption"/>
        <w:rPr>
          <w:b w:val="0"/>
          <w:noProof/>
        </w:rPr>
      </w:pPr>
      <w:bookmarkStart w:id="398" w:name="_Ref312160935"/>
      <w:bookmarkStart w:id="399" w:name="_Toc438590838"/>
      <w:bookmarkStart w:id="400" w:name="_Toc445718844"/>
      <w:r w:rsidRPr="003D2CB3">
        <w:t xml:space="preserve">Figure </w:t>
      </w:r>
      <w:fldSimple w:instr=" STYLEREF 1 \s ">
        <w:r w:rsidR="00924C7D">
          <w:rPr>
            <w:noProof/>
          </w:rPr>
          <w:t>4</w:t>
        </w:r>
      </w:fldSimple>
      <w:r>
        <w:noBreakHyphen/>
      </w:r>
      <w:fldSimple w:instr=" SEQ Figure \* ARABIC \s 1 ">
        <w:r w:rsidR="00924C7D">
          <w:rPr>
            <w:noProof/>
          </w:rPr>
          <w:t>22</w:t>
        </w:r>
      </w:fldSimple>
      <w:bookmarkEnd w:id="398"/>
      <w:r>
        <w:rPr>
          <w:noProof/>
        </w:rPr>
        <w:t xml:space="preserve"> </w:t>
      </w:r>
      <w:r w:rsidRPr="0078220B">
        <w:rPr>
          <w:b w:val="0"/>
          <w:noProof/>
        </w:rPr>
        <w:t xml:space="preserve">1) Cells approach to the horizontal fibre. 2) Cells travel towards the centre of the pore in the middle of the two vertical fibres. 3) </w:t>
      </w:r>
      <w:r>
        <w:rPr>
          <w:b w:val="0"/>
          <w:noProof/>
        </w:rPr>
        <w:t>Cells are in the centre of the pore and start</w:t>
      </w:r>
      <w:r w:rsidRPr="0078220B">
        <w:rPr>
          <w:b w:val="0"/>
          <w:noProof/>
        </w:rPr>
        <w:t xml:space="preserve"> deviating either towards the next left or right pore (4).</w:t>
      </w:r>
      <w:bookmarkEnd w:id="399"/>
      <w:bookmarkEnd w:id="400"/>
    </w:p>
    <w:p w:rsidR="005D1052" w:rsidRDefault="005D1052" w:rsidP="005D1052">
      <w:r>
        <w:lastRenderedPageBreak/>
        <w:t xml:space="preserve">In region 3 where the first pore is found, cells decrease their velocity and then they move either to the left pore or the right one. </w:t>
      </w:r>
      <w:r w:rsidRPr="00A858B0">
        <w:t>More cells</w:t>
      </w:r>
      <w:r>
        <w:t xml:space="preserve"> travel to the right pore as this</w:t>
      </w:r>
      <w:r w:rsidRPr="00A858B0">
        <w:t xml:space="preserve"> pore is bigger yielding in an irregular distribution of cells during seeding.</w:t>
      </w:r>
      <w:r>
        <w:t xml:space="preserve"> </w:t>
      </w:r>
    </w:p>
    <w:p w:rsidR="005D1052" w:rsidRDefault="005D1052" w:rsidP="005D1052">
      <w:r>
        <w:t xml:space="preserve">The measured velocities of cells showed significant difference from region to region inside the same scaffold with up to fifty times difference. In the region </w:t>
      </w:r>
      <w:r w:rsidRPr="00966C4F">
        <w:t xml:space="preserve">shown in </w:t>
      </w:r>
      <w:r w:rsidRPr="00966C4F">
        <w:fldChar w:fldCharType="begin"/>
      </w:r>
      <w:r w:rsidRPr="00966C4F">
        <w:instrText xml:space="preserve"> REF _Ref312160991 \h </w:instrText>
      </w:r>
      <w:r w:rsidRPr="00966C4F">
        <w:fldChar w:fldCharType="separate"/>
      </w:r>
      <w:r w:rsidR="00924C7D" w:rsidRPr="00754905">
        <w:t xml:space="preserve">Figure </w:t>
      </w:r>
      <w:r w:rsidR="00924C7D">
        <w:rPr>
          <w:noProof/>
        </w:rPr>
        <w:t>4</w:t>
      </w:r>
      <w:r w:rsidR="00924C7D">
        <w:noBreakHyphen/>
      </w:r>
      <w:r w:rsidR="00924C7D">
        <w:rPr>
          <w:noProof/>
        </w:rPr>
        <w:t>25</w:t>
      </w:r>
      <w:r w:rsidRPr="00966C4F">
        <w:fldChar w:fldCharType="end"/>
      </w:r>
      <w:r>
        <w:t>-a.</w:t>
      </w:r>
      <w:r w:rsidRPr="00966C4F">
        <w:t>1</w:t>
      </w:r>
      <w:r>
        <w:t xml:space="preserve"> values are within </w:t>
      </w:r>
      <w:r>
        <w:rPr>
          <w:rFonts w:ascii="Times New Roman" w:hAnsi="Times New Roman" w:cs="Times New Roman"/>
        </w:rPr>
        <w:t>~</w:t>
      </w:r>
      <w:r>
        <w:t xml:space="preserve">50-100 µm/s and in the region observed </w:t>
      </w:r>
      <w:r w:rsidRPr="00966C4F">
        <w:t xml:space="preserve">in </w:t>
      </w:r>
      <w:r>
        <w:fldChar w:fldCharType="begin"/>
      </w:r>
      <w:r>
        <w:instrText xml:space="preserve"> REF _Ref312160991 \h </w:instrText>
      </w:r>
      <w:r>
        <w:fldChar w:fldCharType="separate"/>
      </w:r>
      <w:r w:rsidR="00924C7D" w:rsidRPr="00754905">
        <w:t xml:space="preserve">Figure </w:t>
      </w:r>
      <w:r w:rsidR="00924C7D">
        <w:rPr>
          <w:noProof/>
        </w:rPr>
        <w:t>4</w:t>
      </w:r>
      <w:r w:rsidR="00924C7D">
        <w:noBreakHyphen/>
      </w:r>
      <w:r w:rsidR="00924C7D">
        <w:rPr>
          <w:noProof/>
        </w:rPr>
        <w:t>25</w:t>
      </w:r>
      <w:r>
        <w:fldChar w:fldCharType="end"/>
      </w:r>
      <w:r>
        <w:t>-</w:t>
      </w:r>
      <w:r w:rsidRPr="00966C4F">
        <w:t>a.2 the values are</w:t>
      </w:r>
      <w:r>
        <w:t xml:space="preserve"> between 100 and 500 µm/s.</w:t>
      </w:r>
    </w:p>
    <w:p w:rsidR="005D1052" w:rsidRPr="008E2D17" w:rsidRDefault="005D1052" w:rsidP="005D1052">
      <w:pPr>
        <w:pStyle w:val="Heading4"/>
      </w:pPr>
      <w:bookmarkStart w:id="401" w:name="_Toc310605625"/>
      <w:bookmarkStart w:id="402" w:name="_Toc310605920"/>
      <w:bookmarkStart w:id="403" w:name="_Toc440823257"/>
      <w:r w:rsidRPr="008E2D17">
        <w:t>Computational results</w:t>
      </w:r>
      <w:bookmarkEnd w:id="401"/>
      <w:bookmarkEnd w:id="402"/>
      <w:bookmarkEnd w:id="403"/>
    </w:p>
    <w:p w:rsidR="005D1052" w:rsidRDefault="005D1052" w:rsidP="005D1052">
      <w:pPr>
        <w:pStyle w:val="Heading5"/>
      </w:pPr>
      <w:bookmarkStart w:id="404" w:name="_Toc440823258"/>
      <w:r>
        <w:t>Computational model benchmark</w:t>
      </w:r>
      <w:bookmarkEnd w:id="404"/>
    </w:p>
    <w:p w:rsidR="005D1052" w:rsidRDefault="005D1052" w:rsidP="005D1052">
      <w:r>
        <w:t xml:space="preserve">For the CFD model described </w:t>
      </w:r>
      <w:r w:rsidRPr="00966C4F">
        <w:t xml:space="preserve">in the section </w:t>
      </w:r>
      <w:r w:rsidRPr="00966C4F">
        <w:fldChar w:fldCharType="begin"/>
      </w:r>
      <w:r w:rsidRPr="00966C4F">
        <w:instrText xml:space="preserve"> REF _Ref312161092 \r \h </w:instrText>
      </w:r>
      <w:r w:rsidRPr="00966C4F">
        <w:fldChar w:fldCharType="separate"/>
      </w:r>
      <w:r w:rsidR="00924C7D">
        <w:t>4.2.3.2.2</w:t>
      </w:r>
      <w:r w:rsidRPr="00966C4F">
        <w:fldChar w:fldCharType="end"/>
      </w:r>
      <w:r w:rsidRPr="00966C4F">
        <w:t>, a benchmark</w:t>
      </w:r>
      <w:r>
        <w:t xml:space="preserve"> study was carried out to test the optimal number of partitions. This is a more expensive computational model since it includes the discrete phase and transient simulations with a small time step. For this reason, only parallel simulations were tested starting from 8 partitions. The wall clock computational time is reduced by increasing the number of partitions (see </w:t>
      </w:r>
      <w:r>
        <w:rPr>
          <w:highlight w:val="yellow"/>
        </w:rPr>
        <w:fldChar w:fldCharType="begin"/>
      </w:r>
      <w:r>
        <w:instrText xml:space="preserve"> REF _Ref312161297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23</w:t>
      </w:r>
      <w:r>
        <w:rPr>
          <w:highlight w:val="yellow"/>
        </w:rPr>
        <w:fldChar w:fldCharType="end"/>
      </w:r>
      <w:r>
        <w:t>) although</w:t>
      </w:r>
      <w:r w:rsidRPr="007A3E8D">
        <w:t xml:space="preserve"> </w:t>
      </w:r>
      <w:r>
        <w:t xml:space="preserve">parallel overhead is increased from 16 partitions on as seen in </w:t>
      </w:r>
      <w:r>
        <w:rPr>
          <w:highlight w:val="yellow"/>
        </w:rPr>
        <w:fldChar w:fldCharType="begin"/>
      </w:r>
      <w:r>
        <w:instrText xml:space="preserve"> REF _Ref312161311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24</w:t>
      </w:r>
      <w:r>
        <w:rPr>
          <w:highlight w:val="yellow"/>
        </w:rPr>
        <w:fldChar w:fldCharType="end"/>
      </w:r>
      <w:r>
        <w:t>. The final number of partitions selected was 64 which could resolve 1,400 CPU hours in 21 wall-clock hours with maximum virtual memory of 20 GB.</w:t>
      </w:r>
    </w:p>
    <w:p w:rsidR="005D1052" w:rsidRPr="000A3A23" w:rsidRDefault="005D1052" w:rsidP="005D1052">
      <w:pPr>
        <w:pStyle w:val="Heading5"/>
      </w:pPr>
      <w:bookmarkStart w:id="405" w:name="_Toc440823259"/>
      <w:r w:rsidRPr="005832E7">
        <w:t xml:space="preserve">Validation with </w:t>
      </w:r>
      <w:r>
        <w:t>PTV results</w:t>
      </w:r>
      <w:bookmarkEnd w:id="405"/>
    </w:p>
    <w:p w:rsidR="005D1052" w:rsidRDefault="005D1052" w:rsidP="005D1052">
      <w:r>
        <w:rPr>
          <w:color w:val="000000" w:themeColor="text1"/>
        </w:rPr>
        <w:t>T</w:t>
      </w:r>
      <w:r w:rsidRPr="00607BED">
        <w:rPr>
          <w:color w:val="000000" w:themeColor="text1"/>
        </w:rPr>
        <w:t xml:space="preserve">he CFD </w:t>
      </w:r>
      <w:r>
        <w:rPr>
          <w:color w:val="000000" w:themeColor="text1"/>
        </w:rPr>
        <w:t>results</w:t>
      </w:r>
      <w:r w:rsidRPr="00607BED">
        <w:rPr>
          <w:color w:val="000000" w:themeColor="text1"/>
        </w:rPr>
        <w:t xml:space="preserve"> </w:t>
      </w:r>
      <w:r>
        <w:rPr>
          <w:color w:val="000000" w:themeColor="text1"/>
        </w:rPr>
        <w:t>show that the particles follow the fluid streamlines with higher cell velocities at the centre of the pores</w:t>
      </w:r>
      <w:r w:rsidRPr="00607BED">
        <w:rPr>
          <w:color w:val="000000" w:themeColor="text1"/>
        </w:rPr>
        <w:t xml:space="preserve"> </w:t>
      </w:r>
      <w:r>
        <w:rPr>
          <w:color w:val="000000" w:themeColor="text1"/>
        </w:rPr>
        <w:t xml:space="preserve">as observed in the experiments. As a consequence, only 3% of the cells injected intercepted the scaffold substrate during the simulation; particles were either lost in the channel due to sedimentation or travelled through the scaffold without touching it passing mainly by the centre of the pores. </w:t>
      </w:r>
      <w:r>
        <w:t xml:space="preserve">Despite the fact that CFD results show the same tendency of cells to follow the fluid streamlines as in the PTV experiments, they do not agree in terms of velocity values. Velocity values found in the CFD simulations can be from two to ten times higher than the values found in the PTV experiments.  However, the CFD results from the same two </w:t>
      </w:r>
      <w:r>
        <w:lastRenderedPageBreak/>
        <w:t xml:space="preserve">scaffold regions that were investigated in the PTV tests also captured the significant increment of cell velocities from region to region with values up to ten times higher </w:t>
      </w:r>
      <w:r w:rsidRPr="00606267">
        <w:t xml:space="preserve">(see </w:t>
      </w:r>
      <w:r>
        <w:fldChar w:fldCharType="begin"/>
      </w:r>
      <w:r>
        <w:instrText xml:space="preserve"> REF _Ref312160991 \h </w:instrText>
      </w:r>
      <w:r>
        <w:fldChar w:fldCharType="separate"/>
      </w:r>
      <w:r w:rsidR="00924C7D" w:rsidRPr="00754905">
        <w:t xml:space="preserve">Figure </w:t>
      </w:r>
      <w:r w:rsidR="00924C7D">
        <w:rPr>
          <w:noProof/>
        </w:rPr>
        <w:t>4</w:t>
      </w:r>
      <w:r w:rsidR="00924C7D">
        <w:noBreakHyphen/>
      </w:r>
      <w:r w:rsidR="00924C7D">
        <w:rPr>
          <w:noProof/>
        </w:rPr>
        <w:t>25</w:t>
      </w:r>
      <w:r>
        <w:fldChar w:fldCharType="end"/>
      </w:r>
      <w:r>
        <w:t>-</w:t>
      </w:r>
      <w:r w:rsidRPr="00606267">
        <w:t>b.1 and b.2).</w:t>
      </w:r>
      <w:r>
        <w:t xml:space="preserve"> </w:t>
      </w:r>
    </w:p>
    <w:p w:rsidR="005D1052" w:rsidRDefault="005D1052" w:rsidP="005D1052"/>
    <w:p w:rsidR="005D1052" w:rsidRDefault="005D1052" w:rsidP="005D1052">
      <w:pPr>
        <w:spacing w:after="0"/>
        <w:ind w:firstLine="0"/>
        <w:jc w:val="center"/>
      </w:pPr>
      <w:r>
        <w:rPr>
          <w:noProof/>
          <w:lang w:eastAsia="en-GB"/>
        </w:rPr>
        <w:drawing>
          <wp:inline distT="0" distB="0" distL="0" distR="0" wp14:anchorId="6C559D27" wp14:editId="2B7ADF46">
            <wp:extent cx="4844364" cy="2432820"/>
            <wp:effectExtent l="0" t="0" r="0" b="5715"/>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4844364" cy="2432820"/>
                    </a:xfrm>
                    <a:prstGeom prst="rect">
                      <a:avLst/>
                    </a:prstGeom>
                    <a:noFill/>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noProof/>
        </w:rPr>
      </w:pPr>
      <w:bookmarkStart w:id="406" w:name="_Ref312161297"/>
      <w:bookmarkStart w:id="407" w:name="_Toc438590839"/>
      <w:bookmarkStart w:id="408" w:name="_Toc445718845"/>
      <w:r w:rsidRPr="003D2CB3">
        <w:t xml:space="preserve">Figure </w:t>
      </w:r>
      <w:fldSimple w:instr=" STYLEREF 1 \s ">
        <w:r w:rsidR="00924C7D">
          <w:rPr>
            <w:noProof/>
          </w:rPr>
          <w:t>4</w:t>
        </w:r>
      </w:fldSimple>
      <w:r>
        <w:noBreakHyphen/>
      </w:r>
      <w:fldSimple w:instr=" SEQ Figure \* ARABIC \s 1 ">
        <w:r w:rsidR="00924C7D">
          <w:rPr>
            <w:noProof/>
          </w:rPr>
          <w:t>23</w:t>
        </w:r>
      </w:fldSimple>
      <w:bookmarkEnd w:id="406"/>
      <w:r>
        <w:rPr>
          <w:noProof/>
        </w:rPr>
        <w:t xml:space="preserve"> </w:t>
      </w:r>
      <w:r w:rsidRPr="0078220B">
        <w:rPr>
          <w:b w:val="0"/>
          <w:noProof/>
        </w:rPr>
        <w:t>Wall clock time to solve the CFD model depending on the number of partitions.</w:t>
      </w:r>
      <w:bookmarkEnd w:id="407"/>
      <w:bookmarkEnd w:id="408"/>
    </w:p>
    <w:p w:rsidR="005D1052" w:rsidRDefault="005D1052" w:rsidP="005D1052">
      <w:pPr>
        <w:pStyle w:val="Caption"/>
        <w:spacing w:after="0"/>
        <w:rPr>
          <w:noProof/>
        </w:rPr>
      </w:pPr>
      <w:r>
        <w:rPr>
          <w:noProof/>
          <w:lang w:eastAsia="en-GB"/>
        </w:rPr>
        <w:drawing>
          <wp:inline distT="0" distB="0" distL="0" distR="0" wp14:anchorId="23D44EE2" wp14:editId="22E2EE66">
            <wp:extent cx="4589106" cy="2482750"/>
            <wp:effectExtent l="0" t="0" r="2540" b="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4590175" cy="2483328"/>
                    </a:xfrm>
                    <a:prstGeom prst="rect">
                      <a:avLst/>
                    </a:prstGeom>
                    <a:noFill/>
                    <a:ln>
                      <a:noFill/>
                    </a:ln>
                    <a:extLst>
                      <a:ext uri="{53640926-AAD7-44D8-BBD7-CCE9431645EC}">
                        <a14:shadowObscured xmlns:a14="http://schemas.microsoft.com/office/drawing/2010/main"/>
                      </a:ext>
                    </a:extLst>
                  </pic:spPr>
                </pic:pic>
              </a:graphicData>
            </a:graphic>
          </wp:inline>
        </w:drawing>
      </w:r>
    </w:p>
    <w:p w:rsidR="005D1052" w:rsidRPr="0078220B" w:rsidRDefault="005D1052" w:rsidP="005D1052">
      <w:pPr>
        <w:pStyle w:val="Caption"/>
        <w:rPr>
          <w:b w:val="0"/>
          <w:noProof/>
        </w:rPr>
      </w:pPr>
      <w:bookmarkStart w:id="409" w:name="_Ref312161311"/>
      <w:bookmarkStart w:id="410" w:name="_Toc438590840"/>
      <w:bookmarkStart w:id="411" w:name="_Toc445718846"/>
      <w:r w:rsidRPr="003D2CB3">
        <w:t xml:space="preserve">Figure </w:t>
      </w:r>
      <w:fldSimple w:instr=" STYLEREF 1 \s ">
        <w:r w:rsidR="00924C7D">
          <w:rPr>
            <w:noProof/>
          </w:rPr>
          <w:t>4</w:t>
        </w:r>
      </w:fldSimple>
      <w:r>
        <w:noBreakHyphen/>
      </w:r>
      <w:fldSimple w:instr=" SEQ Figure \* ARABIC \s 1 ">
        <w:r w:rsidR="00924C7D">
          <w:rPr>
            <w:noProof/>
          </w:rPr>
          <w:t>24</w:t>
        </w:r>
      </w:fldSimple>
      <w:bookmarkEnd w:id="409"/>
      <w:r>
        <w:rPr>
          <w:noProof/>
        </w:rPr>
        <w:t xml:space="preserve"> </w:t>
      </w:r>
      <w:r w:rsidRPr="0078220B">
        <w:rPr>
          <w:b w:val="0"/>
          <w:noProof/>
        </w:rPr>
        <w:t xml:space="preserve">CPU time required to solve the </w:t>
      </w:r>
      <w:r>
        <w:rPr>
          <w:b w:val="0"/>
          <w:noProof/>
        </w:rPr>
        <w:t>CFD model</w:t>
      </w:r>
      <w:r w:rsidRPr="0078220B">
        <w:rPr>
          <w:b w:val="0"/>
          <w:noProof/>
        </w:rPr>
        <w:t xml:space="preserve"> depending on the number of partitions.</w:t>
      </w:r>
      <w:bookmarkEnd w:id="410"/>
      <w:bookmarkEnd w:id="411"/>
    </w:p>
    <w:p w:rsidR="005D1052" w:rsidRDefault="005D1052" w:rsidP="005D1052">
      <w:pPr>
        <w:keepNext/>
        <w:ind w:firstLine="0"/>
        <w:jc w:val="left"/>
      </w:pPr>
      <w:r>
        <w:rPr>
          <w:noProof/>
          <w:lang w:eastAsia="en-GB"/>
        </w:rPr>
        <w:lastRenderedPageBreak/>
        <w:drawing>
          <wp:inline distT="0" distB="0" distL="0" distR="0" wp14:anchorId="76E07EAA" wp14:editId="1D684821">
            <wp:extent cx="5634870" cy="4420925"/>
            <wp:effectExtent l="0" t="0" r="4445" b="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5634870" cy="4420925"/>
                    </a:xfrm>
                    <a:prstGeom prst="rect">
                      <a:avLst/>
                    </a:prstGeom>
                    <a:noFill/>
                    <a:ln>
                      <a:noFill/>
                    </a:ln>
                  </pic:spPr>
                </pic:pic>
              </a:graphicData>
            </a:graphic>
          </wp:inline>
        </w:drawing>
      </w:r>
    </w:p>
    <w:p w:rsidR="005D1052" w:rsidRPr="0078220B" w:rsidRDefault="005D1052" w:rsidP="005D1052">
      <w:pPr>
        <w:pStyle w:val="Caption"/>
        <w:rPr>
          <w:b w:val="0"/>
        </w:rPr>
      </w:pPr>
      <w:bookmarkStart w:id="412" w:name="_Ref312160991"/>
      <w:bookmarkStart w:id="413" w:name="_Toc438590841"/>
      <w:bookmarkStart w:id="414" w:name="_Toc445718847"/>
      <w:r w:rsidRPr="00754905">
        <w:t xml:space="preserve">Figure </w:t>
      </w:r>
      <w:fldSimple w:instr=" STYLEREF 1 \s ">
        <w:r w:rsidR="00924C7D">
          <w:rPr>
            <w:noProof/>
          </w:rPr>
          <w:t>4</w:t>
        </w:r>
      </w:fldSimple>
      <w:r>
        <w:noBreakHyphen/>
      </w:r>
      <w:fldSimple w:instr=" SEQ Figure \* ARABIC \s 1 ">
        <w:r w:rsidR="00924C7D">
          <w:rPr>
            <w:noProof/>
          </w:rPr>
          <w:t>25</w:t>
        </w:r>
      </w:fldSimple>
      <w:bookmarkEnd w:id="412"/>
      <w:r>
        <w:rPr>
          <w:noProof/>
        </w:rPr>
        <w:t xml:space="preserve"> </w:t>
      </w:r>
      <w:r w:rsidRPr="0078220B">
        <w:rPr>
          <w:b w:val="0"/>
          <w:noProof/>
        </w:rPr>
        <w:t>Cell motion and velocity in two scaffold regions (1) and (2) using PTV (a) and CFD (b) methods.</w:t>
      </w:r>
      <w:bookmarkEnd w:id="413"/>
      <w:bookmarkEnd w:id="414"/>
    </w:p>
    <w:p w:rsidR="005D1052" w:rsidRPr="008E2D17" w:rsidRDefault="005D1052" w:rsidP="005D1052">
      <w:pPr>
        <w:pStyle w:val="Heading2"/>
      </w:pPr>
      <w:bookmarkStart w:id="415" w:name="_Toc310605626"/>
      <w:bookmarkStart w:id="416" w:name="_Toc310605921"/>
      <w:bookmarkStart w:id="417" w:name="_Toc440823260"/>
      <w:r w:rsidRPr="008E2D17">
        <w:t>Discussion</w:t>
      </w:r>
      <w:bookmarkEnd w:id="415"/>
      <w:bookmarkEnd w:id="416"/>
      <w:bookmarkEnd w:id="417"/>
    </w:p>
    <w:p w:rsidR="005D1052" w:rsidRPr="008E2D17" w:rsidRDefault="005D1052" w:rsidP="005D1052">
      <w:pPr>
        <w:pStyle w:val="Heading3"/>
      </w:pPr>
      <w:bookmarkStart w:id="418" w:name="_Toc310605627"/>
      <w:bookmarkStart w:id="419" w:name="_Toc310605922"/>
      <w:bookmarkStart w:id="420" w:name="_Toc440823261"/>
      <w:r w:rsidRPr="008E2D17">
        <w:t>Characterization of the local fluid flow inside the scaffold</w:t>
      </w:r>
      <w:bookmarkEnd w:id="418"/>
      <w:bookmarkEnd w:id="419"/>
      <w:bookmarkEnd w:id="420"/>
    </w:p>
    <w:p w:rsidR="005D1052" w:rsidRPr="00833E6B" w:rsidRDefault="005D1052" w:rsidP="005D1052">
      <w:pPr>
        <w:pStyle w:val="Heading4"/>
      </w:pPr>
      <w:bookmarkStart w:id="421" w:name="_Toc440823262"/>
      <w:r w:rsidRPr="006006CC">
        <w:sym w:font="Symbol" w:char="F06D"/>
      </w:r>
      <w:r>
        <w:t>PIV experiments</w:t>
      </w:r>
      <w:bookmarkEnd w:id="421"/>
    </w:p>
    <w:p w:rsidR="005D1052" w:rsidRDefault="005D1052" w:rsidP="005D1052">
      <w:r>
        <w:t xml:space="preserve">First, the initial fluid flow conditions for cell seeding inside a non-transparent 3D scaffold were investigated </w:t>
      </w:r>
      <w:r w:rsidRPr="002F3DCB">
        <w:t xml:space="preserve">by </w:t>
      </w:r>
      <w:r w:rsidRPr="002F3DCB">
        <w:sym w:font="Symbol" w:char="F06D"/>
      </w:r>
      <w:r w:rsidRPr="002F3DCB">
        <w:t>PIV methods</w:t>
      </w:r>
      <w:r w:rsidRPr="001A68DF">
        <w:t>.</w:t>
      </w:r>
      <w:r>
        <w:t xml:space="preserve"> </w:t>
      </w:r>
      <w:r w:rsidRPr="00D45CB1">
        <w:t xml:space="preserve">The depth of field of the </w:t>
      </w:r>
      <w:r w:rsidRPr="00D45CB1">
        <w:sym w:font="Symbol" w:char="F06D"/>
      </w:r>
      <w:r w:rsidRPr="00D45CB1">
        <w:t xml:space="preserve">PIV system </w:t>
      </w:r>
      <w:r>
        <w:t>permitted</w:t>
      </w:r>
      <w:r w:rsidRPr="00D45CB1">
        <w:t xml:space="preserve"> </w:t>
      </w:r>
      <w:r>
        <w:t>to</w:t>
      </w:r>
      <w:r w:rsidRPr="009616E7">
        <w:t xml:space="preserve"> </w:t>
      </w:r>
      <w:r w:rsidRPr="00FA678F">
        <w:t>focus the working plane within the first layer of pores</w:t>
      </w:r>
      <w:r>
        <w:t xml:space="preserve"> of the trimmed </w:t>
      </w:r>
      <w:r>
        <w:lastRenderedPageBreak/>
        <w:t xml:space="preserve">scaffold that consisted of a series of vertical and horizontal fibres arranged in 3D. Despite the 3D configuration of the observed pores and the expected 3D displacements of the tracer particles, the velocity of the fluid flow mainly had in-plane </w:t>
      </w:r>
      <w:r w:rsidRPr="00FD3CB4">
        <w:t>components.</w:t>
      </w:r>
      <w:r>
        <w:t xml:space="preserve"> T</w:t>
      </w:r>
      <w:r w:rsidRPr="00FD3CB4">
        <w:t>he</w:t>
      </w:r>
      <w:r>
        <w:t xml:space="preserve"> observed region was sufficiently close to the flat surface at the bottom of the channel which induces the local </w:t>
      </w:r>
      <w:r w:rsidRPr="00BD307C">
        <w:t xml:space="preserve">fluid </w:t>
      </w:r>
      <w:r>
        <w:t>flow to be parallel to this surface and to the working focus plane</w:t>
      </w:r>
      <w:r w:rsidRPr="00446C6D">
        <w:t>.</w:t>
      </w:r>
      <w:r>
        <w:t xml:space="preserve"> Thus, </w:t>
      </w:r>
      <w:r w:rsidRPr="00FD3CB4">
        <w:t xml:space="preserve">the conventional </w:t>
      </w:r>
      <w:r w:rsidRPr="00FD3CB4">
        <w:sym w:font="Symbol" w:char="F06D"/>
      </w:r>
      <w:r w:rsidRPr="00FD3CB4">
        <w:t>PIV system used</w:t>
      </w:r>
      <w:r>
        <w:t xml:space="preserve"> in this study that only can measure 2D particles displacements could serve to analyse the fluid flow velocities inside the 3D pores of the selected scaffold. The main velocity profiles inside the scaffold were described; the fluid velocities between the vertical fibres are higher at the centre of the pore and the effect of the horizontal fibre on the velocity gradients over the pore depth could be observed.</w:t>
      </w:r>
    </w:p>
    <w:p w:rsidR="005D1052" w:rsidRPr="00833E6B" w:rsidRDefault="005D1052" w:rsidP="005D1052">
      <w:pPr>
        <w:pStyle w:val="Heading4"/>
      </w:pPr>
      <w:bookmarkStart w:id="422" w:name="_Toc440823263"/>
      <w:r>
        <w:t xml:space="preserve">Computational simulations and comparison with </w:t>
      </w:r>
      <w:r w:rsidRPr="006006CC">
        <w:sym w:font="Symbol" w:char="F06D"/>
      </w:r>
      <w:r>
        <w:t>PIV experimental results</w:t>
      </w:r>
      <w:bookmarkEnd w:id="422"/>
    </w:p>
    <w:p w:rsidR="005D1052" w:rsidRDefault="005D1052" w:rsidP="005D1052">
      <w:r>
        <w:t xml:space="preserve">The scope of this study was to investigate the capability of the CFD model to predict the local fluid velocities and to obtain representative data of the effect of the pore geometry on the fluid flow. However, as discussed by </w:t>
      </w:r>
      <w:r w:rsidRPr="00E165DA">
        <w:t xml:space="preserve">Campos Marin and Lacroix </w:t>
      </w:r>
      <w:r w:rsidRPr="00E165DA">
        <w:fldChar w:fldCharType="begin" w:fldLock="1"/>
      </w:r>
      <w:r>
        <w:instrText>ADDIN CSL_CITATION { "citationItems" : [ { "id" : "ITEM-1", "itemData" : { "DOI" : "10.1098/rsfs.2014.0097", "author" : [ { "family" : "Campos Marin", "given" : "a." }, { "family" : "Lacroix", "given" : "D" } ], "container-title" : "Interface Focus", "id" : "ITEM-1", "issued" : { "date-parts" : [ [ "2015" ] ] }, "page" : "20140097-20140097", "title" : "The inter-sample structural variability of regular tissue-engineered scaffolds significantly affects the micromechanical local cell environment", "type" : "article-journal", "volume" : "5" }, "uris" : [ "http://www.mendeley.com/documents/?uuid=a6e3b828-966f-4460-937e-e3c135c11fc2" ] } ], "mendeley" : { "formattedCitation" : "[170]", "plainTextFormattedCitation" : "[170]", "previouslyFormattedCitation" : "[171]" }, "properties" : { "noteIndex" : 0 }, "schema" : "https://github.com/citation-style-language/schema/raw/master/csl-citation.json" }</w:instrText>
      </w:r>
      <w:r w:rsidRPr="00E165DA">
        <w:fldChar w:fldCharType="separate"/>
      </w:r>
      <w:r w:rsidRPr="00A15EFA">
        <w:rPr>
          <w:noProof/>
        </w:rPr>
        <w:t>[171]</w:t>
      </w:r>
      <w:r w:rsidRPr="00E165DA">
        <w:fldChar w:fldCharType="end"/>
      </w:r>
      <w:r w:rsidRPr="00E165DA">
        <w:t xml:space="preserve"> variability in terms of pore velocities can be expected from pore to pore and from scaffold to scaffold due to alterations in scaffold micro</w:t>
      </w:r>
      <w:r>
        <w:t xml:space="preserve">-architecture during the fabrication process. For this reason, </w:t>
      </w:r>
      <w:r w:rsidRPr="00FD3CB4">
        <w:t xml:space="preserve">the </w:t>
      </w:r>
      <w:r w:rsidRPr="00FD3CB4">
        <w:sym w:font="Symbol" w:char="F06D"/>
      </w:r>
      <w:r w:rsidRPr="00FD3CB4">
        <w:t>CT</w:t>
      </w:r>
      <w:r>
        <w:t xml:space="preserve">-based geometry of the scaffold used in the experiment was included in CFD model to be able to analyse the same region using both techniques. As a result, the CFD could predict well the main velocity behaviour found using </w:t>
      </w:r>
      <w:r w:rsidRPr="00FD3CB4">
        <w:t xml:space="preserve">the </w:t>
      </w:r>
      <w:r w:rsidRPr="00FD3CB4">
        <w:sym w:font="Symbol" w:char="F06D"/>
      </w:r>
      <w:r w:rsidRPr="00FD3CB4">
        <w:t>PIV system</w:t>
      </w:r>
      <w:r>
        <w:t xml:space="preserve"> showing the potential of this CFD tool to define the initial fluid flow conditions at the pore level for cell seeding. However, in terms of velocity magnitude, it is observed that close to the walls </w:t>
      </w:r>
      <w:r>
        <w:sym w:font="Symbol" w:char="F06D"/>
      </w:r>
      <w:r>
        <w:t xml:space="preserve">PIV-calculated velocities are non-zero. This can be explained by the </w:t>
      </w:r>
      <w:r w:rsidR="00C032D6">
        <w:t xml:space="preserve">scaffold brightness </w:t>
      </w:r>
      <w:r w:rsidR="00C032D6" w:rsidRPr="00C032D6">
        <w:t>which contributes to the velocity maps calculations. As consequence, the PIV doesn't have enough resolution to resolve the velocity field close to the walls</w:t>
      </w:r>
      <w:r>
        <w:t>.</w:t>
      </w:r>
      <w:r w:rsidRPr="00CC27EC">
        <w:t xml:space="preserve"> </w:t>
      </w:r>
      <w:r w:rsidRPr="008A4A25">
        <w:t>In addition, when analysing the velocity maps close to the horizontal fibre</w:t>
      </w:r>
      <w:r>
        <w:t>,</w:t>
      </w:r>
      <w:r w:rsidRPr="008A4A25">
        <w:t xml:space="preserve"> the selection of the exact </w:t>
      </w:r>
      <w:r w:rsidRPr="008A4A25">
        <w:sym w:font="Symbol" w:char="F06D"/>
      </w:r>
      <w:r w:rsidRPr="008A4A25">
        <w:t xml:space="preserve">PIV focus plane in the CFD is critical for </w:t>
      </w:r>
      <w:r w:rsidRPr="008A4A25">
        <w:lastRenderedPageBreak/>
        <w:t>the adequate comparison of both methods. Furthermore, the realistic position of the trimmed scaffold inside the channel is unknown and cannot b</w:t>
      </w:r>
      <w:r>
        <w:t>e incorporated in the CFD model.</w:t>
      </w:r>
      <w:r w:rsidRPr="008A4A25">
        <w:t xml:space="preserve"> </w:t>
      </w:r>
      <w:r>
        <w:t xml:space="preserve">Empty spaces between the scaffold and the channel walls or the scaffold orientation with respect to the channel and the flow direction could significantly alter the local fluid dynamics. This could explain some of the disagreements found in terms of velocity magnitude. Nevertheless, these velocity profiles are expected to be repeated in all scaffold pores although with possibly significant variance in terms of magnitude in the presence of geometrical defects or microstructural variability. </w:t>
      </w:r>
      <w:r w:rsidRPr="003F24A7">
        <w:t xml:space="preserve">The analysis of more pores would be beneficial </w:t>
      </w:r>
      <w:r>
        <w:t xml:space="preserve">to obtain statistical significant data but the working fluid stained the scaffold over time thereby being unable to re-use the scaffold in more experiments. </w:t>
      </w:r>
    </w:p>
    <w:p w:rsidR="005D1052" w:rsidRPr="008E2D17" w:rsidRDefault="005D1052" w:rsidP="005D1052">
      <w:pPr>
        <w:pStyle w:val="Heading3"/>
      </w:pPr>
      <w:bookmarkStart w:id="423" w:name="_Toc310605628"/>
      <w:bookmarkStart w:id="424" w:name="_Toc310605923"/>
      <w:bookmarkStart w:id="425" w:name="_Toc440823264"/>
      <w:r w:rsidRPr="008E2D17">
        <w:t xml:space="preserve">Cell transport inside </w:t>
      </w:r>
      <w:r>
        <w:t xml:space="preserve">the </w:t>
      </w:r>
      <w:r w:rsidRPr="008E2D17">
        <w:t>scaffold</w:t>
      </w:r>
      <w:bookmarkEnd w:id="423"/>
      <w:bookmarkEnd w:id="424"/>
      <w:bookmarkEnd w:id="425"/>
    </w:p>
    <w:p w:rsidR="005D1052" w:rsidRPr="00833E6B" w:rsidRDefault="005D1052" w:rsidP="005D1052">
      <w:pPr>
        <w:pStyle w:val="Heading4"/>
      </w:pPr>
      <w:bookmarkStart w:id="426" w:name="_Toc440823265"/>
      <w:r>
        <w:t>PTV experiments</w:t>
      </w:r>
      <w:bookmarkEnd w:id="426"/>
    </w:p>
    <w:p w:rsidR="005D1052" w:rsidRDefault="005D1052" w:rsidP="005D1052">
      <w:r>
        <w:t xml:space="preserve">To measure the motion of cells inside the scaffold labelled cells suspended in culture media were infused in the micro-channel and tracked along time and space by following a PTV approach. No cell adhesion on scaffold surface was observed in the experiments. Cells mainly followed the fluid streamlines showing that the main driving force on cell motion is the fluid drag force that overcomes other possible physical factors such as Vander Waals forces, Brownian motion or electrostatics. It is noteworthy that experimental conditions were not the most suitable for cell attachment since the scaffold surface was not treated to promote cell adhesion, the experiments were not performed under controlled temperature and humidity conditions and no scaffold sterilization was performed. However, cells do not impact the fibres due to the strong effect of the fluid flow on cell motion so even under the most adequate bio-chemical seeding conditions if there is no interception between cells and scaffold substrate no chemical signalling for cell adhesion could occur. Nevertheless, a sensitivity analysis </w:t>
      </w:r>
      <w:r>
        <w:lastRenderedPageBreak/>
        <w:t xml:space="preserve">where the bio-chemical conditions are controlled would provide a deeper insight in the actual effect of the fluid drag force over other forces. </w:t>
      </w:r>
    </w:p>
    <w:p w:rsidR="005D1052" w:rsidRDefault="005D1052" w:rsidP="005D1052">
      <w:r w:rsidRPr="00FE0CED">
        <w:t xml:space="preserve">As </w:t>
      </w:r>
      <w:r>
        <w:t xml:space="preserve">shown </w:t>
      </w:r>
      <w:r w:rsidRPr="00606267">
        <w:t>in</w:t>
      </w:r>
      <w:r>
        <w:t xml:space="preserve"> Chapter 3</w:t>
      </w:r>
      <w:r w:rsidRPr="00606267">
        <w:t>,</w:t>
      </w:r>
      <w:r w:rsidRPr="00FE0CED">
        <w:t xml:space="preserve"> pore size is not constant throughout the scaffold microstructure and this </w:t>
      </w:r>
      <w:r>
        <w:t>affects</w:t>
      </w:r>
      <w:r w:rsidRPr="00FE0CED">
        <w:t xml:space="preserve"> cell seeding as more cells</w:t>
      </w:r>
      <w:r>
        <w:t xml:space="preserve"> tend to</w:t>
      </w:r>
      <w:r w:rsidRPr="00FE0CED">
        <w:t xml:space="preserve"> travel to bigger pores resulting </w:t>
      </w:r>
      <w:r>
        <w:t>i</w:t>
      </w:r>
      <w:r w:rsidRPr="00FE0CED">
        <w:t xml:space="preserve">n irregular distribution of </w:t>
      </w:r>
      <w:r>
        <w:t xml:space="preserve">the </w:t>
      </w:r>
      <w:r w:rsidRPr="00FE0CED">
        <w:t>cells inside the scaffold. In principle, the scaffold used for this study should provide a regular microstructure so homogeneous cell seeding would be expected</w:t>
      </w:r>
      <w:r w:rsidRPr="006A01A3">
        <w:t>. In addition to the irregular distribution of cells, higher frequency of cells traveling is found in the streamlines that pass by the centre of the pores far from the scaffold substrate where fluid velocities are higher</w:t>
      </w:r>
      <w:r>
        <w:t>,</w:t>
      </w:r>
      <w:r w:rsidRPr="006A01A3">
        <w:t xml:space="preserve"> as shown previously in </w:t>
      </w:r>
      <w:r>
        <w:rPr>
          <w:highlight w:val="yellow"/>
        </w:rPr>
        <w:fldChar w:fldCharType="begin"/>
      </w:r>
      <w:r>
        <w:instrText xml:space="preserve"> REF _Ref312160325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19</w:t>
      </w:r>
      <w:r>
        <w:rPr>
          <w:highlight w:val="yellow"/>
        </w:rPr>
        <w:fldChar w:fldCharType="end"/>
      </w:r>
      <w:r w:rsidRPr="006A01A3">
        <w:t>.</w:t>
      </w:r>
      <w:r>
        <w:t xml:space="preserve"> This fact reduces the possibility of cells to interact with scaffold substrate preventing cell adhesion. However, a better insight into the interaction between the fluid flow and cell motion could be obtained by combining tracer particles and labelled cells in the working fluid simultaneously. Unfortunately, this strategy normally requires more than one filter to separate the fluorescence from labelled cells and tracer particles. </w:t>
      </w:r>
    </w:p>
    <w:p w:rsidR="005D1052" w:rsidRDefault="005D1052" w:rsidP="005D1052">
      <w:r w:rsidRPr="00F653F8">
        <w:t>In this study, a manual method for cell tracking was applied using MtrackJ plugin from ImageJ. However, in</w:t>
      </w:r>
      <w:r>
        <w:t xml:space="preserve"> the</w:t>
      </w:r>
      <w:r w:rsidRPr="00F653F8">
        <w:t xml:space="preserve"> literature there are other studies where automatic tracking methods were developed such </w:t>
      </w:r>
      <w:r w:rsidRPr="007803C0">
        <w:t xml:space="preserve">as Pinho et al. </w:t>
      </w:r>
      <w:r>
        <w:fldChar w:fldCharType="begin" w:fldLock="1"/>
      </w:r>
      <w:r>
        <w:instrText>ADDIN CSL_CITATION { "citationItems" : [ { "id" : "ITEM-1", "itemData" : { "DOI" : "10.1002/cnm.2526", "author" : [ { "family" : "Pinho", "given" : "Diana" }, { "family" : "Lima", "given" : "Rui" }, { "family" : "Pereira", "given" : "Ana I" }, { "family" : "Gayubo", "given" : "Fernando" } ], "container-title" : "International Journal for Numerical Methods in Biomedical Engineering", "id" : "ITEM-1", "issue" : "9", "issued" : { "date-parts" : [ [ "2013" ] ] }, "page" : "977-987", "title" : "Automatic tracking of labeled red blood cells in microchannels", "type" : "article-journal", "volume" : "29" }, "uris" : [ "http://www.mendeley.com/documents/?uuid=ab7d6d64-fc4b-4831-83bd-b96b403fa8da" ] } ], "mendeley" : { "formattedCitation" : "[171]", "plainTextFormattedCitation" : "[171]", "previouslyFormattedCitation" : "[172]" }, "properties" : { "noteIndex" : 0 }, "schema" : "https://github.com/citation-style-language/schema/raw/master/csl-citation.json" }</w:instrText>
      </w:r>
      <w:r>
        <w:fldChar w:fldCharType="separate"/>
      </w:r>
      <w:r w:rsidRPr="00A15EFA">
        <w:rPr>
          <w:noProof/>
        </w:rPr>
        <w:t>[172]</w:t>
      </w:r>
      <w:r>
        <w:fldChar w:fldCharType="end"/>
      </w:r>
      <w:r>
        <w:t xml:space="preserve"> who</w:t>
      </w:r>
      <w:r w:rsidRPr="00F653F8">
        <w:t xml:space="preserve"> proposed a method able to compute multiple trajectories in a time effective manner providing measurements with no significant difference with the manual tracking used herein. Nevertheless, the development of automatic tracking algorithms was out of the scope of this study and MtrackJ was considered accurate enough to track labelled cells.</w:t>
      </w:r>
      <w:r>
        <w:t xml:space="preserve"> Regarding the measured velocities of cells, it is noteworthy </w:t>
      </w:r>
      <w:r w:rsidRPr="00B004A6">
        <w:t xml:space="preserve">that </w:t>
      </w:r>
      <w:r w:rsidRPr="00921B8B">
        <w:t>the DOC is</w:t>
      </w:r>
      <w:r w:rsidRPr="00B004A6">
        <w:t xml:space="preserve"> increased </w:t>
      </w:r>
      <w:r>
        <w:t xml:space="preserve">from </w:t>
      </w:r>
      <w:r w:rsidRPr="006515DD">
        <w:t xml:space="preserve">25 </w:t>
      </w:r>
      <w:r w:rsidRPr="006515DD">
        <w:sym w:font="Symbol" w:char="F06D"/>
      </w:r>
      <w:r w:rsidRPr="006515DD">
        <w:t xml:space="preserve">m up to 100 </w:t>
      </w:r>
      <w:r w:rsidRPr="006515DD">
        <w:sym w:font="Symbol" w:char="F06D"/>
      </w:r>
      <w:r w:rsidRPr="006515DD">
        <w:t xml:space="preserve">m when using cells as cell size is ten times bigger than the tracer particles used for the </w:t>
      </w:r>
      <w:r w:rsidRPr="006515DD">
        <w:sym w:font="Symbol" w:char="F06D"/>
      </w:r>
      <w:r w:rsidRPr="006515DD">
        <w:t>PIV experiments. Thus, cells moving away with perpendicular component to the focus plane</w:t>
      </w:r>
      <w:r>
        <w:t xml:space="preserve"> can be observed in the captured images and this can lead to misleading cell velocity measurements. For instance, cell velocity in region 1 from </w:t>
      </w:r>
      <w:r>
        <w:rPr>
          <w:highlight w:val="yellow"/>
        </w:rPr>
        <w:fldChar w:fldCharType="begin"/>
      </w:r>
      <w:r>
        <w:instrText xml:space="preserve"> REF _Ref312160935 \h </w:instrText>
      </w:r>
      <w:r>
        <w:rPr>
          <w:highlight w:val="yellow"/>
        </w:rPr>
      </w:r>
      <w:r>
        <w:rPr>
          <w:highlight w:val="yellow"/>
        </w:rPr>
        <w:fldChar w:fldCharType="separate"/>
      </w:r>
      <w:r w:rsidR="00924C7D" w:rsidRPr="003D2CB3">
        <w:t xml:space="preserve">Figure </w:t>
      </w:r>
      <w:r w:rsidR="00924C7D">
        <w:rPr>
          <w:noProof/>
        </w:rPr>
        <w:t>4</w:t>
      </w:r>
      <w:r w:rsidR="00924C7D">
        <w:noBreakHyphen/>
      </w:r>
      <w:r w:rsidR="00924C7D">
        <w:rPr>
          <w:noProof/>
        </w:rPr>
        <w:t>22</w:t>
      </w:r>
      <w:r>
        <w:rPr>
          <w:highlight w:val="yellow"/>
        </w:rPr>
        <w:fldChar w:fldCharType="end"/>
      </w:r>
      <w:r>
        <w:t xml:space="preserve"> is lower than in region 2 although the path observed in region 1 can be merely the projection of an out of plane trajectory of the cell that moves around the </w:t>
      </w:r>
      <w:r>
        <w:lastRenderedPageBreak/>
        <w:t xml:space="preserve">horizontal fibre. This limitation could be addressed by using calibration methods for PTV applications such as the one presented by </w:t>
      </w:r>
      <w:r w:rsidRPr="003F1EBD">
        <w:t>Winer et al</w:t>
      </w:r>
      <w:r>
        <w:t>.</w:t>
      </w:r>
      <w:r w:rsidRPr="003F1EBD">
        <w:t xml:space="preserve"> </w:t>
      </w:r>
      <w:r w:rsidRPr="003F1EBD">
        <w:fldChar w:fldCharType="begin" w:fldLock="1"/>
      </w:r>
      <w:r>
        <w:instrText>ADDIN CSL_CITATION { "citationItems" : [ { "id" : "ITEM-1", "itemData" : { "DOI" : "10.1039/c3lc51352a", "author" : [ { "family" : "Winer", "given" : "Michael H" }, { "family" : "Ahmadi", "given" : "Ali" }, { "family" : "Cheung", "given" : "Karen C" } ], "id" : "ITEM-1", "issued" : { "date-parts" : [ [ "2014" ] ] }, "page" : "1443-1451", "title" : "Lab on a Chip tracking method to microfluidic particle focusing \u2020", "type" : "article-journal" }, "uris" : [ "http://www.mendeley.com/documents/?uuid=124c2da9-0087-43a7-b305-07ff8b3c30b5" ] } ], "mendeley" : { "formattedCitation" : "[172]", "plainTextFormattedCitation" : "[172]", "previouslyFormattedCitation" : "[173]" }, "properties" : { "noteIndex" : 0 }, "schema" : "https://github.com/citation-style-language/schema/raw/master/csl-citation.json" }</w:instrText>
      </w:r>
      <w:r w:rsidRPr="003F1EBD">
        <w:fldChar w:fldCharType="separate"/>
      </w:r>
      <w:r w:rsidRPr="00A15EFA">
        <w:rPr>
          <w:noProof/>
        </w:rPr>
        <w:t>[173]</w:t>
      </w:r>
      <w:r w:rsidRPr="003F1EBD">
        <w:fldChar w:fldCharType="end"/>
      </w:r>
      <w:r w:rsidRPr="003F1EBD">
        <w:t xml:space="preserve"> where</w:t>
      </w:r>
      <w:r>
        <w:t xml:space="preserve"> the</w:t>
      </w:r>
      <w:r w:rsidRPr="00292BF3">
        <w:t xml:space="preserve"> </w:t>
      </w:r>
      <w:r>
        <w:t xml:space="preserve">particle z-position is correlated to its apparent diameter. </w:t>
      </w:r>
    </w:p>
    <w:p w:rsidR="005D1052" w:rsidRPr="006A01A3" w:rsidRDefault="005D1052" w:rsidP="005D1052">
      <w:r>
        <w:t>Even though only 2D velocities could be measured, the velocities of cells were calculated for each sequence. Significant differences were found in terms of velocity magnitude with up to 50 times difference when analysing different regions inside the same scaffold. That can be again consequence of the intrinsic scaffold variability yielding in undesired cell seeding outcomes.</w:t>
      </w:r>
    </w:p>
    <w:p w:rsidR="005D1052" w:rsidRPr="00833E6B" w:rsidRDefault="005D1052" w:rsidP="005D1052">
      <w:pPr>
        <w:pStyle w:val="Heading4"/>
      </w:pPr>
      <w:bookmarkStart w:id="427" w:name="_Toc440823266"/>
      <w:r>
        <w:t>Computational simulations and comparison with PTV experimental results</w:t>
      </w:r>
      <w:bookmarkEnd w:id="427"/>
    </w:p>
    <w:p w:rsidR="005D1052" w:rsidRDefault="005D1052" w:rsidP="005D1052">
      <w:r>
        <w:t>The initial CFD model was further developed to predict cell motion inside the scaffold under perfusion conditions by introducing a discrete phase of particles that represent the cells. The experimental tests with cells were essential to understand the effect of the local fluid dynamics on cell transport and cell deposition on scaffold fibres and to configure the final CFD model. First, as cell sedimentation was observed, this effect was included in the computational DPM model by defining the micro particles with higher density than the culture media. Few studies in literature have attempted to measure the density of cells finding that values for cells such as human lung cancer cells (H1650), mouse lymphoblastic leukemia (L1210) or yeast cells are slightly higher than culture media (1000 kg/m</w:t>
      </w:r>
      <w:r w:rsidRPr="00D24886">
        <w:rPr>
          <w:vertAlign w:val="superscript"/>
        </w:rPr>
        <w:t>3</w:t>
      </w:r>
      <w:r>
        <w:t xml:space="preserve">) </w:t>
      </w:r>
      <w:r w:rsidRPr="009832DC">
        <w:fldChar w:fldCharType="begin" w:fldLock="1"/>
      </w:r>
      <w:r>
        <w:instrText>ADDIN CSL_CITATION { "citationItems" : [ { "id" : "ITEM-1", "itemData" : { "DOI" : "10.1039/c3lc51022k", "abstract" : "Cell size, measured as either volume or mass, is a fundamental indicator of cell state. Far more tightly regulated than size is density, the ratio between mass and volume, which can be used to distinguish between cell populations even when volume and mass appear to remain constant. Here we expand upon a previous method for measuring cell density involving a suspended microchannel resonator (SMR). We introduce a new device, the dual SMR, as a high-precision instrument for measuring single-cell mass, volume, and density using two resonators connected by a serpentine fluidic channel. The dual SMR designs considered herein demonstrate the critical role of channel geometry in ensuring proper mixing and damping of pressure fluctuations in microfluidic systems designed for precision measurement. We use the dual SMR to compare the physical properties of two well-known cancer cell lines: human lung cancer cell H1650 and mouse lymphoblastic leukemia cell line L1210.", "author" : [ { "family" : "Bryan", "given" : "Andrea K" }, { "family" : "Hecht", "given" : "Vivian C" }, { "family" : "Shen", "given" : "Wenjiang" }, { "family" : "Payer", "given" : "Kristofor" }, { "family" : "Grover", "given" : "William H" }, { "family" : "Manalis", "given" : "Scott R" } ], "container-title" : "Lab on a chip", "id" : "ITEM-1", "issue" : "3", "issued" : { "date-parts" : [ [ "2014", "2", "7" ] ] }, "note" : "cell density measurement", "page" : "569-76", "title" : "Measuring single cell mass, volume, and density with dual suspended microchannel resonators.", "type" : "article-journal", "volume" : "14" }, "uris" : [ "http://www.mendeley.com/documents/?uuid=2f6764e8-4993-4986-897d-bba9cf023c96" ] } ], "mendeley" : { "formattedCitation" : "[167]", "manualFormatting" : "[166", "plainTextFormattedCitation" : "[167]", "previouslyFormattedCitation" : "[168]" }, "properties" : { "noteIndex" : 0 }, "schema" : "https://github.com/citation-style-language/schema/raw/master/csl-citation.json" }</w:instrText>
      </w:r>
      <w:r w:rsidRPr="009832DC">
        <w:fldChar w:fldCharType="separate"/>
      </w:r>
      <w:r w:rsidRPr="009832DC">
        <w:rPr>
          <w:noProof/>
        </w:rPr>
        <w:t>[1</w:t>
      </w:r>
      <w:r w:rsidR="00FD29F4">
        <w:rPr>
          <w:noProof/>
        </w:rPr>
        <w:t>68</w:t>
      </w:r>
      <w:r w:rsidRPr="009832DC">
        <w:fldChar w:fldCharType="end"/>
      </w:r>
      <w:r>
        <w:t xml:space="preserve">, </w:t>
      </w:r>
      <w:r w:rsidRPr="009832DC">
        <w:fldChar w:fldCharType="begin" w:fldLock="1"/>
      </w:r>
      <w:r w:rsidR="00FD29F4">
        <w:instrText>ADDIN CSL_CITATION { "citationItems" : [ { "id" : "ITEM-1", "itemData" : { "DOI" : "10.1039/C4LC00795F", "ISSN" : "1473-0197", "author" : [ { "dropping-particle" : "", "family" : "Zhao", "given" : "Yuliang", "non-dropping-particle" : "", "parse-names" : false, "suffix" : "" }, { "dropping-particle" : "", "family" : "Lai", "given" : "Hok Sum Sam", "non-dropping-particle" : "", "parse-names" : false, "suffix" : "" }, { "dropping-particle" : "", "family" : "Zhang", "given" : "Guanglie", "non-dropping-particle" : "", "parse-names" : false, "suffix" : "" }, { "dropping-particle" : "", "family" : "Lee", "given" : "Gwo-Bin", "non-dropping-particle" : "", "parse-names" : false, "suffix" : "" }, { "dropping-particle" : "", "family" : "Li", "given" : "Wen J.", "non-dropping-particle" : "", "parse-names" : false, "suffix" : "" } ], "container-title" : "Lab Chip", "id" : "ITEM-1", "issued" : { "date-parts" : [ [ "2014", "9", "4" ] ] }, "note" : "cell density measurement", "publisher" : "Royal Society of Chemistry", "title" : "Rapid Determination of Cell Mass and Density using Digitally-Controlled Electric Field in a Microfluidic Chip", "type" : "article-journal" }, "uris" : [ "http://www.mendeley.com/documents/?uuid=ed4638de-a70d-4d41-9f99-32ca414cd62d" ] } ], "mendeley" : { "formattedCitation" : "[168]", "manualFormatting" : "169]", "plainTextFormattedCitation" : "[168]", "previouslyFormattedCitation" : "[169]" }, "properties" : { "noteIndex" : 0 }, "schema" : "https://github.com/citation-style-language/schema/raw/master/csl-citation.json" }</w:instrText>
      </w:r>
      <w:r w:rsidRPr="009832DC">
        <w:fldChar w:fldCharType="separate"/>
      </w:r>
      <w:r w:rsidRPr="009832DC">
        <w:rPr>
          <w:noProof/>
        </w:rPr>
        <w:t>16</w:t>
      </w:r>
      <w:r w:rsidR="00FD29F4">
        <w:rPr>
          <w:noProof/>
        </w:rPr>
        <w:t>9</w:t>
      </w:r>
      <w:r w:rsidRPr="009832DC">
        <w:rPr>
          <w:noProof/>
        </w:rPr>
        <w:t>]</w:t>
      </w:r>
      <w:r w:rsidRPr="009832DC">
        <w:fldChar w:fldCharType="end"/>
      </w:r>
      <w:r w:rsidRPr="009832DC">
        <w:t>. By</w:t>
      </w:r>
      <w:r>
        <w:t xml:space="preserve"> accounting for this density difference between cells and culture media the model could predict cell sedimentation with regard to the inlet flow rate selected to infuse cells. Both the experiments and the computational model agreed on the fact that for the micro-channel used in this study, flow rates below 50 </w:t>
      </w:r>
      <w:r w:rsidRPr="00131918">
        <w:sym w:font="Symbol" w:char="F06D"/>
      </w:r>
      <w:r w:rsidRPr="00131918">
        <w:t>L/min are</w:t>
      </w:r>
      <w:r>
        <w:t xml:space="preserve"> detrimental for maintaining cells in suspension. Hence, gravity and buoyancy effects were considered in the simulations yielding in realistic results according to the experiments. To model cell-scaffold interactions, cells were set to attach as soon as they impacted on the scaffold wall. This is not a realistic condition since a complex chain of events are involved in cell adhesion phenomena. However, if </w:t>
      </w:r>
      <w:r>
        <w:lastRenderedPageBreak/>
        <w:t>cells do not contact with the scaffold surface they will never adhere. So by knowing the number of cells that are intercepted on the scaffold wall in the computational model, the probability of cell attachment during experiments can be predicted</w:t>
      </w:r>
      <w:r w:rsidRPr="00607BED">
        <w:rPr>
          <w:color w:val="000000" w:themeColor="text1"/>
        </w:rPr>
        <w:t xml:space="preserve">. </w:t>
      </w:r>
      <w:r>
        <w:rPr>
          <w:color w:val="000000" w:themeColor="text1"/>
        </w:rPr>
        <w:t>T</w:t>
      </w:r>
      <w:r w:rsidRPr="00607BED">
        <w:rPr>
          <w:color w:val="000000" w:themeColor="text1"/>
        </w:rPr>
        <w:t xml:space="preserve">he CFD </w:t>
      </w:r>
      <w:r>
        <w:rPr>
          <w:color w:val="000000" w:themeColor="text1"/>
        </w:rPr>
        <w:t>results</w:t>
      </w:r>
      <w:r w:rsidRPr="00607BED">
        <w:rPr>
          <w:color w:val="000000" w:themeColor="text1"/>
        </w:rPr>
        <w:t xml:space="preserve"> </w:t>
      </w:r>
      <w:r>
        <w:rPr>
          <w:color w:val="000000" w:themeColor="text1"/>
        </w:rPr>
        <w:t>showed that the cells follow the fluid streamlines with higher velocities at the centre of the pores</w:t>
      </w:r>
      <w:r w:rsidRPr="00607BED">
        <w:rPr>
          <w:color w:val="000000" w:themeColor="text1"/>
        </w:rPr>
        <w:t xml:space="preserve"> </w:t>
      </w:r>
      <w:r>
        <w:rPr>
          <w:color w:val="000000" w:themeColor="text1"/>
        </w:rPr>
        <w:t>as observed in the PTV experiments. In addition, a low percentage of cells contacting the scaffold substrate was found in the computational model; cells were either lost in the channel due to sedimentation or travelled through the scaffold without touching it passing mainly by the centre of the pores.</w:t>
      </w:r>
      <w:r>
        <w:t xml:space="preserve"> </w:t>
      </w:r>
    </w:p>
    <w:p w:rsidR="005D1052" w:rsidRDefault="005D1052" w:rsidP="005D1052">
      <w:r>
        <w:t xml:space="preserve">The disagreement between the PTV and CFD in terms of cells velocity magnitude can be a consequence of different factors such as the </w:t>
      </w:r>
      <w:r w:rsidRPr="00CC1FFE">
        <w:t>limitation of the µPIV</w:t>
      </w:r>
      <w:r>
        <w:t xml:space="preserve"> system used in this study to measure 3D displacements but also the difficulty of recreating the exact geometrical boundary conditions in the CFD model. T</w:t>
      </w:r>
      <w:r w:rsidRPr="001D055C">
        <w:t>he real location of the scaffold with regard to the channel walls is unknown so there is possibility of finding gaps that can potentially affect the local fluid dynamics and therefore the motion of suspended cells.</w:t>
      </w:r>
      <w:r>
        <w:t xml:space="preserve"> Furthermore, </w:t>
      </w:r>
      <w:r w:rsidRPr="00B20E83">
        <w:t>the µCT-based</w:t>
      </w:r>
      <w:r>
        <w:t xml:space="preserve"> scaffold used in the CFD model was not the same scaffold from the PTV experiments as it could not be re-used due to the increase of its brightness </w:t>
      </w:r>
      <w:r w:rsidRPr="00B20E83">
        <w:t>after the first µ</w:t>
      </w:r>
      <w:r>
        <w:t xml:space="preserve">PIV experiment. </w:t>
      </w:r>
      <w:r w:rsidRPr="00751041">
        <w:t>The new scaffold was trimmed manually resulting in a different shape from the one used in the CFD</w:t>
      </w:r>
      <w:r>
        <w:t xml:space="preserve"> </w:t>
      </w:r>
      <w:r w:rsidRPr="001D055C">
        <w:t>so the exact same scenario could not be replicated.</w:t>
      </w:r>
      <w:r>
        <w:t xml:space="preserve"> Thus, the geometrical boundary conditions of the scaffold used in the CFD can vary from the one of the experiments. Also, repeated PTV </w:t>
      </w:r>
      <w:r w:rsidRPr="00751041">
        <w:t xml:space="preserve">experiments on the same scaffold </w:t>
      </w:r>
      <w:r>
        <w:t>could</w:t>
      </w:r>
      <w:r w:rsidRPr="00751041">
        <w:t xml:space="preserve"> help to gain </w:t>
      </w:r>
      <w:r w:rsidRPr="001D055C">
        <w:t>statistical significance</w:t>
      </w:r>
      <w:r w:rsidRPr="00751041">
        <w:t xml:space="preserve"> but the working fluid with labelled cells stained the scaffold as occurred in the µPIV experiments</w:t>
      </w:r>
      <w:r>
        <w:t xml:space="preserve">. It is important as well to consider the real time </w:t>
      </w:r>
      <w:r w:rsidRPr="00BD22F4">
        <w:t>response of cells to changes in the fluid flow that can be different from the time response of the sphere particles simulated in the CFD model. This parameter depends on the cell density that herein has been estimated based on literature</w:t>
      </w:r>
      <w:r>
        <w:t xml:space="preserve"> data</w:t>
      </w:r>
      <w:r w:rsidRPr="00BD22F4">
        <w:t xml:space="preserve">, and on the fluid viscosity that has not been experimentally measured (particle time response </w:t>
      </w:r>
      <w:r>
        <w:t>explained in</w:t>
      </w:r>
      <w:r w:rsidRPr="00BD22F4">
        <w:t xml:space="preserve"> </w:t>
      </w:r>
      <w:r>
        <w:t>detail</w:t>
      </w:r>
      <w:r w:rsidRPr="00BD22F4">
        <w:t xml:space="preserve"> in </w:t>
      </w:r>
      <w:r w:rsidRPr="00D471B5">
        <w:t xml:space="preserve">section </w:t>
      </w:r>
      <w:r>
        <w:fldChar w:fldCharType="begin"/>
      </w:r>
      <w:r>
        <w:instrText xml:space="preserve"> REF _Ref312169716 \r \h </w:instrText>
      </w:r>
      <w:r>
        <w:fldChar w:fldCharType="separate"/>
      </w:r>
      <w:r w:rsidR="00924C7D">
        <w:t>5.3.4.2.1</w:t>
      </w:r>
      <w:r>
        <w:fldChar w:fldCharType="end"/>
      </w:r>
      <w:r w:rsidRPr="00D471B5">
        <w:t>). Nevertheless</w:t>
      </w:r>
      <w:r>
        <w:t>, this presented computational model shows the potential to predict cell path but it also corroborates the key role of fluid dynamics in cell transport during scaffold cell seeding.</w:t>
      </w:r>
    </w:p>
    <w:p w:rsidR="005D1052" w:rsidRDefault="005D1052" w:rsidP="005D1052">
      <w:r>
        <w:lastRenderedPageBreak/>
        <w:t>I</w:t>
      </w:r>
      <w:r w:rsidRPr="00A837FF">
        <w:t xml:space="preserve">t is noteworthy </w:t>
      </w:r>
      <w:r>
        <w:t>to add that t</w:t>
      </w:r>
      <w:r w:rsidRPr="00FA5AC1">
        <w:t xml:space="preserve">he </w:t>
      </w:r>
      <w:r>
        <w:t xml:space="preserve">CFD </w:t>
      </w:r>
      <w:r w:rsidRPr="00FA5AC1">
        <w:t xml:space="preserve">model does not </w:t>
      </w:r>
      <w:r>
        <w:t>ac</w:t>
      </w:r>
      <w:r w:rsidRPr="00FA5AC1">
        <w:t xml:space="preserve">count </w:t>
      </w:r>
      <w:r>
        <w:t>for cell-cell interactions. This effect becomes significant when cell density increases so there is more probability of cell collision deviating cells from their path and reducing their velocity leading to cell sedimentation or an increase of cells impacting on scaffold substrate. However, the volume fraction ratio of cells in the fluid domain inside the rectangular channel selected for the CFD model is low enough that cell interactions can be neglected. The density of cells suspended in the media in the CFD model couldn’t be matched to the one of the PTV experiments due to an increase of computational cost when adding more cells in the model. Nevertheless, the high density of cells in the PTV experiments and therefore possible cell-to-cell interactions could be another reason why cell velocity calculated in the PTV experiments is lower than in the CFD results.</w:t>
      </w:r>
    </w:p>
    <w:p w:rsidR="005D1052" w:rsidRPr="008E2D17" w:rsidRDefault="005D1052" w:rsidP="005D1052">
      <w:pPr>
        <w:pStyle w:val="Heading3"/>
      </w:pPr>
      <w:bookmarkStart w:id="428" w:name="_Toc310605629"/>
      <w:bookmarkStart w:id="429" w:name="_Toc310605924"/>
      <w:bookmarkStart w:id="430" w:name="_Toc440823267"/>
      <w:r w:rsidRPr="008E2D17">
        <w:t>Computational methods for the optimization of perfusion bioreactors</w:t>
      </w:r>
      <w:bookmarkEnd w:id="428"/>
      <w:bookmarkEnd w:id="429"/>
      <w:bookmarkEnd w:id="430"/>
    </w:p>
    <w:p w:rsidR="005D1052" w:rsidRDefault="005D1052" w:rsidP="005D1052">
      <w:r>
        <w:t xml:space="preserve">Bioreactors need to be designed to promote cell-scaffold collision in order to enhance cell seeding efficiency. In the scenario of this study where more cells travel in the middle of the pores far from the fibres, the combination of perfusion with the rotation of the bioreactor or scaffold could help cells to collide with the scaffold </w:t>
      </w:r>
      <w:r w:rsidRPr="003F1EBD">
        <w:fldChar w:fldCharType="begin" w:fldLock="1"/>
      </w:r>
      <w:r>
        <w:instrText>ADDIN CSL_CITATION { "citationItems" : [ { "id" : "ITEM-1", "itemData" : { "DOI" : "10.1089/ten.TEC.2013.0627", "abstract" : "Tracheal transplantation with a long-segment recellularized tracheal allograft has previously been performed without the need for immunosuppressive therapy. Recipients' mesenchymal stromal cells (MSC) and tracheal epithelial cells (TEC) were harvested, cultured, expanded, and seeded on a donor trachea within a bioreactor. Prior techniques used for cellular seeding have involved only static-seeding methods. Here, we describe a novel bioreactor for recellularization of long-segment tracheae. Tracheae were recellularized with epithelial cells on the luminal surface and bone marrow-derived MSC on the external surface. We used dynamic perfusion seeding for both cell types and demonstrate an increase in both cellular counts and homogeneity scores compared with traditional methods. Despite these improvements, orthotopic transplantation of these scaffolds revealed no labeled cells at postoperative day 3 and lack of re-epithelialization within the first 2 weeks. The animals in this study had postoperative respiratory distress and tracheal collapse that was incompatible with life.", "author" : [ { "family" : "Haykal", "given" : "Siba" }, { "family" : "Salna", "given" : "Michael" }, { "family" : "Zhou", "given" : "Yingzhe" }, { "family" : "Marcus", "given" : "Paula" }, { "family" : "Fatehi", "given" : "Mostafa" }, { "family" : "Frost", "given" : "Geoff" }, { "family" : "Machuca", "given" : "Tiago" }, { "family" : "Hofer", "given" : "Stefan O P" }, { "family" : "Waddell", "given" : "Thomas K" } ], "container-title" : "Tissue engineering. Part C, Methods", "id" : "ITEM-1", "issue" : "8", "issued" : { "date-parts" : [ [ "2014" ] ] }, "page" : "1-12", "title" : "Double-Chamber Rotating Bioreactor for Dynamic Perfusion Cell Seeding of Large-Segment Tracheal Allografts: Comparison to Conventional Static Methods.", "type" : "article-journal", "volume" : "20" }, "uris" : [ "http://www.mendeley.com/documents/?uuid=be96975a-4ecb-4294-85ee-f1b5c603904f" ] } ], "mendeley" : { "formattedCitation" : "[173]", "plainTextFormattedCitation" : "[173]", "previouslyFormattedCitation" : "[174]" }, "properties" : { "noteIndex" : 0 }, "schema" : "https://github.com/citation-style-language/schema/raw/master/csl-citation.json" }</w:instrText>
      </w:r>
      <w:r w:rsidRPr="003F1EBD">
        <w:fldChar w:fldCharType="separate"/>
      </w:r>
      <w:r w:rsidRPr="00A15EFA">
        <w:rPr>
          <w:noProof/>
        </w:rPr>
        <w:t>[174]</w:t>
      </w:r>
      <w:r w:rsidRPr="003F1EBD">
        <w:fldChar w:fldCharType="end"/>
      </w:r>
      <w:r w:rsidRPr="003F1EBD">
        <w:t>.</w:t>
      </w:r>
      <w:r>
        <w:t xml:space="preserve"> This idea has been implemented in the </w:t>
      </w:r>
      <w:r w:rsidRPr="003F1EBD">
        <w:t>study of Melchels et al.</w:t>
      </w:r>
      <w:r w:rsidRPr="003F1EBD">
        <w:rPr>
          <w:b/>
        </w:rPr>
        <w:t xml:space="preserve"> </w:t>
      </w:r>
      <w:r w:rsidRPr="003F1EBD">
        <w:fldChar w:fldCharType="begin" w:fldLock="1"/>
      </w:r>
      <w:r>
        <w:instrText>ADDIN CSL_CITATION { "citationItems" : [ { "id" : "ITEM-1", "itemData" : { "DOI" : "10.1016/j.actbio.2010.06.012", "abstract" : "The advance of rapid prototyping techniques has significantly improved control over the pore network architecture of tissue engineering scaffolds. In this work, we have assessed the influence of scaffold pore architecture on cell seeding and static culturing, by comparing a computer designed gyroid architecture fabricated by stereolithography with a random pore architecture resulting from salt leaching. The scaffold types showed comparable porosity and pore size values, but the gyroid type showed a more than 10-fold higher permeability due to the absence of size-limiting pore interconnections. The higher permeability significantly improved the wetting properties of the hydrophobic scaffolds and increased the settling speed of cells upon static seeding of immortalised mesenchymal stem cells. After dynamic seeding followed by 5 days of static culture gyroid scaffolds showed large cell populations in the centre of the scaffold, while salt-leached scaffolds were covered with a cell sheet on the outside and no cells were found in the scaffold centre. It was shown that interconnectivity of the pores and permeability of the scaffold prolonged the time of static culture before overgrowth of cells at the scaffold periphery occurred. Furthermore, novel scaffold designs are proposed to further improve the transport of oxygen and nutrients throughout the scaffolds and to create tissue engineering grafts with a designed, pre-fabricated vasculature.", "author" : [ { "family" : "Melchels", "given" : "Ferry P W" }, { "family" : "Barradas", "given" : "Ana M C" }, { "family" : "van Blitterswijk", "given" : "Clemens a" }, { "family" : "de Boer", "given" : "Jan" }, { "family" : "Feijen", "given" : "Jan" }, { "family" : "Grijpma", "given" : "Dirk W" } ], "container-title" : "Acta biomaterialia", "id" : "ITEM-1", "issue" : "11", "issued" : { "date-parts" : [ [ "2010", "11" ] ] }, "page" : "4208-17", "publisher" : "Acta Materialia Inc.", "title" : "Effects of the architecture of tissue engineering scaffolds on cell seeding and culturing.", "type" : "article-journal", "volume" : "6" }, "uris" : [ "http://www.mendeley.com/documents/?uuid=b69d4bd6-6bd5-4249-8dc6-96c51ba82286" ] } ], "mendeley" : { "formattedCitation" : "[174]", "plainTextFormattedCitation" : "[174]", "previouslyFormattedCitation" : "[175]" }, "properties" : { "noteIndex" : 0 }, "schema" : "https://github.com/citation-style-language/schema/raw/master/csl-citation.json" }</w:instrText>
      </w:r>
      <w:r w:rsidRPr="003F1EBD">
        <w:fldChar w:fldCharType="separate"/>
      </w:r>
      <w:r w:rsidRPr="00A15EFA">
        <w:rPr>
          <w:noProof/>
        </w:rPr>
        <w:t>[175]</w:t>
      </w:r>
      <w:r w:rsidRPr="003F1EBD">
        <w:fldChar w:fldCharType="end"/>
      </w:r>
      <w:r>
        <w:rPr>
          <w:b/>
        </w:rPr>
        <w:t xml:space="preserve"> </w:t>
      </w:r>
      <w:r>
        <w:t>to analyse</w:t>
      </w:r>
      <w:r w:rsidRPr="00496FB4">
        <w:t xml:space="preserve"> </w:t>
      </w:r>
      <w:r>
        <w:t xml:space="preserve">the seeding performance in a scaffold with </w:t>
      </w:r>
      <w:r w:rsidRPr="00496FB4">
        <w:t xml:space="preserve">regular </w:t>
      </w:r>
      <w:r>
        <w:t xml:space="preserve">pore </w:t>
      </w:r>
      <w:r w:rsidRPr="00496FB4">
        <w:t xml:space="preserve">network </w:t>
      </w:r>
      <w:r>
        <w:t>similar to the one used in the present study</w:t>
      </w:r>
      <w:r w:rsidRPr="00496FB4">
        <w:t>.</w:t>
      </w:r>
      <w:r>
        <w:rPr>
          <w:b/>
        </w:rPr>
        <w:t xml:space="preserve"> </w:t>
      </w:r>
      <w:r>
        <w:t>A</w:t>
      </w:r>
      <w:r w:rsidRPr="00E335CE">
        <w:t xml:space="preserve"> homogeneous cell distribution was found</w:t>
      </w:r>
      <w:r>
        <w:rPr>
          <w:b/>
        </w:rPr>
        <w:t xml:space="preserve"> </w:t>
      </w:r>
      <w:r w:rsidRPr="001923A4">
        <w:t>showing the benefit of this type of configuration</w:t>
      </w:r>
      <w:r>
        <w:t xml:space="preserve"> for seeding. However, the static seeding showed the negative effect of the permeability in the open scaffold where most of the cells travel throughout the scaffold driven by the gravity in the fluid flow without cell attachment. Nonetheless, scaffold permeability is essential to distribute nutrients and oxygen to cells to ensure cell viability. A good solution to maintain scaffold permeability as well as enhance cell entrapment has been presented by </w:t>
      </w:r>
      <w:r w:rsidRPr="003F1EBD">
        <w:t xml:space="preserve">Papadimitropoulos et al. </w:t>
      </w:r>
      <w:r w:rsidRPr="003F1EBD">
        <w:fldChar w:fldCharType="begin" w:fldLock="1"/>
      </w:r>
      <w:r>
        <w:instrText>ADDIN CSL_CITATION { "citationItems" : [ { "id" : "ITEM-1", "itemData" : { "DOI" : "10.1002/term", "author" : [ { "family" : "Papadimitropoulos", "given" : "A" }, { "family" : "Riboldi", "given" : "S A" }, { "family" : "Tonnarelli", "given" : "B" }, { "family" : "Piccinini", "given" : "E" }, { "family" : "Woodruff", "given" : "M A" } ], "id" : "ITEM-1", "issue" : "November 2011", "issued" : { "date-parts" : [ [ "2013" ] ] }, "page" : "183-191", "title" : "A collagen network phase improves cell seeding of open-pore structure scaffolds under perfusion", "type" : "article-journal" }, "uris" : [ "http://www.mendeley.com/documents/?uuid=6ce95291-0d8a-4491-9a67-37bc86df853d" ] } ], "mendeley" : { "formattedCitation" : "[175]", "plainTextFormattedCitation" : "[175]", "previouslyFormattedCitation" : "[176]" }, "properties" : { "noteIndex" : 0 }, "schema" : "https://github.com/citation-style-language/schema/raw/master/csl-citation.json" }</w:instrText>
      </w:r>
      <w:r w:rsidRPr="003F1EBD">
        <w:fldChar w:fldCharType="separate"/>
      </w:r>
      <w:r w:rsidRPr="00A15EFA">
        <w:rPr>
          <w:noProof/>
        </w:rPr>
        <w:t>[176]</w:t>
      </w:r>
      <w:r w:rsidRPr="003F1EBD">
        <w:fldChar w:fldCharType="end"/>
      </w:r>
      <w:r>
        <w:t xml:space="preserve"> who increased the surface area in a regular open scaffold using collagen network as filling material</w:t>
      </w:r>
      <w:r w:rsidRPr="004220B5">
        <w:t>.</w:t>
      </w:r>
      <w:r>
        <w:t xml:space="preserve"> The </w:t>
      </w:r>
      <w:r>
        <w:lastRenderedPageBreak/>
        <w:t xml:space="preserve">computational </w:t>
      </w:r>
      <w:r w:rsidRPr="00FA5AC1">
        <w:t xml:space="preserve">model </w:t>
      </w:r>
      <w:r>
        <w:t>presented in this study can help</w:t>
      </w:r>
      <w:r w:rsidRPr="00FA5AC1">
        <w:t xml:space="preserve"> </w:t>
      </w:r>
      <w:r>
        <w:t xml:space="preserve">researchers </w:t>
      </w:r>
      <w:r w:rsidRPr="00FA5AC1">
        <w:t xml:space="preserve">to </w:t>
      </w:r>
      <w:r>
        <w:t>stop seeing</w:t>
      </w:r>
      <w:r w:rsidRPr="00FA5AC1">
        <w:t xml:space="preserve"> perfusion bioreactor</w:t>
      </w:r>
      <w:r>
        <w:t>s as</w:t>
      </w:r>
      <w:r w:rsidRPr="00FA5AC1">
        <w:t xml:space="preserve"> </w:t>
      </w:r>
      <w:r w:rsidRPr="006A0215">
        <w:t>black boxes and</w:t>
      </w:r>
      <w:r>
        <w:t xml:space="preserve"> providing potential hints for the optimization and design of hydrodynamic cell seeding bioreactors</w:t>
      </w:r>
      <w:r w:rsidRPr="00FA5AC1">
        <w:t xml:space="preserve">. </w:t>
      </w:r>
    </w:p>
    <w:p w:rsidR="005D1052" w:rsidRPr="00495417" w:rsidRDefault="005D1052" w:rsidP="005D1052">
      <w:pPr>
        <w:pStyle w:val="Heading2"/>
      </w:pPr>
      <w:bookmarkStart w:id="431" w:name="_Toc310605630"/>
      <w:bookmarkStart w:id="432" w:name="_Toc310605925"/>
      <w:bookmarkStart w:id="433" w:name="_Toc440823268"/>
      <w:r w:rsidRPr="00495417">
        <w:t>Conclusions</w:t>
      </w:r>
      <w:bookmarkEnd w:id="431"/>
      <w:bookmarkEnd w:id="432"/>
      <w:bookmarkEnd w:id="433"/>
    </w:p>
    <w:p w:rsidR="005D1052" w:rsidRDefault="005D1052" w:rsidP="005D1052">
      <w:r>
        <w:t>The combination of regular</w:t>
      </w:r>
      <w:r w:rsidRPr="00FA5AC1">
        <w:t xml:space="preserve"> permeable scaffold</w:t>
      </w:r>
      <w:r>
        <w:t>s</w:t>
      </w:r>
      <w:r w:rsidRPr="00FA5AC1">
        <w:t xml:space="preserve"> </w:t>
      </w:r>
      <w:r>
        <w:t>with</w:t>
      </w:r>
      <w:r w:rsidRPr="00FA5AC1">
        <w:t xml:space="preserve"> perfusion systems enhance</w:t>
      </w:r>
      <w:r>
        <w:t>s</w:t>
      </w:r>
      <w:r w:rsidRPr="00FA5AC1">
        <w:t xml:space="preserve"> mass transfer inside the scaffold</w:t>
      </w:r>
      <w:r>
        <w:t xml:space="preserve"> during cell seeding. However, this</w:t>
      </w:r>
      <w:r w:rsidRPr="00FA5AC1">
        <w:t xml:space="preserve"> does not </w:t>
      </w:r>
      <w:r>
        <w:t xml:space="preserve">necessarily </w:t>
      </w:r>
      <w:r w:rsidRPr="00FA5AC1">
        <w:t>imply cell deposition on scaffold substrate.</w:t>
      </w:r>
      <w:r>
        <w:t xml:space="preserve"> The aim of this study was to investigate the local fluid flow conditions and the transport of cells inside a 3D scaffold during perfusion cell seeding. To the author’s knowledge, this is the first time that fluid flow and cell seeding are observed and quantified inside a 3D porous scaffold by performing </w:t>
      </w:r>
      <w:r w:rsidRPr="006D372F">
        <w:sym w:font="Symbol" w:char="F06D"/>
      </w:r>
      <w:r w:rsidRPr="006D372F">
        <w:t>PIV</w:t>
      </w:r>
      <w:r>
        <w:t xml:space="preserve"> and PTV experiments. Furthermore, these data served to formulate and validate a CFD model able to predict the fluid flow inside the scaffold pores and cell path. </w:t>
      </w:r>
      <w:r w:rsidRPr="0063070F">
        <w:t xml:space="preserve">The </w:t>
      </w:r>
      <w:r w:rsidRPr="0063070F">
        <w:sym w:font="Symbol" w:char="F06D"/>
      </w:r>
      <w:r w:rsidRPr="0063070F">
        <w:t>PIV results show that the CFD model can describe the velocity maps at the scaffold pore level. Moreover</w:t>
      </w:r>
      <w:r>
        <w:t xml:space="preserve">, the PTV experiments and the CFD model agree that cells follow the fluid streamlines and more cells pass by the centre of the pores where local fluid velocities are higher. Thus, cells travel far from the scaffold substrate reducing the possibility of cell-scaffold interception and cell adhesion. Despite the advantage of regular porous scaffolds to transport cells to all scaffold regions, it doesn’t guarantee that cells intercept with scaffold substrate. This study reveals that fluid drag force and sedimentation are the main mechanisms on cell transport under perfusion and these findings can serve researchers to design new strategies to promote cell deposition on scaffold substrate. In addition, the presented computational model could be used to exploit different cell seeding conditions in order to find the optimal configuration to maximise cell seeding efficiency. Nonetheless, the computational model requires further validation as significant differences were found in terms of cell velocity magnitude between the CFD model and the PTV experiments. Further experiments </w:t>
      </w:r>
      <w:r>
        <w:lastRenderedPageBreak/>
        <w:t>using devices able to track 3D displacements could provide valuable data to gain better insight into the cell transport phenomena and validate the CFD model. On the other hand, more efforts should be made to obtain better geometrical representations of the experimental setup in the CFD model since small variations could significantly alter the results of the local fluid flow.</w:t>
      </w:r>
    </w:p>
    <w:p w:rsidR="005D1052" w:rsidRDefault="005D1052" w:rsidP="007960E0">
      <w:pPr>
        <w:ind w:firstLine="0"/>
      </w:pPr>
    </w:p>
    <w:p w:rsidR="00903017" w:rsidRDefault="00903017" w:rsidP="007960E0">
      <w:pPr>
        <w:ind w:firstLine="0"/>
        <w:sectPr w:rsidR="00903017" w:rsidSect="00EB11EA">
          <w:headerReference w:type="even" r:id="rId120"/>
          <w:headerReference w:type="default" r:id="rId121"/>
          <w:footerReference w:type="default" r:id="rId122"/>
          <w:headerReference w:type="first" r:id="rId123"/>
          <w:pgSz w:w="11906" w:h="16838"/>
          <w:pgMar w:top="2268" w:right="1134" w:bottom="1701" w:left="2268" w:header="284" w:footer="454" w:gutter="0"/>
          <w:cols w:space="708"/>
          <w:titlePg/>
          <w:docGrid w:linePitch="360"/>
        </w:sectPr>
      </w:pPr>
    </w:p>
    <w:p w:rsidR="007960E0" w:rsidRDefault="007960E0" w:rsidP="007960E0">
      <w:pPr>
        <w:ind w:firstLine="0"/>
      </w:pPr>
    </w:p>
    <w:p w:rsidR="007960E0" w:rsidRDefault="007960E0" w:rsidP="007960E0">
      <w:pPr>
        <w:ind w:firstLine="0"/>
        <w:sectPr w:rsidR="007960E0" w:rsidSect="00EB11EA">
          <w:pgSz w:w="11906" w:h="16838"/>
          <w:pgMar w:top="2268" w:right="1134" w:bottom="1701" w:left="2268" w:header="284" w:footer="454" w:gutter="0"/>
          <w:cols w:space="708"/>
          <w:titlePg/>
          <w:docGrid w:linePitch="360"/>
        </w:sectPr>
      </w:pPr>
    </w:p>
    <w:p w:rsidR="005D1052" w:rsidRDefault="005D1052" w:rsidP="005D1052">
      <w:pPr>
        <w:pStyle w:val="Heading1"/>
      </w:pPr>
      <w:bookmarkStart w:id="434" w:name="_Toc420596725"/>
      <w:bookmarkStart w:id="435" w:name="_Toc310605631"/>
      <w:bookmarkStart w:id="436" w:name="_Toc310605926"/>
      <w:bookmarkStart w:id="437" w:name="_Ref312169526"/>
      <w:bookmarkStart w:id="438" w:name="_Toc438592388"/>
      <w:bookmarkStart w:id="439" w:name="_Toc440823269"/>
      <w:r>
        <w:lastRenderedPageBreak/>
        <w:t>In silico model for scaffold cell seeding</w:t>
      </w:r>
      <w:bookmarkEnd w:id="434"/>
      <w:r>
        <w:t xml:space="preserve"> case study</w:t>
      </w:r>
      <w:bookmarkEnd w:id="435"/>
      <w:bookmarkEnd w:id="436"/>
      <w:bookmarkEnd w:id="437"/>
      <w:bookmarkEnd w:id="438"/>
      <w:bookmarkEnd w:id="439"/>
    </w:p>
    <w:p w:rsidR="005D1052" w:rsidRDefault="005D1052" w:rsidP="005D1052"/>
    <w:p w:rsidR="005D1052" w:rsidRPr="00672472" w:rsidRDefault="005D1052" w:rsidP="005D1052">
      <w:pPr>
        <w:pStyle w:val="Quote"/>
        <w:rPr>
          <w:b/>
          <w:bCs/>
        </w:rPr>
      </w:pPr>
      <w:r w:rsidRPr="00672472">
        <w:rPr>
          <w:b/>
        </w:rPr>
        <w:t>Summary</w:t>
      </w:r>
    </w:p>
    <w:p w:rsidR="005D1052" w:rsidRPr="00672472" w:rsidRDefault="005D1052" w:rsidP="005D1052">
      <w:pPr>
        <w:pStyle w:val="Quote"/>
      </w:pPr>
      <w:r>
        <w:t>The model developed in Chapter 4 was employed to investigate a real in vitro cell seeding scenario. The microfluidic chamber boundary conditions were based on experimental specifications and the scaffold µCT geometry was included in the seeding chamber. Static and dynamic cell seeding configurations were investigated and the main mechanisms of cell deposition were identified. In static seeding, cells sediment due to gravity until they reach an obstacle. In the dynamic cell seeding simulations, different flow rates were explored under the presence and the absence of gravity. Gravity and secondary flow were found to be the key factors of cell deposition. Seeding efficiencies calculated in the simulations agreed well with the experimental data; static seeding results in higher efficiency than dynamic perfusion. In addition, the same trend on the seeding efficiency results with regard to the flow rate imposed in the dynamic seeding was found. This model permits to understand cell transport inside hydrodynamic-based experimental setups and find the best configuration to enhance cell deposition on scaffold substrate.</w:t>
      </w:r>
    </w:p>
    <w:p w:rsidR="005D1052" w:rsidRPr="00EC316F" w:rsidRDefault="005D1052" w:rsidP="005D1052">
      <w:pPr>
        <w:pStyle w:val="Heading2"/>
      </w:pPr>
      <w:bookmarkStart w:id="440" w:name="_Toc310605632"/>
      <w:bookmarkStart w:id="441" w:name="_Toc310605927"/>
      <w:bookmarkStart w:id="442" w:name="_Toc440823270"/>
      <w:r w:rsidRPr="00EC316F">
        <w:t>Introduction</w:t>
      </w:r>
      <w:bookmarkEnd w:id="440"/>
      <w:bookmarkEnd w:id="441"/>
      <w:bookmarkEnd w:id="442"/>
      <w:r w:rsidRPr="00EC316F">
        <w:tab/>
      </w:r>
    </w:p>
    <w:p w:rsidR="005D1052" w:rsidRPr="00EC316F" w:rsidRDefault="005D1052" w:rsidP="005D1052">
      <w:pPr>
        <w:rPr>
          <w:rFonts w:eastAsia="Cambria" w:cs="Cambria"/>
          <w:color w:val="000000"/>
          <w:szCs w:val="24"/>
        </w:rPr>
      </w:pPr>
      <w:r w:rsidRPr="00EC316F">
        <w:rPr>
          <w:rFonts w:eastAsia="Cambria" w:cs="Cambria"/>
          <w:color w:val="000000"/>
          <w:szCs w:val="24"/>
        </w:rPr>
        <w:t xml:space="preserve">During scaffold cell seeding the visual access inside the scaffold is limited and </w:t>
      </w:r>
      <w:r>
        <w:rPr>
          <w:rFonts w:eastAsia="Cambria" w:cs="Cambria"/>
          <w:color w:val="000000"/>
          <w:szCs w:val="24"/>
        </w:rPr>
        <w:t>therefore</w:t>
      </w:r>
      <w:r w:rsidRPr="00EC316F">
        <w:rPr>
          <w:rFonts w:eastAsia="Cambria" w:cs="Cambria"/>
          <w:color w:val="000000"/>
          <w:szCs w:val="24"/>
        </w:rPr>
        <w:t xml:space="preserve"> the quantification of key </w:t>
      </w:r>
      <w:r>
        <w:rPr>
          <w:rFonts w:eastAsia="Cambria" w:cs="Cambria"/>
          <w:color w:val="000000"/>
          <w:szCs w:val="24"/>
        </w:rPr>
        <w:t>factors</w:t>
      </w:r>
      <w:r w:rsidRPr="00EC316F">
        <w:rPr>
          <w:rFonts w:eastAsia="Cambria" w:cs="Cambria"/>
          <w:color w:val="000000"/>
          <w:szCs w:val="24"/>
        </w:rPr>
        <w:t xml:space="preserve"> </w:t>
      </w:r>
      <w:r>
        <w:rPr>
          <w:rFonts w:eastAsia="Cambria" w:cs="Cambria"/>
          <w:color w:val="000000"/>
          <w:szCs w:val="24"/>
        </w:rPr>
        <w:t xml:space="preserve">such as cell deposition rates </w:t>
      </w:r>
      <w:r w:rsidRPr="00EC316F">
        <w:rPr>
          <w:rFonts w:eastAsia="Cambria" w:cs="Cambria"/>
          <w:color w:val="000000"/>
          <w:szCs w:val="24"/>
        </w:rPr>
        <w:t>during seeding trials is normally</w:t>
      </w:r>
      <w:r>
        <w:rPr>
          <w:rFonts w:eastAsia="Cambria" w:cs="Cambria"/>
          <w:color w:val="000000"/>
          <w:szCs w:val="24"/>
        </w:rPr>
        <w:t xml:space="preserve"> restricted</w:t>
      </w:r>
      <w:r w:rsidRPr="00EC316F">
        <w:rPr>
          <w:rFonts w:eastAsia="Cambria" w:cs="Cambria"/>
          <w:color w:val="000000"/>
          <w:szCs w:val="24"/>
        </w:rPr>
        <w:t xml:space="preserve">. Furthermore, the availability of resources to repeat experiments and </w:t>
      </w:r>
      <w:r>
        <w:rPr>
          <w:rFonts w:eastAsia="Cambria" w:cs="Cambria"/>
          <w:color w:val="000000"/>
          <w:szCs w:val="24"/>
        </w:rPr>
        <w:t>data collection</w:t>
      </w:r>
      <w:r w:rsidRPr="00EC316F">
        <w:rPr>
          <w:rFonts w:eastAsia="Cambria" w:cs="Cambria"/>
          <w:color w:val="000000"/>
          <w:szCs w:val="24"/>
        </w:rPr>
        <w:t xml:space="preserve"> can be limited so the number of strategies that can be tested is constraint. The use of the deve</w:t>
      </w:r>
      <w:r>
        <w:rPr>
          <w:rFonts w:eastAsia="Cambria" w:cs="Cambria"/>
          <w:color w:val="000000"/>
          <w:szCs w:val="24"/>
        </w:rPr>
        <w:t>loped computational model from C</w:t>
      </w:r>
      <w:r w:rsidRPr="00EC316F">
        <w:rPr>
          <w:rFonts w:eastAsia="Cambria" w:cs="Cambria"/>
          <w:color w:val="000000"/>
          <w:szCs w:val="24"/>
        </w:rPr>
        <w:t xml:space="preserve">hapter 4 based on experimental data allows the investigation of unlimited scenarios in a cost-effective manner </w:t>
      </w:r>
      <w:r>
        <w:rPr>
          <w:rFonts w:eastAsia="Cambria" w:cs="Cambria"/>
          <w:color w:val="000000"/>
          <w:szCs w:val="24"/>
        </w:rPr>
        <w:t xml:space="preserve">and give </w:t>
      </w:r>
      <w:r w:rsidRPr="00EC316F">
        <w:rPr>
          <w:rFonts w:eastAsia="Cambria" w:cs="Cambria"/>
          <w:color w:val="000000"/>
          <w:szCs w:val="24"/>
        </w:rPr>
        <w:t xml:space="preserve">internal access </w:t>
      </w:r>
      <w:r>
        <w:rPr>
          <w:rFonts w:eastAsia="Cambria" w:cs="Cambria"/>
          <w:color w:val="000000"/>
          <w:szCs w:val="24"/>
        </w:rPr>
        <w:t>to</w:t>
      </w:r>
      <w:r w:rsidRPr="00EC316F">
        <w:rPr>
          <w:rFonts w:eastAsia="Cambria" w:cs="Cambria"/>
          <w:color w:val="000000"/>
          <w:szCs w:val="24"/>
        </w:rPr>
        <w:t xml:space="preserve"> the scaffold in order to understand the </w:t>
      </w:r>
      <w:r w:rsidRPr="00EC316F">
        <w:rPr>
          <w:rFonts w:eastAsia="Cambria" w:cs="Cambria"/>
          <w:color w:val="000000"/>
          <w:szCs w:val="24"/>
        </w:rPr>
        <w:lastRenderedPageBreak/>
        <w:t xml:space="preserve">complex mechanisms that occur during seeding under perfusion. The presented CFD model can calculate individual cell path under fluid flow and the </w:t>
      </w:r>
      <w:r>
        <w:rPr>
          <w:rFonts w:eastAsia="Cambria" w:cs="Cambria"/>
          <w:color w:val="000000"/>
          <w:szCs w:val="24"/>
        </w:rPr>
        <w:t xml:space="preserve">maximum </w:t>
      </w:r>
      <w:r w:rsidRPr="00EC316F">
        <w:rPr>
          <w:rFonts w:eastAsia="Cambria" w:cs="Cambria"/>
          <w:color w:val="000000"/>
          <w:szCs w:val="24"/>
        </w:rPr>
        <w:t xml:space="preserve">probability of cell deposition on scaffold substrate under hydrodynamic conditions. The relationship between scaffold and bioreactor geometrical boundary conditions and fluid flow parameters with cell seeding outcome can be identified. Thus, the key variables involved in perfusion cell seeding can be manipulated to find the best conditions in order to enhance seeding efficiency. </w:t>
      </w:r>
    </w:p>
    <w:p w:rsidR="005D1052" w:rsidRDefault="005D1052" w:rsidP="005D1052">
      <w:r>
        <w:t>Previous studies used relevant feedback from numerical simulations to optimise the seeding process. For instance, Olivares and Lacroix [13</w:t>
      </w:r>
      <w:r w:rsidR="00FD29F4">
        <w:t>3</w:t>
      </w:r>
      <w:r>
        <w:t xml:space="preserve">] reported the optimal seeding time under specific seeding conditions in order to perform time-effectively without losing resources. In addition, they provided hints for scaffold design by reporting the effect of the pore size on the final distribution of cells inside the scaffold. In the case of </w:t>
      </w:r>
      <w:r w:rsidRPr="00672472">
        <w:t>Adebiyi</w:t>
      </w:r>
      <w:r>
        <w:t xml:space="preserve"> et al. [13</w:t>
      </w:r>
      <w:r w:rsidR="00FD29F4">
        <w:t>5</w:t>
      </w:r>
      <w:r>
        <w:t>] who also studied cell seeding with a multiphase model, the pressure values to achieve a homogenous cell distribution were evaluated.</w:t>
      </w:r>
    </w:p>
    <w:p w:rsidR="005D1052" w:rsidRDefault="005D1052" w:rsidP="005D1052">
      <w:r>
        <w:t>Nevertheless, these models are tested for</w:t>
      </w:r>
      <w:r w:rsidRPr="00C37299">
        <w:t xml:space="preserve"> specific scenarios</w:t>
      </w:r>
      <w:r>
        <w:t xml:space="preserve"> and their versatility to explore other setups should be investigated. The model of Olivares and Lacroix does not consider the influence of gravity on cell transport. However, this could strongly impact cell deposition when subjected to different fluid velocities. </w:t>
      </w:r>
      <w:r w:rsidRPr="00672472">
        <w:t>Adebiyi et al</w:t>
      </w:r>
      <w:r>
        <w:t xml:space="preserve">. does not incorporate the actual scaffold geometry so their model cannot be used to explore the effect of scaffold geometry on cell seeding. Herein, it is argued that a computational model should be able to provide relevant information for the optimization of experimental processes in a large range of configurations. More specifically, cell seeding models should be able to adapt to different bioreactor and scaffold designs, fluid flow inputs or even cell type. </w:t>
      </w:r>
    </w:p>
    <w:p w:rsidR="005D1052" w:rsidRDefault="005D1052" w:rsidP="005D1052">
      <w:r>
        <w:t xml:space="preserve">The main </w:t>
      </w:r>
      <w:r w:rsidRPr="00F255DC">
        <w:t>goal</w:t>
      </w:r>
      <w:r>
        <w:t xml:space="preserve"> of this chapter is to use the computational model described in Chapter 4 to study in vitro cell seeding experiments by replicating the exact same boundary conditions. This will allow the identification of the main critical aspects of the seeding system and propose specific improvements for that particular experiment. </w:t>
      </w:r>
      <w:r>
        <w:lastRenderedPageBreak/>
        <w:t xml:space="preserve">More specifically, static and dynamic seeding by perfusion are compared and the effects of flow rate and gravity on cell deposition are studied. The use of the computational model from Chapter 4 in a new set up can expose it to new questions that the model may not be able to address.  In this way, the versatility of the model as well as its real potential are investigated to expand its capability to predict and optimise cell seeding processes. </w:t>
      </w:r>
    </w:p>
    <w:p w:rsidR="005D1052" w:rsidRPr="00EC316F" w:rsidRDefault="005D1052" w:rsidP="005D1052">
      <w:pPr>
        <w:pStyle w:val="Heading2"/>
      </w:pPr>
      <w:bookmarkStart w:id="443" w:name="_Toc310605633"/>
      <w:bookmarkStart w:id="444" w:name="_Toc310605928"/>
      <w:bookmarkStart w:id="445" w:name="_Toc440823271"/>
      <w:r>
        <w:t>Materials and m</w:t>
      </w:r>
      <w:r w:rsidRPr="00EC316F">
        <w:t>ethods</w:t>
      </w:r>
      <w:bookmarkEnd w:id="443"/>
      <w:bookmarkEnd w:id="444"/>
      <w:bookmarkEnd w:id="445"/>
    </w:p>
    <w:p w:rsidR="005D1052" w:rsidRPr="00EC316F" w:rsidRDefault="005D1052" w:rsidP="005D1052">
      <w:pPr>
        <w:pStyle w:val="Heading3"/>
      </w:pPr>
      <w:bookmarkStart w:id="446" w:name="_Toc310605634"/>
      <w:bookmarkStart w:id="447" w:name="_Toc310605929"/>
      <w:bookmarkStart w:id="448" w:name="_Toc440823272"/>
      <w:r w:rsidRPr="00EC316F">
        <w:t>In vitro cell seeding experiment</w:t>
      </w:r>
      <w:bookmarkEnd w:id="446"/>
      <w:bookmarkEnd w:id="447"/>
      <w:r>
        <w:t>s</w:t>
      </w:r>
      <w:bookmarkEnd w:id="448"/>
      <w:r w:rsidRPr="00EC316F">
        <w:t xml:space="preserve"> </w:t>
      </w:r>
    </w:p>
    <w:p w:rsidR="005D1052" w:rsidRDefault="005D1052" w:rsidP="005D1052">
      <w:r>
        <w:t xml:space="preserve">A microfluidic chamber made of PDMS was built with the dimensions indicated in </w:t>
      </w:r>
      <w:r>
        <w:rPr>
          <w:highlight w:val="yellow"/>
        </w:rPr>
        <w:fldChar w:fldCharType="begin"/>
      </w:r>
      <w:r>
        <w:instrText xml:space="preserve"> REF _Ref312177400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1</w:t>
      </w:r>
      <w:r>
        <w:rPr>
          <w:highlight w:val="yellow"/>
        </w:rPr>
        <w:fldChar w:fldCharType="end"/>
      </w:r>
      <w:r>
        <w:t xml:space="preserve">. Static and dynamic approaches were investigated for scaffold cell seeding </w:t>
      </w:r>
      <w:r>
        <w:fldChar w:fldCharType="begin" w:fldLock="1"/>
      </w:r>
      <w:r>
        <w:instrText>ADDIN CSL_CITATION { "citationItems" : [ { "id" : "ITEM-1", "itemData" : { "DOI" : "10.1016/j.amjsurg.2011.09.018", "ISBN" : "1879-1883 (Electronic) 0002-9610 (Linking)", "abstract" : "Background: Elderly falls are associated with long hospital stays, major morbidity, and mortality. We sought to examine the fate of patients &lt;75 years of age admitted after falls. Methods: We reviewed all fall admissions in 2008. Causes, comorbidities, injuries, procedures, mortality, readmission, and costs were analyzed. Results: Seven hundred eight patients &lt;75 years old were admitted after a fall, with 89% being simple falls. Short-term mortality was 6%. Male sex, atrial fibrillation, acute myocardial infarction, congestive heart failure (CHF), intracranial hemorrhage, hospital-acquired pneumonia, trigger events, Clostridium difficile, and intubation were predictors of death (P &lt;.05). Thirty-day readmission occurred in 14%; CHF, craniotomy, and acute renal failure were predictive. The median cost of hospitalization was $11,000 with cardiac disease, anemia, major orthopedic and neurosurgical procedures, pneumonia, and intubation as predictive. Conclusions: Simple falls in the elderly have high morbidity, mortality, and costs. Methodologies for prevention are warranted and should be studied intensively. ?? 2012 Elsevier Inc.", "author" : [ { "family" : "Siracuse", "given" : "Jeffrey J." }, { "family" : "Odell", "given" : "David D." }, { "family" : "Gondek", "given" : "Stephen P." }, { "family" : "Odom", "given" : "Stephen R." }, { "family" : "Kasper", "given" : "Ekkehard M." }, { "family" : "Hauser", "given" : "Carl J." }, { "family" : "Moorman", "given" : "Donald W." } ], "container-title" : "American Journal of Surgery", "id" : "ITEM-1", "issue" : "3", "issued" : { "date-parts" : [ [ "2012" ] ] }, "page" : "335-338", "publisher" : "Elsevier Inc.", "title" : "Health care and socioeconomic impact of falls in the elderly", "type" : "article-journal", "volume" : "203" }, "uris" : [ "http://www.mendeley.com/documents/?uuid=8fa8a4ce-071e-4cfe-8317-9108c2c7f34e" ] } ], "mendeley" : { "formattedCitation" : "[176]", "plainTextFormattedCitation" : "[176]", "previouslyFormattedCitation" : "[177]" }, "properties" : { "noteIndex" : 0 }, "schema" : "https://github.com/citation-style-language/schema/raw/master/csl-citation.json" }</w:instrText>
      </w:r>
      <w:r>
        <w:fldChar w:fldCharType="separate"/>
      </w:r>
      <w:r w:rsidRPr="00A15EFA">
        <w:rPr>
          <w:noProof/>
        </w:rPr>
        <w:t>[177]</w:t>
      </w:r>
      <w:r>
        <w:fldChar w:fldCharType="end"/>
      </w:r>
      <w:r>
        <w:t xml:space="preserve">. For the static case, a 20 </w:t>
      </w:r>
      <w:r w:rsidRPr="00AF5F6E">
        <w:t>µ</w:t>
      </w:r>
      <w:r>
        <w:t>l drop of hMSCs suspended in medium with 10</w:t>
      </w:r>
      <w:r w:rsidRPr="00C50882">
        <w:rPr>
          <w:vertAlign w:val="superscript"/>
        </w:rPr>
        <w:t>6</w:t>
      </w:r>
      <w:r>
        <w:t xml:space="preserve"> cells/mL concentration was located at the top of the scaffold. Then, the results were analysed after 1.5 hours incubation under standard culture conditions to evaluate the effect of cell sedimentation due to gravity as well as cell proliferation. </w:t>
      </w:r>
    </w:p>
    <w:p w:rsidR="005D1052" w:rsidRDefault="005D1052" w:rsidP="005D1052">
      <w:r>
        <w:t xml:space="preserve">For the dynamic strategy, cell seeding by perfusion during 2 hours was investigated for three different flow rates: 12, 120 and 600 </w:t>
      </w:r>
      <w:r w:rsidRPr="00AF5F6E">
        <w:t>µl/min</w:t>
      </w:r>
      <w:r>
        <w:t xml:space="preserve">. Two syringe pumps were connected at the inlet and outlet to generate an alternate flow that changed direction every 500 </w:t>
      </w:r>
      <w:r w:rsidRPr="00AF5F6E">
        <w:t>µ</w:t>
      </w:r>
      <w:r>
        <w:t>l of dispensed fluid in order to maintain cells inside the microfluidic chamber and force them to pass by the scaffold pores several times.</w:t>
      </w:r>
    </w:p>
    <w:p w:rsidR="005D1052" w:rsidRPr="00EC316F" w:rsidRDefault="005D1052" w:rsidP="005D1052">
      <w:pPr>
        <w:pStyle w:val="Heading3"/>
      </w:pPr>
      <w:bookmarkStart w:id="449" w:name="_Toc310605635"/>
      <w:bookmarkStart w:id="450" w:name="_Toc310605930"/>
      <w:bookmarkStart w:id="451" w:name="_Toc440823273"/>
      <w:r>
        <w:t>CAD microfluidic c</w:t>
      </w:r>
      <w:r w:rsidRPr="00EC316F">
        <w:t xml:space="preserve">hamber </w:t>
      </w:r>
      <w:bookmarkEnd w:id="449"/>
      <w:bookmarkEnd w:id="450"/>
      <w:r>
        <w:t>model</w:t>
      </w:r>
      <w:bookmarkEnd w:id="451"/>
      <w:r w:rsidRPr="00EC316F">
        <w:t xml:space="preserve"> </w:t>
      </w:r>
    </w:p>
    <w:p w:rsidR="005D1052" w:rsidRDefault="005D1052" w:rsidP="005D1052">
      <w:r>
        <w:t xml:space="preserve">The boundary conditions of the in vitro microfluidic system were recreated for the computational model using the Design modeller workpackage from Ansys. The CAD model is shown in </w:t>
      </w:r>
      <w:r>
        <w:fldChar w:fldCharType="begin"/>
      </w:r>
      <w:r>
        <w:instrText xml:space="preserve"> REF _Ref312177400 \h </w:instrText>
      </w:r>
      <w:r>
        <w:fldChar w:fldCharType="separate"/>
      </w:r>
      <w:r w:rsidR="00924C7D">
        <w:t xml:space="preserve">Figure </w:t>
      </w:r>
      <w:r w:rsidR="00924C7D">
        <w:rPr>
          <w:noProof/>
        </w:rPr>
        <w:t>5</w:t>
      </w:r>
      <w:r w:rsidR="00924C7D">
        <w:noBreakHyphen/>
      </w:r>
      <w:r w:rsidR="00924C7D">
        <w:rPr>
          <w:noProof/>
        </w:rPr>
        <w:t>1</w:t>
      </w:r>
      <w:r>
        <w:fldChar w:fldCharType="end"/>
      </w:r>
      <w:r>
        <w:t xml:space="preserve"> and described in </w:t>
      </w:r>
      <w:r w:rsidRPr="0046486C">
        <w:fldChar w:fldCharType="begin"/>
      </w:r>
      <w:r w:rsidRPr="0046486C">
        <w:instrText xml:space="preserve"> REF _Ref312178497 \h </w:instrText>
      </w:r>
      <w:r w:rsidRPr="0046486C">
        <w:fldChar w:fldCharType="separate"/>
      </w:r>
      <w:r w:rsidR="00924C7D" w:rsidRPr="00357EBC">
        <w:t xml:space="preserve">Figure </w:t>
      </w:r>
      <w:r w:rsidR="00924C7D">
        <w:rPr>
          <w:noProof/>
        </w:rPr>
        <w:t>5</w:t>
      </w:r>
      <w:r w:rsidR="00924C7D">
        <w:noBreakHyphen/>
      </w:r>
      <w:r w:rsidR="00924C7D">
        <w:rPr>
          <w:noProof/>
        </w:rPr>
        <w:t>2</w:t>
      </w:r>
      <w:r w:rsidRPr="0046486C">
        <w:fldChar w:fldCharType="end"/>
      </w:r>
      <w:r w:rsidRPr="0046486C">
        <w:t>.</w:t>
      </w:r>
    </w:p>
    <w:p w:rsidR="005D1052" w:rsidRDefault="005D1052" w:rsidP="005D1052"/>
    <w:p w:rsidR="005D1052" w:rsidRDefault="005D1052" w:rsidP="005D1052">
      <w:pPr>
        <w:keepNext/>
        <w:ind w:firstLine="0"/>
        <w:jc w:val="center"/>
      </w:pPr>
      <w:r>
        <w:rPr>
          <w:noProof/>
          <w:lang w:eastAsia="en-GB"/>
        </w:rPr>
        <w:drawing>
          <wp:inline distT="0" distB="0" distL="0" distR="0" wp14:anchorId="44A3E3F1" wp14:editId="5E6C791A">
            <wp:extent cx="5343525" cy="3777928"/>
            <wp:effectExtent l="19050" t="19050" r="9525" b="13335"/>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 drawing.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349097" cy="3781868"/>
                    </a:xfrm>
                    <a:prstGeom prst="rect">
                      <a:avLst/>
                    </a:prstGeom>
                    <a:ln>
                      <a:solidFill>
                        <a:schemeClr val="tx1"/>
                      </a:solidFill>
                    </a:ln>
                  </pic:spPr>
                </pic:pic>
              </a:graphicData>
            </a:graphic>
          </wp:inline>
        </w:drawing>
      </w:r>
    </w:p>
    <w:p w:rsidR="005D1052" w:rsidRDefault="005D1052" w:rsidP="005D1052">
      <w:pPr>
        <w:pStyle w:val="Caption"/>
        <w:rPr>
          <w:b w:val="0"/>
          <w:noProof/>
        </w:rPr>
      </w:pPr>
      <w:bookmarkStart w:id="452" w:name="_Ref312177400"/>
      <w:bookmarkStart w:id="453" w:name="_Toc438590843"/>
      <w:bookmarkStart w:id="454" w:name="_Toc445718848"/>
      <w:r>
        <w:t xml:space="preserve">Figure </w:t>
      </w:r>
      <w:fldSimple w:instr=" STYLEREF 1 \s ">
        <w:r w:rsidR="00924C7D">
          <w:rPr>
            <w:noProof/>
          </w:rPr>
          <w:t>5</w:t>
        </w:r>
      </w:fldSimple>
      <w:r>
        <w:noBreakHyphen/>
      </w:r>
      <w:fldSimple w:instr=" SEQ Figure \* ARABIC \s 1 ">
        <w:r w:rsidR="00924C7D">
          <w:rPr>
            <w:noProof/>
          </w:rPr>
          <w:t>1</w:t>
        </w:r>
      </w:fldSimple>
      <w:bookmarkEnd w:id="452"/>
      <w:r>
        <w:rPr>
          <w:noProof/>
        </w:rPr>
        <w:t xml:space="preserve"> </w:t>
      </w:r>
      <w:r w:rsidRPr="0046486C">
        <w:rPr>
          <w:b w:val="0"/>
          <w:noProof/>
        </w:rPr>
        <w:t>CAD model design specifications.</w:t>
      </w:r>
      <w:bookmarkEnd w:id="453"/>
      <w:bookmarkEnd w:id="454"/>
    </w:p>
    <w:p w:rsidR="005D1052" w:rsidRPr="00D47C00" w:rsidRDefault="005D1052" w:rsidP="005D1052">
      <w:pPr>
        <w:pStyle w:val="Heading3"/>
      </w:pPr>
      <w:bookmarkStart w:id="455" w:name="_Toc310605636"/>
      <w:bookmarkStart w:id="456" w:name="_Toc310605931"/>
      <w:bookmarkStart w:id="457" w:name="_Toc440823274"/>
      <w:r w:rsidRPr="00D47C00">
        <w:t>µCT</w:t>
      </w:r>
      <w:r>
        <w:t>-based scaffold</w:t>
      </w:r>
      <w:bookmarkEnd w:id="455"/>
      <w:bookmarkEnd w:id="456"/>
      <w:bookmarkEnd w:id="457"/>
      <w:r w:rsidRPr="00D47C00">
        <w:t xml:space="preserve"> </w:t>
      </w:r>
    </w:p>
    <w:p w:rsidR="005D1052" w:rsidRDefault="005D1052" w:rsidP="005D1052">
      <w:r>
        <w:t>One of the f</w:t>
      </w:r>
      <w:r w:rsidRPr="00D47C00">
        <w:t>ive µCT</w:t>
      </w:r>
      <w:r>
        <w:t>-based scaffolds from Chapter 3 was employed</w:t>
      </w:r>
      <w:r w:rsidRPr="00D47C00">
        <w:t xml:space="preserve"> </w:t>
      </w:r>
      <w:r>
        <w:t xml:space="preserve">in this study to analyse computationally the seeding process in such geometry. The reconstruction of the </w:t>
      </w:r>
      <w:r w:rsidRPr="00D47C00">
        <w:t>µCT</w:t>
      </w:r>
      <w:r>
        <w:t xml:space="preserve"> data using Simpleware is explained in </w:t>
      </w:r>
      <w:r w:rsidRPr="0046486C">
        <w:t xml:space="preserve">detail in section </w:t>
      </w:r>
      <w:r w:rsidRPr="0046486C">
        <w:fldChar w:fldCharType="begin"/>
      </w:r>
      <w:r w:rsidRPr="0046486C">
        <w:instrText xml:space="preserve"> REF _Ref312178714 \n \h </w:instrText>
      </w:r>
      <w:r w:rsidRPr="0046486C">
        <w:fldChar w:fldCharType="separate"/>
      </w:r>
      <w:r w:rsidR="00924C7D">
        <w:t>3.2.1.2</w:t>
      </w:r>
      <w:r w:rsidRPr="0046486C">
        <w:fldChar w:fldCharType="end"/>
      </w:r>
      <w:r w:rsidRPr="0046486C">
        <w:t xml:space="preserve">. The triangular mesh generated on the </w:t>
      </w:r>
      <w:r>
        <w:t xml:space="preserve">mask surface, shown in </w:t>
      </w:r>
      <w:r>
        <w:fldChar w:fldCharType="begin"/>
      </w:r>
      <w:r>
        <w:instrText xml:space="preserve"> REF _Ref440723157 \h </w:instrText>
      </w:r>
      <w:r>
        <w:fldChar w:fldCharType="separate"/>
      </w:r>
      <w:r w:rsidR="00924C7D">
        <w:t xml:space="preserve">Figure </w:t>
      </w:r>
      <w:r w:rsidR="00924C7D">
        <w:rPr>
          <w:noProof/>
        </w:rPr>
        <w:t>5</w:t>
      </w:r>
      <w:r w:rsidR="00924C7D">
        <w:noBreakHyphen/>
      </w:r>
      <w:r w:rsidR="00924C7D">
        <w:rPr>
          <w:noProof/>
        </w:rPr>
        <w:t>3</w:t>
      </w:r>
      <w:r>
        <w:fldChar w:fldCharType="end"/>
      </w:r>
      <w:r>
        <w:t>, which</w:t>
      </w:r>
      <w:r w:rsidRPr="0046486C">
        <w:t xml:space="preserve"> represents the scaffold</w:t>
      </w:r>
      <w:r>
        <w:t xml:space="preserve"> geometry was </w:t>
      </w:r>
      <w:r w:rsidRPr="00D47C00">
        <w:t>exported in STL format.</w:t>
      </w:r>
    </w:p>
    <w:p w:rsidR="005D1052" w:rsidRPr="00C61975" w:rsidRDefault="005D1052" w:rsidP="005D1052"/>
    <w:p w:rsidR="005D1052" w:rsidRDefault="005D1052" w:rsidP="005D1052">
      <w:pPr>
        <w:keepNext/>
        <w:ind w:firstLine="0"/>
      </w:pPr>
      <w:r>
        <w:rPr>
          <w:noProof/>
          <w:lang w:eastAsia="en-GB"/>
        </w:rPr>
        <w:lastRenderedPageBreak/>
        <w:drawing>
          <wp:inline distT="0" distB="0" distL="0" distR="0" wp14:anchorId="026ED183" wp14:editId="706833C0">
            <wp:extent cx="5209802" cy="3116911"/>
            <wp:effectExtent l="0" t="0" r="0" b="762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 chamber.png"/>
                    <pic:cNvPicPr/>
                  </pic:nvPicPr>
                  <pic:blipFill>
                    <a:blip r:embed="rId125">
                      <a:extLst>
                        <a:ext uri="{28A0092B-C50C-407E-A947-70E740481C1C}">
                          <a14:useLocalDpi xmlns:a14="http://schemas.microsoft.com/office/drawing/2010/main" val="0"/>
                        </a:ext>
                      </a:extLst>
                    </a:blip>
                    <a:stretch>
                      <a:fillRect/>
                    </a:stretch>
                  </pic:blipFill>
                  <pic:spPr>
                    <a:xfrm>
                      <a:off x="0" y="0"/>
                      <a:ext cx="5260114" cy="3147011"/>
                    </a:xfrm>
                    <a:prstGeom prst="rect">
                      <a:avLst/>
                    </a:prstGeom>
                  </pic:spPr>
                </pic:pic>
              </a:graphicData>
            </a:graphic>
          </wp:inline>
        </w:drawing>
      </w:r>
    </w:p>
    <w:p w:rsidR="005D1052" w:rsidRDefault="005D1052" w:rsidP="005D1052">
      <w:pPr>
        <w:pStyle w:val="Caption"/>
        <w:rPr>
          <w:b w:val="0"/>
          <w:noProof/>
        </w:rPr>
      </w:pPr>
      <w:bookmarkStart w:id="458" w:name="_Ref312178497"/>
      <w:bookmarkStart w:id="459" w:name="_Toc438590842"/>
      <w:bookmarkStart w:id="460" w:name="_Toc445718849"/>
      <w:r w:rsidRPr="00357EBC">
        <w:t xml:space="preserve">Figure </w:t>
      </w:r>
      <w:fldSimple w:instr=" STYLEREF 1 \s ">
        <w:r w:rsidR="00924C7D">
          <w:rPr>
            <w:noProof/>
          </w:rPr>
          <w:t>5</w:t>
        </w:r>
      </w:fldSimple>
      <w:r>
        <w:noBreakHyphen/>
      </w:r>
      <w:fldSimple w:instr=" SEQ Figure \* ARABIC \s 1 ">
        <w:r w:rsidR="00924C7D">
          <w:rPr>
            <w:noProof/>
          </w:rPr>
          <w:t>2</w:t>
        </w:r>
      </w:fldSimple>
      <w:bookmarkEnd w:id="458"/>
      <w:r>
        <w:rPr>
          <w:noProof/>
        </w:rPr>
        <w:t xml:space="preserve"> </w:t>
      </w:r>
      <w:r w:rsidRPr="0046486C">
        <w:rPr>
          <w:b w:val="0"/>
          <w:noProof/>
        </w:rPr>
        <w:t>CAD model of the microfluic chamber used for the in vitro cell seeding experiments.</w:t>
      </w:r>
      <w:bookmarkEnd w:id="459"/>
      <w:bookmarkEnd w:id="460"/>
    </w:p>
    <w:p w:rsidR="005D1052" w:rsidRPr="00C61975" w:rsidRDefault="005D1052" w:rsidP="005D1052"/>
    <w:p w:rsidR="005D1052" w:rsidRDefault="005D1052" w:rsidP="005D1052">
      <w:pPr>
        <w:keepNext/>
        <w:ind w:firstLine="0"/>
        <w:jc w:val="center"/>
      </w:pPr>
      <w:r>
        <w:rPr>
          <w:noProof/>
          <w:lang w:eastAsia="en-GB"/>
        </w:rPr>
        <w:drawing>
          <wp:inline distT="0" distB="0" distL="0" distR="0" wp14:anchorId="6896508D" wp14:editId="699D0F1B">
            <wp:extent cx="2186609" cy="1909823"/>
            <wp:effectExtent l="0" t="0" r="444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ffold.png"/>
                    <pic:cNvPicPr/>
                  </pic:nvPicPr>
                  <pic:blipFill>
                    <a:blip r:embed="rId126">
                      <a:extLst>
                        <a:ext uri="{28A0092B-C50C-407E-A947-70E740481C1C}">
                          <a14:useLocalDpi xmlns:a14="http://schemas.microsoft.com/office/drawing/2010/main" val="0"/>
                        </a:ext>
                      </a:extLst>
                    </a:blip>
                    <a:stretch>
                      <a:fillRect/>
                    </a:stretch>
                  </pic:blipFill>
                  <pic:spPr>
                    <a:xfrm>
                      <a:off x="0" y="0"/>
                      <a:ext cx="2188659" cy="1911614"/>
                    </a:xfrm>
                    <a:prstGeom prst="rect">
                      <a:avLst/>
                    </a:prstGeom>
                  </pic:spPr>
                </pic:pic>
              </a:graphicData>
            </a:graphic>
          </wp:inline>
        </w:drawing>
      </w:r>
    </w:p>
    <w:p w:rsidR="005D1052" w:rsidRPr="0046486C" w:rsidRDefault="005D1052" w:rsidP="005D1052">
      <w:pPr>
        <w:pStyle w:val="Caption"/>
        <w:rPr>
          <w:b w:val="0"/>
        </w:rPr>
      </w:pPr>
      <w:bookmarkStart w:id="461" w:name="_Ref440723157"/>
      <w:bookmarkStart w:id="462" w:name="_Toc438590844"/>
      <w:bookmarkStart w:id="463" w:name="_Toc445718850"/>
      <w:r>
        <w:t xml:space="preserve">Figure </w:t>
      </w:r>
      <w:fldSimple w:instr=" STYLEREF 1 \s ">
        <w:r w:rsidR="00924C7D">
          <w:rPr>
            <w:noProof/>
          </w:rPr>
          <w:t>5</w:t>
        </w:r>
      </w:fldSimple>
      <w:r>
        <w:noBreakHyphen/>
      </w:r>
      <w:fldSimple w:instr=" SEQ Figure \* ARABIC \s 1 ">
        <w:r w:rsidR="00924C7D">
          <w:rPr>
            <w:noProof/>
          </w:rPr>
          <w:t>3</w:t>
        </w:r>
      </w:fldSimple>
      <w:bookmarkEnd w:id="461"/>
      <w:r>
        <w:t xml:space="preserve"> </w:t>
      </w:r>
      <w:r w:rsidRPr="0046486C">
        <w:rPr>
          <w:b w:val="0"/>
        </w:rPr>
        <w:t>Scaffold geometry reconstructed using µCT data.</w:t>
      </w:r>
      <w:bookmarkEnd w:id="462"/>
      <w:bookmarkEnd w:id="463"/>
    </w:p>
    <w:p w:rsidR="005D1052" w:rsidRPr="00EC316F" w:rsidRDefault="005D1052" w:rsidP="005D1052">
      <w:pPr>
        <w:pStyle w:val="Heading3"/>
      </w:pPr>
      <w:bookmarkStart w:id="464" w:name="_Toc310605637"/>
      <w:bookmarkStart w:id="465" w:name="_Toc310605932"/>
      <w:bookmarkStart w:id="466" w:name="_Toc440823275"/>
      <w:r w:rsidRPr="00EC316F">
        <w:lastRenderedPageBreak/>
        <w:t>Fluid volume mesh</w:t>
      </w:r>
      <w:bookmarkEnd w:id="464"/>
      <w:bookmarkEnd w:id="465"/>
      <w:bookmarkEnd w:id="466"/>
    </w:p>
    <w:p w:rsidR="005D1052" w:rsidRDefault="005D1052" w:rsidP="005D1052">
      <w:r>
        <w:t xml:space="preserve">The CAD geometry created in Design Modeller was imported into Icem Ansys in STEP format in order to generate a mesh with tetrahedral elements to represent the fluid volume. The geometry of the chamber presents different aspect ratios so a specific mesh element size may not provide an accurate solution for all chamber regions. </w:t>
      </w:r>
      <w:r w:rsidRPr="003C2638">
        <w:t xml:space="preserve">A mesh sensitivity </w:t>
      </w:r>
      <w:r>
        <w:t xml:space="preserve">test using the Octree meshing method was performed to find the most adequate mesh element size that satisfies the three regions of interest inside the chamber shown </w:t>
      </w:r>
      <w:r w:rsidRPr="0046486C">
        <w:t xml:space="preserve">in </w:t>
      </w:r>
      <w:r>
        <w:fldChar w:fldCharType="begin"/>
      </w:r>
      <w:r>
        <w:instrText xml:space="preserve"> REF _Ref312178830 \h  \* MERGEFORMAT </w:instrText>
      </w:r>
      <w:r>
        <w:fldChar w:fldCharType="separate"/>
      </w:r>
      <w:r w:rsidR="00924C7D">
        <w:t xml:space="preserve">Figure </w:t>
      </w:r>
      <w:r w:rsidR="00924C7D">
        <w:rPr>
          <w:noProof/>
        </w:rPr>
        <w:t>5</w:t>
      </w:r>
      <w:r w:rsidR="00924C7D">
        <w:rPr>
          <w:noProof/>
        </w:rPr>
        <w:noBreakHyphen/>
        <w:t>4</w:t>
      </w:r>
      <w:r>
        <w:fldChar w:fldCharType="end"/>
      </w:r>
      <w:r>
        <w:t xml:space="preserve"> (see </w:t>
      </w:r>
      <w:r w:rsidRPr="0046486C">
        <w:t xml:space="preserve">results in section </w:t>
      </w:r>
      <w:r w:rsidRPr="0046486C">
        <w:fldChar w:fldCharType="begin"/>
      </w:r>
      <w:r w:rsidRPr="0046486C">
        <w:instrText xml:space="preserve"> REF _Ref312178927 \r \h </w:instrText>
      </w:r>
      <w:r>
        <w:instrText xml:space="preserve"> \* MERGEFORMAT </w:instrText>
      </w:r>
      <w:r w:rsidRPr="0046486C">
        <w:fldChar w:fldCharType="separate"/>
      </w:r>
      <w:r w:rsidR="00924C7D">
        <w:t>5.3.1</w:t>
      </w:r>
      <w:r w:rsidRPr="0046486C">
        <w:fldChar w:fldCharType="end"/>
      </w:r>
      <w:r w:rsidRPr="0046486C">
        <w:t>). A</w:t>
      </w:r>
      <w:r>
        <w:t xml:space="preserve"> maximum length for the side of the tetrahedral elements of 50 </w:t>
      </w:r>
      <w:r>
        <w:rPr>
          <w:rFonts w:ascii="Times New Roman" w:hAnsi="Times New Roman" w:cs="Times New Roman"/>
        </w:rPr>
        <w:t>µ</w:t>
      </w:r>
      <w:r>
        <w:t>m was finally considered the most adequate value to provide an accurate solution in all chamber regions.</w:t>
      </w:r>
    </w:p>
    <w:p w:rsidR="005D1052" w:rsidRDefault="005D1052" w:rsidP="005D1052">
      <w:r>
        <w:t>Once the optimal global element size for the microfluidic chamber was determined, the</w:t>
      </w:r>
      <w:r w:rsidRPr="00FA6288">
        <w:t xml:space="preserve"> </w:t>
      </w:r>
      <w:r>
        <w:rPr>
          <w:rFonts w:ascii="Times New Roman" w:hAnsi="Times New Roman" w:cs="Times New Roman"/>
        </w:rPr>
        <w:t>µ</w:t>
      </w:r>
      <w:r>
        <w:t xml:space="preserve">CT-based scaffold was imported into Icem Ansys in STL format. The scaffold was located in the middle of the cylinder in region 1. The diameter of the cylinder was increased from 2.5 to 2.72 mm to avoid scaffold-cylinder intersection which could complicate the meshing process. The fluid domain between the scaffold and chamber wall boundaries was meshed applying a maximum length for the side of the tetrahedral elements of 50 </w:t>
      </w:r>
      <w:r>
        <w:rPr>
          <w:rFonts w:ascii="Times New Roman" w:hAnsi="Times New Roman" w:cs="Times New Roman"/>
        </w:rPr>
        <w:t>µ</w:t>
      </w:r>
      <w:r>
        <w:t xml:space="preserve">m and 20 </w:t>
      </w:r>
      <w:r>
        <w:rPr>
          <w:rFonts w:ascii="Times New Roman" w:hAnsi="Times New Roman" w:cs="Times New Roman"/>
        </w:rPr>
        <w:t>µ</w:t>
      </w:r>
      <w:r>
        <w:t>m for the elements outside and inside the scaffold, respectively. The maximum element size imposed inside the scaffold pores was the one suggested in previous analysis as described in C</w:t>
      </w:r>
      <w:r w:rsidRPr="0046486C">
        <w:t>hapters 3 and 4. As</w:t>
      </w:r>
      <w:r>
        <w:t xml:space="preserve"> a result, around 15 million tetrahedral elements represented the fluid domain</w:t>
      </w:r>
      <w:r w:rsidRPr="006D1E94">
        <w:t xml:space="preserve">. </w:t>
      </w:r>
      <w:r>
        <w:t>Despite of the fact that the elements outside the scaffold can be three times bigger than the ones inside, the use of the robust octree algorithm ensures a smooth transition from the elements far from the scaffold to the elements close to it. This method ensures refinement near the scaffold while maintaining the larger element size outside the scaffold.</w:t>
      </w:r>
    </w:p>
    <w:p w:rsidR="005D1052" w:rsidRDefault="005D1052" w:rsidP="005D1052">
      <w:pPr>
        <w:keepNext/>
        <w:ind w:firstLine="0"/>
      </w:pPr>
      <w:r>
        <w:rPr>
          <w:noProof/>
          <w:lang w:eastAsia="en-GB"/>
        </w:rPr>
        <w:lastRenderedPageBreak/>
        <w:drawing>
          <wp:inline distT="0" distB="0" distL="0" distR="0" wp14:anchorId="49596F80" wp14:editId="07176289">
            <wp:extent cx="5467350" cy="2076100"/>
            <wp:effectExtent l="0" t="0" r="0" b="635"/>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mberparts.png"/>
                    <pic:cNvPicPr/>
                  </pic:nvPicPr>
                  <pic:blipFill rotWithShape="1">
                    <a:blip r:embed="rId127">
                      <a:extLst>
                        <a:ext uri="{28A0092B-C50C-407E-A947-70E740481C1C}">
                          <a14:useLocalDpi xmlns:a14="http://schemas.microsoft.com/office/drawing/2010/main" val="0"/>
                        </a:ext>
                      </a:extLst>
                    </a:blip>
                    <a:srcRect l="1495" r="3156"/>
                    <a:stretch/>
                  </pic:blipFill>
                  <pic:spPr bwMode="auto">
                    <a:xfrm>
                      <a:off x="0" y="0"/>
                      <a:ext cx="5464928" cy="2075180"/>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46486C" w:rsidRDefault="005D1052" w:rsidP="005D1052">
      <w:pPr>
        <w:pStyle w:val="Caption"/>
        <w:rPr>
          <w:b w:val="0"/>
        </w:rPr>
      </w:pPr>
      <w:bookmarkStart w:id="467" w:name="_Ref312178830"/>
      <w:bookmarkStart w:id="468" w:name="_Toc438590845"/>
      <w:bookmarkStart w:id="469" w:name="_Toc445718851"/>
      <w:r>
        <w:t xml:space="preserve">Figure </w:t>
      </w:r>
      <w:fldSimple w:instr=" STYLEREF 1 \s ">
        <w:r w:rsidR="00924C7D">
          <w:rPr>
            <w:noProof/>
          </w:rPr>
          <w:t>5</w:t>
        </w:r>
      </w:fldSimple>
      <w:r>
        <w:noBreakHyphen/>
      </w:r>
      <w:fldSimple w:instr=" SEQ Figure \* ARABIC \s 1 ">
        <w:r w:rsidR="00924C7D">
          <w:rPr>
            <w:noProof/>
          </w:rPr>
          <w:t>4</w:t>
        </w:r>
      </w:fldSimple>
      <w:bookmarkEnd w:id="467"/>
      <w:r>
        <w:rPr>
          <w:noProof/>
        </w:rPr>
        <w:t xml:space="preserve"> </w:t>
      </w:r>
      <w:r w:rsidRPr="0046486C">
        <w:rPr>
          <w:b w:val="0"/>
          <w:noProof/>
        </w:rPr>
        <w:t>The three regions of interest where the mesh element size can have a different impact due to the geometry.</w:t>
      </w:r>
      <w:bookmarkEnd w:id="468"/>
      <w:bookmarkEnd w:id="469"/>
    </w:p>
    <w:p w:rsidR="005D1052" w:rsidRPr="003C2638" w:rsidRDefault="005D1052" w:rsidP="005D1052">
      <w:r w:rsidRPr="003C2638">
        <w:t xml:space="preserve">However, this mesh </w:t>
      </w:r>
      <w:r>
        <w:t>only guaranteed the convergence of the fluid phase so its performance to resolve the discrete phase needs further investigation. For that, the final mesh of 15 million that includes the scaffold was refined up to 50 million elements in order to understand the effect of the mesh size on the transport of cells in the computational model.</w:t>
      </w:r>
    </w:p>
    <w:p w:rsidR="005D1052" w:rsidRDefault="005D1052" w:rsidP="005D1052">
      <w:pPr>
        <w:pStyle w:val="Heading3"/>
      </w:pPr>
      <w:bookmarkStart w:id="470" w:name="_Toc310605638"/>
      <w:bookmarkStart w:id="471" w:name="_Toc310605933"/>
      <w:bookmarkStart w:id="472" w:name="_Toc440823276"/>
      <w:r w:rsidRPr="00EC316F">
        <w:t>C</w:t>
      </w:r>
      <w:r>
        <w:t>FD</w:t>
      </w:r>
      <w:r w:rsidRPr="00EC316F">
        <w:t xml:space="preserve"> model</w:t>
      </w:r>
      <w:bookmarkEnd w:id="470"/>
      <w:bookmarkEnd w:id="471"/>
      <w:r>
        <w:t xml:space="preserve"> setup and simulations</w:t>
      </w:r>
      <w:bookmarkEnd w:id="472"/>
    </w:p>
    <w:p w:rsidR="005D1052" w:rsidRPr="00EC316F" w:rsidRDefault="005D1052" w:rsidP="005D1052">
      <w:pPr>
        <w:pStyle w:val="Heading4"/>
      </w:pPr>
      <w:bookmarkStart w:id="473" w:name="_Toc440823277"/>
      <w:r w:rsidRPr="00EC316F">
        <w:t>Continuous phase</w:t>
      </w:r>
      <w:r>
        <w:t xml:space="preserve"> modelling</w:t>
      </w:r>
      <w:bookmarkEnd w:id="473"/>
    </w:p>
    <w:p w:rsidR="005D1052" w:rsidRDefault="005D1052" w:rsidP="005D1052">
      <w:r w:rsidRPr="006D5CE4">
        <w:t>The culture medium was model</w:t>
      </w:r>
      <w:r>
        <w:t>led with</w:t>
      </w:r>
      <w:r w:rsidRPr="006D5CE4">
        <w:t xml:space="preserve"> water </w:t>
      </w:r>
      <w:r>
        <w:t xml:space="preserve">properties and the fluid flow was described by the continuity and 3D Navier Stokes </w:t>
      </w:r>
      <w:r w:rsidRPr="004324E0">
        <w:t xml:space="preserve">equations as explained in section </w:t>
      </w:r>
      <w:r w:rsidRPr="004324E0">
        <w:fldChar w:fldCharType="begin"/>
      </w:r>
      <w:r w:rsidRPr="004324E0">
        <w:instrText xml:space="preserve"> REF _Ref312179680 \r \h </w:instrText>
      </w:r>
      <w:r w:rsidRPr="004324E0">
        <w:fldChar w:fldCharType="separate"/>
      </w:r>
      <w:r w:rsidR="00924C7D">
        <w:t>3.2.2</w:t>
      </w:r>
      <w:r w:rsidRPr="004324E0">
        <w:fldChar w:fldCharType="end"/>
      </w:r>
      <w:r w:rsidRPr="004324E0">
        <w:t xml:space="preserve">. Non slip wall condition was </w:t>
      </w:r>
      <w:r>
        <w:t>considered</w:t>
      </w:r>
      <w:r w:rsidRPr="004324E0">
        <w:t xml:space="preserve"> at the channel boundaries and on the scaffold surface.</w:t>
      </w:r>
    </w:p>
    <w:p w:rsidR="005D1052" w:rsidRDefault="005D1052" w:rsidP="005D1052">
      <w:r>
        <w:t>In the static simulation, a steady case with zero velocity at the inlet and outlet boundaries was established</w:t>
      </w:r>
      <w:r w:rsidRPr="006D5CE4">
        <w:t xml:space="preserve">. For the dynamic seeding, 12, 120 and 600 </w:t>
      </w:r>
      <w:r w:rsidRPr="006D5CE4">
        <w:rPr>
          <w:rFonts w:ascii="Times New Roman" w:hAnsi="Times New Roman" w:cs="Times New Roman"/>
        </w:rPr>
        <w:t>µ</w:t>
      </w:r>
      <w:r w:rsidRPr="006D5CE4">
        <w:t xml:space="preserve">l/min flow rates were applied to </w:t>
      </w:r>
      <w:r>
        <w:t>analyse</w:t>
      </w:r>
      <w:r w:rsidRPr="006D5CE4">
        <w:t xml:space="preserve"> the three seeding </w:t>
      </w:r>
      <w:r>
        <w:t>experimental scenarios</w:t>
      </w:r>
      <w:r w:rsidRPr="006D5CE4">
        <w:t>. The</w:t>
      </w:r>
      <w:r>
        <w:t>se</w:t>
      </w:r>
      <w:r w:rsidRPr="006D5CE4">
        <w:t xml:space="preserve"> three flow rates correspond with a fluid velocity at the scaffold entrance of 0.1, 1 and 5 mm/s </w:t>
      </w:r>
      <w:r w:rsidRPr="006D5CE4">
        <w:lastRenderedPageBreak/>
        <w:t xml:space="preserve">respectively. The fluid flow was imposed to change the direction of the flow every 500 </w:t>
      </w:r>
      <w:r w:rsidRPr="006D5CE4">
        <w:rPr>
          <w:rFonts w:ascii="Times New Roman" w:hAnsi="Times New Roman" w:cs="Times New Roman"/>
        </w:rPr>
        <w:t>µ</w:t>
      </w:r>
      <w:r w:rsidRPr="006D5CE4">
        <w:t>l of fluid dispensed. This is equivalent to change the direction of the flow every 2</w:t>
      </w:r>
      <w:r>
        <w:t>,</w:t>
      </w:r>
      <w:r w:rsidRPr="006D5CE4">
        <w:t xml:space="preserve">500, 250 and 50 seconds for the flow rates 12, 120 and 600 </w:t>
      </w:r>
      <w:r w:rsidRPr="006D5CE4">
        <w:rPr>
          <w:rFonts w:ascii="Times New Roman" w:hAnsi="Times New Roman" w:cs="Times New Roman"/>
        </w:rPr>
        <w:t>µ</w:t>
      </w:r>
      <w:r w:rsidRPr="006D5CE4">
        <w:t>l/min respectively. These flow rate conditions were controlled using a UDF function written in C</w:t>
      </w:r>
      <w:r>
        <w:t>++</w:t>
      </w:r>
      <w:r w:rsidRPr="006D5CE4">
        <w:t xml:space="preserve"> that </w:t>
      </w:r>
      <w:r>
        <w:t>was hooked at the inlet and outlet boundaries.</w:t>
      </w:r>
    </w:p>
    <w:p w:rsidR="005D1052" w:rsidRDefault="005D1052" w:rsidP="005D1052">
      <w:pPr>
        <w:pStyle w:val="Heading4"/>
      </w:pPr>
      <w:bookmarkStart w:id="474" w:name="_Toc440823278"/>
      <w:r w:rsidRPr="00EC316F">
        <w:t>Discrete phase</w:t>
      </w:r>
      <w:r>
        <w:t xml:space="preserve"> modelling</w:t>
      </w:r>
      <w:bookmarkEnd w:id="474"/>
    </w:p>
    <w:p w:rsidR="005D1052" w:rsidRDefault="005D1052" w:rsidP="005D1052">
      <w:r w:rsidRPr="009E4B2C">
        <w:t>Cells</w:t>
      </w:r>
      <w:r>
        <w:t xml:space="preserve"> were described as a discrete phase of sphere particles with the same diameter and density as </w:t>
      </w:r>
      <w:r w:rsidRPr="004324E0">
        <w:t xml:space="preserve">explained in section </w:t>
      </w:r>
      <w:r w:rsidRPr="004324E0">
        <w:fldChar w:fldCharType="begin"/>
      </w:r>
      <w:r w:rsidRPr="004324E0">
        <w:instrText xml:space="preserve"> REF _Ref312161092 \r \h </w:instrText>
      </w:r>
      <w:r w:rsidRPr="004324E0">
        <w:fldChar w:fldCharType="separate"/>
      </w:r>
      <w:r w:rsidR="00924C7D">
        <w:t>4.2.3.2.2</w:t>
      </w:r>
      <w:r w:rsidRPr="004324E0">
        <w:fldChar w:fldCharType="end"/>
      </w:r>
      <w:r w:rsidRPr="004324E0">
        <w:t>. One</w:t>
      </w:r>
      <w:r w:rsidRPr="00DF2F93">
        <w:t xml:space="preserve">-way coupling between </w:t>
      </w:r>
      <w:r>
        <w:t xml:space="preserve">phases was modelled where only the fluid phase had effect on the discrete phase and not on the contrary. This assumption was made since the total volume of cells is 7.5 % within the fluid domain. In addition to the fact that </w:t>
      </w:r>
      <w:r w:rsidRPr="008C22D4">
        <w:t>cell</w:t>
      </w:r>
      <w:r>
        <w:t>s</w:t>
      </w:r>
      <w:r w:rsidRPr="008C22D4">
        <w:t xml:space="preserve"> </w:t>
      </w:r>
      <w:r>
        <w:t>represent</w:t>
      </w:r>
      <w:r w:rsidRPr="008C22D4">
        <w:t xml:space="preserve"> a dilute phase</w:t>
      </w:r>
      <w:r>
        <w:t xml:space="preserve">, cell-cell interactions were neglected </w:t>
      </w:r>
      <w:r>
        <w:rPr>
          <w:color w:val="000000" w:themeColor="text1"/>
        </w:rPr>
        <w:t>considering that</w:t>
      </w:r>
      <w:r>
        <w:t xml:space="preserve"> cells have sufficient </w:t>
      </w:r>
      <w:r w:rsidRPr="009A209A">
        <w:t>time</w:t>
      </w:r>
      <w:r>
        <w:t xml:space="preserve"> to respond to the local dynamic forces before any collision.</w:t>
      </w:r>
    </w:p>
    <w:p w:rsidR="005D1052" w:rsidRDefault="005D1052" w:rsidP="005D1052">
      <w:r>
        <w:t>For the static seeding the only force responsible for the transport of cells was the gravity whereas in the dynamic seeding, the forces involved were the fluid drag and gravity (see equation 4-4</w:t>
      </w:r>
      <w:r w:rsidRPr="004324E0">
        <w:t>). It is noteworthy that the effect of gravity depends on the density of the two phases that in this case i</w:t>
      </w:r>
      <w:r>
        <w:t xml:space="preserve">s different. Also, in the case where the two phases have the same density and therefore gravity has no effect on cell transport was also </w:t>
      </w:r>
      <w:r w:rsidRPr="002965D4">
        <w:t xml:space="preserve">studied in section </w:t>
      </w:r>
      <w:r w:rsidRPr="002965D4">
        <w:fldChar w:fldCharType="begin"/>
      </w:r>
      <w:r w:rsidRPr="002965D4">
        <w:instrText xml:space="preserve"> REF _Ref312182402 \r \h </w:instrText>
      </w:r>
      <w:r w:rsidRPr="002965D4">
        <w:fldChar w:fldCharType="separate"/>
      </w:r>
      <w:r w:rsidR="00924C7D">
        <w:t>5.4.4.1</w:t>
      </w:r>
      <w:r w:rsidRPr="002965D4">
        <w:fldChar w:fldCharType="end"/>
      </w:r>
      <w:r w:rsidRPr="002965D4">
        <w:t>. Other forces such as the Saffman lift force that moves particles perpendicular to the direction</w:t>
      </w:r>
      <w:r>
        <w:t xml:space="preserve"> of the flow in shear flows could not be considered as Fluent Ansys can only apply this force for sub-micron particles, therefore not suitable for cells. Brownian forces were neglected as the diameter of cells is larger than 0.03 µm. </w:t>
      </w:r>
    </w:p>
    <w:p w:rsidR="005D1052" w:rsidRDefault="005D1052" w:rsidP="005D1052">
      <w:r>
        <w:t xml:space="preserve">The surface injection method was applied which consists of injecting one cell per surface mesh element. For the static seeding, 20,000 cells were injected in the static fluid domain from the top of the cylinder where the scaffold is located as shown in </w:t>
      </w:r>
      <w:r>
        <w:rPr>
          <w:highlight w:val="yellow"/>
        </w:rPr>
        <w:fldChar w:fldCharType="begin"/>
      </w:r>
      <w:r>
        <w:instrText xml:space="preserve"> REF _Ref312180383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5</w:t>
      </w:r>
      <w:r>
        <w:rPr>
          <w:highlight w:val="yellow"/>
        </w:rPr>
        <w:fldChar w:fldCharType="end"/>
      </w:r>
      <w:r>
        <w:t>.</w:t>
      </w:r>
    </w:p>
    <w:p w:rsidR="005D1052" w:rsidRDefault="005D1052" w:rsidP="005D1052">
      <w:r>
        <w:lastRenderedPageBreak/>
        <w:t xml:space="preserve">In the dynamic seeding, 20,000 cells were injected in the fluid domain at the inlet face (see </w:t>
      </w:r>
      <w:r>
        <w:fldChar w:fldCharType="begin"/>
      </w:r>
      <w:r>
        <w:instrText xml:space="preserve"> REF _Ref312180383 \h </w:instrText>
      </w:r>
      <w:r>
        <w:fldChar w:fldCharType="separate"/>
      </w:r>
      <w:r w:rsidR="00924C7D">
        <w:t xml:space="preserve">Figure </w:t>
      </w:r>
      <w:r w:rsidR="00924C7D">
        <w:rPr>
          <w:noProof/>
        </w:rPr>
        <w:t>5</w:t>
      </w:r>
      <w:r w:rsidR="00924C7D">
        <w:noBreakHyphen/>
      </w:r>
      <w:r w:rsidR="00924C7D">
        <w:rPr>
          <w:noProof/>
        </w:rPr>
        <w:t>5</w:t>
      </w:r>
      <w:r>
        <w:fldChar w:fldCharType="end"/>
      </w:r>
      <w:r w:rsidRPr="004E4E69">
        <w:t>).</w:t>
      </w:r>
      <w:r>
        <w:t xml:space="preserve"> This face has 274 surface elements so 72 injections were required to inject 20,000 cells in the fluid domain. At the beginning of the simulation and before changing the direction of the flow for the first time, 274 cells were injected every 15, 1.25 and 0.35</w:t>
      </w:r>
      <w:r w:rsidRPr="003320E1">
        <w:t xml:space="preserve"> seconds</w:t>
      </w:r>
      <w:r>
        <w:t xml:space="preserve"> for the 12, 120 and 600 </w:t>
      </w:r>
      <w:r>
        <w:rPr>
          <w:rFonts w:ascii="Times New Roman" w:hAnsi="Times New Roman" w:cs="Times New Roman"/>
        </w:rPr>
        <w:t>µ</w:t>
      </w:r>
      <w:r>
        <w:t>l/min flow rate cases respectively. For static and dynamic seeding cells were injected with zero initial velocity.</w:t>
      </w:r>
    </w:p>
    <w:p w:rsidR="005D1052" w:rsidRDefault="005D1052" w:rsidP="005D1052"/>
    <w:p w:rsidR="005D1052" w:rsidRDefault="005D1052" w:rsidP="005D1052">
      <w:pPr>
        <w:keepNext/>
        <w:ind w:firstLine="0"/>
      </w:pPr>
      <w:r>
        <w:rPr>
          <w:rFonts w:ascii="Times New Roman" w:eastAsia="Cambria" w:hAnsi="Times New Roman" w:cs="Times New Roman"/>
          <w:b/>
          <w:noProof/>
          <w:color w:val="000000"/>
          <w:szCs w:val="24"/>
          <w:lang w:eastAsia="en-GB"/>
        </w:rPr>
        <w:drawing>
          <wp:inline distT="0" distB="0" distL="0" distR="0" wp14:anchorId="272BDDDD" wp14:editId="58EB34AF">
            <wp:extent cx="5429250" cy="2531307"/>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dbc.png"/>
                    <pic:cNvPicPr/>
                  </pic:nvPicPr>
                  <pic:blipFill rotWithShape="1">
                    <a:blip r:embed="rId128">
                      <a:extLst>
                        <a:ext uri="{28A0092B-C50C-407E-A947-70E740481C1C}">
                          <a14:useLocalDpi xmlns:a14="http://schemas.microsoft.com/office/drawing/2010/main" val="0"/>
                        </a:ext>
                      </a:extLst>
                    </a:blip>
                    <a:srcRect l="1476" r="1147" b="6378"/>
                    <a:stretch/>
                  </pic:blipFill>
                  <pic:spPr bwMode="auto">
                    <a:xfrm>
                      <a:off x="0" y="0"/>
                      <a:ext cx="5443667" cy="2538029"/>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4E4E69" w:rsidRDefault="005D1052" w:rsidP="005D1052">
      <w:pPr>
        <w:pStyle w:val="Caption"/>
        <w:rPr>
          <w:b w:val="0"/>
        </w:rPr>
      </w:pPr>
      <w:bookmarkStart w:id="475" w:name="_Ref312180383"/>
      <w:bookmarkStart w:id="476" w:name="_Toc438590846"/>
      <w:bookmarkStart w:id="477" w:name="_Toc445718852"/>
      <w:r>
        <w:t xml:space="preserve">Figure </w:t>
      </w:r>
      <w:fldSimple w:instr=" STYLEREF 1 \s ">
        <w:r w:rsidR="00924C7D">
          <w:rPr>
            <w:noProof/>
          </w:rPr>
          <w:t>5</w:t>
        </w:r>
      </w:fldSimple>
      <w:r>
        <w:noBreakHyphen/>
      </w:r>
      <w:fldSimple w:instr=" SEQ Figure \* ARABIC \s 1 ">
        <w:r w:rsidR="00924C7D">
          <w:rPr>
            <w:noProof/>
          </w:rPr>
          <w:t>5</w:t>
        </w:r>
      </w:fldSimple>
      <w:bookmarkEnd w:id="475"/>
      <w:r>
        <w:t xml:space="preserve"> </w:t>
      </w:r>
      <w:r w:rsidRPr="0046486C">
        <w:rPr>
          <w:b w:val="0"/>
        </w:rPr>
        <w:t>Boundary conditions of the CFD model. In the dynamic seeding cells are injected at the inlet whereas in the static seeding they are injected from the green surface on top of</w:t>
      </w:r>
      <w:r>
        <w:rPr>
          <w:b w:val="0"/>
        </w:rPr>
        <w:t xml:space="preserve"> the</w:t>
      </w:r>
      <w:r w:rsidRPr="0046486C">
        <w:rPr>
          <w:b w:val="0"/>
        </w:rPr>
        <w:t xml:space="preserve"> chamber where the scaffold is located. </w:t>
      </w:r>
      <w:r>
        <w:rPr>
          <w:b w:val="0"/>
        </w:rPr>
        <w:t>The</w:t>
      </w:r>
      <w:r w:rsidRPr="0046486C">
        <w:rPr>
          <w:b w:val="0"/>
        </w:rPr>
        <w:t xml:space="preserve"> fluid velocity is imposed </w:t>
      </w:r>
      <w:r>
        <w:rPr>
          <w:b w:val="0"/>
        </w:rPr>
        <w:t xml:space="preserve">at the inlet and outlet boundaries </w:t>
      </w:r>
      <w:r w:rsidRPr="0046486C">
        <w:rPr>
          <w:b w:val="0"/>
        </w:rPr>
        <w:t xml:space="preserve">with </w:t>
      </w:r>
      <w:r>
        <w:rPr>
          <w:b w:val="0"/>
        </w:rPr>
        <w:t>a</w:t>
      </w:r>
      <w:r w:rsidRPr="0046486C">
        <w:rPr>
          <w:b w:val="0"/>
        </w:rPr>
        <w:t xml:space="preserve"> UDF to alternate the direction of the flow in the dynamic seeding.</w:t>
      </w:r>
      <w:bookmarkEnd w:id="476"/>
      <w:bookmarkEnd w:id="477"/>
    </w:p>
    <w:p w:rsidR="005D1052" w:rsidRDefault="005D1052" w:rsidP="005D1052">
      <w:r>
        <w:t xml:space="preserve">Regarding the cell-scaffold interactions, cells were </w:t>
      </w:r>
      <w:r w:rsidRPr="00632CC7">
        <w:t>trapped</w:t>
      </w:r>
      <w:r>
        <w:t xml:space="preserve"> in the scaffold wall boundary as soon as they contacted the scaffold wall. The same condition was applied in the chamber walls with the exception of the inlet and outlet boundaries where the cells were subjected to reflection. The coordinates of the trapped cells in the scaffold surface and chamber walls were registered in text files during simulations for further post-processing.</w:t>
      </w:r>
    </w:p>
    <w:p w:rsidR="005D1052" w:rsidRDefault="005D1052" w:rsidP="005D1052">
      <w:pPr>
        <w:pStyle w:val="Heading4"/>
      </w:pPr>
      <w:bookmarkStart w:id="478" w:name="_Toc440823279"/>
      <w:r w:rsidRPr="00EC316F">
        <w:lastRenderedPageBreak/>
        <w:t>Numerical calculations</w:t>
      </w:r>
      <w:bookmarkEnd w:id="478"/>
    </w:p>
    <w:p w:rsidR="005D1052" w:rsidRPr="00490A5F" w:rsidRDefault="005D1052" w:rsidP="005D1052">
      <w:pPr>
        <w:rPr>
          <w:color w:val="000000" w:themeColor="text1"/>
        </w:rPr>
      </w:pPr>
      <w:r w:rsidRPr="005C585F">
        <w:rPr>
          <w:color w:val="000000" w:themeColor="text1"/>
        </w:rPr>
        <w:t>For the static seeding,</w:t>
      </w:r>
      <w:r w:rsidRPr="005C585F">
        <w:rPr>
          <w:b/>
          <w:color w:val="000000" w:themeColor="text1"/>
        </w:rPr>
        <w:t xml:space="preserve"> </w:t>
      </w:r>
      <w:r>
        <w:rPr>
          <w:color w:val="000000" w:themeColor="text1"/>
        </w:rPr>
        <w:t xml:space="preserve">the fluid flow was previously resolved and then the cells were advanced every second in the steady flow until they were trapped </w:t>
      </w:r>
      <w:r>
        <w:t>either in the scaffold or at the bottom of the chamber.</w:t>
      </w:r>
    </w:p>
    <w:p w:rsidR="005D1052" w:rsidRDefault="005D1052" w:rsidP="005D1052">
      <w:r>
        <w:t xml:space="preserve">In the dynamic seeding, transient simulations were applied to inject cells and calculate cell path along the fluid domain. At every time step, the continuous phase was calculated with 100 iterations which was sufficient for the residuals to stabilise. Then, the cells were advanced in the resolved fluid flow at the end of the time step. The time step during the injection time </w:t>
      </w:r>
      <w:r w:rsidRPr="00B920B4">
        <w:t>was</w:t>
      </w:r>
      <w:r>
        <w:t xml:space="preserve"> set to</w:t>
      </w:r>
      <w:r w:rsidRPr="00B920B4">
        <w:t xml:space="preserve"> </w:t>
      </w:r>
      <w:r>
        <w:t xml:space="preserve">every 15, 1.25 and 0.35 seconds for the 12, 120 and 600 </w:t>
      </w:r>
      <w:r>
        <w:rPr>
          <w:rFonts w:ascii="Times New Roman" w:hAnsi="Times New Roman" w:cs="Times New Roman"/>
        </w:rPr>
        <w:t>µ</w:t>
      </w:r>
      <w:r>
        <w:t xml:space="preserve">l/min flow rate cases respectively. Once the injections were completed, the time step was set to 2,500, 250 and 50 seconds corresponding to the time to change the direction of the flow. Two hours were simulated as that was the seeding time employed in the laboratory experiments. </w:t>
      </w:r>
    </w:p>
    <w:p w:rsidR="005D1052" w:rsidRDefault="005D1052" w:rsidP="005D1052">
      <w:r>
        <w:t xml:space="preserve">These models were resolved in Fluent Ansys 15.0. The continuum phase was solved using the </w:t>
      </w:r>
      <w:r w:rsidRPr="001B7CA9">
        <w:t>pressure-based coupled solver</w:t>
      </w:r>
      <w:r>
        <w:t xml:space="preserve"> to calculate the continuous phase where the continuity and momentum equations are solved simultaneously. The </w:t>
      </w:r>
      <w:r w:rsidRPr="00632650">
        <w:t>second order upwind</w:t>
      </w:r>
      <w:r>
        <w:t xml:space="preserve"> scheme was applied for the interpolation of the momentum and pressure variables and for the spatial discretization the least square cell based approach was selected. A convergence criterion was imposed for the continuity equation of the fluid phase with 10</w:t>
      </w:r>
      <w:r w:rsidRPr="005114E8">
        <w:rPr>
          <w:vertAlign w:val="superscript"/>
        </w:rPr>
        <w:t>-6</w:t>
      </w:r>
      <w:r>
        <w:rPr>
          <w:vertAlign w:val="superscript"/>
        </w:rPr>
        <w:t xml:space="preserve"> </w:t>
      </w:r>
      <w:r>
        <w:t>accuracy and also for the velocity equations with 10</w:t>
      </w:r>
      <w:r w:rsidRPr="00BF00C8">
        <w:rPr>
          <w:vertAlign w:val="superscript"/>
        </w:rPr>
        <w:t>-7</w:t>
      </w:r>
      <w:r>
        <w:t>. Discrete phase motion was solved with a tolerance for accuracy control of 10</w:t>
      </w:r>
      <w:r w:rsidRPr="000E0EE2">
        <w:rPr>
          <w:vertAlign w:val="superscript"/>
        </w:rPr>
        <w:t>-5</w:t>
      </w:r>
      <w:r>
        <w:t>. The tracking scheme was set to change automatically between high order trapezoidal discretization and implicit low order depending on target accuracy and the stability of both schemes.</w:t>
      </w:r>
    </w:p>
    <w:p w:rsidR="005D1052" w:rsidRDefault="005D1052" w:rsidP="005D1052">
      <w:r>
        <w:t>Parallel calculations were performed to solve the CFD model with 32</w:t>
      </w:r>
      <w:r w:rsidRPr="005445E3">
        <w:t xml:space="preserve"> cores </w:t>
      </w:r>
      <w:r>
        <w:t xml:space="preserve">in the Iceberg high performance computing </w:t>
      </w:r>
      <w:r w:rsidRPr="005445E3">
        <w:t>facilities centrally provided by the University</w:t>
      </w:r>
      <w:r w:rsidRPr="00C15667">
        <w:t xml:space="preserve"> </w:t>
      </w:r>
      <w:r>
        <w:t xml:space="preserve">of </w:t>
      </w:r>
      <w:r w:rsidRPr="005445E3">
        <w:t>Sheffield</w:t>
      </w:r>
      <w:r>
        <w:t xml:space="preserve">. Results of the benchmark study are </w:t>
      </w:r>
      <w:r w:rsidRPr="002965D4">
        <w:t xml:space="preserve">shown in section </w:t>
      </w:r>
      <w:r>
        <w:fldChar w:fldCharType="begin"/>
      </w:r>
      <w:r>
        <w:instrText xml:space="preserve"> REF _Ref312182454 \r \h </w:instrText>
      </w:r>
      <w:r>
        <w:fldChar w:fldCharType="separate"/>
      </w:r>
      <w:r w:rsidR="00924C7D">
        <w:t>5.3.2</w:t>
      </w:r>
      <w:r>
        <w:fldChar w:fldCharType="end"/>
      </w:r>
      <w:r w:rsidRPr="002965D4">
        <w:t>. The</w:t>
      </w:r>
      <w:r>
        <w:t xml:space="preserve"> model was also tested with the latest version of Ansys Fluent 16.1 available at the time. </w:t>
      </w:r>
    </w:p>
    <w:p w:rsidR="005D1052" w:rsidRPr="00EC316F" w:rsidRDefault="005D1052" w:rsidP="005D1052">
      <w:pPr>
        <w:pStyle w:val="Heading2"/>
      </w:pPr>
      <w:bookmarkStart w:id="479" w:name="_Toc310605639"/>
      <w:bookmarkStart w:id="480" w:name="_Toc310605934"/>
      <w:bookmarkStart w:id="481" w:name="_Toc440823280"/>
      <w:r w:rsidRPr="00EC316F">
        <w:lastRenderedPageBreak/>
        <w:t>Results</w:t>
      </w:r>
      <w:bookmarkEnd w:id="479"/>
      <w:bookmarkEnd w:id="480"/>
      <w:bookmarkEnd w:id="481"/>
    </w:p>
    <w:p w:rsidR="005D1052" w:rsidRPr="00EC316F" w:rsidRDefault="005D1052" w:rsidP="005D1052">
      <w:pPr>
        <w:pStyle w:val="Heading3"/>
      </w:pPr>
      <w:bookmarkStart w:id="482" w:name="_Toc310605640"/>
      <w:bookmarkStart w:id="483" w:name="_Toc310605935"/>
      <w:bookmarkStart w:id="484" w:name="_Ref312178927"/>
      <w:bookmarkStart w:id="485" w:name="_Ref438394736"/>
      <w:bookmarkStart w:id="486" w:name="_Toc440823281"/>
      <w:r w:rsidRPr="00EC316F">
        <w:t xml:space="preserve">Mesh </w:t>
      </w:r>
      <w:bookmarkEnd w:id="482"/>
      <w:bookmarkEnd w:id="483"/>
      <w:bookmarkEnd w:id="484"/>
      <w:bookmarkEnd w:id="485"/>
      <w:bookmarkEnd w:id="486"/>
      <w:r>
        <w:t>independence test</w:t>
      </w:r>
    </w:p>
    <w:p w:rsidR="005D1052" w:rsidRDefault="005D1052" w:rsidP="005D1052">
      <w:r>
        <w:t xml:space="preserve">Six element sizes (see </w:t>
      </w:r>
      <w:r>
        <w:rPr>
          <w:highlight w:val="yellow"/>
        </w:rPr>
        <w:fldChar w:fldCharType="begin"/>
      </w:r>
      <w:r>
        <w:instrText xml:space="preserve"> REF _Ref312180429 \h </w:instrText>
      </w:r>
      <w:r>
        <w:rPr>
          <w:highlight w:val="yellow"/>
        </w:rPr>
      </w:r>
      <w:r>
        <w:rPr>
          <w:highlight w:val="yellow"/>
        </w:rPr>
        <w:fldChar w:fldCharType="separate"/>
      </w:r>
      <w:r w:rsidR="00924C7D">
        <w:t xml:space="preserve">Table </w:t>
      </w:r>
      <w:r w:rsidR="00924C7D">
        <w:rPr>
          <w:noProof/>
        </w:rPr>
        <w:t>5</w:t>
      </w:r>
      <w:r w:rsidR="00924C7D">
        <w:noBreakHyphen/>
      </w:r>
      <w:r w:rsidR="00924C7D">
        <w:rPr>
          <w:noProof/>
        </w:rPr>
        <w:t>1</w:t>
      </w:r>
      <w:r>
        <w:rPr>
          <w:highlight w:val="yellow"/>
        </w:rPr>
        <w:fldChar w:fldCharType="end"/>
      </w:r>
      <w:r>
        <w:t xml:space="preserve">) were investigated in the three regions of the microfluidic chamber previously shown in </w:t>
      </w:r>
      <w:r>
        <w:rPr>
          <w:highlight w:val="yellow"/>
        </w:rPr>
        <w:fldChar w:fldCharType="begin"/>
      </w:r>
      <w:r>
        <w:instrText xml:space="preserve"> REF _Ref312178830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4</w:t>
      </w:r>
      <w:r>
        <w:rPr>
          <w:highlight w:val="yellow"/>
        </w:rPr>
        <w:fldChar w:fldCharType="end"/>
      </w:r>
      <w:r>
        <w:t xml:space="preserve"> without the scaffold.</w:t>
      </w:r>
    </w:p>
    <w:p w:rsidR="005D1052" w:rsidRDefault="005D1052" w:rsidP="005D1052"/>
    <w:p w:rsidR="005D1052" w:rsidRPr="004F00F6" w:rsidRDefault="005D1052" w:rsidP="005D1052">
      <w:pPr>
        <w:spacing w:before="480" w:after="0"/>
        <w:ind w:firstLine="0"/>
        <w:jc w:val="center"/>
      </w:pPr>
      <w:r>
        <w:rPr>
          <w:noProof/>
          <w:lang w:eastAsia="en-GB"/>
        </w:rPr>
        <w:drawing>
          <wp:inline distT="0" distB="0" distL="0" distR="0" wp14:anchorId="52510FC4" wp14:editId="0AD6A527">
            <wp:extent cx="3879411" cy="1975738"/>
            <wp:effectExtent l="0" t="0" r="6985" b="5715"/>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3879411" cy="1975738"/>
                    </a:xfrm>
                    <a:prstGeom prst="rect">
                      <a:avLst/>
                    </a:prstGeom>
                    <a:noFill/>
                  </pic:spPr>
                </pic:pic>
              </a:graphicData>
            </a:graphic>
          </wp:inline>
        </w:drawing>
      </w:r>
    </w:p>
    <w:p w:rsidR="005D1052" w:rsidRPr="00D471B5" w:rsidRDefault="005D1052" w:rsidP="005D1052">
      <w:pPr>
        <w:pStyle w:val="Caption"/>
        <w:rPr>
          <w:b w:val="0"/>
        </w:rPr>
      </w:pPr>
      <w:bookmarkStart w:id="487" w:name="_Ref312180429"/>
      <w:bookmarkStart w:id="488" w:name="_Toc440822958"/>
      <w:r>
        <w:t xml:space="preserve">Table </w:t>
      </w:r>
      <w:fldSimple w:instr=" STYLEREF 1 \s ">
        <w:r w:rsidR="00924C7D">
          <w:rPr>
            <w:noProof/>
          </w:rPr>
          <w:t>5</w:t>
        </w:r>
      </w:fldSimple>
      <w:r>
        <w:noBreakHyphen/>
      </w:r>
      <w:fldSimple w:instr=" SEQ Table \* ARABIC \s 1 ">
        <w:r w:rsidR="00924C7D">
          <w:rPr>
            <w:noProof/>
          </w:rPr>
          <w:t>1</w:t>
        </w:r>
      </w:fldSimple>
      <w:bookmarkEnd w:id="487"/>
      <w:r>
        <w:rPr>
          <w:noProof/>
        </w:rPr>
        <w:t xml:space="preserve"> </w:t>
      </w:r>
      <w:r w:rsidRPr="00D471B5">
        <w:rPr>
          <w:b w:val="0"/>
          <w:noProof/>
        </w:rPr>
        <w:t>Number of mesh elements and computational time for the six global element sizes investigated in the microfluidic chamber without the scaffold.</w:t>
      </w:r>
      <w:bookmarkEnd w:id="488"/>
    </w:p>
    <w:p w:rsidR="005D1052" w:rsidRDefault="005D1052" w:rsidP="005D1052">
      <w:pPr>
        <w:pStyle w:val="ListParagraph"/>
        <w:numPr>
          <w:ilvl w:val="0"/>
          <w:numId w:val="4"/>
        </w:numPr>
      </w:pPr>
      <w:r w:rsidRPr="004F00F6">
        <w:rPr>
          <w:b/>
        </w:rPr>
        <w:t>Region 1</w:t>
      </w:r>
      <w:r>
        <w:t xml:space="preserve"> </w:t>
      </w:r>
    </w:p>
    <w:p w:rsidR="005D1052" w:rsidRDefault="005D1052" w:rsidP="005D1052">
      <w:r w:rsidRPr="00882519">
        <w:t xml:space="preserve">The six element sizes provide the same solution in region 1 as seen in </w:t>
      </w:r>
      <w:r w:rsidRPr="00882519">
        <w:fldChar w:fldCharType="begin"/>
      </w:r>
      <w:r w:rsidRPr="00882519">
        <w:instrText xml:space="preserve"> REF _Ref312180631 \h </w:instrText>
      </w:r>
      <w:r w:rsidRPr="00882519">
        <w:fldChar w:fldCharType="separate"/>
      </w:r>
      <w:r w:rsidR="00924C7D">
        <w:t xml:space="preserve">Figure </w:t>
      </w:r>
      <w:r w:rsidR="00924C7D">
        <w:rPr>
          <w:noProof/>
        </w:rPr>
        <w:t>5</w:t>
      </w:r>
      <w:r w:rsidR="00924C7D">
        <w:noBreakHyphen/>
      </w:r>
      <w:r w:rsidR="00924C7D">
        <w:rPr>
          <w:noProof/>
        </w:rPr>
        <w:t>8</w:t>
      </w:r>
      <w:r w:rsidRPr="00882519">
        <w:fldChar w:fldCharType="end"/>
      </w:r>
      <w:r w:rsidRPr="00882519">
        <w:t xml:space="preserve">, </w:t>
      </w:r>
      <w:r>
        <w:t>5-9 and 5-10. However,</w:t>
      </w:r>
      <w:r w:rsidRPr="00882519">
        <w:t xml:space="preserve"> when approaching to region 2 in line 2 only the meshes with 50 and 20 </w:t>
      </w:r>
      <w:r w:rsidRPr="00882519">
        <w:rPr>
          <w:rFonts w:ascii="Times New Roman" w:hAnsi="Times New Roman" w:cs="Times New Roman"/>
        </w:rPr>
        <w:t>µ</w:t>
      </w:r>
      <w:r w:rsidRPr="00882519">
        <w:t>m</w:t>
      </w:r>
      <w:r>
        <w:t xml:space="preserve"> element size converge exhibiting a 2% change in terms of velocity magnitude (</w:t>
      </w:r>
      <w:r>
        <w:rPr>
          <w:highlight w:val="yellow"/>
        </w:rPr>
        <w:fldChar w:fldCharType="begin"/>
      </w:r>
      <w:r>
        <w:instrText xml:space="preserve"> REF _Ref312180653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9</w:t>
      </w:r>
      <w:r>
        <w:rPr>
          <w:highlight w:val="yellow"/>
        </w:rPr>
        <w:fldChar w:fldCharType="end"/>
      </w:r>
      <w:r>
        <w:t>).</w:t>
      </w:r>
    </w:p>
    <w:p w:rsidR="005D1052" w:rsidRPr="00226615" w:rsidRDefault="005D1052" w:rsidP="005D1052">
      <w:pPr>
        <w:pStyle w:val="ListParagraph"/>
        <w:numPr>
          <w:ilvl w:val="0"/>
          <w:numId w:val="4"/>
        </w:numPr>
        <w:rPr>
          <w:b/>
        </w:rPr>
      </w:pPr>
      <w:r w:rsidRPr="00226615">
        <w:rPr>
          <w:b/>
        </w:rPr>
        <w:t xml:space="preserve">Region 2 </w:t>
      </w:r>
    </w:p>
    <w:p w:rsidR="005D1052" w:rsidRDefault="005D1052" w:rsidP="005D1052">
      <w:r>
        <w:t xml:space="preserve">The velocity values for the mesh with element size of 50 </w:t>
      </w:r>
      <w:r w:rsidRPr="00EC07B5">
        <w:rPr>
          <w:rFonts w:ascii="Times New Roman" w:hAnsi="Times New Roman" w:cs="Times New Roman"/>
        </w:rPr>
        <w:t>µ</w:t>
      </w:r>
      <w:r>
        <w:t xml:space="preserve">m differ from the finest mesh with 20 </w:t>
      </w:r>
      <w:r w:rsidRPr="00EC07B5">
        <w:rPr>
          <w:rFonts w:ascii="Times New Roman" w:hAnsi="Times New Roman" w:cs="Times New Roman"/>
        </w:rPr>
        <w:t>µ</w:t>
      </w:r>
      <w:r>
        <w:t xml:space="preserve">m element size up to 5% and presents relative changes with respect to the 100 </w:t>
      </w:r>
      <w:r w:rsidRPr="00EC07B5">
        <w:rPr>
          <w:rFonts w:ascii="Times New Roman" w:hAnsi="Times New Roman" w:cs="Times New Roman"/>
        </w:rPr>
        <w:t>µ</w:t>
      </w:r>
      <w:r>
        <w:t xml:space="preserve">m mesh of 15%. Therefore, the </w:t>
      </w:r>
      <w:r w:rsidRPr="009C5BF8">
        <w:t>mesh with 50 µm</w:t>
      </w:r>
      <w:r>
        <w:t xml:space="preserve"> element size provides an </w:t>
      </w:r>
      <w:r>
        <w:lastRenderedPageBreak/>
        <w:t xml:space="preserve">accurate solution for region 2 as well as an adequate computational cost (see </w:t>
      </w:r>
      <w:r>
        <w:fldChar w:fldCharType="begin"/>
      </w:r>
      <w:r>
        <w:instrText xml:space="preserve"> REF _Ref312181232 \h </w:instrText>
      </w:r>
      <w:r>
        <w:fldChar w:fldCharType="separate"/>
      </w:r>
      <w:r w:rsidR="00924C7D">
        <w:t xml:space="preserve">Figure </w:t>
      </w:r>
      <w:r w:rsidR="00924C7D">
        <w:rPr>
          <w:noProof/>
        </w:rPr>
        <w:t>5</w:t>
      </w:r>
      <w:r w:rsidR="00924C7D">
        <w:noBreakHyphen/>
      </w:r>
      <w:r w:rsidR="00924C7D">
        <w:rPr>
          <w:noProof/>
        </w:rPr>
        <w:t>12</w:t>
      </w:r>
      <w:r>
        <w:fldChar w:fldCharType="end"/>
      </w:r>
      <w:r>
        <w:t>, 5-13 and 5-14</w:t>
      </w:r>
      <w:r w:rsidRPr="001B4B98">
        <w:t>).</w:t>
      </w:r>
    </w:p>
    <w:p w:rsidR="005D1052" w:rsidRDefault="005D1052" w:rsidP="005D1052"/>
    <w:p w:rsidR="005D1052" w:rsidRDefault="005D1052" w:rsidP="005D1052">
      <w:pPr>
        <w:keepNext/>
        <w:ind w:firstLine="0"/>
      </w:pPr>
      <w:r>
        <w:rPr>
          <w:noProof/>
          <w:lang w:eastAsia="en-GB"/>
        </w:rPr>
        <w:drawing>
          <wp:inline distT="0" distB="0" distL="0" distR="0" wp14:anchorId="678A7F90" wp14:editId="474CB292">
            <wp:extent cx="5467350" cy="1581150"/>
            <wp:effectExtent l="0" t="0" r="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1.png"/>
                    <pic:cNvPicPr/>
                  </pic:nvPicPr>
                  <pic:blipFill>
                    <a:blip r:embed="rId130">
                      <a:extLst>
                        <a:ext uri="{28A0092B-C50C-407E-A947-70E740481C1C}">
                          <a14:useLocalDpi xmlns:a14="http://schemas.microsoft.com/office/drawing/2010/main" val="0"/>
                        </a:ext>
                      </a:extLst>
                    </a:blip>
                    <a:stretch>
                      <a:fillRect/>
                    </a:stretch>
                  </pic:blipFill>
                  <pic:spPr>
                    <a:xfrm>
                      <a:off x="0" y="0"/>
                      <a:ext cx="5478740" cy="1584444"/>
                    </a:xfrm>
                    <a:prstGeom prst="rect">
                      <a:avLst/>
                    </a:prstGeom>
                  </pic:spPr>
                </pic:pic>
              </a:graphicData>
            </a:graphic>
          </wp:inline>
        </w:drawing>
      </w:r>
    </w:p>
    <w:p w:rsidR="005D1052" w:rsidRPr="001B4B98" w:rsidRDefault="005D1052" w:rsidP="005D1052">
      <w:pPr>
        <w:pStyle w:val="Caption"/>
        <w:rPr>
          <w:b w:val="0"/>
        </w:rPr>
      </w:pPr>
      <w:bookmarkStart w:id="489" w:name="_Ref312180876"/>
      <w:bookmarkStart w:id="490" w:name="_Toc438590847"/>
      <w:bookmarkStart w:id="491" w:name="_Toc445718853"/>
      <w:r>
        <w:t xml:space="preserve">Figure </w:t>
      </w:r>
      <w:fldSimple w:instr=" STYLEREF 1 \s ">
        <w:r w:rsidR="00924C7D">
          <w:rPr>
            <w:noProof/>
          </w:rPr>
          <w:t>5</w:t>
        </w:r>
      </w:fldSimple>
      <w:r>
        <w:noBreakHyphen/>
      </w:r>
      <w:fldSimple w:instr=" SEQ Figure \* ARABIC \s 1 ">
        <w:r w:rsidR="00924C7D">
          <w:rPr>
            <w:noProof/>
          </w:rPr>
          <w:t>6</w:t>
        </w:r>
      </w:fldSimple>
      <w:bookmarkEnd w:id="489"/>
      <w:r>
        <w:rPr>
          <w:noProof/>
        </w:rPr>
        <w:t xml:space="preserve"> </w:t>
      </w:r>
      <w:r w:rsidRPr="001B4B98">
        <w:rPr>
          <w:b w:val="0"/>
          <w:noProof/>
        </w:rPr>
        <w:t>Lines 1</w:t>
      </w:r>
      <w:r>
        <w:rPr>
          <w:b w:val="0"/>
          <w:noProof/>
        </w:rPr>
        <w:t xml:space="preserve"> and 2 where velocity values were</w:t>
      </w:r>
      <w:r w:rsidRPr="001B4B98">
        <w:rPr>
          <w:b w:val="0"/>
          <w:noProof/>
        </w:rPr>
        <w:t xml:space="preserve"> extracted to analyse the effect of different mesh element sizes inside region 1.</w:t>
      </w:r>
      <w:bookmarkEnd w:id="490"/>
      <w:bookmarkEnd w:id="491"/>
    </w:p>
    <w:p w:rsidR="005D1052" w:rsidRDefault="005D1052" w:rsidP="005D1052">
      <w:pPr>
        <w:keepNext/>
        <w:ind w:firstLine="0"/>
        <w:jc w:val="center"/>
      </w:pPr>
      <w:r>
        <w:rPr>
          <w:noProof/>
          <w:lang w:eastAsia="en-GB"/>
        </w:rPr>
        <w:drawing>
          <wp:inline distT="0" distB="0" distL="0" distR="0" wp14:anchorId="646B5D29" wp14:editId="05E1CABC">
            <wp:extent cx="5296126" cy="1850065"/>
            <wp:effectExtent l="0" t="0" r="0" b="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1_line3.png"/>
                    <pic:cNvPicPr/>
                  </pic:nvPicPr>
                  <pic:blipFill>
                    <a:blip r:embed="rId131">
                      <a:extLst>
                        <a:ext uri="{28A0092B-C50C-407E-A947-70E740481C1C}">
                          <a14:useLocalDpi xmlns:a14="http://schemas.microsoft.com/office/drawing/2010/main" val="0"/>
                        </a:ext>
                      </a:extLst>
                    </a:blip>
                    <a:stretch>
                      <a:fillRect/>
                    </a:stretch>
                  </pic:blipFill>
                  <pic:spPr>
                    <a:xfrm>
                      <a:off x="0" y="0"/>
                      <a:ext cx="5315674" cy="1856893"/>
                    </a:xfrm>
                    <a:prstGeom prst="rect">
                      <a:avLst/>
                    </a:prstGeom>
                  </pic:spPr>
                </pic:pic>
              </a:graphicData>
            </a:graphic>
          </wp:inline>
        </w:drawing>
      </w:r>
    </w:p>
    <w:p w:rsidR="005D1052" w:rsidRDefault="005D1052" w:rsidP="005D1052">
      <w:pPr>
        <w:pStyle w:val="Caption"/>
        <w:rPr>
          <w:b w:val="0"/>
          <w:noProof/>
        </w:rPr>
      </w:pPr>
      <w:bookmarkStart w:id="492" w:name="_Ref312180967"/>
      <w:bookmarkStart w:id="493" w:name="_Toc438590848"/>
      <w:bookmarkStart w:id="494" w:name="_Toc445718854"/>
      <w:r>
        <w:t xml:space="preserve">Figure </w:t>
      </w:r>
      <w:fldSimple w:instr=" STYLEREF 1 \s ">
        <w:r w:rsidR="00924C7D">
          <w:rPr>
            <w:noProof/>
          </w:rPr>
          <w:t>5</w:t>
        </w:r>
      </w:fldSimple>
      <w:r>
        <w:noBreakHyphen/>
      </w:r>
      <w:fldSimple w:instr=" SEQ Figure \* ARABIC \s 1 ">
        <w:r w:rsidR="00924C7D">
          <w:rPr>
            <w:noProof/>
          </w:rPr>
          <w:t>7</w:t>
        </w:r>
      </w:fldSimple>
      <w:bookmarkEnd w:id="492"/>
      <w:r>
        <w:rPr>
          <w:noProof/>
        </w:rPr>
        <w:t xml:space="preserve"> </w:t>
      </w:r>
      <w:r>
        <w:rPr>
          <w:b w:val="0"/>
          <w:noProof/>
        </w:rPr>
        <w:t>Line 3 where velocity values were</w:t>
      </w:r>
      <w:r w:rsidRPr="001B4B98">
        <w:rPr>
          <w:b w:val="0"/>
          <w:noProof/>
        </w:rPr>
        <w:t xml:space="preserve"> extracted to analyse the effect of different mesh element sizes inside region 1.</w:t>
      </w:r>
      <w:bookmarkEnd w:id="493"/>
      <w:bookmarkEnd w:id="494"/>
    </w:p>
    <w:p w:rsidR="005D1052" w:rsidRDefault="005D1052" w:rsidP="005D1052">
      <w:pPr>
        <w:pStyle w:val="ListParagraph"/>
        <w:numPr>
          <w:ilvl w:val="0"/>
          <w:numId w:val="5"/>
        </w:numPr>
      </w:pPr>
      <w:r w:rsidRPr="005C585F">
        <w:rPr>
          <w:b/>
        </w:rPr>
        <w:t>Region 3</w:t>
      </w:r>
      <w:r>
        <w:t xml:space="preserve"> </w:t>
      </w:r>
    </w:p>
    <w:p w:rsidR="005D1052" w:rsidRDefault="005D1052" w:rsidP="005D1052">
      <w:r>
        <w:t xml:space="preserve">In region 3, the mesh with element size of 50 </w:t>
      </w:r>
      <w:r>
        <w:rPr>
          <w:rFonts w:ascii="Times New Roman" w:hAnsi="Times New Roman" w:cs="Times New Roman"/>
        </w:rPr>
        <w:t>µ</w:t>
      </w:r>
      <w:r>
        <w:t xml:space="preserve">m converges with relative changes to the finest mesh of less than 1%, and 5% with respect to the mesh with 100 </w:t>
      </w:r>
      <w:r>
        <w:rPr>
          <w:rFonts w:ascii="Times New Roman" w:hAnsi="Times New Roman" w:cs="Times New Roman"/>
        </w:rPr>
        <w:t>µ</w:t>
      </w:r>
      <w:r>
        <w:t xml:space="preserve">m element size (see </w:t>
      </w:r>
      <w:r>
        <w:fldChar w:fldCharType="begin"/>
      </w:r>
      <w:r>
        <w:instrText xml:space="preserve"> REF _Ref312181434 \h </w:instrText>
      </w:r>
      <w:r>
        <w:fldChar w:fldCharType="separate"/>
      </w:r>
      <w:r w:rsidR="00924C7D">
        <w:t xml:space="preserve">Figure </w:t>
      </w:r>
      <w:r w:rsidR="00924C7D">
        <w:rPr>
          <w:noProof/>
        </w:rPr>
        <w:t>5</w:t>
      </w:r>
      <w:r w:rsidR="00924C7D">
        <w:noBreakHyphen/>
      </w:r>
      <w:r w:rsidR="00924C7D">
        <w:rPr>
          <w:noProof/>
        </w:rPr>
        <w:t>16</w:t>
      </w:r>
      <w:r>
        <w:fldChar w:fldCharType="end"/>
      </w:r>
      <w:r>
        <w:t xml:space="preserve"> and 5-17).</w:t>
      </w:r>
    </w:p>
    <w:p w:rsidR="005D1052" w:rsidRDefault="005D1052" w:rsidP="005D1052">
      <w:pPr>
        <w:keepNext/>
        <w:ind w:firstLine="0"/>
        <w:jc w:val="center"/>
      </w:pPr>
      <w:r>
        <w:rPr>
          <w:noProof/>
          <w:lang w:eastAsia="en-GB"/>
        </w:rPr>
        <w:lastRenderedPageBreak/>
        <w:drawing>
          <wp:inline distT="0" distB="0" distL="0" distR="0" wp14:anchorId="422B43CC" wp14:editId="10D4B71D">
            <wp:extent cx="4295554" cy="2172750"/>
            <wp:effectExtent l="0" t="0" r="0" b="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l1.png"/>
                    <pic:cNvPicPr/>
                  </pic:nvPicPr>
                  <pic:blipFill>
                    <a:blip r:embed="rId132">
                      <a:extLst>
                        <a:ext uri="{28A0092B-C50C-407E-A947-70E740481C1C}">
                          <a14:useLocalDpi xmlns:a14="http://schemas.microsoft.com/office/drawing/2010/main" val="0"/>
                        </a:ext>
                      </a:extLst>
                    </a:blip>
                    <a:stretch>
                      <a:fillRect/>
                    </a:stretch>
                  </pic:blipFill>
                  <pic:spPr>
                    <a:xfrm>
                      <a:off x="0" y="0"/>
                      <a:ext cx="4312543" cy="2181343"/>
                    </a:xfrm>
                    <a:prstGeom prst="rect">
                      <a:avLst/>
                    </a:prstGeom>
                  </pic:spPr>
                </pic:pic>
              </a:graphicData>
            </a:graphic>
          </wp:inline>
        </w:drawing>
      </w:r>
    </w:p>
    <w:p w:rsidR="005D1052" w:rsidRDefault="005D1052" w:rsidP="005D1052">
      <w:pPr>
        <w:pStyle w:val="Caption"/>
        <w:rPr>
          <w:b w:val="0"/>
          <w:noProof/>
        </w:rPr>
      </w:pPr>
      <w:bookmarkStart w:id="495" w:name="_Ref312180631"/>
      <w:bookmarkStart w:id="496" w:name="_Toc438590849"/>
      <w:bookmarkStart w:id="497" w:name="_Toc445718855"/>
      <w:r>
        <w:t xml:space="preserve">Figure </w:t>
      </w:r>
      <w:fldSimple w:instr=" STYLEREF 1 \s ">
        <w:r w:rsidR="00924C7D">
          <w:rPr>
            <w:noProof/>
          </w:rPr>
          <w:t>5</w:t>
        </w:r>
      </w:fldSimple>
      <w:r>
        <w:noBreakHyphen/>
      </w:r>
      <w:fldSimple w:instr=" SEQ Figure \* ARABIC \s 1 ">
        <w:r w:rsidR="00924C7D">
          <w:rPr>
            <w:noProof/>
          </w:rPr>
          <w:t>8</w:t>
        </w:r>
      </w:fldSimple>
      <w:bookmarkEnd w:id="495"/>
      <w:r>
        <w:t xml:space="preserve"> </w:t>
      </w:r>
      <w:r w:rsidRPr="00F516FA">
        <w:rPr>
          <w:b w:val="0"/>
          <w:noProof/>
        </w:rPr>
        <w:t>Veloci</w:t>
      </w:r>
      <w:r w:rsidR="009E2509">
        <w:rPr>
          <w:b w:val="0"/>
          <w:noProof/>
        </w:rPr>
        <w:t>t</w:t>
      </w:r>
      <w:r w:rsidRPr="00F516FA">
        <w:rPr>
          <w:b w:val="0"/>
          <w:noProof/>
        </w:rPr>
        <w:t xml:space="preserve">y values from </w:t>
      </w:r>
      <w:r>
        <w:rPr>
          <w:b w:val="0"/>
          <w:noProof/>
        </w:rPr>
        <w:t>line 1 shown in</w:t>
      </w:r>
      <w:r w:rsidRPr="00F516FA">
        <w:rPr>
          <w:b w:val="0"/>
          <w:noProof/>
        </w:rPr>
        <w:t xml:space="preserve"> </w:t>
      </w:r>
      <w:r w:rsidRPr="00F516FA">
        <w:rPr>
          <w:b w:val="0"/>
          <w:noProof/>
        </w:rPr>
        <w:fldChar w:fldCharType="begin"/>
      </w:r>
      <w:r w:rsidRPr="00F516FA">
        <w:rPr>
          <w:b w:val="0"/>
          <w:noProof/>
        </w:rPr>
        <w:instrText xml:space="preserve"> REF _Ref312180876 \h  \* MERGEFORMAT </w:instrText>
      </w:r>
      <w:r w:rsidRPr="00F516FA">
        <w:rPr>
          <w:b w:val="0"/>
          <w:noProof/>
        </w:rPr>
      </w:r>
      <w:r w:rsidRPr="00F516FA">
        <w:rPr>
          <w:b w:val="0"/>
          <w:noProof/>
        </w:rPr>
        <w:fldChar w:fldCharType="separate"/>
      </w:r>
      <w:r w:rsidR="00924C7D" w:rsidRPr="00924C7D">
        <w:rPr>
          <w:b w:val="0"/>
        </w:rPr>
        <w:t xml:space="preserve">Figure </w:t>
      </w:r>
      <w:r w:rsidR="00924C7D" w:rsidRPr="00924C7D">
        <w:rPr>
          <w:b w:val="0"/>
          <w:noProof/>
        </w:rPr>
        <w:t>5</w:t>
      </w:r>
      <w:r w:rsidR="00924C7D" w:rsidRPr="00924C7D">
        <w:rPr>
          <w:b w:val="0"/>
          <w:noProof/>
        </w:rPr>
        <w:noBreakHyphen/>
        <w:t>6</w:t>
      </w:r>
      <w:r w:rsidRPr="00F516FA">
        <w:rPr>
          <w:b w:val="0"/>
          <w:noProof/>
        </w:rPr>
        <w:fldChar w:fldCharType="end"/>
      </w:r>
      <w:r w:rsidRPr="00F516FA">
        <w:rPr>
          <w:b w:val="0"/>
          <w:noProof/>
        </w:rPr>
        <w:t xml:space="preserve"> for the six meshes</w:t>
      </w:r>
      <w:r w:rsidRPr="001B4B98">
        <w:rPr>
          <w:b w:val="0"/>
          <w:noProof/>
        </w:rPr>
        <w:t xml:space="preserve"> analysed.</w:t>
      </w:r>
      <w:bookmarkEnd w:id="496"/>
      <w:bookmarkEnd w:id="497"/>
    </w:p>
    <w:p w:rsidR="005D1052" w:rsidRPr="00B63781" w:rsidRDefault="005D1052" w:rsidP="005D1052">
      <w:pPr>
        <w:rPr>
          <w:sz w:val="18"/>
        </w:rPr>
      </w:pPr>
    </w:p>
    <w:p w:rsidR="005D1052" w:rsidRDefault="005D1052" w:rsidP="005D1052">
      <w:pPr>
        <w:keepNext/>
        <w:ind w:firstLine="0"/>
        <w:jc w:val="center"/>
      </w:pPr>
      <w:r>
        <w:rPr>
          <w:noProof/>
          <w:lang w:eastAsia="en-GB"/>
        </w:rPr>
        <w:drawing>
          <wp:inline distT="0" distB="0" distL="0" distR="0" wp14:anchorId="4B818A62" wp14:editId="43A6A9F1">
            <wp:extent cx="4393003" cy="1995777"/>
            <wp:effectExtent l="0" t="0" r="7620" b="508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l2.png"/>
                    <pic:cNvPicPr/>
                  </pic:nvPicPr>
                  <pic:blipFill>
                    <a:blip r:embed="rId133">
                      <a:extLst>
                        <a:ext uri="{28A0092B-C50C-407E-A947-70E740481C1C}">
                          <a14:useLocalDpi xmlns:a14="http://schemas.microsoft.com/office/drawing/2010/main" val="0"/>
                        </a:ext>
                      </a:extLst>
                    </a:blip>
                    <a:stretch>
                      <a:fillRect/>
                    </a:stretch>
                  </pic:blipFill>
                  <pic:spPr>
                    <a:xfrm>
                      <a:off x="0" y="0"/>
                      <a:ext cx="4402991" cy="2000314"/>
                    </a:xfrm>
                    <a:prstGeom prst="rect">
                      <a:avLst/>
                    </a:prstGeom>
                  </pic:spPr>
                </pic:pic>
              </a:graphicData>
            </a:graphic>
          </wp:inline>
        </w:drawing>
      </w:r>
    </w:p>
    <w:p w:rsidR="005D1052" w:rsidRDefault="005D1052" w:rsidP="005D1052">
      <w:pPr>
        <w:pStyle w:val="Caption"/>
        <w:rPr>
          <w:b w:val="0"/>
          <w:noProof/>
        </w:rPr>
      </w:pPr>
      <w:bookmarkStart w:id="498" w:name="_Ref312180653"/>
      <w:bookmarkStart w:id="499" w:name="_Ref312180641"/>
      <w:bookmarkStart w:id="500" w:name="_Toc438590850"/>
      <w:bookmarkStart w:id="501" w:name="_Toc445718856"/>
      <w:r>
        <w:t xml:space="preserve">Figure </w:t>
      </w:r>
      <w:fldSimple w:instr=" STYLEREF 1 \s ">
        <w:r w:rsidR="00924C7D">
          <w:rPr>
            <w:noProof/>
          </w:rPr>
          <w:t>5</w:t>
        </w:r>
      </w:fldSimple>
      <w:r>
        <w:noBreakHyphen/>
      </w:r>
      <w:fldSimple w:instr=" SEQ Figure \* ARABIC \s 1 ">
        <w:r w:rsidR="00924C7D">
          <w:rPr>
            <w:noProof/>
          </w:rPr>
          <w:t>9</w:t>
        </w:r>
      </w:fldSimple>
      <w:bookmarkEnd w:id="498"/>
      <w:r>
        <w:t xml:space="preserve"> </w:t>
      </w:r>
      <w:r w:rsidRPr="001B4B98">
        <w:rPr>
          <w:b w:val="0"/>
          <w:noProof/>
        </w:rPr>
        <w:t>Veloci</w:t>
      </w:r>
      <w:r w:rsidR="009E2509">
        <w:rPr>
          <w:b w:val="0"/>
          <w:noProof/>
        </w:rPr>
        <w:t>t</w:t>
      </w:r>
      <w:r w:rsidRPr="001B4B98">
        <w:rPr>
          <w:b w:val="0"/>
          <w:noProof/>
        </w:rPr>
        <w:t xml:space="preserve">y values from </w:t>
      </w:r>
      <w:r w:rsidRPr="00F516FA">
        <w:rPr>
          <w:b w:val="0"/>
          <w:noProof/>
        </w:rPr>
        <w:t xml:space="preserve">line 2 </w:t>
      </w:r>
      <w:r>
        <w:rPr>
          <w:b w:val="0"/>
          <w:noProof/>
        </w:rPr>
        <w:t>shown in</w:t>
      </w:r>
      <w:r w:rsidRPr="00F516FA">
        <w:rPr>
          <w:b w:val="0"/>
          <w:noProof/>
        </w:rPr>
        <w:t xml:space="preserve"> </w:t>
      </w:r>
      <w:r w:rsidRPr="00F516FA">
        <w:rPr>
          <w:b w:val="0"/>
          <w:noProof/>
        </w:rPr>
        <w:fldChar w:fldCharType="begin"/>
      </w:r>
      <w:r w:rsidRPr="00F516FA">
        <w:rPr>
          <w:b w:val="0"/>
          <w:noProof/>
        </w:rPr>
        <w:instrText xml:space="preserve"> REF _Ref312180876 \h  \* MERGEFORMAT </w:instrText>
      </w:r>
      <w:r w:rsidRPr="00F516FA">
        <w:rPr>
          <w:b w:val="0"/>
          <w:noProof/>
        </w:rPr>
      </w:r>
      <w:r w:rsidRPr="00F516FA">
        <w:rPr>
          <w:b w:val="0"/>
          <w:noProof/>
        </w:rPr>
        <w:fldChar w:fldCharType="separate"/>
      </w:r>
      <w:r w:rsidR="00924C7D" w:rsidRPr="00924C7D">
        <w:rPr>
          <w:b w:val="0"/>
        </w:rPr>
        <w:t xml:space="preserve">Figure </w:t>
      </w:r>
      <w:r w:rsidR="00924C7D" w:rsidRPr="00924C7D">
        <w:rPr>
          <w:b w:val="0"/>
          <w:noProof/>
        </w:rPr>
        <w:t>5</w:t>
      </w:r>
      <w:r w:rsidR="00924C7D" w:rsidRPr="00924C7D">
        <w:rPr>
          <w:b w:val="0"/>
          <w:noProof/>
        </w:rPr>
        <w:noBreakHyphen/>
        <w:t>6</w:t>
      </w:r>
      <w:r w:rsidRPr="00F516FA">
        <w:rPr>
          <w:b w:val="0"/>
          <w:noProof/>
        </w:rPr>
        <w:fldChar w:fldCharType="end"/>
      </w:r>
      <w:r w:rsidRPr="00F516FA">
        <w:rPr>
          <w:b w:val="0"/>
          <w:noProof/>
        </w:rPr>
        <w:t xml:space="preserve"> for the six meshes analysed</w:t>
      </w:r>
      <w:r w:rsidRPr="001B4B98">
        <w:rPr>
          <w:b w:val="0"/>
          <w:noProof/>
        </w:rPr>
        <w:t>.</w:t>
      </w:r>
      <w:bookmarkEnd w:id="499"/>
      <w:bookmarkEnd w:id="500"/>
      <w:bookmarkEnd w:id="501"/>
    </w:p>
    <w:p w:rsidR="005D1052" w:rsidRDefault="005D1052" w:rsidP="005D1052">
      <w:r>
        <w:t xml:space="preserve">Among the six mesh sizes studied, a global element edge length of 50 </w:t>
      </w:r>
      <w:r>
        <w:rPr>
          <w:rFonts w:ascii="Times New Roman" w:hAnsi="Times New Roman" w:cs="Times New Roman"/>
        </w:rPr>
        <w:t>µ</w:t>
      </w:r>
      <w:r>
        <w:t xml:space="preserve">m results in a mesh that provides an accurate solution in the three regions for the fluid phase with an adequate compromise in terms of computational cost. The final mesh </w:t>
      </w:r>
      <w:r w:rsidRPr="003335AF">
        <w:t>including the scaffold geometry was generated with a maximum size of 50 µm and 20 µm for the elements outside and inside the scaffold respectively. The maximum element size imposed</w:t>
      </w:r>
      <w:r w:rsidRPr="001133EB">
        <w:t xml:space="preserve"> inside the scaffold was the o</w:t>
      </w:r>
      <w:r>
        <w:t>ne suggested in previous analyse</w:t>
      </w:r>
      <w:r w:rsidRPr="001133EB">
        <w:t xml:space="preserve">s </w:t>
      </w:r>
      <w:r>
        <w:t>from</w:t>
      </w:r>
      <w:r w:rsidRPr="00E52A2E">
        <w:t xml:space="preserve"> Chapters </w:t>
      </w:r>
      <w:r w:rsidRPr="00E52A2E">
        <w:lastRenderedPageBreak/>
        <w:t>3 and 4.</w:t>
      </w:r>
      <w:r w:rsidRPr="001133EB">
        <w:t xml:space="preserve"> As a result, around </w:t>
      </w:r>
      <w:r>
        <w:t>15</w:t>
      </w:r>
      <w:r w:rsidRPr="001133EB">
        <w:t xml:space="preserve"> million tetrahedral elements</w:t>
      </w:r>
      <w:r>
        <w:t xml:space="preserve"> mesh was required to solve accurately the fluid phase.</w:t>
      </w:r>
    </w:p>
    <w:p w:rsidR="005D1052" w:rsidRPr="00AC3D3F" w:rsidRDefault="005D1052" w:rsidP="005D1052"/>
    <w:p w:rsidR="005D1052" w:rsidRDefault="005D1052" w:rsidP="005D1052">
      <w:pPr>
        <w:keepNext/>
        <w:ind w:firstLine="0"/>
        <w:jc w:val="center"/>
      </w:pPr>
      <w:r>
        <w:rPr>
          <w:noProof/>
          <w:lang w:eastAsia="en-GB"/>
        </w:rPr>
        <w:drawing>
          <wp:inline distT="0" distB="0" distL="0" distR="0" wp14:anchorId="6BD2624F" wp14:editId="01124FCA">
            <wp:extent cx="4142630" cy="2230647"/>
            <wp:effectExtent l="0" t="0" r="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l3.png"/>
                    <pic:cNvPicPr/>
                  </pic:nvPicPr>
                  <pic:blipFill>
                    <a:blip r:embed="rId134">
                      <a:extLst>
                        <a:ext uri="{28A0092B-C50C-407E-A947-70E740481C1C}">
                          <a14:useLocalDpi xmlns:a14="http://schemas.microsoft.com/office/drawing/2010/main" val="0"/>
                        </a:ext>
                      </a:extLst>
                    </a:blip>
                    <a:stretch>
                      <a:fillRect/>
                    </a:stretch>
                  </pic:blipFill>
                  <pic:spPr>
                    <a:xfrm>
                      <a:off x="0" y="0"/>
                      <a:ext cx="4143059" cy="2230878"/>
                    </a:xfrm>
                    <a:prstGeom prst="rect">
                      <a:avLst/>
                    </a:prstGeom>
                  </pic:spPr>
                </pic:pic>
              </a:graphicData>
            </a:graphic>
          </wp:inline>
        </w:drawing>
      </w:r>
    </w:p>
    <w:p w:rsidR="005D1052" w:rsidRPr="001B4B98" w:rsidRDefault="005D1052" w:rsidP="005D1052">
      <w:pPr>
        <w:pStyle w:val="Caption"/>
        <w:rPr>
          <w:b w:val="0"/>
        </w:rPr>
      </w:pPr>
      <w:bookmarkStart w:id="502" w:name="_Ref312180655"/>
      <w:bookmarkStart w:id="503" w:name="_Toc438590851"/>
      <w:bookmarkStart w:id="504" w:name="_Toc445718857"/>
      <w:r>
        <w:t xml:space="preserve">Figure </w:t>
      </w:r>
      <w:fldSimple w:instr=" STYLEREF 1 \s ">
        <w:r w:rsidR="00924C7D">
          <w:rPr>
            <w:noProof/>
          </w:rPr>
          <w:t>5</w:t>
        </w:r>
      </w:fldSimple>
      <w:r>
        <w:noBreakHyphen/>
      </w:r>
      <w:fldSimple w:instr=" SEQ Figure \* ARABIC \s 1 ">
        <w:r w:rsidR="00924C7D">
          <w:rPr>
            <w:noProof/>
          </w:rPr>
          <w:t>10</w:t>
        </w:r>
      </w:fldSimple>
      <w:bookmarkEnd w:id="502"/>
      <w:r>
        <w:t xml:space="preserve"> </w:t>
      </w:r>
      <w:r w:rsidRPr="001B4B98">
        <w:rPr>
          <w:b w:val="0"/>
          <w:noProof/>
        </w:rPr>
        <w:t>Veloci</w:t>
      </w:r>
      <w:r w:rsidR="009E2509">
        <w:rPr>
          <w:b w:val="0"/>
          <w:noProof/>
        </w:rPr>
        <w:t>t</w:t>
      </w:r>
      <w:r w:rsidRPr="001B4B98">
        <w:rPr>
          <w:b w:val="0"/>
          <w:noProof/>
        </w:rPr>
        <w:t xml:space="preserve">y values </w:t>
      </w:r>
      <w:r w:rsidRPr="00F516FA">
        <w:rPr>
          <w:b w:val="0"/>
          <w:noProof/>
        </w:rPr>
        <w:t xml:space="preserve">from line 3 </w:t>
      </w:r>
      <w:r>
        <w:rPr>
          <w:b w:val="0"/>
          <w:noProof/>
        </w:rPr>
        <w:t>shown in</w:t>
      </w:r>
      <w:r w:rsidRPr="00F516FA">
        <w:rPr>
          <w:b w:val="0"/>
          <w:noProof/>
        </w:rPr>
        <w:t xml:space="preserve"> </w:t>
      </w:r>
      <w:r w:rsidRPr="00F516FA">
        <w:rPr>
          <w:b w:val="0"/>
          <w:noProof/>
        </w:rPr>
        <w:fldChar w:fldCharType="begin"/>
      </w:r>
      <w:r w:rsidRPr="00F516FA">
        <w:rPr>
          <w:b w:val="0"/>
          <w:noProof/>
        </w:rPr>
        <w:instrText xml:space="preserve"> REF _Ref312180967 \h  \* MERGEFORMAT </w:instrText>
      </w:r>
      <w:r w:rsidRPr="00F516FA">
        <w:rPr>
          <w:b w:val="0"/>
          <w:noProof/>
        </w:rPr>
      </w:r>
      <w:r w:rsidRPr="00F516FA">
        <w:rPr>
          <w:b w:val="0"/>
          <w:noProof/>
        </w:rPr>
        <w:fldChar w:fldCharType="separate"/>
      </w:r>
      <w:r w:rsidR="00924C7D" w:rsidRPr="00924C7D">
        <w:rPr>
          <w:b w:val="0"/>
        </w:rPr>
        <w:t xml:space="preserve">Figure </w:t>
      </w:r>
      <w:r w:rsidR="00924C7D" w:rsidRPr="00924C7D">
        <w:rPr>
          <w:b w:val="0"/>
          <w:noProof/>
        </w:rPr>
        <w:t>5</w:t>
      </w:r>
      <w:r w:rsidR="00924C7D" w:rsidRPr="00924C7D">
        <w:rPr>
          <w:b w:val="0"/>
          <w:noProof/>
        </w:rPr>
        <w:noBreakHyphen/>
        <w:t>7</w:t>
      </w:r>
      <w:r w:rsidRPr="00F516FA">
        <w:rPr>
          <w:b w:val="0"/>
          <w:noProof/>
        </w:rPr>
        <w:fldChar w:fldCharType="end"/>
      </w:r>
      <w:r w:rsidRPr="00F516FA">
        <w:rPr>
          <w:b w:val="0"/>
          <w:noProof/>
        </w:rPr>
        <w:t xml:space="preserve"> for</w:t>
      </w:r>
      <w:r w:rsidRPr="001B4B98">
        <w:rPr>
          <w:b w:val="0"/>
          <w:noProof/>
        </w:rPr>
        <w:t xml:space="preserve"> the six meshes analysed.</w:t>
      </w:r>
      <w:bookmarkEnd w:id="503"/>
      <w:bookmarkEnd w:id="504"/>
    </w:p>
    <w:p w:rsidR="005D1052" w:rsidRDefault="005D1052" w:rsidP="005D1052">
      <w:pPr>
        <w:keepNext/>
        <w:ind w:firstLine="0"/>
        <w:jc w:val="center"/>
      </w:pPr>
    </w:p>
    <w:p w:rsidR="005D1052" w:rsidRDefault="005D1052" w:rsidP="005D1052">
      <w:pPr>
        <w:keepNext/>
        <w:ind w:firstLine="0"/>
        <w:jc w:val="center"/>
      </w:pPr>
      <w:r>
        <w:rPr>
          <w:noProof/>
          <w:lang w:eastAsia="en-GB"/>
        </w:rPr>
        <w:drawing>
          <wp:inline distT="0" distB="0" distL="0" distR="0" wp14:anchorId="368B98D4" wp14:editId="2472C972">
            <wp:extent cx="5003070" cy="2305050"/>
            <wp:effectExtent l="0" t="0" r="762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2.png"/>
                    <pic:cNvPicPr/>
                  </pic:nvPicPr>
                  <pic:blipFill rotWithShape="1">
                    <a:blip r:embed="rId135">
                      <a:extLst>
                        <a:ext uri="{28A0092B-C50C-407E-A947-70E740481C1C}">
                          <a14:useLocalDpi xmlns:a14="http://schemas.microsoft.com/office/drawing/2010/main" val="0"/>
                        </a:ext>
                      </a:extLst>
                    </a:blip>
                    <a:srcRect t="6575" r="35226"/>
                    <a:stretch/>
                  </pic:blipFill>
                  <pic:spPr bwMode="auto">
                    <a:xfrm>
                      <a:off x="0" y="0"/>
                      <a:ext cx="5012303" cy="2309304"/>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noProof/>
        </w:rPr>
      </w:pPr>
      <w:bookmarkStart w:id="505" w:name="_Ref312181288"/>
      <w:bookmarkStart w:id="506" w:name="_Toc438590852"/>
      <w:bookmarkStart w:id="507" w:name="_Toc445718858"/>
      <w:r>
        <w:t xml:space="preserve">Figure </w:t>
      </w:r>
      <w:fldSimple w:instr=" STYLEREF 1 \s ">
        <w:r w:rsidR="00924C7D">
          <w:rPr>
            <w:noProof/>
          </w:rPr>
          <w:t>5</w:t>
        </w:r>
      </w:fldSimple>
      <w:r>
        <w:noBreakHyphen/>
      </w:r>
      <w:fldSimple w:instr=" SEQ Figure \* ARABIC \s 1 ">
        <w:r w:rsidR="00924C7D">
          <w:rPr>
            <w:noProof/>
          </w:rPr>
          <w:t>11</w:t>
        </w:r>
      </w:fldSimple>
      <w:bookmarkEnd w:id="505"/>
      <w:r w:rsidRPr="00226615">
        <w:rPr>
          <w:noProof/>
        </w:rPr>
        <w:t xml:space="preserve"> </w:t>
      </w:r>
      <w:r w:rsidRPr="001B4B98">
        <w:rPr>
          <w:b w:val="0"/>
          <w:noProof/>
        </w:rPr>
        <w:t xml:space="preserve">Lines 1, 2 and 3 where velocity values </w:t>
      </w:r>
      <w:r>
        <w:rPr>
          <w:b w:val="0"/>
          <w:noProof/>
        </w:rPr>
        <w:t>were</w:t>
      </w:r>
      <w:r w:rsidRPr="001B4B98">
        <w:rPr>
          <w:b w:val="0"/>
          <w:noProof/>
        </w:rPr>
        <w:t xml:space="preserve"> extracted to analyse the effect of different mesh element sizes in region 2.</w:t>
      </w:r>
      <w:bookmarkEnd w:id="506"/>
      <w:bookmarkEnd w:id="507"/>
    </w:p>
    <w:p w:rsidR="005D1052" w:rsidRDefault="005D1052" w:rsidP="005D1052">
      <w:pPr>
        <w:keepNext/>
        <w:ind w:firstLine="0"/>
        <w:jc w:val="center"/>
      </w:pPr>
    </w:p>
    <w:p w:rsidR="005D1052" w:rsidRDefault="005D1052" w:rsidP="005D1052">
      <w:pPr>
        <w:keepNext/>
        <w:ind w:firstLine="0"/>
        <w:jc w:val="center"/>
      </w:pPr>
      <w:r>
        <w:rPr>
          <w:noProof/>
          <w:lang w:eastAsia="en-GB"/>
        </w:rPr>
        <w:drawing>
          <wp:inline distT="0" distB="0" distL="0" distR="0" wp14:anchorId="62A6E3D8" wp14:editId="377FAF9C">
            <wp:extent cx="4262494" cy="2066826"/>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l1.png"/>
                    <pic:cNvPicPr/>
                  </pic:nvPicPr>
                  <pic:blipFill>
                    <a:blip r:embed="rId136">
                      <a:extLst>
                        <a:ext uri="{28A0092B-C50C-407E-A947-70E740481C1C}">
                          <a14:useLocalDpi xmlns:a14="http://schemas.microsoft.com/office/drawing/2010/main" val="0"/>
                        </a:ext>
                      </a:extLst>
                    </a:blip>
                    <a:stretch>
                      <a:fillRect/>
                    </a:stretch>
                  </pic:blipFill>
                  <pic:spPr bwMode="auto">
                    <a:xfrm>
                      <a:off x="0" y="0"/>
                      <a:ext cx="4262494" cy="2066826"/>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1B4B98" w:rsidRDefault="005D1052" w:rsidP="005D1052">
      <w:pPr>
        <w:pStyle w:val="Caption"/>
        <w:rPr>
          <w:b w:val="0"/>
        </w:rPr>
      </w:pPr>
      <w:bookmarkStart w:id="508" w:name="_Ref312181232"/>
      <w:bookmarkStart w:id="509" w:name="_Toc438590853"/>
      <w:bookmarkStart w:id="510" w:name="_Toc445718859"/>
      <w:r>
        <w:t xml:space="preserve">Figure </w:t>
      </w:r>
      <w:fldSimple w:instr=" STYLEREF 1 \s ">
        <w:r w:rsidR="00924C7D">
          <w:rPr>
            <w:noProof/>
          </w:rPr>
          <w:t>5</w:t>
        </w:r>
      </w:fldSimple>
      <w:r>
        <w:noBreakHyphen/>
      </w:r>
      <w:fldSimple w:instr=" SEQ Figure \* ARABIC \s 1 ">
        <w:r w:rsidR="00924C7D">
          <w:rPr>
            <w:noProof/>
          </w:rPr>
          <w:t>12</w:t>
        </w:r>
      </w:fldSimple>
      <w:bookmarkEnd w:id="508"/>
      <w:r>
        <w:rPr>
          <w:noProof/>
        </w:rPr>
        <w:t xml:space="preserve"> </w:t>
      </w:r>
      <w:r w:rsidRPr="001B4B98">
        <w:rPr>
          <w:b w:val="0"/>
          <w:noProof/>
        </w:rPr>
        <w:t>Veloci</w:t>
      </w:r>
      <w:r>
        <w:rPr>
          <w:b w:val="0"/>
          <w:noProof/>
        </w:rPr>
        <w:t>t</w:t>
      </w:r>
      <w:r w:rsidRPr="001B4B98">
        <w:rPr>
          <w:b w:val="0"/>
          <w:noProof/>
        </w:rPr>
        <w:t xml:space="preserve">y values from </w:t>
      </w:r>
      <w:r w:rsidRPr="00F516FA">
        <w:rPr>
          <w:b w:val="0"/>
          <w:noProof/>
        </w:rPr>
        <w:t xml:space="preserve">line </w:t>
      </w:r>
      <w:r>
        <w:rPr>
          <w:b w:val="0"/>
          <w:noProof/>
        </w:rPr>
        <w:t>1 shown</w:t>
      </w:r>
      <w:r w:rsidRPr="00F516FA">
        <w:rPr>
          <w:b w:val="0"/>
          <w:noProof/>
        </w:rPr>
        <w:t xml:space="preserve"> in </w:t>
      </w:r>
      <w:r w:rsidRPr="00F516FA">
        <w:rPr>
          <w:b w:val="0"/>
          <w:noProof/>
        </w:rPr>
        <w:fldChar w:fldCharType="begin"/>
      </w:r>
      <w:r w:rsidRPr="00F516FA">
        <w:rPr>
          <w:b w:val="0"/>
          <w:noProof/>
        </w:rPr>
        <w:instrText xml:space="preserve"> REF _Ref312181288 \h  \* MERGEFORMAT </w:instrText>
      </w:r>
      <w:r w:rsidRPr="00F516FA">
        <w:rPr>
          <w:b w:val="0"/>
          <w:noProof/>
        </w:rPr>
      </w:r>
      <w:r w:rsidRPr="00F516FA">
        <w:rPr>
          <w:b w:val="0"/>
          <w:noProof/>
        </w:rPr>
        <w:fldChar w:fldCharType="separate"/>
      </w:r>
      <w:r w:rsidR="00924C7D" w:rsidRPr="00924C7D">
        <w:rPr>
          <w:b w:val="0"/>
        </w:rPr>
        <w:t xml:space="preserve">Figure </w:t>
      </w:r>
      <w:r w:rsidR="00924C7D" w:rsidRPr="00924C7D">
        <w:rPr>
          <w:b w:val="0"/>
          <w:noProof/>
        </w:rPr>
        <w:t>5</w:t>
      </w:r>
      <w:r w:rsidR="00924C7D" w:rsidRPr="00924C7D">
        <w:rPr>
          <w:b w:val="0"/>
          <w:noProof/>
        </w:rPr>
        <w:noBreakHyphen/>
        <w:t>11</w:t>
      </w:r>
      <w:r w:rsidRPr="00F516FA">
        <w:rPr>
          <w:b w:val="0"/>
          <w:noProof/>
        </w:rPr>
        <w:fldChar w:fldCharType="end"/>
      </w:r>
      <w:r w:rsidRPr="001B4B98">
        <w:rPr>
          <w:b w:val="0"/>
          <w:noProof/>
        </w:rPr>
        <w:t xml:space="preserve"> for the six meshes analysed.</w:t>
      </w:r>
      <w:bookmarkEnd w:id="509"/>
      <w:bookmarkEnd w:id="510"/>
    </w:p>
    <w:p w:rsidR="005D1052" w:rsidRPr="003335AF" w:rsidRDefault="005D1052" w:rsidP="005D1052">
      <w:pPr>
        <w:tabs>
          <w:tab w:val="left" w:pos="1164"/>
        </w:tabs>
      </w:pPr>
      <w:r>
        <w:t xml:space="preserve">Nevertheless, the influence of the mesh size on the discrete phase needs also to be </w:t>
      </w:r>
      <w:r w:rsidRPr="003335AF">
        <w:t xml:space="preserve">studied. Cell deposition can be affected by the resolution of the mesh in the vicinity of the wall boundaries. The discrete phase was investigated for the meshes with global element sizes of 50 and 20 µm which resulted in 15 and 50 million elements respectively. </w:t>
      </w:r>
    </w:p>
    <w:p w:rsidR="005D1052" w:rsidRDefault="005D1052" w:rsidP="005D1052">
      <w:pPr>
        <w:keepNext/>
        <w:ind w:firstLine="0"/>
        <w:jc w:val="center"/>
      </w:pPr>
    </w:p>
    <w:p w:rsidR="005D1052" w:rsidRDefault="005D1052" w:rsidP="005D1052">
      <w:pPr>
        <w:keepNext/>
        <w:ind w:firstLine="0"/>
        <w:jc w:val="center"/>
      </w:pPr>
      <w:r>
        <w:rPr>
          <w:noProof/>
          <w:lang w:eastAsia="en-GB"/>
        </w:rPr>
        <w:drawing>
          <wp:inline distT="0" distB="0" distL="0" distR="0" wp14:anchorId="3880BADB" wp14:editId="3D8D2C77">
            <wp:extent cx="4269850" cy="2207147"/>
            <wp:effectExtent l="0" t="0" r="0" b="3175"/>
            <wp:docPr id="8325" name="Picture 8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l2.png"/>
                    <pic:cNvPicPr/>
                  </pic:nvPicPr>
                  <pic:blipFill>
                    <a:blip r:embed="rId137">
                      <a:extLst>
                        <a:ext uri="{28A0092B-C50C-407E-A947-70E740481C1C}">
                          <a14:useLocalDpi xmlns:a14="http://schemas.microsoft.com/office/drawing/2010/main" val="0"/>
                        </a:ext>
                      </a:extLst>
                    </a:blip>
                    <a:stretch>
                      <a:fillRect/>
                    </a:stretch>
                  </pic:blipFill>
                  <pic:spPr bwMode="auto">
                    <a:xfrm>
                      <a:off x="0" y="0"/>
                      <a:ext cx="4272522" cy="2208528"/>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noProof/>
        </w:rPr>
      </w:pPr>
      <w:bookmarkStart w:id="511" w:name="_Ref312181234"/>
      <w:bookmarkStart w:id="512" w:name="_Toc438590854"/>
      <w:bookmarkStart w:id="513" w:name="_Toc445718860"/>
      <w:r>
        <w:t xml:space="preserve">Figure </w:t>
      </w:r>
      <w:fldSimple w:instr=" STYLEREF 1 \s ">
        <w:r w:rsidR="00924C7D">
          <w:rPr>
            <w:noProof/>
          </w:rPr>
          <w:t>5</w:t>
        </w:r>
      </w:fldSimple>
      <w:r>
        <w:noBreakHyphen/>
      </w:r>
      <w:fldSimple w:instr=" SEQ Figure \* ARABIC \s 1 ">
        <w:r w:rsidR="00924C7D">
          <w:rPr>
            <w:noProof/>
          </w:rPr>
          <w:t>13</w:t>
        </w:r>
      </w:fldSimple>
      <w:bookmarkEnd w:id="511"/>
      <w:r>
        <w:t xml:space="preserve"> </w:t>
      </w:r>
      <w:r>
        <w:rPr>
          <w:b w:val="0"/>
          <w:noProof/>
        </w:rPr>
        <w:t>Veloci</w:t>
      </w:r>
      <w:r w:rsidR="009E2509">
        <w:rPr>
          <w:b w:val="0"/>
          <w:noProof/>
        </w:rPr>
        <w:t>t</w:t>
      </w:r>
      <w:r>
        <w:rPr>
          <w:b w:val="0"/>
          <w:noProof/>
        </w:rPr>
        <w:t>y values from</w:t>
      </w:r>
      <w:r w:rsidRPr="001B4B98">
        <w:rPr>
          <w:b w:val="0"/>
          <w:noProof/>
        </w:rPr>
        <w:t xml:space="preserve"> </w:t>
      </w:r>
      <w:r w:rsidRPr="00F516FA">
        <w:rPr>
          <w:b w:val="0"/>
          <w:noProof/>
        </w:rPr>
        <w:t xml:space="preserve">line </w:t>
      </w:r>
      <w:r>
        <w:rPr>
          <w:b w:val="0"/>
          <w:noProof/>
        </w:rPr>
        <w:t>2 shown</w:t>
      </w:r>
      <w:r w:rsidRPr="00F516FA">
        <w:rPr>
          <w:b w:val="0"/>
          <w:noProof/>
        </w:rPr>
        <w:t xml:space="preserve"> in </w:t>
      </w:r>
      <w:r w:rsidRPr="00F516FA">
        <w:rPr>
          <w:b w:val="0"/>
          <w:noProof/>
        </w:rPr>
        <w:fldChar w:fldCharType="begin"/>
      </w:r>
      <w:r w:rsidRPr="00F516FA">
        <w:rPr>
          <w:b w:val="0"/>
          <w:noProof/>
        </w:rPr>
        <w:instrText xml:space="preserve"> REF _Ref312181288 \h  \* MERGEFORMAT </w:instrText>
      </w:r>
      <w:r w:rsidRPr="00F516FA">
        <w:rPr>
          <w:b w:val="0"/>
          <w:noProof/>
        </w:rPr>
      </w:r>
      <w:r w:rsidRPr="00F516FA">
        <w:rPr>
          <w:b w:val="0"/>
          <w:noProof/>
        </w:rPr>
        <w:fldChar w:fldCharType="separate"/>
      </w:r>
      <w:r w:rsidR="00924C7D" w:rsidRPr="00924C7D">
        <w:rPr>
          <w:b w:val="0"/>
        </w:rPr>
        <w:t xml:space="preserve">Figure </w:t>
      </w:r>
      <w:r w:rsidR="00924C7D" w:rsidRPr="00924C7D">
        <w:rPr>
          <w:b w:val="0"/>
          <w:noProof/>
        </w:rPr>
        <w:t>5</w:t>
      </w:r>
      <w:r w:rsidR="00924C7D" w:rsidRPr="00924C7D">
        <w:rPr>
          <w:b w:val="0"/>
          <w:noProof/>
        </w:rPr>
        <w:noBreakHyphen/>
        <w:t>11</w:t>
      </w:r>
      <w:r w:rsidRPr="00F516FA">
        <w:rPr>
          <w:b w:val="0"/>
          <w:noProof/>
        </w:rPr>
        <w:fldChar w:fldCharType="end"/>
      </w:r>
      <w:r>
        <w:rPr>
          <w:b w:val="0"/>
          <w:noProof/>
        </w:rPr>
        <w:t xml:space="preserve"> </w:t>
      </w:r>
      <w:r w:rsidRPr="00F516FA">
        <w:rPr>
          <w:b w:val="0"/>
          <w:noProof/>
        </w:rPr>
        <w:t>for the</w:t>
      </w:r>
      <w:r w:rsidRPr="001B4B98">
        <w:rPr>
          <w:b w:val="0"/>
          <w:noProof/>
        </w:rPr>
        <w:t xml:space="preserve"> six meshes analysed.</w:t>
      </w:r>
      <w:bookmarkEnd w:id="512"/>
      <w:bookmarkEnd w:id="513"/>
    </w:p>
    <w:p w:rsidR="005D1052" w:rsidRDefault="005D1052" w:rsidP="005D1052">
      <w:pPr>
        <w:keepNext/>
        <w:ind w:firstLine="0"/>
        <w:jc w:val="center"/>
      </w:pPr>
    </w:p>
    <w:p w:rsidR="005D1052" w:rsidRDefault="005D1052" w:rsidP="005D1052">
      <w:pPr>
        <w:keepNext/>
        <w:ind w:firstLine="0"/>
        <w:jc w:val="center"/>
      </w:pPr>
      <w:r>
        <w:rPr>
          <w:noProof/>
          <w:lang w:eastAsia="en-GB"/>
        </w:rPr>
        <w:drawing>
          <wp:inline distT="0" distB="0" distL="0" distR="0" wp14:anchorId="6BEFA0F4" wp14:editId="62FE94AB">
            <wp:extent cx="4323937" cy="2266122"/>
            <wp:effectExtent l="0" t="0" r="635"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l3.png"/>
                    <pic:cNvPicPr/>
                  </pic:nvPicPr>
                  <pic:blipFill>
                    <a:blip r:embed="rId138">
                      <a:extLst>
                        <a:ext uri="{28A0092B-C50C-407E-A947-70E740481C1C}">
                          <a14:useLocalDpi xmlns:a14="http://schemas.microsoft.com/office/drawing/2010/main" val="0"/>
                        </a:ext>
                      </a:extLst>
                    </a:blip>
                    <a:stretch>
                      <a:fillRect/>
                    </a:stretch>
                  </pic:blipFill>
                  <pic:spPr bwMode="auto">
                    <a:xfrm>
                      <a:off x="0" y="0"/>
                      <a:ext cx="4325443" cy="2266911"/>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1B4B98" w:rsidRDefault="005D1052" w:rsidP="005D1052">
      <w:pPr>
        <w:pStyle w:val="Caption"/>
        <w:rPr>
          <w:b w:val="0"/>
        </w:rPr>
      </w:pPr>
      <w:bookmarkStart w:id="514" w:name="_Ref312181236"/>
      <w:bookmarkStart w:id="515" w:name="_Toc438590855"/>
      <w:bookmarkStart w:id="516" w:name="_Toc445718861"/>
      <w:r>
        <w:t xml:space="preserve">Figure </w:t>
      </w:r>
      <w:fldSimple w:instr=" STYLEREF 1 \s ">
        <w:r w:rsidR="00924C7D">
          <w:rPr>
            <w:noProof/>
          </w:rPr>
          <w:t>5</w:t>
        </w:r>
      </w:fldSimple>
      <w:r>
        <w:noBreakHyphen/>
      </w:r>
      <w:fldSimple w:instr=" SEQ Figure \* ARABIC \s 1 ">
        <w:r w:rsidR="00924C7D">
          <w:rPr>
            <w:noProof/>
          </w:rPr>
          <w:t>14</w:t>
        </w:r>
      </w:fldSimple>
      <w:bookmarkEnd w:id="514"/>
      <w:r>
        <w:t xml:space="preserve"> </w:t>
      </w:r>
      <w:r>
        <w:rPr>
          <w:b w:val="0"/>
          <w:noProof/>
        </w:rPr>
        <w:t>Veloci</w:t>
      </w:r>
      <w:r w:rsidR="009E2509">
        <w:rPr>
          <w:b w:val="0"/>
          <w:noProof/>
        </w:rPr>
        <w:t>t</w:t>
      </w:r>
      <w:r>
        <w:rPr>
          <w:b w:val="0"/>
          <w:noProof/>
        </w:rPr>
        <w:t>y values from</w:t>
      </w:r>
      <w:r w:rsidRPr="001B4B98">
        <w:rPr>
          <w:b w:val="0"/>
          <w:noProof/>
        </w:rPr>
        <w:t xml:space="preserve"> </w:t>
      </w:r>
      <w:r w:rsidRPr="00F516FA">
        <w:rPr>
          <w:b w:val="0"/>
          <w:noProof/>
        </w:rPr>
        <w:t xml:space="preserve">line 3 </w:t>
      </w:r>
      <w:r>
        <w:rPr>
          <w:b w:val="0"/>
          <w:noProof/>
        </w:rPr>
        <w:t>shown</w:t>
      </w:r>
      <w:r w:rsidRPr="00F516FA">
        <w:rPr>
          <w:b w:val="0"/>
          <w:noProof/>
        </w:rPr>
        <w:t xml:space="preserve"> </w:t>
      </w:r>
      <w:r w:rsidRPr="00F516FA">
        <w:rPr>
          <w:b w:val="0"/>
          <w:noProof/>
        </w:rPr>
        <w:fldChar w:fldCharType="begin"/>
      </w:r>
      <w:r w:rsidRPr="00F516FA">
        <w:rPr>
          <w:b w:val="0"/>
          <w:noProof/>
        </w:rPr>
        <w:instrText xml:space="preserve"> REF _Ref312181288 \h  \* MERGEFORMAT </w:instrText>
      </w:r>
      <w:r w:rsidRPr="00F516FA">
        <w:rPr>
          <w:b w:val="0"/>
          <w:noProof/>
        </w:rPr>
      </w:r>
      <w:r w:rsidRPr="00F516FA">
        <w:rPr>
          <w:b w:val="0"/>
          <w:noProof/>
        </w:rPr>
        <w:fldChar w:fldCharType="separate"/>
      </w:r>
      <w:r w:rsidR="00924C7D" w:rsidRPr="00924C7D">
        <w:rPr>
          <w:b w:val="0"/>
        </w:rPr>
        <w:t xml:space="preserve">Figure </w:t>
      </w:r>
      <w:r w:rsidR="00924C7D" w:rsidRPr="00924C7D">
        <w:rPr>
          <w:b w:val="0"/>
          <w:noProof/>
        </w:rPr>
        <w:t>5</w:t>
      </w:r>
      <w:r w:rsidR="00924C7D" w:rsidRPr="00924C7D">
        <w:rPr>
          <w:b w:val="0"/>
          <w:noProof/>
        </w:rPr>
        <w:noBreakHyphen/>
        <w:t>11</w:t>
      </w:r>
      <w:r w:rsidRPr="00F516FA">
        <w:rPr>
          <w:b w:val="0"/>
          <w:noProof/>
        </w:rPr>
        <w:fldChar w:fldCharType="end"/>
      </w:r>
      <w:r w:rsidRPr="001B4B98">
        <w:rPr>
          <w:b w:val="0"/>
          <w:noProof/>
        </w:rPr>
        <w:t xml:space="preserve"> for the six meshes analysed.</w:t>
      </w:r>
      <w:bookmarkEnd w:id="515"/>
      <w:bookmarkEnd w:id="516"/>
    </w:p>
    <w:p w:rsidR="005D1052" w:rsidRDefault="005D1052" w:rsidP="005D1052">
      <w:pPr>
        <w:tabs>
          <w:tab w:val="left" w:pos="1164"/>
        </w:tabs>
      </w:pPr>
      <w:r>
        <w:t xml:space="preserve">A simple discrete phase model case was applied to compare the performance of both meshes; a single injection was set at the inlet and 15 cycles were applied to transport the cells towards the scaffold and the outlet and then back consecutively. </w:t>
      </w:r>
    </w:p>
    <w:p w:rsidR="005D1052" w:rsidRPr="009C5BF8" w:rsidRDefault="005D1052" w:rsidP="005D1052">
      <w:pPr>
        <w:keepNext/>
        <w:ind w:firstLine="0"/>
        <w:jc w:val="center"/>
        <w:rPr>
          <w:sz w:val="36"/>
        </w:rPr>
      </w:pPr>
    </w:p>
    <w:p w:rsidR="005D1052" w:rsidRDefault="005D1052" w:rsidP="005D1052">
      <w:pPr>
        <w:keepNext/>
        <w:ind w:firstLine="0"/>
        <w:jc w:val="center"/>
      </w:pPr>
      <w:r>
        <w:rPr>
          <w:noProof/>
          <w:lang w:eastAsia="en-GB"/>
        </w:rPr>
        <w:drawing>
          <wp:inline distT="0" distB="0" distL="0" distR="0" wp14:anchorId="5B9A50D7" wp14:editId="4A1C3773">
            <wp:extent cx="3943350" cy="21761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3.png"/>
                    <pic:cNvPicPr/>
                  </pic:nvPicPr>
                  <pic:blipFill rotWithShape="1">
                    <a:blip r:embed="rId139">
                      <a:extLst>
                        <a:ext uri="{28A0092B-C50C-407E-A947-70E740481C1C}">
                          <a14:useLocalDpi xmlns:a14="http://schemas.microsoft.com/office/drawing/2010/main" val="0"/>
                        </a:ext>
                      </a:extLst>
                    </a:blip>
                    <a:srcRect r="58776" b="53438"/>
                    <a:stretch/>
                  </pic:blipFill>
                  <pic:spPr bwMode="auto">
                    <a:xfrm>
                      <a:off x="0" y="0"/>
                      <a:ext cx="3945753" cy="2177471"/>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noProof/>
        </w:rPr>
      </w:pPr>
      <w:bookmarkStart w:id="517" w:name="_Ref312181470"/>
      <w:bookmarkStart w:id="518" w:name="_Toc438590856"/>
      <w:bookmarkStart w:id="519" w:name="_Toc445718862"/>
      <w:r>
        <w:t xml:space="preserve">Figure </w:t>
      </w:r>
      <w:fldSimple w:instr=" STYLEREF 1 \s ">
        <w:r w:rsidR="00924C7D">
          <w:rPr>
            <w:noProof/>
          </w:rPr>
          <w:t>5</w:t>
        </w:r>
      </w:fldSimple>
      <w:r>
        <w:noBreakHyphen/>
      </w:r>
      <w:fldSimple w:instr=" SEQ Figure \* ARABIC \s 1 ">
        <w:r w:rsidR="00924C7D">
          <w:rPr>
            <w:noProof/>
          </w:rPr>
          <w:t>15</w:t>
        </w:r>
      </w:fldSimple>
      <w:bookmarkEnd w:id="517"/>
      <w:r>
        <w:rPr>
          <w:noProof/>
        </w:rPr>
        <w:t xml:space="preserve"> </w:t>
      </w:r>
      <w:r w:rsidRPr="001B4B98">
        <w:rPr>
          <w:b w:val="0"/>
          <w:noProof/>
        </w:rPr>
        <w:t>Lines 1 and 2 where veloci</w:t>
      </w:r>
      <w:r>
        <w:rPr>
          <w:b w:val="0"/>
          <w:noProof/>
        </w:rPr>
        <w:t>ty values were</w:t>
      </w:r>
      <w:r w:rsidRPr="001B4B98">
        <w:rPr>
          <w:b w:val="0"/>
          <w:noProof/>
        </w:rPr>
        <w:t xml:space="preserve"> extracted to analyse the effect of different mesh element sizes inside region 3.</w:t>
      </w:r>
      <w:bookmarkEnd w:id="518"/>
      <w:bookmarkEnd w:id="519"/>
    </w:p>
    <w:p w:rsidR="005D1052" w:rsidRPr="009C5BF8" w:rsidRDefault="005D1052" w:rsidP="005D1052">
      <w:pPr>
        <w:keepNext/>
        <w:tabs>
          <w:tab w:val="left" w:pos="2367"/>
        </w:tabs>
        <w:ind w:firstLine="0"/>
        <w:jc w:val="center"/>
        <w:rPr>
          <w:sz w:val="16"/>
        </w:rPr>
      </w:pPr>
    </w:p>
    <w:p w:rsidR="005D1052" w:rsidRDefault="005D1052" w:rsidP="005D1052">
      <w:pPr>
        <w:keepNext/>
        <w:tabs>
          <w:tab w:val="left" w:pos="2367"/>
        </w:tabs>
        <w:ind w:firstLine="0"/>
        <w:jc w:val="center"/>
      </w:pPr>
      <w:r>
        <w:rPr>
          <w:noProof/>
          <w:lang w:eastAsia="en-GB"/>
        </w:rPr>
        <w:drawing>
          <wp:inline distT="0" distB="0" distL="0" distR="0" wp14:anchorId="37880D78" wp14:editId="79799480">
            <wp:extent cx="4506522" cy="225959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3l1.png"/>
                    <pic:cNvPicPr/>
                  </pic:nvPicPr>
                  <pic:blipFill>
                    <a:blip r:embed="rId140">
                      <a:extLst>
                        <a:ext uri="{28A0092B-C50C-407E-A947-70E740481C1C}">
                          <a14:useLocalDpi xmlns:a14="http://schemas.microsoft.com/office/drawing/2010/main" val="0"/>
                        </a:ext>
                      </a:extLst>
                    </a:blip>
                    <a:stretch>
                      <a:fillRect/>
                    </a:stretch>
                  </pic:blipFill>
                  <pic:spPr bwMode="auto">
                    <a:xfrm>
                      <a:off x="0" y="0"/>
                      <a:ext cx="4506522" cy="2259590"/>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noProof/>
        </w:rPr>
      </w:pPr>
      <w:bookmarkStart w:id="520" w:name="_Ref312181434"/>
      <w:bookmarkStart w:id="521" w:name="_Toc438590857"/>
      <w:bookmarkStart w:id="522" w:name="_Toc445718863"/>
      <w:r>
        <w:t xml:space="preserve">Figure </w:t>
      </w:r>
      <w:fldSimple w:instr=" STYLEREF 1 \s ">
        <w:r w:rsidR="00924C7D">
          <w:rPr>
            <w:noProof/>
          </w:rPr>
          <w:t>5</w:t>
        </w:r>
      </w:fldSimple>
      <w:r>
        <w:noBreakHyphen/>
      </w:r>
      <w:fldSimple w:instr=" SEQ Figure \* ARABIC \s 1 ">
        <w:r w:rsidR="00924C7D">
          <w:rPr>
            <w:noProof/>
          </w:rPr>
          <w:t>16</w:t>
        </w:r>
      </w:fldSimple>
      <w:bookmarkEnd w:id="520"/>
      <w:r>
        <w:rPr>
          <w:noProof/>
        </w:rPr>
        <w:t xml:space="preserve"> </w:t>
      </w:r>
      <w:r>
        <w:rPr>
          <w:b w:val="0"/>
          <w:noProof/>
        </w:rPr>
        <w:t>Veloci</w:t>
      </w:r>
      <w:r w:rsidR="009E2509">
        <w:rPr>
          <w:b w:val="0"/>
          <w:noProof/>
        </w:rPr>
        <w:t>t</w:t>
      </w:r>
      <w:r>
        <w:rPr>
          <w:b w:val="0"/>
          <w:noProof/>
        </w:rPr>
        <w:t>y values from</w:t>
      </w:r>
      <w:r w:rsidRPr="00F516FA">
        <w:rPr>
          <w:b w:val="0"/>
          <w:noProof/>
        </w:rPr>
        <w:t xml:space="preserve"> line 1 </w:t>
      </w:r>
      <w:r>
        <w:rPr>
          <w:b w:val="0"/>
          <w:noProof/>
        </w:rPr>
        <w:t xml:space="preserve">shown </w:t>
      </w:r>
      <w:r w:rsidRPr="00F516FA">
        <w:rPr>
          <w:b w:val="0"/>
          <w:noProof/>
        </w:rPr>
        <w:t xml:space="preserve">in </w:t>
      </w:r>
      <w:r w:rsidRPr="00F516FA">
        <w:rPr>
          <w:b w:val="0"/>
          <w:noProof/>
        </w:rPr>
        <w:fldChar w:fldCharType="begin"/>
      </w:r>
      <w:r w:rsidRPr="00F516FA">
        <w:rPr>
          <w:b w:val="0"/>
          <w:noProof/>
        </w:rPr>
        <w:instrText xml:space="preserve"> REF _Ref312181470 \h  \* MERGEFORMAT </w:instrText>
      </w:r>
      <w:r w:rsidRPr="00F516FA">
        <w:rPr>
          <w:b w:val="0"/>
          <w:noProof/>
        </w:rPr>
      </w:r>
      <w:r w:rsidRPr="00F516FA">
        <w:rPr>
          <w:b w:val="0"/>
          <w:noProof/>
        </w:rPr>
        <w:fldChar w:fldCharType="separate"/>
      </w:r>
      <w:r w:rsidR="00924C7D" w:rsidRPr="00924C7D">
        <w:rPr>
          <w:b w:val="0"/>
        </w:rPr>
        <w:t xml:space="preserve">Figure </w:t>
      </w:r>
      <w:r w:rsidR="00924C7D" w:rsidRPr="00924C7D">
        <w:rPr>
          <w:b w:val="0"/>
          <w:noProof/>
        </w:rPr>
        <w:t>5</w:t>
      </w:r>
      <w:r w:rsidR="00924C7D" w:rsidRPr="00924C7D">
        <w:rPr>
          <w:b w:val="0"/>
          <w:noProof/>
        </w:rPr>
        <w:noBreakHyphen/>
        <w:t>15</w:t>
      </w:r>
      <w:r w:rsidRPr="00F516FA">
        <w:rPr>
          <w:b w:val="0"/>
          <w:noProof/>
        </w:rPr>
        <w:fldChar w:fldCharType="end"/>
      </w:r>
      <w:r>
        <w:rPr>
          <w:b w:val="0"/>
          <w:noProof/>
        </w:rPr>
        <w:t xml:space="preserve"> </w:t>
      </w:r>
      <w:r w:rsidRPr="00F516FA">
        <w:rPr>
          <w:b w:val="0"/>
          <w:noProof/>
        </w:rPr>
        <w:t>for</w:t>
      </w:r>
      <w:r w:rsidRPr="001B4B98">
        <w:rPr>
          <w:b w:val="0"/>
          <w:noProof/>
        </w:rPr>
        <w:t xml:space="preserve"> the six meshes analysed.</w:t>
      </w:r>
      <w:bookmarkEnd w:id="521"/>
      <w:bookmarkEnd w:id="522"/>
    </w:p>
    <w:p w:rsidR="005D1052" w:rsidRDefault="005D1052" w:rsidP="005D1052">
      <w:pPr>
        <w:tabs>
          <w:tab w:val="left" w:pos="1164"/>
        </w:tabs>
      </w:pPr>
      <w:r>
        <w:t xml:space="preserve">This model was used for five different flow rates. In all the cases the model with 50 million elements mesh reported lower cell deposition on the wall boundaries as shown in </w:t>
      </w:r>
      <w:r>
        <w:fldChar w:fldCharType="begin"/>
      </w:r>
      <w:r>
        <w:instrText xml:space="preserve"> REF _Ref312181519 \h </w:instrText>
      </w:r>
      <w:r>
        <w:fldChar w:fldCharType="separate"/>
      </w:r>
      <w:r w:rsidR="00924C7D">
        <w:t xml:space="preserve">Figure </w:t>
      </w:r>
      <w:r w:rsidR="00924C7D">
        <w:rPr>
          <w:noProof/>
        </w:rPr>
        <w:t>5</w:t>
      </w:r>
      <w:r w:rsidR="00924C7D">
        <w:noBreakHyphen/>
      </w:r>
      <w:r w:rsidR="00924C7D">
        <w:rPr>
          <w:noProof/>
        </w:rPr>
        <w:t>18</w:t>
      </w:r>
      <w:r>
        <w:fldChar w:fldCharType="end"/>
      </w:r>
      <w:r w:rsidRPr="00E52A2E">
        <w:t>. Thus</w:t>
      </w:r>
      <w:r>
        <w:t>, the 15 million elements mesh converges for the fluid phase but not for the discrete phase.</w:t>
      </w:r>
    </w:p>
    <w:p w:rsidR="005D1052" w:rsidRDefault="005D1052" w:rsidP="005D1052">
      <w:pPr>
        <w:tabs>
          <w:tab w:val="left" w:pos="1164"/>
        </w:tabs>
      </w:pPr>
    </w:p>
    <w:p w:rsidR="005D1052" w:rsidRDefault="005D1052" w:rsidP="005D1052">
      <w:pPr>
        <w:keepNext/>
        <w:tabs>
          <w:tab w:val="left" w:pos="2367"/>
        </w:tabs>
        <w:ind w:firstLine="0"/>
        <w:jc w:val="center"/>
      </w:pPr>
      <w:r>
        <w:rPr>
          <w:noProof/>
          <w:lang w:eastAsia="en-GB"/>
        </w:rPr>
        <w:drawing>
          <wp:inline distT="0" distB="0" distL="0" distR="0" wp14:anchorId="4842DF85" wp14:editId="4885D63F">
            <wp:extent cx="4411683" cy="2271547"/>
            <wp:effectExtent l="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3l2.png"/>
                    <pic:cNvPicPr/>
                  </pic:nvPicPr>
                  <pic:blipFill>
                    <a:blip r:embed="rId141">
                      <a:extLst>
                        <a:ext uri="{28A0092B-C50C-407E-A947-70E740481C1C}">
                          <a14:useLocalDpi xmlns:a14="http://schemas.microsoft.com/office/drawing/2010/main" val="0"/>
                        </a:ext>
                      </a:extLst>
                    </a:blip>
                    <a:stretch>
                      <a:fillRect/>
                    </a:stretch>
                  </pic:blipFill>
                  <pic:spPr>
                    <a:xfrm>
                      <a:off x="0" y="0"/>
                      <a:ext cx="4411683" cy="2271547"/>
                    </a:xfrm>
                    <a:prstGeom prst="rect">
                      <a:avLst/>
                    </a:prstGeom>
                  </pic:spPr>
                </pic:pic>
              </a:graphicData>
            </a:graphic>
          </wp:inline>
        </w:drawing>
      </w:r>
    </w:p>
    <w:p w:rsidR="005D1052" w:rsidRDefault="005D1052" w:rsidP="005D1052">
      <w:pPr>
        <w:pStyle w:val="Caption"/>
        <w:rPr>
          <w:b w:val="0"/>
          <w:noProof/>
        </w:rPr>
      </w:pPr>
      <w:bookmarkStart w:id="523" w:name="_Ref312181437"/>
      <w:bookmarkStart w:id="524" w:name="_Toc438590858"/>
      <w:bookmarkStart w:id="525" w:name="_Toc445718864"/>
      <w:r>
        <w:t xml:space="preserve">Figure </w:t>
      </w:r>
      <w:fldSimple w:instr=" STYLEREF 1 \s ">
        <w:r w:rsidR="00924C7D">
          <w:rPr>
            <w:noProof/>
          </w:rPr>
          <w:t>5</w:t>
        </w:r>
      </w:fldSimple>
      <w:r>
        <w:noBreakHyphen/>
      </w:r>
      <w:fldSimple w:instr=" SEQ Figure \* ARABIC \s 1 ">
        <w:r w:rsidR="00924C7D">
          <w:rPr>
            <w:noProof/>
          </w:rPr>
          <w:t>17</w:t>
        </w:r>
      </w:fldSimple>
      <w:bookmarkEnd w:id="523"/>
      <w:r>
        <w:rPr>
          <w:noProof/>
        </w:rPr>
        <w:t xml:space="preserve"> </w:t>
      </w:r>
      <w:r>
        <w:rPr>
          <w:b w:val="0"/>
          <w:noProof/>
        </w:rPr>
        <w:t>Veloci</w:t>
      </w:r>
      <w:r w:rsidR="009E2509">
        <w:rPr>
          <w:b w:val="0"/>
          <w:noProof/>
        </w:rPr>
        <w:t>t</w:t>
      </w:r>
      <w:r>
        <w:rPr>
          <w:b w:val="0"/>
          <w:noProof/>
        </w:rPr>
        <w:t>y values from</w:t>
      </w:r>
      <w:r w:rsidRPr="00F516FA">
        <w:rPr>
          <w:b w:val="0"/>
          <w:noProof/>
        </w:rPr>
        <w:t xml:space="preserve"> line 2 </w:t>
      </w:r>
      <w:r>
        <w:rPr>
          <w:b w:val="0"/>
          <w:noProof/>
        </w:rPr>
        <w:t>shown in</w:t>
      </w:r>
      <w:r w:rsidRPr="00F516FA">
        <w:rPr>
          <w:b w:val="0"/>
          <w:noProof/>
        </w:rPr>
        <w:t xml:space="preserve"> </w:t>
      </w:r>
      <w:r w:rsidRPr="00F516FA">
        <w:rPr>
          <w:b w:val="0"/>
          <w:noProof/>
        </w:rPr>
        <w:fldChar w:fldCharType="begin"/>
      </w:r>
      <w:r w:rsidRPr="00F516FA">
        <w:rPr>
          <w:b w:val="0"/>
          <w:noProof/>
        </w:rPr>
        <w:instrText xml:space="preserve"> REF _Ref312160165 \h  \* MERGEFORMAT </w:instrText>
      </w:r>
      <w:r w:rsidRPr="00F516FA">
        <w:rPr>
          <w:b w:val="0"/>
          <w:noProof/>
        </w:rPr>
      </w:r>
      <w:r w:rsidRPr="00F516FA">
        <w:rPr>
          <w:b w:val="0"/>
          <w:noProof/>
        </w:rPr>
        <w:fldChar w:fldCharType="separate"/>
      </w:r>
      <w:r w:rsidR="00924C7D" w:rsidRPr="00924C7D">
        <w:rPr>
          <w:b w:val="0"/>
        </w:rPr>
        <w:t xml:space="preserve">Figure </w:t>
      </w:r>
      <w:r w:rsidR="00924C7D" w:rsidRPr="00924C7D">
        <w:rPr>
          <w:b w:val="0"/>
          <w:noProof/>
        </w:rPr>
        <w:t>4</w:t>
      </w:r>
      <w:r w:rsidR="00924C7D" w:rsidRPr="00924C7D">
        <w:rPr>
          <w:b w:val="0"/>
          <w:noProof/>
        </w:rPr>
        <w:noBreakHyphen/>
        <w:t>15</w:t>
      </w:r>
      <w:r w:rsidRPr="00F516FA">
        <w:rPr>
          <w:b w:val="0"/>
          <w:noProof/>
        </w:rPr>
        <w:fldChar w:fldCharType="end"/>
      </w:r>
      <w:r>
        <w:rPr>
          <w:b w:val="0"/>
          <w:noProof/>
        </w:rPr>
        <w:t xml:space="preserve"> </w:t>
      </w:r>
      <w:r w:rsidRPr="00F516FA">
        <w:rPr>
          <w:b w:val="0"/>
          <w:noProof/>
        </w:rPr>
        <w:t>for the</w:t>
      </w:r>
      <w:r w:rsidRPr="001B4B98">
        <w:rPr>
          <w:b w:val="0"/>
          <w:noProof/>
        </w:rPr>
        <w:t xml:space="preserve"> six meshes analysed.</w:t>
      </w:r>
      <w:bookmarkEnd w:id="524"/>
      <w:bookmarkEnd w:id="525"/>
    </w:p>
    <w:p w:rsidR="005D1052" w:rsidRDefault="005D1052" w:rsidP="005D1052">
      <w:pPr>
        <w:tabs>
          <w:tab w:val="left" w:pos="1164"/>
        </w:tabs>
      </w:pPr>
      <w:r>
        <w:lastRenderedPageBreak/>
        <w:t xml:space="preserve">However, the computational cost of the mesh with 50 million elements is much higher. Moreover, it will be more expensive when tracking 20,000 cells in the fluid domain as required in the seeding experiments. For this reason, the simulations where carried out with the 15 million elements mesh which allowed identifying the main mechanisms of transport and deposition of cells in a perfusion system although the deposition rate was significantly overestimated. The effect of mesh density on cell deposition is further </w:t>
      </w:r>
      <w:r w:rsidRPr="002965D4">
        <w:t xml:space="preserve">discussed in section </w:t>
      </w:r>
      <w:r w:rsidRPr="002965D4">
        <w:fldChar w:fldCharType="begin"/>
      </w:r>
      <w:r w:rsidRPr="002965D4">
        <w:instrText xml:space="preserve"> REF _Ref312182578 \r \h </w:instrText>
      </w:r>
      <w:r w:rsidRPr="002965D4">
        <w:fldChar w:fldCharType="separate"/>
      </w:r>
      <w:r w:rsidR="00924C7D">
        <w:t>5.4.5</w:t>
      </w:r>
      <w:r w:rsidRPr="002965D4">
        <w:fldChar w:fldCharType="end"/>
      </w:r>
      <w:r w:rsidRPr="002965D4">
        <w:t>.</w:t>
      </w:r>
    </w:p>
    <w:p w:rsidR="005D1052" w:rsidRPr="001D3E26" w:rsidRDefault="005D1052" w:rsidP="005D1052"/>
    <w:p w:rsidR="005D1052" w:rsidRDefault="005D1052" w:rsidP="005D1052">
      <w:pPr>
        <w:keepNext/>
        <w:spacing w:before="480"/>
        <w:ind w:firstLine="0"/>
        <w:jc w:val="center"/>
      </w:pPr>
      <w:r>
        <w:rPr>
          <w:noProof/>
          <w:lang w:eastAsia="en-GB"/>
        </w:rPr>
        <w:drawing>
          <wp:inline distT="0" distB="0" distL="0" distR="0" wp14:anchorId="5178FC10" wp14:editId="296ACF1A">
            <wp:extent cx="5662138" cy="238169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5695636" cy="2395784"/>
                    </a:xfrm>
                    <a:prstGeom prst="rect">
                      <a:avLst/>
                    </a:prstGeom>
                    <a:noFill/>
                    <a:ln>
                      <a:noFill/>
                    </a:ln>
                  </pic:spPr>
                </pic:pic>
              </a:graphicData>
            </a:graphic>
          </wp:inline>
        </w:drawing>
      </w:r>
    </w:p>
    <w:p w:rsidR="005D1052" w:rsidRPr="00226615" w:rsidRDefault="005D1052" w:rsidP="005D1052">
      <w:pPr>
        <w:pStyle w:val="Caption"/>
      </w:pPr>
      <w:bookmarkStart w:id="526" w:name="_Ref312181519"/>
      <w:bookmarkStart w:id="527" w:name="_Toc438590859"/>
      <w:bookmarkStart w:id="528" w:name="_Toc445718865"/>
      <w:r>
        <w:t xml:space="preserve">Figure </w:t>
      </w:r>
      <w:fldSimple w:instr=" STYLEREF 1 \s ">
        <w:r w:rsidR="00924C7D">
          <w:rPr>
            <w:noProof/>
          </w:rPr>
          <w:t>5</w:t>
        </w:r>
      </w:fldSimple>
      <w:r>
        <w:noBreakHyphen/>
      </w:r>
      <w:fldSimple w:instr=" SEQ Figure \* ARABIC \s 1 ">
        <w:r w:rsidR="00924C7D">
          <w:rPr>
            <w:noProof/>
          </w:rPr>
          <w:t>18</w:t>
        </w:r>
      </w:fldSimple>
      <w:bookmarkEnd w:id="526"/>
      <w:r>
        <w:rPr>
          <w:noProof/>
        </w:rPr>
        <w:t xml:space="preserve"> </w:t>
      </w:r>
      <w:r>
        <w:rPr>
          <w:b w:val="0"/>
          <w:noProof/>
        </w:rPr>
        <w:t>Total</w:t>
      </w:r>
      <w:r w:rsidRPr="00E52A2E">
        <w:rPr>
          <w:b w:val="0"/>
          <w:noProof/>
        </w:rPr>
        <w:t xml:space="preserve"> number of cells attached on chamber and scaffold walls for different flow rates </w:t>
      </w:r>
      <w:r>
        <w:rPr>
          <w:b w:val="0"/>
          <w:noProof/>
        </w:rPr>
        <w:t>for</w:t>
      </w:r>
      <w:r w:rsidRPr="00E52A2E">
        <w:rPr>
          <w:b w:val="0"/>
          <w:noProof/>
        </w:rPr>
        <w:t xml:space="preserve"> 15 and 50 million elements</w:t>
      </w:r>
      <w:r>
        <w:rPr>
          <w:b w:val="0"/>
          <w:noProof/>
        </w:rPr>
        <w:t xml:space="preserve"> meshes</w:t>
      </w:r>
      <w:r w:rsidRPr="00E52A2E">
        <w:rPr>
          <w:b w:val="0"/>
          <w:noProof/>
        </w:rPr>
        <w:t>.</w:t>
      </w:r>
      <w:bookmarkEnd w:id="527"/>
      <w:bookmarkEnd w:id="528"/>
    </w:p>
    <w:p w:rsidR="005D1052" w:rsidRPr="00EC316F" w:rsidRDefault="005D1052" w:rsidP="005D1052">
      <w:pPr>
        <w:pStyle w:val="Heading3"/>
      </w:pPr>
      <w:bookmarkStart w:id="529" w:name="_Toc310605641"/>
      <w:bookmarkStart w:id="530" w:name="_Toc310605936"/>
      <w:bookmarkStart w:id="531" w:name="_Ref312182454"/>
      <w:bookmarkStart w:id="532" w:name="_Toc440823282"/>
      <w:r>
        <w:t>Computational model</w:t>
      </w:r>
      <w:r w:rsidRPr="00EC316F">
        <w:t xml:space="preserve"> benchmark</w:t>
      </w:r>
      <w:bookmarkEnd w:id="529"/>
      <w:bookmarkEnd w:id="530"/>
      <w:bookmarkEnd w:id="531"/>
      <w:bookmarkEnd w:id="532"/>
    </w:p>
    <w:p w:rsidR="005D1052" w:rsidRDefault="005D1052" w:rsidP="005D1052">
      <w:r>
        <w:t xml:space="preserve">Partitions in 8, 16, 32 and 64 cores were carried out reducing the computing time when the number of partitions was increased (see </w:t>
      </w:r>
      <w:r>
        <w:rPr>
          <w:highlight w:val="yellow"/>
        </w:rPr>
        <w:fldChar w:fldCharType="begin"/>
      </w:r>
      <w:r>
        <w:instrText xml:space="preserve"> REF _Ref312182634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19</w:t>
      </w:r>
      <w:r>
        <w:rPr>
          <w:highlight w:val="yellow"/>
        </w:rPr>
        <w:fldChar w:fldCharType="end"/>
      </w:r>
      <w:r>
        <w:t xml:space="preserve">). The parallel overhead remains constant up to 64 partitions (see </w:t>
      </w:r>
      <w:r>
        <w:fldChar w:fldCharType="begin"/>
      </w:r>
      <w:r>
        <w:instrText xml:space="preserve"> REF _Ref440726774 \h </w:instrText>
      </w:r>
      <w:r>
        <w:fldChar w:fldCharType="separate"/>
      </w:r>
      <w:r w:rsidR="00924C7D">
        <w:t xml:space="preserve">Figure </w:t>
      </w:r>
      <w:r w:rsidR="00924C7D">
        <w:rPr>
          <w:noProof/>
        </w:rPr>
        <w:t>5</w:t>
      </w:r>
      <w:r w:rsidR="00924C7D">
        <w:noBreakHyphen/>
      </w:r>
      <w:r w:rsidR="00924C7D">
        <w:rPr>
          <w:noProof/>
        </w:rPr>
        <w:t>20</w:t>
      </w:r>
      <w:r>
        <w:fldChar w:fldCharType="end"/>
      </w:r>
      <w:r>
        <w:t xml:space="preserve">). Finally, 32 partitions were selected since it solved the numerical problem in an affordable quantity of time permitting the use of the computational resources available to solve more than one CFD </w:t>
      </w:r>
      <w:r>
        <w:lastRenderedPageBreak/>
        <w:t>model at the same time. All the simulations required a m</w:t>
      </w:r>
      <w:r w:rsidRPr="00E54082">
        <w:t>aximum v</w:t>
      </w:r>
      <w:r>
        <w:t xml:space="preserve">irtual </w:t>
      </w:r>
      <w:r w:rsidRPr="00E54082">
        <w:t xml:space="preserve">memory </w:t>
      </w:r>
      <w:r>
        <w:t>of around</w:t>
      </w:r>
      <w:r w:rsidRPr="00E54082">
        <w:t xml:space="preserve"> </w:t>
      </w:r>
      <w:r>
        <w:t>12</w:t>
      </w:r>
      <w:r w:rsidRPr="000B3466">
        <w:t xml:space="preserve"> GB</w:t>
      </w:r>
      <w:r>
        <w:t>.</w:t>
      </w:r>
    </w:p>
    <w:p w:rsidR="005D1052" w:rsidRDefault="005D1052" w:rsidP="005D1052">
      <w:pPr>
        <w:keepNext/>
        <w:ind w:firstLine="0"/>
        <w:jc w:val="center"/>
      </w:pPr>
      <w:r>
        <w:rPr>
          <w:noProof/>
          <w:lang w:eastAsia="en-GB"/>
        </w:rPr>
        <w:drawing>
          <wp:inline distT="0" distB="0" distL="0" distR="0" wp14:anchorId="0197D165" wp14:editId="3848C4F7">
            <wp:extent cx="5005772" cy="2137559"/>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5018133" cy="2142838"/>
                    </a:xfrm>
                    <a:prstGeom prst="rect">
                      <a:avLst/>
                    </a:prstGeom>
                    <a:noFill/>
                    <a:ln>
                      <a:noFill/>
                    </a:ln>
                  </pic:spPr>
                </pic:pic>
              </a:graphicData>
            </a:graphic>
          </wp:inline>
        </w:drawing>
      </w:r>
    </w:p>
    <w:p w:rsidR="005D1052" w:rsidRDefault="005D1052" w:rsidP="005D1052">
      <w:pPr>
        <w:pStyle w:val="Caption"/>
        <w:rPr>
          <w:b w:val="0"/>
          <w:noProof/>
        </w:rPr>
      </w:pPr>
      <w:bookmarkStart w:id="533" w:name="_Ref312182634"/>
      <w:bookmarkStart w:id="534" w:name="_Toc438590860"/>
      <w:bookmarkStart w:id="535" w:name="_Toc445718866"/>
      <w:r>
        <w:t xml:space="preserve">Figure </w:t>
      </w:r>
      <w:fldSimple w:instr=" STYLEREF 1 \s ">
        <w:r w:rsidR="00924C7D">
          <w:rPr>
            <w:noProof/>
          </w:rPr>
          <w:t>5</w:t>
        </w:r>
      </w:fldSimple>
      <w:r>
        <w:noBreakHyphen/>
      </w:r>
      <w:fldSimple w:instr=" SEQ Figure \* ARABIC \s 1 ">
        <w:r w:rsidR="00924C7D">
          <w:rPr>
            <w:noProof/>
          </w:rPr>
          <w:t>19</w:t>
        </w:r>
      </w:fldSimple>
      <w:bookmarkEnd w:id="533"/>
      <w:r>
        <w:rPr>
          <w:noProof/>
        </w:rPr>
        <w:t xml:space="preserve"> </w:t>
      </w:r>
      <w:r w:rsidRPr="00E52A2E">
        <w:rPr>
          <w:b w:val="0"/>
          <w:noProof/>
        </w:rPr>
        <w:t>Wall-clock time required to solve the CFD case depending on the number of partitions.</w:t>
      </w:r>
      <w:bookmarkEnd w:id="534"/>
      <w:bookmarkEnd w:id="535"/>
    </w:p>
    <w:p w:rsidR="005D1052" w:rsidRPr="00AC3D3F" w:rsidRDefault="005D1052" w:rsidP="005D1052"/>
    <w:p w:rsidR="005D1052" w:rsidRDefault="005D1052" w:rsidP="005D1052">
      <w:pPr>
        <w:keepNext/>
        <w:ind w:firstLine="0"/>
      </w:pPr>
      <w:r>
        <w:t xml:space="preserve">           </w:t>
      </w:r>
      <w:r>
        <w:rPr>
          <w:noProof/>
          <w:lang w:eastAsia="en-GB"/>
        </w:rPr>
        <w:drawing>
          <wp:inline distT="0" distB="0" distL="0" distR="0" wp14:anchorId="5AB91730" wp14:editId="09BB817B">
            <wp:extent cx="4615144" cy="21969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4615262" cy="2196991"/>
                    </a:xfrm>
                    <a:prstGeom prst="rect">
                      <a:avLst/>
                    </a:prstGeom>
                    <a:noFill/>
                    <a:ln>
                      <a:noFill/>
                    </a:ln>
                  </pic:spPr>
                </pic:pic>
              </a:graphicData>
            </a:graphic>
          </wp:inline>
        </w:drawing>
      </w:r>
    </w:p>
    <w:p w:rsidR="005D1052" w:rsidRPr="00E52A2E" w:rsidRDefault="005D1052" w:rsidP="005D1052">
      <w:pPr>
        <w:pStyle w:val="Caption"/>
        <w:rPr>
          <w:b w:val="0"/>
        </w:rPr>
      </w:pPr>
      <w:bookmarkStart w:id="536" w:name="_Ref440726774"/>
      <w:bookmarkStart w:id="537" w:name="_Toc438590861"/>
      <w:bookmarkStart w:id="538" w:name="_Toc445718867"/>
      <w:r>
        <w:t xml:space="preserve">Figure </w:t>
      </w:r>
      <w:fldSimple w:instr=" STYLEREF 1 \s ">
        <w:r w:rsidR="00924C7D">
          <w:rPr>
            <w:noProof/>
          </w:rPr>
          <w:t>5</w:t>
        </w:r>
      </w:fldSimple>
      <w:r>
        <w:noBreakHyphen/>
      </w:r>
      <w:fldSimple w:instr=" SEQ Figure \* ARABIC \s 1 ">
        <w:r w:rsidR="00924C7D">
          <w:rPr>
            <w:noProof/>
          </w:rPr>
          <w:t>20</w:t>
        </w:r>
      </w:fldSimple>
      <w:bookmarkEnd w:id="536"/>
      <w:r>
        <w:rPr>
          <w:noProof/>
        </w:rPr>
        <w:t xml:space="preserve"> </w:t>
      </w:r>
      <w:r w:rsidRPr="00E52A2E">
        <w:rPr>
          <w:b w:val="0"/>
          <w:noProof/>
        </w:rPr>
        <w:t>CPU time required to solve the CFD case depending on the number of partitions.</w:t>
      </w:r>
      <w:bookmarkEnd w:id="537"/>
      <w:bookmarkEnd w:id="538"/>
    </w:p>
    <w:p w:rsidR="005D1052" w:rsidRDefault="005D1052" w:rsidP="005D1052">
      <w:r>
        <w:t xml:space="preserve">The simulations were firstly resolved using Fluent Ansys 15.0 although at the latest stage it was possible to compare the performance of the model using the last version available at the time Fluent Ansys 16.1. A simple case with a single injection and </w:t>
      </w:r>
      <w:r>
        <w:lastRenderedPageBreak/>
        <w:t>15 cycles was selected to compare the effect of these two versions of Ansys on the discrete phase deposition (</w:t>
      </w:r>
      <w:r w:rsidRPr="007539BD">
        <w:t xml:space="preserve">see </w:t>
      </w:r>
      <w:r>
        <w:fldChar w:fldCharType="begin"/>
      </w:r>
      <w:r>
        <w:instrText xml:space="preserve"> REF _Ref312182660 \h </w:instrText>
      </w:r>
      <w:r>
        <w:fldChar w:fldCharType="separate"/>
      </w:r>
      <w:r w:rsidR="00924C7D">
        <w:t xml:space="preserve">Figure </w:t>
      </w:r>
      <w:r w:rsidR="00924C7D">
        <w:rPr>
          <w:noProof/>
        </w:rPr>
        <w:t>5</w:t>
      </w:r>
      <w:r w:rsidR="00924C7D">
        <w:noBreakHyphen/>
      </w:r>
      <w:r w:rsidR="00924C7D">
        <w:rPr>
          <w:noProof/>
        </w:rPr>
        <w:t>21</w:t>
      </w:r>
      <w:r>
        <w:fldChar w:fldCharType="end"/>
      </w:r>
      <w:r>
        <w:t xml:space="preserve">). Different flow rates were studied and for each case the results between versions varied in different manners. For instance in the case of 120 </w:t>
      </w:r>
      <w:r w:rsidRPr="006B5232">
        <w:t>µ</w:t>
      </w:r>
      <w:r>
        <w:t xml:space="preserve">l/min flow rate, the number of cells attached on the wall boundaries varies 1.67 </w:t>
      </w:r>
      <w:r w:rsidRPr="005D0349">
        <w:t>%</w:t>
      </w:r>
      <w:r>
        <w:t xml:space="preserve"> whereas for the case of 600 </w:t>
      </w:r>
      <w:r w:rsidRPr="006B5232">
        <w:t>µl/min</w:t>
      </w:r>
      <w:r>
        <w:t xml:space="preserve"> the difference </w:t>
      </w:r>
      <w:r w:rsidRPr="005D0349">
        <w:t>is 2</w:t>
      </w:r>
      <w:r>
        <w:t>2.5</w:t>
      </w:r>
      <w:r w:rsidRPr="005D0349">
        <w:t>%.</w:t>
      </w:r>
    </w:p>
    <w:p w:rsidR="005D1052" w:rsidRDefault="005D1052" w:rsidP="005D1052"/>
    <w:p w:rsidR="005D1052" w:rsidRDefault="005D1052" w:rsidP="005D1052">
      <w:pPr>
        <w:keepNext/>
        <w:ind w:firstLine="0"/>
        <w:jc w:val="center"/>
      </w:pPr>
      <w:r>
        <w:rPr>
          <w:noProof/>
          <w:lang w:eastAsia="en-GB"/>
        </w:rPr>
        <w:drawing>
          <wp:inline distT="0" distB="0" distL="0" distR="0" wp14:anchorId="7962F484" wp14:editId="644B6BEE">
            <wp:extent cx="4765990" cy="235131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ys15_15.png"/>
                    <pic:cNvPicPr/>
                  </pic:nvPicPr>
                  <pic:blipFill>
                    <a:blip r:embed="rId145">
                      <a:extLst>
                        <a:ext uri="{28A0092B-C50C-407E-A947-70E740481C1C}">
                          <a14:useLocalDpi xmlns:a14="http://schemas.microsoft.com/office/drawing/2010/main" val="0"/>
                        </a:ext>
                      </a:extLst>
                    </a:blip>
                    <a:stretch>
                      <a:fillRect/>
                    </a:stretch>
                  </pic:blipFill>
                  <pic:spPr>
                    <a:xfrm>
                      <a:off x="0" y="0"/>
                      <a:ext cx="4763206" cy="2349941"/>
                    </a:xfrm>
                    <a:prstGeom prst="rect">
                      <a:avLst/>
                    </a:prstGeom>
                  </pic:spPr>
                </pic:pic>
              </a:graphicData>
            </a:graphic>
          </wp:inline>
        </w:drawing>
      </w:r>
    </w:p>
    <w:p w:rsidR="005D1052" w:rsidRPr="00E52A2E" w:rsidRDefault="005D1052" w:rsidP="005D1052">
      <w:pPr>
        <w:pStyle w:val="Caption"/>
        <w:rPr>
          <w:b w:val="0"/>
        </w:rPr>
      </w:pPr>
      <w:bookmarkStart w:id="539" w:name="_Ref312182660"/>
      <w:bookmarkStart w:id="540" w:name="_Toc438590862"/>
      <w:bookmarkStart w:id="541" w:name="_Toc445718868"/>
      <w:r>
        <w:t xml:space="preserve">Figure </w:t>
      </w:r>
      <w:fldSimple w:instr=" STYLEREF 1 \s ">
        <w:r w:rsidR="00924C7D">
          <w:rPr>
            <w:noProof/>
          </w:rPr>
          <w:t>5</w:t>
        </w:r>
      </w:fldSimple>
      <w:r>
        <w:noBreakHyphen/>
      </w:r>
      <w:fldSimple w:instr=" SEQ Figure \* ARABIC \s 1 ">
        <w:r w:rsidR="00924C7D">
          <w:rPr>
            <w:noProof/>
          </w:rPr>
          <w:t>21</w:t>
        </w:r>
      </w:fldSimple>
      <w:bookmarkEnd w:id="539"/>
      <w:r>
        <w:rPr>
          <w:noProof/>
        </w:rPr>
        <w:t xml:space="preserve"> </w:t>
      </w:r>
      <w:r>
        <w:rPr>
          <w:b w:val="0"/>
          <w:noProof/>
        </w:rPr>
        <w:t>Total</w:t>
      </w:r>
      <w:r w:rsidRPr="00E52A2E">
        <w:rPr>
          <w:b w:val="0"/>
          <w:noProof/>
        </w:rPr>
        <w:t xml:space="preserve"> number of cells attached on chamber and scaffold walls for different flow rates when solving the CFD </w:t>
      </w:r>
      <w:r>
        <w:rPr>
          <w:b w:val="0"/>
          <w:noProof/>
        </w:rPr>
        <w:t>model</w:t>
      </w:r>
      <w:r w:rsidRPr="00E52A2E">
        <w:rPr>
          <w:b w:val="0"/>
          <w:noProof/>
        </w:rPr>
        <w:t xml:space="preserve"> using the versions of Fluent Ansys 15.0 and 16.1.</w:t>
      </w:r>
      <w:bookmarkEnd w:id="540"/>
      <w:bookmarkEnd w:id="541"/>
    </w:p>
    <w:p w:rsidR="005D1052" w:rsidRPr="00EC316F" w:rsidRDefault="005D1052" w:rsidP="005D1052">
      <w:pPr>
        <w:pStyle w:val="Heading3"/>
      </w:pPr>
      <w:bookmarkStart w:id="542" w:name="_Toc310605642"/>
      <w:bookmarkStart w:id="543" w:name="_Toc310605937"/>
      <w:bookmarkStart w:id="544" w:name="_Toc440823283"/>
      <w:r w:rsidRPr="00EC316F">
        <w:t>Static cell seeding simulation</w:t>
      </w:r>
      <w:bookmarkEnd w:id="542"/>
      <w:bookmarkEnd w:id="543"/>
      <w:bookmarkEnd w:id="544"/>
    </w:p>
    <w:p w:rsidR="005D1052" w:rsidRDefault="005D1052" w:rsidP="005D1052">
      <w:r>
        <w:t xml:space="preserve">In the static seeding, cells were injected from the top of the cylindrical chamber and they travelled down towards the scaffold due to gravity with a constant velocity of 0.01 mm/s. Cells advance following a straight path until they attach to the first obstacle they intercept on their way, either the scaffold substrate or the bottom of the chamber (see </w:t>
      </w:r>
      <w:r>
        <w:rPr>
          <w:highlight w:val="yellow"/>
        </w:rPr>
        <w:fldChar w:fldCharType="begin"/>
      </w:r>
      <w:r>
        <w:instrText xml:space="preserve"> REF _Ref312182681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22</w:t>
      </w:r>
      <w:r>
        <w:rPr>
          <w:highlight w:val="yellow"/>
        </w:rPr>
        <w:fldChar w:fldCharType="end"/>
      </w:r>
      <w:r>
        <w:t xml:space="preserve">). It is noteworthy to mention that </w:t>
      </w:r>
      <w:r w:rsidRPr="00411D63">
        <w:t xml:space="preserve">cells are represented with spheres ten times bigger than the real size of cells </w:t>
      </w:r>
      <w:r>
        <w:t xml:space="preserve">in all figures </w:t>
      </w:r>
      <w:r w:rsidRPr="00411D63">
        <w:t>to improve visibility</w:t>
      </w:r>
      <w:r>
        <w:t xml:space="preserve">. Cells attached to the scaffold fibres are found at the side of the fibres that face the injection surface and no cells are found at the opposite face as seen in </w:t>
      </w:r>
      <w:r>
        <w:rPr>
          <w:highlight w:val="yellow"/>
        </w:rPr>
        <w:fldChar w:fldCharType="begin"/>
      </w:r>
      <w:r>
        <w:instrText xml:space="preserve"> REF _Ref312182697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23</w:t>
      </w:r>
      <w:r>
        <w:rPr>
          <w:highlight w:val="yellow"/>
        </w:rPr>
        <w:fldChar w:fldCharType="end"/>
      </w:r>
      <w:r>
        <w:t xml:space="preserve">. 85 % of cells attached to the scaffold. However, there is no homogeneous distribution of cells </w:t>
      </w:r>
      <w:r>
        <w:lastRenderedPageBreak/>
        <w:t xml:space="preserve">throughout the scaffold microstructure as shown </w:t>
      </w:r>
      <w:r>
        <w:rPr>
          <w:highlight w:val="yellow"/>
        </w:rPr>
        <w:fldChar w:fldCharType="begin"/>
      </w:r>
      <w:r>
        <w:instrText xml:space="preserve"> REF _Ref312183024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24</w:t>
      </w:r>
      <w:r>
        <w:rPr>
          <w:highlight w:val="yellow"/>
        </w:rPr>
        <w:fldChar w:fldCharType="end"/>
      </w:r>
      <w:r>
        <w:t>; the majority of cells are attached on the top of the first, second and fifth layers as there are no other obstacles along cell path before these fibres. For the third and fourth layers, cells are only found at the sides of the fibres as these are aligned with the fibres on top, which cells encounter first. In the last layer of fibres, there are no cells as these fibres are completely covered by the ones above. Moreover, cells only attached at the top or on sides of the fibres with no cells found at the side that faces the bottom of the chamber. On the other hand, the cells that do not intercept the scaffold substrate reach the bottom of the chamber through the gap between the scaffold and the wall chamber.</w:t>
      </w:r>
    </w:p>
    <w:p w:rsidR="005D1052" w:rsidRDefault="005D1052" w:rsidP="005D1052"/>
    <w:p w:rsidR="005D1052" w:rsidRDefault="005D1052" w:rsidP="005D1052">
      <w:pPr>
        <w:keepNext/>
        <w:ind w:firstLine="0"/>
        <w:jc w:val="left"/>
      </w:pPr>
      <w:r>
        <w:rPr>
          <w:noProof/>
          <w:lang w:eastAsia="en-GB"/>
        </w:rPr>
        <w:drawing>
          <wp:inline distT="0" distB="0" distL="0" distR="0" wp14:anchorId="3C786C97" wp14:editId="72EAC29B">
            <wp:extent cx="5465347" cy="3079630"/>
            <wp:effectExtent l="0" t="0" r="254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c.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484832" cy="3090609"/>
                    </a:xfrm>
                    <a:prstGeom prst="rect">
                      <a:avLst/>
                    </a:prstGeom>
                  </pic:spPr>
                </pic:pic>
              </a:graphicData>
            </a:graphic>
          </wp:inline>
        </w:drawing>
      </w:r>
    </w:p>
    <w:p w:rsidR="005D1052" w:rsidRDefault="005D1052" w:rsidP="005D1052">
      <w:pPr>
        <w:pStyle w:val="Caption"/>
        <w:rPr>
          <w:b w:val="0"/>
        </w:rPr>
      </w:pPr>
      <w:bookmarkStart w:id="545" w:name="_Ref312182681"/>
      <w:bookmarkStart w:id="546" w:name="_Toc438590863"/>
      <w:bookmarkStart w:id="547" w:name="_Toc445718869"/>
      <w:r>
        <w:t xml:space="preserve">Figure </w:t>
      </w:r>
      <w:fldSimple w:instr=" STYLEREF 1 \s ">
        <w:r w:rsidR="00924C7D">
          <w:rPr>
            <w:noProof/>
          </w:rPr>
          <w:t>5</w:t>
        </w:r>
      </w:fldSimple>
      <w:r>
        <w:noBreakHyphen/>
      </w:r>
      <w:fldSimple w:instr=" SEQ Figure \* ARABIC \s 1 ">
        <w:r w:rsidR="00924C7D">
          <w:rPr>
            <w:noProof/>
          </w:rPr>
          <w:t>22</w:t>
        </w:r>
      </w:fldSimple>
      <w:bookmarkEnd w:id="545"/>
      <w:r>
        <w:t xml:space="preserve"> </w:t>
      </w:r>
      <w:r w:rsidRPr="00E52A2E">
        <w:rPr>
          <w:b w:val="0"/>
        </w:rPr>
        <w:t xml:space="preserve">a) Cell path from the injection surface at the top of the cylinder up to the first obstacle found. Cells travel with </w:t>
      </w:r>
      <w:r>
        <w:rPr>
          <w:b w:val="0"/>
        </w:rPr>
        <w:t xml:space="preserve">a </w:t>
      </w:r>
      <w:r w:rsidRPr="00E52A2E">
        <w:rPr>
          <w:b w:val="0"/>
        </w:rPr>
        <w:t>constant velocity of 0.01 mm/s. b) Cells attached to the first obstacle found. The cells are represented with spheres ten times bigger than the real size of cells to improve visibility.</w:t>
      </w:r>
      <w:bookmarkEnd w:id="546"/>
      <w:bookmarkEnd w:id="547"/>
    </w:p>
    <w:p w:rsidR="005D1052" w:rsidRPr="00E03E53" w:rsidRDefault="005D1052" w:rsidP="005D1052">
      <w:r w:rsidRPr="00A976C9">
        <w:t>The time for cells to settle on scaffold substrate after their injection was between 300 and 600 seconds. The cells that did not intercept with the scaffold</w:t>
      </w:r>
      <w:r>
        <w:t xml:space="preserve"> reached the </w:t>
      </w:r>
      <w:r>
        <w:lastRenderedPageBreak/>
        <w:t xml:space="preserve">bottom of the channel between 1,000 and 1,100 seconds after the injection (see </w:t>
      </w:r>
      <w:r>
        <w:rPr>
          <w:highlight w:val="yellow"/>
        </w:rPr>
        <w:fldChar w:fldCharType="begin"/>
      </w:r>
      <w:r>
        <w:instrText xml:space="preserve"> REF _Ref312183141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25</w:t>
      </w:r>
      <w:r>
        <w:rPr>
          <w:highlight w:val="yellow"/>
        </w:rPr>
        <w:fldChar w:fldCharType="end"/>
      </w:r>
      <w:r>
        <w:t>).</w:t>
      </w:r>
    </w:p>
    <w:p w:rsidR="005D1052" w:rsidRPr="00141F0B" w:rsidRDefault="005D1052" w:rsidP="005D1052"/>
    <w:p w:rsidR="005D1052" w:rsidRDefault="005D1052" w:rsidP="005D1052">
      <w:pPr>
        <w:keepNext/>
        <w:ind w:firstLine="0"/>
        <w:jc w:val="center"/>
      </w:pPr>
      <w:r>
        <w:rPr>
          <w:noProof/>
          <w:lang w:eastAsia="en-GB"/>
        </w:rPr>
        <w:drawing>
          <wp:inline distT="0" distB="0" distL="0" distR="0" wp14:anchorId="3338A7C6" wp14:editId="1F892D53">
            <wp:extent cx="4987176" cy="2363190"/>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c3.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003885" cy="2371108"/>
                    </a:xfrm>
                    <a:prstGeom prst="rect">
                      <a:avLst/>
                    </a:prstGeom>
                  </pic:spPr>
                </pic:pic>
              </a:graphicData>
            </a:graphic>
          </wp:inline>
        </w:drawing>
      </w:r>
    </w:p>
    <w:p w:rsidR="005D1052" w:rsidRDefault="005D1052" w:rsidP="005D1052">
      <w:pPr>
        <w:pStyle w:val="Caption"/>
        <w:rPr>
          <w:b w:val="0"/>
        </w:rPr>
      </w:pPr>
      <w:bookmarkStart w:id="548" w:name="_Ref312182697"/>
      <w:bookmarkStart w:id="549" w:name="_Toc438590864"/>
      <w:bookmarkStart w:id="550" w:name="_Toc445718870"/>
      <w:r>
        <w:t xml:space="preserve">Figure </w:t>
      </w:r>
      <w:fldSimple w:instr=" STYLEREF 1 \s ">
        <w:r w:rsidR="00924C7D">
          <w:rPr>
            <w:noProof/>
          </w:rPr>
          <w:t>5</w:t>
        </w:r>
      </w:fldSimple>
      <w:r>
        <w:noBreakHyphen/>
      </w:r>
      <w:fldSimple w:instr=" SEQ Figure \* ARABIC \s 1 ">
        <w:r w:rsidR="00924C7D">
          <w:rPr>
            <w:noProof/>
          </w:rPr>
          <w:t>23</w:t>
        </w:r>
      </w:fldSimple>
      <w:bookmarkEnd w:id="548"/>
      <w:r>
        <w:t xml:space="preserve"> </w:t>
      </w:r>
      <w:r w:rsidRPr="00E52A2E">
        <w:rPr>
          <w:b w:val="0"/>
        </w:rPr>
        <w:t>All cells attached to the scaffold are found on the side that faces the injection surface (a) whereas the side that faces the bottom of the chamber (b) does not present any cell attached to it.</w:t>
      </w:r>
      <w:bookmarkEnd w:id="549"/>
      <w:r>
        <w:rPr>
          <w:b w:val="0"/>
        </w:rPr>
        <w:t xml:space="preserve"> </w:t>
      </w:r>
      <w:r w:rsidRPr="00E52A2E">
        <w:rPr>
          <w:b w:val="0"/>
        </w:rPr>
        <w:t>The cells are represented with spheres ten times bigger than the real size of cells to improve visibility.</w:t>
      </w:r>
      <w:bookmarkEnd w:id="550"/>
    </w:p>
    <w:p w:rsidR="005D1052" w:rsidRPr="00141F0B" w:rsidRDefault="005D1052" w:rsidP="005D1052"/>
    <w:p w:rsidR="005D1052" w:rsidRDefault="005D1052" w:rsidP="005D1052">
      <w:pPr>
        <w:keepNext/>
        <w:ind w:firstLine="0"/>
        <w:jc w:val="center"/>
      </w:pPr>
      <w:r>
        <w:rPr>
          <w:noProof/>
          <w:lang w:eastAsia="en-GB"/>
        </w:rPr>
        <w:drawing>
          <wp:inline distT="0" distB="0" distL="0" distR="0" wp14:anchorId="6C9C8D2F" wp14:editId="4CE14194">
            <wp:extent cx="5082639" cy="1857703"/>
            <wp:effectExtent l="0" t="0" r="381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c-side.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114105" cy="1869204"/>
                    </a:xfrm>
                    <a:prstGeom prst="rect">
                      <a:avLst/>
                    </a:prstGeom>
                  </pic:spPr>
                </pic:pic>
              </a:graphicData>
            </a:graphic>
          </wp:inline>
        </w:drawing>
      </w:r>
    </w:p>
    <w:p w:rsidR="005D1052" w:rsidRPr="00E52A2E" w:rsidRDefault="005D1052" w:rsidP="005D1052">
      <w:pPr>
        <w:pStyle w:val="Caption"/>
        <w:rPr>
          <w:b w:val="0"/>
        </w:rPr>
      </w:pPr>
      <w:bookmarkStart w:id="551" w:name="_Ref312183024"/>
      <w:bookmarkStart w:id="552" w:name="_Toc438590865"/>
      <w:bookmarkStart w:id="553" w:name="_Toc445718871"/>
      <w:r>
        <w:t xml:space="preserve">Figure </w:t>
      </w:r>
      <w:fldSimple w:instr=" STYLEREF 1 \s ">
        <w:r w:rsidR="00924C7D">
          <w:rPr>
            <w:noProof/>
          </w:rPr>
          <w:t>5</w:t>
        </w:r>
      </w:fldSimple>
      <w:r>
        <w:noBreakHyphen/>
      </w:r>
      <w:fldSimple w:instr=" SEQ Figure \* ARABIC \s 1 ">
        <w:r w:rsidR="00924C7D">
          <w:rPr>
            <w:noProof/>
          </w:rPr>
          <w:t>24</w:t>
        </w:r>
      </w:fldSimple>
      <w:bookmarkEnd w:id="551"/>
      <w:r>
        <w:t xml:space="preserve"> </w:t>
      </w:r>
      <w:r w:rsidRPr="00E52A2E">
        <w:rPr>
          <w:b w:val="0"/>
        </w:rPr>
        <w:t>a) Side view of the scaffold with transparency applied in the fibres to visualize the internal distribution of cells from the top to the bottom layers. Most of the cells are found at the first layers as the last ones are covered by the ones on top. b) Internal view of the scaffold fibres and cell distribution.</w:t>
      </w:r>
      <w:bookmarkEnd w:id="552"/>
      <w:r>
        <w:rPr>
          <w:b w:val="0"/>
        </w:rPr>
        <w:t xml:space="preserve"> </w:t>
      </w:r>
      <w:r w:rsidRPr="00E52A2E">
        <w:rPr>
          <w:b w:val="0"/>
        </w:rPr>
        <w:t>The cells are represented with spheres ten times bigger than the real size of cells to improve visibility.</w:t>
      </w:r>
      <w:bookmarkEnd w:id="553"/>
    </w:p>
    <w:p w:rsidR="005D1052" w:rsidRDefault="005D1052" w:rsidP="005D1052">
      <w:pPr>
        <w:keepNext/>
        <w:ind w:firstLine="0"/>
        <w:jc w:val="center"/>
      </w:pPr>
      <w:r>
        <w:rPr>
          <w:noProof/>
          <w:lang w:eastAsia="en-GB"/>
        </w:rPr>
        <w:lastRenderedPageBreak/>
        <w:drawing>
          <wp:inline distT="0" distB="0" distL="0" distR="0" wp14:anchorId="789DAE31" wp14:editId="54308F6D">
            <wp:extent cx="4312109" cy="2109184"/>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c time.png"/>
                    <pic:cNvPicPr/>
                  </pic:nvPicPr>
                  <pic:blipFill>
                    <a:blip r:embed="rId149">
                      <a:extLst>
                        <a:ext uri="{28A0092B-C50C-407E-A947-70E740481C1C}">
                          <a14:useLocalDpi xmlns:a14="http://schemas.microsoft.com/office/drawing/2010/main" val="0"/>
                        </a:ext>
                      </a:extLst>
                    </a:blip>
                    <a:stretch>
                      <a:fillRect/>
                    </a:stretch>
                  </pic:blipFill>
                  <pic:spPr>
                    <a:xfrm>
                      <a:off x="0" y="0"/>
                      <a:ext cx="4312109" cy="2109184"/>
                    </a:xfrm>
                    <a:prstGeom prst="rect">
                      <a:avLst/>
                    </a:prstGeom>
                  </pic:spPr>
                </pic:pic>
              </a:graphicData>
            </a:graphic>
          </wp:inline>
        </w:drawing>
      </w:r>
    </w:p>
    <w:p w:rsidR="005D1052" w:rsidRPr="00E52A2E" w:rsidRDefault="005D1052" w:rsidP="005D1052">
      <w:pPr>
        <w:pStyle w:val="Caption"/>
        <w:rPr>
          <w:b w:val="0"/>
        </w:rPr>
      </w:pPr>
      <w:bookmarkStart w:id="554" w:name="_Ref312183141"/>
      <w:bookmarkStart w:id="555" w:name="_Toc438590866"/>
      <w:bookmarkStart w:id="556" w:name="_Toc445718872"/>
      <w:r>
        <w:t xml:space="preserve">Figure </w:t>
      </w:r>
      <w:fldSimple w:instr=" STYLEREF 1 \s ">
        <w:r w:rsidR="00924C7D">
          <w:rPr>
            <w:noProof/>
          </w:rPr>
          <w:t>5</w:t>
        </w:r>
      </w:fldSimple>
      <w:r>
        <w:noBreakHyphen/>
      </w:r>
      <w:fldSimple w:instr=" SEQ Figure \* ARABIC \s 1 ">
        <w:r w:rsidR="00924C7D">
          <w:rPr>
            <w:noProof/>
          </w:rPr>
          <w:t>25</w:t>
        </w:r>
      </w:fldSimple>
      <w:bookmarkEnd w:id="554"/>
      <w:r>
        <w:rPr>
          <w:noProof/>
        </w:rPr>
        <w:t xml:space="preserve"> </w:t>
      </w:r>
      <w:r w:rsidRPr="00E52A2E">
        <w:rPr>
          <w:b w:val="0"/>
          <w:noProof/>
        </w:rPr>
        <w:t>Number of cells suspensed in the fluid media during time. At the initial time point, around 20,000 cells are injected in the chamber, after 300 s</w:t>
      </w:r>
      <w:r>
        <w:rPr>
          <w:b w:val="0"/>
          <w:noProof/>
        </w:rPr>
        <w:t>econds</w:t>
      </w:r>
      <w:r w:rsidRPr="00E52A2E">
        <w:rPr>
          <w:b w:val="0"/>
          <w:noProof/>
        </w:rPr>
        <w:t xml:space="preserve"> the cells start attaching to the scaffold substrate, then 1</w:t>
      </w:r>
      <w:r>
        <w:rPr>
          <w:b w:val="0"/>
          <w:noProof/>
        </w:rPr>
        <w:t>,</w:t>
      </w:r>
      <w:r w:rsidRPr="00E52A2E">
        <w:rPr>
          <w:b w:val="0"/>
          <w:noProof/>
        </w:rPr>
        <w:t>000 s</w:t>
      </w:r>
      <w:r>
        <w:rPr>
          <w:b w:val="0"/>
          <w:noProof/>
        </w:rPr>
        <w:t>econds</w:t>
      </w:r>
      <w:r w:rsidRPr="00E52A2E">
        <w:rPr>
          <w:b w:val="0"/>
          <w:noProof/>
        </w:rPr>
        <w:t xml:space="preserve"> after </w:t>
      </w:r>
      <w:r>
        <w:rPr>
          <w:b w:val="0"/>
          <w:noProof/>
        </w:rPr>
        <w:t xml:space="preserve">the </w:t>
      </w:r>
      <w:r w:rsidRPr="00E52A2E">
        <w:rPr>
          <w:b w:val="0"/>
          <w:noProof/>
        </w:rPr>
        <w:t>injection cells reach the bottom of the chamber and after that no more cells suspended in the fluid are found.</w:t>
      </w:r>
      <w:bookmarkEnd w:id="555"/>
      <w:bookmarkEnd w:id="556"/>
    </w:p>
    <w:p w:rsidR="005D1052" w:rsidRDefault="005D1052" w:rsidP="005D1052">
      <w:pPr>
        <w:pStyle w:val="Heading3"/>
      </w:pPr>
      <w:bookmarkStart w:id="557" w:name="_Toc310605643"/>
      <w:bookmarkStart w:id="558" w:name="_Toc310605938"/>
      <w:bookmarkStart w:id="559" w:name="_Toc440823284"/>
      <w:r w:rsidRPr="00EC316F">
        <w:t>Dynamic cell seeding simulation</w:t>
      </w:r>
      <w:r>
        <w:t>s</w:t>
      </w:r>
      <w:bookmarkEnd w:id="557"/>
      <w:bookmarkEnd w:id="558"/>
      <w:bookmarkEnd w:id="559"/>
    </w:p>
    <w:p w:rsidR="005D1052" w:rsidRPr="00EC316F" w:rsidRDefault="005D1052" w:rsidP="005D1052">
      <w:pPr>
        <w:pStyle w:val="Heading4"/>
      </w:pPr>
      <w:bookmarkStart w:id="560" w:name="_Toc440823285"/>
      <w:r w:rsidRPr="00EC316F">
        <w:t>Fluid</w:t>
      </w:r>
      <w:r>
        <w:t xml:space="preserve"> flow</w:t>
      </w:r>
      <w:r w:rsidRPr="00EC316F">
        <w:t xml:space="preserve"> velocities</w:t>
      </w:r>
      <w:bookmarkEnd w:id="560"/>
    </w:p>
    <w:p w:rsidR="005D1052" w:rsidRDefault="005D1052" w:rsidP="005D1052">
      <w:r>
        <w:t>12</w:t>
      </w:r>
      <w:r w:rsidRPr="005F5121">
        <w:t>, 120, and 600 µl/min were imposed at the inlet</w:t>
      </w:r>
      <w:r>
        <w:t xml:space="preserve"> surface corresponding to 1, 10 and 50 mm/s of average velocity respectively.</w:t>
      </w:r>
      <w:r w:rsidRPr="005F5121">
        <w:t xml:space="preserve"> </w:t>
      </w:r>
      <w:r>
        <w:t xml:space="preserve">The fluid velocity is reduced two orders of magnitude from the inlet to the scaffold entrance since the fluid pass through an area hundred times larger than the inlet surface one. In all cases, the fluid streamlines pass homogeneously through the scaffold microstructure and the average velocity inside the scaffold pores is twice the average fluid velocity at the scaffold entrance (see </w:t>
      </w:r>
      <w:r>
        <w:rPr>
          <w:highlight w:val="yellow"/>
        </w:rPr>
        <w:fldChar w:fldCharType="begin"/>
      </w:r>
      <w:r>
        <w:instrText xml:space="preserve"> REF _Ref312183162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26</w:t>
      </w:r>
      <w:r>
        <w:rPr>
          <w:highlight w:val="yellow"/>
        </w:rPr>
        <w:fldChar w:fldCharType="end"/>
      </w:r>
      <w:r>
        <w:t>).</w:t>
      </w:r>
    </w:p>
    <w:p w:rsidR="005D1052" w:rsidRDefault="005D1052" w:rsidP="005D1052">
      <w:pPr>
        <w:pStyle w:val="Heading4"/>
      </w:pPr>
      <w:bookmarkStart w:id="561" w:name="_Toc440823286"/>
      <w:r>
        <w:t xml:space="preserve">Discrete phase results without considering </w:t>
      </w:r>
      <w:r w:rsidRPr="00EC316F">
        <w:t>gravity</w:t>
      </w:r>
      <w:bookmarkEnd w:id="561"/>
    </w:p>
    <w:p w:rsidR="005D1052" w:rsidRPr="00EC316F" w:rsidRDefault="005D1052" w:rsidP="005D1052">
      <w:pPr>
        <w:pStyle w:val="Heading5"/>
      </w:pPr>
      <w:bookmarkStart w:id="562" w:name="_Ref312169716"/>
      <w:bookmarkStart w:id="563" w:name="_Toc440823287"/>
      <w:r>
        <w:t>Cell motion</w:t>
      </w:r>
      <w:bookmarkEnd w:id="562"/>
      <w:bookmarkEnd w:id="563"/>
    </w:p>
    <w:p w:rsidR="005D1052" w:rsidRDefault="005D1052" w:rsidP="005D1052">
      <w:r w:rsidRPr="002D3699">
        <w:t>For the three flow rates</w:t>
      </w:r>
      <w:r>
        <w:t xml:space="preserve"> applied</w:t>
      </w:r>
      <w:r w:rsidRPr="002D3699">
        <w:t xml:space="preserve">, cells follow the fluid streamlines and their velocities are within the same values </w:t>
      </w:r>
      <w:r>
        <w:t>found for</w:t>
      </w:r>
      <w:r w:rsidRPr="002D3699">
        <w:t xml:space="preserve"> the fluid veloc</w:t>
      </w:r>
      <w:r>
        <w:t xml:space="preserve">ities (see </w:t>
      </w:r>
      <w:r>
        <w:rPr>
          <w:highlight w:val="yellow"/>
        </w:rPr>
        <w:fldChar w:fldCharType="begin"/>
      </w:r>
      <w:r>
        <w:instrText xml:space="preserve"> REF _Ref312183216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27</w:t>
      </w:r>
      <w:r>
        <w:rPr>
          <w:highlight w:val="yellow"/>
        </w:rPr>
        <w:fldChar w:fldCharType="end"/>
      </w:r>
      <w:r>
        <w:t>).</w:t>
      </w:r>
    </w:p>
    <w:p w:rsidR="005D1052" w:rsidRPr="00FA2BB9" w:rsidRDefault="005D1052" w:rsidP="005D1052">
      <w:r>
        <w:lastRenderedPageBreak/>
        <w:t xml:space="preserve">The </w:t>
      </w:r>
      <w:r w:rsidRPr="00A00C1E">
        <w:t xml:space="preserve">characteristic time of cells is the time </w:t>
      </w:r>
      <w:r>
        <w:t>required for them</w:t>
      </w:r>
      <w:r w:rsidRPr="00A00C1E">
        <w:t xml:space="preserve"> to respond to changes in </w:t>
      </w:r>
      <w:r>
        <w:t>the fluid flow</w:t>
      </w:r>
      <w:r w:rsidRPr="00A00C1E">
        <w:t xml:space="preserve"> and </w:t>
      </w:r>
      <w:r>
        <w:t xml:space="preserve">it </w:t>
      </w:r>
      <w:r w:rsidRPr="00A00C1E">
        <w:t xml:space="preserve">is defined by </w:t>
      </w:r>
      <w:r w:rsidRPr="00FA2BB9">
        <w:t xml:space="preserve">equation </w:t>
      </w:r>
      <w:r>
        <w:t>5-1</w:t>
      </w:r>
      <w:r w:rsidRPr="00FA2BB9">
        <w:t>:</w:t>
      </w:r>
    </w:p>
    <w:p w:rsidR="005D1052" w:rsidRDefault="005D1052" w:rsidP="005D1052">
      <w:pPr>
        <w:pStyle w:val="Caption"/>
        <w:jc w:val="right"/>
      </w:pPr>
      <w:bookmarkStart w:id="564" w:name="_Ref312190363"/>
      <w:r>
        <w:rPr>
          <w:noProof/>
          <w:position w:val="-32"/>
          <w:lang w:eastAsia="en-GB"/>
        </w:rPr>
        <w:drawing>
          <wp:inline distT="0" distB="0" distL="0" distR="0" wp14:anchorId="65FB2BBA" wp14:editId="6FC96452">
            <wp:extent cx="673100" cy="482600"/>
            <wp:effectExtent l="0" t="0" r="12700" b="0"/>
            <wp:docPr id="820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73100" cy="482600"/>
                    </a:xfrm>
                    <a:prstGeom prst="rect">
                      <a:avLst/>
                    </a:prstGeom>
                    <a:noFill/>
                    <a:ln>
                      <a:noFill/>
                    </a:ln>
                  </pic:spPr>
                </pic:pic>
              </a:graphicData>
            </a:graphic>
          </wp:inline>
        </w:drawing>
      </w:r>
      <w:bookmarkStart w:id="565" w:name="_Toc310621726"/>
      <w:r>
        <w:tab/>
      </w:r>
      <w:r>
        <w:tab/>
      </w:r>
      <w:r>
        <w:tab/>
      </w:r>
      <w:r>
        <w:tab/>
      </w:r>
      <w:r>
        <w:tab/>
        <w:t>[</w:t>
      </w:r>
      <w:fldSimple w:instr=" STYLEREF 1 \s ">
        <w:r w:rsidR="00924C7D">
          <w:rPr>
            <w:noProof/>
          </w:rPr>
          <w:t>5</w:t>
        </w:r>
      </w:fldSimple>
      <w:r>
        <w:noBreakHyphen/>
      </w:r>
      <w:fldSimple w:instr=" SEQ Equation \* ARABIC \s 1 ">
        <w:r w:rsidR="00924C7D">
          <w:rPr>
            <w:noProof/>
          </w:rPr>
          <w:t>1</w:t>
        </w:r>
      </w:fldSimple>
      <w:bookmarkEnd w:id="564"/>
      <w:r>
        <w:t>]</w:t>
      </w:r>
      <w:bookmarkEnd w:id="565"/>
    </w:p>
    <w:p w:rsidR="005D1052" w:rsidRDefault="005D1052" w:rsidP="005D1052"/>
    <w:p w:rsidR="005D1052" w:rsidRDefault="005D1052" w:rsidP="005D1052">
      <w:pPr>
        <w:keepNext/>
        <w:spacing w:after="0"/>
        <w:ind w:firstLine="0"/>
        <w:jc w:val="center"/>
      </w:pPr>
      <w:r>
        <w:rPr>
          <w:noProof/>
          <w:lang w:eastAsia="en-GB"/>
        </w:rPr>
        <w:drawing>
          <wp:inline distT="0" distB="0" distL="0" distR="0" wp14:anchorId="1C1A9142" wp14:editId="42434101">
            <wp:extent cx="5462814" cy="4442604"/>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lines.png"/>
                    <pic:cNvPicPr/>
                  </pic:nvPicPr>
                  <pic:blipFill rotWithShape="1">
                    <a:blip r:embed="rId151" cstate="print">
                      <a:extLst>
                        <a:ext uri="{28A0092B-C50C-407E-A947-70E740481C1C}">
                          <a14:useLocalDpi xmlns:a14="http://schemas.microsoft.com/office/drawing/2010/main" val="0"/>
                        </a:ext>
                      </a:extLst>
                    </a:blip>
                    <a:srcRect l="1542" r="2619"/>
                    <a:stretch/>
                  </pic:blipFill>
                  <pic:spPr bwMode="auto">
                    <a:xfrm>
                      <a:off x="0" y="0"/>
                      <a:ext cx="5463045" cy="4442792"/>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0602B7" w:rsidRDefault="005D1052" w:rsidP="005D1052">
      <w:pPr>
        <w:pStyle w:val="Caption"/>
      </w:pPr>
      <w:bookmarkStart w:id="566" w:name="_Ref312183162"/>
      <w:bookmarkStart w:id="567" w:name="_Toc438590867"/>
      <w:bookmarkStart w:id="568" w:name="_Toc445718873"/>
      <w:r>
        <w:t xml:space="preserve">Figure </w:t>
      </w:r>
      <w:fldSimple w:instr=" STYLEREF 1 \s ">
        <w:r w:rsidR="00924C7D">
          <w:rPr>
            <w:noProof/>
          </w:rPr>
          <w:t>5</w:t>
        </w:r>
      </w:fldSimple>
      <w:r>
        <w:noBreakHyphen/>
      </w:r>
      <w:fldSimple w:instr=" SEQ Figure \* ARABIC \s 1 ">
        <w:r w:rsidR="00924C7D">
          <w:rPr>
            <w:noProof/>
          </w:rPr>
          <w:t>26</w:t>
        </w:r>
      </w:fldSimple>
      <w:bookmarkEnd w:id="566"/>
      <w:r>
        <w:t xml:space="preserve"> </w:t>
      </w:r>
      <w:r w:rsidRPr="00E52A2E">
        <w:rPr>
          <w:b w:val="0"/>
        </w:rPr>
        <w:t>Fluid streamlines for the flow rates 12,</w:t>
      </w:r>
      <w:r>
        <w:rPr>
          <w:b w:val="0"/>
        </w:rPr>
        <w:t xml:space="preserve"> </w:t>
      </w:r>
      <w:r w:rsidRPr="00E52A2E">
        <w:rPr>
          <w:b w:val="0"/>
        </w:rPr>
        <w:t>120 and 600 µl/min throughout the entire microfluidic system (left) and inside the cylinder and scaffold pores (right).</w:t>
      </w:r>
      <w:bookmarkEnd w:id="567"/>
      <w:bookmarkEnd w:id="568"/>
    </w:p>
    <w:p w:rsidR="005D1052" w:rsidRPr="00DC304E" w:rsidRDefault="005D1052" w:rsidP="005D1052">
      <w:r w:rsidRPr="00A00C1E">
        <w:t xml:space="preserve">where </w:t>
      </w:r>
      <w:r w:rsidRPr="00A00C1E">
        <w:rPr>
          <w:rFonts w:ascii="Times New Roman" w:hAnsi="Times New Roman" w:cs="Times New Roman"/>
          <w:i/>
        </w:rPr>
        <w:t>ρ</w:t>
      </w:r>
      <w:r w:rsidRPr="00A00C1E">
        <w:rPr>
          <w:i/>
          <w:vertAlign w:val="subscript"/>
        </w:rPr>
        <w:t>c</w:t>
      </w:r>
      <w:r w:rsidRPr="00A00C1E">
        <w:rPr>
          <w:vertAlign w:val="subscript"/>
        </w:rPr>
        <w:t xml:space="preserve"> </w:t>
      </w:r>
      <w:r w:rsidRPr="00A00C1E">
        <w:t xml:space="preserve">is the cell density, </w:t>
      </w:r>
      <w:r w:rsidRPr="00A00C1E">
        <w:rPr>
          <w:i/>
        </w:rPr>
        <w:t>D</w:t>
      </w:r>
      <w:r w:rsidRPr="00A00C1E">
        <w:t xml:space="preserve"> is the cell diameter and </w:t>
      </w:r>
      <w:r w:rsidRPr="00A00C1E">
        <w:rPr>
          <w:rFonts w:ascii="Times New Roman" w:hAnsi="Times New Roman" w:cs="Times New Roman"/>
          <w:i/>
        </w:rPr>
        <w:t>µ</w:t>
      </w:r>
      <w:r w:rsidRPr="00A00C1E">
        <w:rPr>
          <w:i/>
          <w:vertAlign w:val="subscript"/>
        </w:rPr>
        <w:t>f</w:t>
      </w:r>
      <w:r w:rsidRPr="00A00C1E">
        <w:rPr>
          <w:vertAlign w:val="subscript"/>
        </w:rPr>
        <w:t xml:space="preserve"> </w:t>
      </w:r>
      <w:r w:rsidRPr="00A00C1E">
        <w:t>is the dynamic viscosity</w:t>
      </w:r>
      <w:r>
        <w:t xml:space="preserve"> </w:t>
      </w:r>
      <w:r w:rsidRPr="00DC304E">
        <w:t xml:space="preserve">of the fluid. In this study cell time response is 6.3 </w:t>
      </w:r>
      <w:r w:rsidRPr="00DC304E">
        <w:rPr>
          <w:rFonts w:ascii="Times New Roman" w:hAnsi="Times New Roman" w:cs="Times New Roman"/>
        </w:rPr>
        <w:t>µ</w:t>
      </w:r>
      <w:r w:rsidRPr="00DC304E">
        <w:t xml:space="preserve">s. The </w:t>
      </w:r>
      <w:r w:rsidRPr="00DC304E">
        <w:rPr>
          <w:i/>
        </w:rPr>
        <w:t>Stokes number</w:t>
      </w:r>
      <w:r w:rsidRPr="00DC304E">
        <w:t xml:space="preserve"> is defined in </w:t>
      </w:r>
      <w:r w:rsidRPr="00DC304E">
        <w:lastRenderedPageBreak/>
        <w:t xml:space="preserve">equation </w:t>
      </w:r>
      <w:r>
        <w:t xml:space="preserve">5-2 and it is a non dimensional parameter that relates the </w:t>
      </w:r>
      <w:r w:rsidRPr="0032587C">
        <w:rPr>
          <w:i/>
        </w:rPr>
        <w:t>t</w:t>
      </w:r>
      <w:r w:rsidRPr="0032587C">
        <w:rPr>
          <w:i/>
          <w:vertAlign w:val="subscript"/>
        </w:rPr>
        <w:t>c</w:t>
      </w:r>
      <w:r>
        <w:t xml:space="preserve"> to the characteristic time associated with the flow field </w:t>
      </w:r>
      <w:r w:rsidRPr="0032587C">
        <w:rPr>
          <w:i/>
        </w:rPr>
        <w:t>t</w:t>
      </w:r>
      <w:r w:rsidRPr="0032587C">
        <w:rPr>
          <w:i/>
          <w:vertAlign w:val="subscript"/>
        </w:rPr>
        <w:t>f</w:t>
      </w:r>
      <w:r>
        <w:t xml:space="preserve">. If </w:t>
      </w:r>
      <w:r w:rsidRPr="00A428F2">
        <w:rPr>
          <w:i/>
        </w:rPr>
        <w:t>Stk</w:t>
      </w:r>
      <w:r w:rsidRPr="004600BE">
        <w:t>&lt;&lt;1</w:t>
      </w:r>
      <w:r>
        <w:t xml:space="preserve">, cell time response is less than the flow field characteristic time so cells will follow the fluid flow. On the other hand if </w:t>
      </w:r>
      <w:r w:rsidRPr="00A428F2">
        <w:rPr>
          <w:i/>
        </w:rPr>
        <w:t>Stk</w:t>
      </w:r>
      <w:r>
        <w:t xml:space="preserve">&gt;&gt;1, inertia dominates cell motion as cells will not have time to respond to fluid velocity variations so they will detach from the flow. </w:t>
      </w:r>
      <w:r w:rsidRPr="0032587C">
        <w:rPr>
          <w:i/>
        </w:rPr>
        <w:t>t</w:t>
      </w:r>
      <w:r w:rsidRPr="0032587C">
        <w:rPr>
          <w:i/>
          <w:vertAlign w:val="subscript"/>
        </w:rPr>
        <w:t>f</w:t>
      </w:r>
      <w:r>
        <w:t xml:space="preserve"> is described in equation 5-3</w:t>
      </w:r>
      <w:r w:rsidRPr="00DC304E">
        <w:t xml:space="preserve"> and</w:t>
      </w:r>
      <w:r>
        <w:t xml:space="preserve"> it depends on the geometry of the obstacle </w:t>
      </w:r>
      <w:r w:rsidRPr="0032587C">
        <w:rPr>
          <w:i/>
        </w:rPr>
        <w:t>L</w:t>
      </w:r>
      <w:r w:rsidRPr="0032587C">
        <w:rPr>
          <w:i/>
          <w:vertAlign w:val="subscript"/>
        </w:rPr>
        <w:t>o</w:t>
      </w:r>
      <w:r>
        <w:t xml:space="preserve"> and the flow velocity far from the obstacle </w:t>
      </w:r>
      <w:r w:rsidRPr="0032587C">
        <w:rPr>
          <w:i/>
        </w:rPr>
        <w:t>U</w:t>
      </w:r>
      <w:r w:rsidRPr="0032587C">
        <w:rPr>
          <w:i/>
          <w:vertAlign w:val="subscript"/>
        </w:rPr>
        <w:t>o</w:t>
      </w:r>
      <w:r>
        <w:rPr>
          <w:i/>
          <w:vertAlign w:val="subscript"/>
        </w:rPr>
        <w:t>.</w:t>
      </w:r>
      <w:r>
        <w:t xml:space="preserve"> In this case, </w:t>
      </w:r>
      <w:r w:rsidRPr="0032587C">
        <w:rPr>
          <w:i/>
        </w:rPr>
        <w:t>t</w:t>
      </w:r>
      <w:r w:rsidRPr="0032587C">
        <w:rPr>
          <w:i/>
          <w:vertAlign w:val="subscript"/>
        </w:rPr>
        <w:t>f</w:t>
      </w:r>
      <w:r>
        <w:t xml:space="preserve"> will </w:t>
      </w:r>
      <w:r w:rsidRPr="008C3993">
        <w:t>vary throughout the seeding chamber</w:t>
      </w:r>
      <w:r>
        <w:t xml:space="preserve">. </w:t>
      </w:r>
    </w:p>
    <w:p w:rsidR="005D1052" w:rsidRPr="00A00C1E" w:rsidRDefault="005D1052" w:rsidP="005D1052">
      <w:pPr>
        <w:pStyle w:val="Caption"/>
        <w:jc w:val="right"/>
      </w:pPr>
      <w:bookmarkStart w:id="569" w:name="_Ref312190913"/>
      <w:r>
        <w:rPr>
          <w:rFonts w:eastAsiaTheme="minorEastAsia"/>
          <w:noProof/>
          <w:position w:val="-32"/>
          <w:lang w:eastAsia="en-GB"/>
        </w:rPr>
        <w:drawing>
          <wp:inline distT="0" distB="0" distL="0" distR="0" wp14:anchorId="2921ADC3" wp14:editId="0C13E8FC">
            <wp:extent cx="584200" cy="482600"/>
            <wp:effectExtent l="0" t="0" r="0" b="0"/>
            <wp:docPr id="820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84200" cy="482600"/>
                    </a:xfrm>
                    <a:prstGeom prst="rect">
                      <a:avLst/>
                    </a:prstGeom>
                    <a:noFill/>
                    <a:ln>
                      <a:noFill/>
                    </a:ln>
                  </pic:spPr>
                </pic:pic>
              </a:graphicData>
            </a:graphic>
          </wp:inline>
        </w:drawing>
      </w:r>
      <w:bookmarkStart w:id="570" w:name="_Toc310621727"/>
      <w:r>
        <w:t xml:space="preserve"> </w:t>
      </w:r>
      <w:r>
        <w:tab/>
      </w:r>
      <w:r>
        <w:tab/>
      </w:r>
      <w:r>
        <w:tab/>
      </w:r>
      <w:r>
        <w:tab/>
      </w:r>
      <w:r>
        <w:tab/>
        <w:t>[</w:t>
      </w:r>
      <w:fldSimple w:instr=" STYLEREF 1 \s ">
        <w:r w:rsidR="00924C7D">
          <w:rPr>
            <w:noProof/>
          </w:rPr>
          <w:t>5</w:t>
        </w:r>
      </w:fldSimple>
      <w:r>
        <w:noBreakHyphen/>
      </w:r>
      <w:fldSimple w:instr=" SEQ Equation \* ARABIC \s 1 ">
        <w:r w:rsidR="00924C7D">
          <w:rPr>
            <w:noProof/>
          </w:rPr>
          <w:t>2</w:t>
        </w:r>
      </w:fldSimple>
      <w:bookmarkEnd w:id="569"/>
      <w:r>
        <w:rPr>
          <w:noProof/>
        </w:rPr>
        <w:t>]</w:t>
      </w:r>
      <w:r>
        <w:t xml:space="preserve"> </w:t>
      </w:r>
      <w:bookmarkEnd w:id="570"/>
    </w:p>
    <w:p w:rsidR="005D1052" w:rsidRDefault="005D1052" w:rsidP="005D1052">
      <w:pPr>
        <w:pStyle w:val="Caption"/>
        <w:jc w:val="right"/>
      </w:pPr>
      <w:bookmarkStart w:id="571" w:name="_Ref312190949"/>
      <w:r>
        <w:rPr>
          <w:noProof/>
          <w:position w:val="-30"/>
          <w:lang w:eastAsia="en-GB"/>
        </w:rPr>
        <w:drawing>
          <wp:inline distT="0" distB="0" distL="0" distR="0" wp14:anchorId="72DDC889" wp14:editId="41632A6D">
            <wp:extent cx="533400" cy="431800"/>
            <wp:effectExtent l="0" t="0" r="0" b="0"/>
            <wp:docPr id="82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33400" cy="431800"/>
                    </a:xfrm>
                    <a:prstGeom prst="rect">
                      <a:avLst/>
                    </a:prstGeom>
                    <a:noFill/>
                    <a:ln>
                      <a:noFill/>
                    </a:ln>
                  </pic:spPr>
                </pic:pic>
              </a:graphicData>
            </a:graphic>
          </wp:inline>
        </w:drawing>
      </w:r>
      <w:bookmarkStart w:id="572" w:name="_Toc310621728"/>
      <w:r>
        <w:t xml:space="preserve">   </w:t>
      </w:r>
      <w:r>
        <w:tab/>
      </w:r>
      <w:r>
        <w:tab/>
      </w:r>
      <w:r>
        <w:tab/>
      </w:r>
      <w:r>
        <w:tab/>
      </w:r>
      <w:r>
        <w:tab/>
        <w:t>[</w:t>
      </w:r>
      <w:fldSimple w:instr=" STYLEREF 1 \s ">
        <w:r w:rsidR="00924C7D">
          <w:rPr>
            <w:noProof/>
          </w:rPr>
          <w:t>5</w:t>
        </w:r>
      </w:fldSimple>
      <w:r>
        <w:noBreakHyphen/>
      </w:r>
      <w:fldSimple w:instr=" SEQ Equation \* ARABIC \s 1 ">
        <w:r w:rsidR="00924C7D">
          <w:rPr>
            <w:noProof/>
          </w:rPr>
          <w:t>3</w:t>
        </w:r>
      </w:fldSimple>
      <w:bookmarkEnd w:id="571"/>
      <w:r>
        <w:rPr>
          <w:noProof/>
        </w:rPr>
        <w:t>]</w:t>
      </w:r>
      <w:r>
        <w:t xml:space="preserve"> </w:t>
      </w:r>
      <w:bookmarkEnd w:id="572"/>
    </w:p>
    <w:p w:rsidR="005D1052" w:rsidRDefault="005D1052" w:rsidP="005D1052">
      <w:pPr>
        <w:rPr>
          <w:rFonts w:eastAsiaTheme="minorEastAsia"/>
        </w:rPr>
      </w:pPr>
      <w:r>
        <w:rPr>
          <w:rFonts w:eastAsiaTheme="minorEastAsia"/>
        </w:rPr>
        <w:t xml:space="preserve">The maximum </w:t>
      </w:r>
      <w:r w:rsidRPr="00243C71">
        <w:rPr>
          <w:rFonts w:eastAsiaTheme="minorEastAsia"/>
          <w:i/>
        </w:rPr>
        <w:t xml:space="preserve">Stk </w:t>
      </w:r>
      <w:r w:rsidRPr="00243C71">
        <w:rPr>
          <w:rFonts w:eastAsiaTheme="minorEastAsia"/>
        </w:rPr>
        <w:t>that</w:t>
      </w:r>
      <w:r w:rsidRPr="00243C71">
        <w:rPr>
          <w:rFonts w:eastAsiaTheme="minorEastAsia"/>
          <w:i/>
        </w:rPr>
        <w:t xml:space="preserve"> </w:t>
      </w:r>
      <w:r w:rsidRPr="00243C71">
        <w:rPr>
          <w:rFonts w:eastAsiaTheme="minorEastAsia"/>
        </w:rPr>
        <w:t xml:space="preserve">can be found in this study corresponds to the highest flow rate 600 </w:t>
      </w:r>
      <w:r w:rsidRPr="00243C71">
        <w:rPr>
          <w:rFonts w:ascii="Calibri" w:hAnsi="Calibri"/>
        </w:rPr>
        <w:t>μ</w:t>
      </w:r>
      <w:r w:rsidRPr="00243C71">
        <w:t>l/min when passing from region 2</w:t>
      </w:r>
      <w:r w:rsidRPr="00243C71">
        <w:rPr>
          <w:rFonts w:eastAsiaTheme="minorEastAsia"/>
        </w:rPr>
        <w:t xml:space="preserve"> to region 1 (regions shown in </w:t>
      </w:r>
      <w:r w:rsidRPr="00243C71">
        <w:rPr>
          <w:rFonts w:eastAsiaTheme="minorEastAsia"/>
        </w:rPr>
        <w:fldChar w:fldCharType="begin"/>
      </w:r>
      <w:r w:rsidRPr="00243C71">
        <w:rPr>
          <w:rFonts w:eastAsiaTheme="minorEastAsia"/>
        </w:rPr>
        <w:instrText xml:space="preserve"> REF _Ref312178830 \h </w:instrText>
      </w:r>
      <w:r w:rsidRPr="00243C71">
        <w:rPr>
          <w:rFonts w:eastAsiaTheme="minorEastAsia"/>
        </w:rPr>
      </w:r>
      <w:r w:rsidRPr="00243C71">
        <w:rPr>
          <w:rFonts w:eastAsiaTheme="minorEastAsia"/>
        </w:rPr>
        <w:fldChar w:fldCharType="separate"/>
      </w:r>
      <w:r w:rsidR="00924C7D">
        <w:t xml:space="preserve">Figure </w:t>
      </w:r>
      <w:r w:rsidR="00924C7D">
        <w:rPr>
          <w:noProof/>
        </w:rPr>
        <w:t>5</w:t>
      </w:r>
      <w:r w:rsidR="00924C7D">
        <w:noBreakHyphen/>
      </w:r>
      <w:r w:rsidR="00924C7D">
        <w:rPr>
          <w:noProof/>
        </w:rPr>
        <w:t>4</w:t>
      </w:r>
      <w:r w:rsidRPr="00243C71">
        <w:rPr>
          <w:rFonts w:eastAsiaTheme="minorEastAsia"/>
        </w:rPr>
        <w:fldChar w:fldCharType="end"/>
      </w:r>
      <w:r w:rsidRPr="00243C71">
        <w:rPr>
          <w:rFonts w:eastAsiaTheme="minorEastAsia"/>
        </w:rPr>
        <w:t>)</w:t>
      </w:r>
      <w:r>
        <w:rPr>
          <w:rFonts w:eastAsiaTheme="minorEastAsia"/>
        </w:rPr>
        <w:t>,</w:t>
      </w:r>
      <w:r w:rsidRPr="00243C71">
        <w:rPr>
          <w:rFonts w:eastAsiaTheme="minorEastAsia"/>
        </w:rPr>
        <w:t xml:space="preserve"> where </w:t>
      </w:r>
      <w:r w:rsidRPr="00243C71">
        <w:rPr>
          <w:rFonts w:eastAsiaTheme="minorEastAsia"/>
          <w:i/>
        </w:rPr>
        <w:t>U</w:t>
      </w:r>
      <w:r w:rsidRPr="00243C71">
        <w:rPr>
          <w:rFonts w:eastAsiaTheme="minorEastAsia"/>
          <w:i/>
          <w:vertAlign w:val="subscript"/>
        </w:rPr>
        <w:t>o</w:t>
      </w:r>
      <w:r w:rsidRPr="00243C71">
        <w:rPr>
          <w:rFonts w:eastAsiaTheme="minorEastAsia"/>
        </w:rPr>
        <w:t xml:space="preserve"> is 50 mm</w:t>
      </w:r>
      <w:r>
        <w:rPr>
          <w:rFonts w:eastAsiaTheme="minorEastAsia"/>
        </w:rPr>
        <w:t xml:space="preserve">/s and </w:t>
      </w:r>
      <w:r w:rsidRPr="0032587C">
        <w:rPr>
          <w:rFonts w:eastAsiaTheme="minorEastAsia"/>
          <w:i/>
        </w:rPr>
        <w:t>L</w:t>
      </w:r>
      <w:r w:rsidRPr="0032587C">
        <w:rPr>
          <w:rFonts w:eastAsiaTheme="minorEastAsia"/>
          <w:i/>
          <w:vertAlign w:val="subscript"/>
        </w:rPr>
        <w:t>o</w:t>
      </w:r>
      <w:r>
        <w:rPr>
          <w:rFonts w:eastAsiaTheme="minorEastAsia"/>
        </w:rPr>
        <w:t xml:space="preserve"> is 5 mm. Thus, </w:t>
      </w:r>
      <w:r w:rsidRPr="00A428F2">
        <w:rPr>
          <w:rFonts w:eastAsiaTheme="minorEastAsia"/>
          <w:i/>
        </w:rPr>
        <w:t>Stk</w:t>
      </w:r>
      <w:r>
        <w:rPr>
          <w:rFonts w:eastAsiaTheme="minorEastAsia"/>
        </w:rPr>
        <w:t xml:space="preserve"> corresponds to 0.000063 and cells will follow the fluid streamlines for the three flow rates investigated.</w:t>
      </w:r>
    </w:p>
    <w:p w:rsidR="005D1052" w:rsidRDefault="005D1052" w:rsidP="005D1052">
      <w:r>
        <w:t xml:space="preserve">Cells are injected during the first half period when </w:t>
      </w:r>
      <w:r w:rsidRPr="00D40C4A">
        <w:t>500</w:t>
      </w:r>
      <w:r>
        <w:t xml:space="preserve"> µl of media is dispensed. Despite the fact that cells are injected over time, almost all cells reach the outlet before reversing the fluid flow for the three flow rates applied. For instance, when applying 12 µl/min, 2,500 seconds are required to dispense 500 µl. Cells take around 1,250 seconds travelling from the inlet to the outlet, therefore the last cells injected can travel 1,250 seconds before the direction of the flow is </w:t>
      </w:r>
      <w:r w:rsidRPr="00E52A2E">
        <w:t xml:space="preserve">changed (see </w:t>
      </w:r>
      <w:r>
        <w:fldChar w:fldCharType="begin"/>
      </w:r>
      <w:r>
        <w:instrText xml:space="preserve"> REF _Ref312181726 \h </w:instrText>
      </w:r>
      <w:r>
        <w:fldChar w:fldCharType="separate"/>
      </w:r>
      <w:r w:rsidR="00924C7D">
        <w:t xml:space="preserve">Figure </w:t>
      </w:r>
      <w:r w:rsidR="00924C7D">
        <w:rPr>
          <w:noProof/>
        </w:rPr>
        <w:t>5</w:t>
      </w:r>
      <w:r w:rsidR="00924C7D">
        <w:noBreakHyphen/>
      </w:r>
      <w:r w:rsidR="00924C7D">
        <w:rPr>
          <w:noProof/>
        </w:rPr>
        <w:t>28</w:t>
      </w:r>
      <w:r>
        <w:fldChar w:fldCharType="end"/>
      </w:r>
      <w:r w:rsidRPr="00E52A2E">
        <w:t>).</w:t>
      </w:r>
    </w:p>
    <w:p w:rsidR="005D1052" w:rsidRDefault="005D1052" w:rsidP="005D1052">
      <w:pPr>
        <w:pStyle w:val="Heading5"/>
      </w:pPr>
      <w:bookmarkStart w:id="573" w:name="_Toc440823288"/>
      <w:r>
        <w:t xml:space="preserve">Cell deposition </w:t>
      </w:r>
      <w:bookmarkEnd w:id="573"/>
    </w:p>
    <w:p w:rsidR="005D1052" w:rsidRDefault="005D1052" w:rsidP="005D1052">
      <w:r>
        <w:t xml:space="preserve">In principle, the higher the flow rate the more probable is to find secondary flow which moves away from the main flow stream. In cell seeding, secondary flow can be the mechanism that carries cells towards the walls promoting cell deposition. This can </w:t>
      </w:r>
      <w:r>
        <w:lastRenderedPageBreak/>
        <w:t>especially occur when there are sudden changes in the geometry along the fluid path so the inertia of the fluid leads to secondary flow.</w:t>
      </w:r>
    </w:p>
    <w:p w:rsidR="005D1052" w:rsidRDefault="005D1052" w:rsidP="005D1052"/>
    <w:p w:rsidR="005D1052" w:rsidRDefault="005D1052" w:rsidP="005D1052"/>
    <w:p w:rsidR="005D1052" w:rsidRPr="007774D2" w:rsidRDefault="005D1052" w:rsidP="005D1052">
      <w:pPr>
        <w:ind w:firstLine="0"/>
        <w:rPr>
          <w:b/>
        </w:rPr>
      </w:pPr>
      <w:r>
        <w:rPr>
          <w:b/>
          <w:noProof/>
          <w:lang w:eastAsia="en-GB"/>
        </w:rPr>
        <w:drawing>
          <wp:inline distT="0" distB="0" distL="0" distR="0" wp14:anchorId="145F7EC7" wp14:editId="2E8F5057">
            <wp:extent cx="5464160" cy="4895850"/>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pathnogravity.png"/>
                    <pic:cNvPicPr/>
                  </pic:nvPicPr>
                  <pic:blipFill rotWithShape="1">
                    <a:blip r:embed="rId154" cstate="print">
                      <a:extLst>
                        <a:ext uri="{28A0092B-C50C-407E-A947-70E740481C1C}">
                          <a14:useLocalDpi xmlns:a14="http://schemas.microsoft.com/office/drawing/2010/main" val="0"/>
                        </a:ext>
                      </a:extLst>
                    </a:blip>
                    <a:srcRect l="2216"/>
                    <a:stretch/>
                  </pic:blipFill>
                  <pic:spPr bwMode="auto">
                    <a:xfrm>
                      <a:off x="0" y="0"/>
                      <a:ext cx="5471816" cy="4902710"/>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rPr>
      </w:pPr>
      <w:bookmarkStart w:id="574" w:name="_Ref312183216"/>
      <w:bookmarkStart w:id="575" w:name="_Toc438590868"/>
      <w:bookmarkStart w:id="576" w:name="_Toc445718874"/>
      <w:r>
        <w:t xml:space="preserve">Figure </w:t>
      </w:r>
      <w:fldSimple w:instr=" STYLEREF 1 \s ">
        <w:r w:rsidR="00924C7D">
          <w:rPr>
            <w:noProof/>
          </w:rPr>
          <w:t>5</w:t>
        </w:r>
      </w:fldSimple>
      <w:r>
        <w:noBreakHyphen/>
      </w:r>
      <w:fldSimple w:instr=" SEQ Figure \* ARABIC \s 1 ">
        <w:r w:rsidR="00924C7D">
          <w:rPr>
            <w:noProof/>
          </w:rPr>
          <w:t>27</w:t>
        </w:r>
      </w:fldSimple>
      <w:bookmarkEnd w:id="574"/>
      <w:r>
        <w:rPr>
          <w:noProof/>
        </w:rPr>
        <w:t xml:space="preserve"> </w:t>
      </w:r>
      <w:r w:rsidRPr="00E52A2E">
        <w:rPr>
          <w:b w:val="0"/>
        </w:rPr>
        <w:t>Cell path of one injection of cells released from the inlet surface for the flow rates 12, 120 and 600 µl/min along the entire microfluidic system (left) and inside the cylinder and scaffold pores (right). Cell path is coloured by cell velocity values.</w:t>
      </w:r>
      <w:bookmarkEnd w:id="575"/>
      <w:bookmarkEnd w:id="576"/>
    </w:p>
    <w:p w:rsidR="005D1052" w:rsidRDefault="005D1052" w:rsidP="005D1052">
      <w:r>
        <w:t xml:space="preserve">Two hours cell seeding was simulated for </w:t>
      </w:r>
      <w:r w:rsidRPr="00DE5870">
        <w:t>12,</w:t>
      </w:r>
      <w:r>
        <w:t xml:space="preserve"> </w:t>
      </w:r>
      <w:r w:rsidRPr="00DE5870">
        <w:t xml:space="preserve">120 </w:t>
      </w:r>
      <w:r w:rsidRPr="00211973">
        <w:t>and 600 µl/min</w:t>
      </w:r>
      <w:r>
        <w:t xml:space="preserve"> flow rate as performed in the laboratory experiments. It is noteworthy that the three flow rates </w:t>
      </w:r>
      <w:r>
        <w:lastRenderedPageBreak/>
        <w:t xml:space="preserve">cannot be compared in a fair manner since during 2 hours experiments each flow rate results in a different number of cycles. Therefore, cells do not pass by the scaffold and </w:t>
      </w:r>
      <w:r w:rsidRPr="00211973">
        <w:t>channels the same number of times. 600 µl/min is the highest flow rate that results in 144 cycles during the 2 hours experiment as less time is required to dispensed 500 µl than for 12 and 120 µl/min flow rates</w:t>
      </w:r>
      <w:r>
        <w:t>, which result in 3 and 28 cycles respectively.</w:t>
      </w:r>
    </w:p>
    <w:p w:rsidR="005D1052" w:rsidRDefault="005D1052" w:rsidP="005D1052">
      <w:r>
        <w:t xml:space="preserve">In addition to the fact </w:t>
      </w:r>
      <w:r w:rsidRPr="00211973">
        <w:t>that for 600 µl/min there is more probability for cells to attach to the scaffold as cells pass more times through it, high cell deposition is also expected as it i</w:t>
      </w:r>
      <w:r>
        <w:t xml:space="preserve">s the flow rate with </w:t>
      </w:r>
      <w:r w:rsidRPr="00211973">
        <w:t xml:space="preserve">the strongest secondary flow. However, cell deposition is higher on scaffold </w:t>
      </w:r>
      <w:r>
        <w:t xml:space="preserve">and </w:t>
      </w:r>
      <w:r w:rsidRPr="00211973">
        <w:t xml:space="preserve">Part 3 walls (Part 3 defined in </w:t>
      </w:r>
      <w:r w:rsidRPr="00211973">
        <w:rPr>
          <w:highlight w:val="yellow"/>
        </w:rPr>
        <w:fldChar w:fldCharType="begin"/>
      </w:r>
      <w:r w:rsidRPr="00211973">
        <w:instrText xml:space="preserve"> REF _Ref312191315 \h </w:instrText>
      </w:r>
      <w:r>
        <w:rPr>
          <w:highlight w:val="yellow"/>
        </w:rPr>
        <w:instrText xml:space="preserve"> \* MERGEFORMAT </w:instrText>
      </w:r>
      <w:r w:rsidRPr="00211973">
        <w:rPr>
          <w:highlight w:val="yellow"/>
        </w:rPr>
      </w:r>
      <w:r w:rsidRPr="00211973">
        <w:rPr>
          <w:highlight w:val="yellow"/>
        </w:rPr>
        <w:fldChar w:fldCharType="separate"/>
      </w:r>
      <w:r w:rsidR="00924C7D">
        <w:t>Figure 5</w:t>
      </w:r>
      <w:r w:rsidR="00924C7D">
        <w:noBreakHyphen/>
        <w:t>29</w:t>
      </w:r>
      <w:r w:rsidRPr="00211973">
        <w:rPr>
          <w:highlight w:val="yellow"/>
        </w:rPr>
        <w:fldChar w:fldCharType="end"/>
      </w:r>
      <w:r w:rsidRPr="00211973">
        <w:t xml:space="preserve">) for 120 µl/min flow rate as shown in </w:t>
      </w:r>
      <w:r w:rsidRPr="00211973">
        <w:fldChar w:fldCharType="begin"/>
      </w:r>
      <w:r w:rsidRPr="00211973">
        <w:instrText xml:space="preserve"> REF _Ref312191456 \h </w:instrText>
      </w:r>
      <w:r>
        <w:instrText xml:space="preserve"> \* MERGEFORMAT </w:instrText>
      </w:r>
      <w:r w:rsidRPr="00211973">
        <w:fldChar w:fldCharType="separate"/>
      </w:r>
      <w:r w:rsidR="00924C7D">
        <w:t>Figure 5</w:t>
      </w:r>
      <w:r w:rsidR="00924C7D">
        <w:noBreakHyphen/>
        <w:t>30</w:t>
      </w:r>
      <w:r w:rsidRPr="00211973">
        <w:fldChar w:fldCharType="end"/>
      </w:r>
      <w:r w:rsidRPr="00211973">
        <w:t>. The reason why cell deposition does not increase with higher flow rate in this particular setup is exp</w:t>
      </w:r>
      <w:r>
        <w:t xml:space="preserve">lained in the following section </w:t>
      </w:r>
      <w:r>
        <w:fldChar w:fldCharType="begin"/>
      </w:r>
      <w:r>
        <w:instrText xml:space="preserve"> REF _Ref312193203 \r \h </w:instrText>
      </w:r>
      <w:r>
        <w:fldChar w:fldCharType="separate"/>
      </w:r>
      <w:r w:rsidR="00924C7D">
        <w:t>5.3.4.2.1</w:t>
      </w:r>
      <w:r>
        <w:fldChar w:fldCharType="end"/>
      </w:r>
      <w:r w:rsidRPr="00243C71">
        <w:t>.</w:t>
      </w:r>
      <w:r>
        <w:t xml:space="preserve"> Moreover, as observed in </w:t>
      </w:r>
      <w:r>
        <w:rPr>
          <w:highlight w:val="yellow"/>
        </w:rPr>
        <w:fldChar w:fldCharType="begin"/>
      </w:r>
      <w:r>
        <w:instrText xml:space="preserve"> REF _Ref312193252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32</w:t>
      </w:r>
      <w:r>
        <w:rPr>
          <w:highlight w:val="yellow"/>
        </w:rPr>
        <w:fldChar w:fldCharType="end"/>
      </w:r>
      <w:r>
        <w:t xml:space="preserve">, deposition rate is higher for 600 µl/min although it reaches a plateau around 15 minutes experiment and the total number of cells suspended in the fluid flow for 120 µl/min decreases below that plateau after 1.3 hours of cell seeding. For the case of 12 µl/min, where the flow reverses only twice and the secondary flow is weaker than in the other two cases, almost no cells are attached on the channel walls or scaffold surface (see </w:t>
      </w:r>
      <w:r>
        <w:rPr>
          <w:highlight w:val="yellow"/>
        </w:rPr>
        <w:fldChar w:fldCharType="begin"/>
      </w:r>
      <w:r>
        <w:instrText xml:space="preserve"> REF _Ref312193323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33</w:t>
      </w:r>
      <w:r>
        <w:rPr>
          <w:highlight w:val="yellow"/>
        </w:rPr>
        <w:fldChar w:fldCharType="end"/>
      </w:r>
      <w:r>
        <w:t>).</w:t>
      </w:r>
    </w:p>
    <w:p w:rsidR="005D1052" w:rsidRDefault="005D1052" w:rsidP="005D1052">
      <w:r>
        <w:t xml:space="preserve">The interest of this study is the efficiency of cell seeding on scaffold substrate. 120 µl/min is the flow rate that results in the highest efficiency although with a low value of 8.6% (see efficiency results in </w:t>
      </w:r>
      <w:r>
        <w:rPr>
          <w:highlight w:val="yellow"/>
        </w:rPr>
        <w:fldChar w:fldCharType="begin"/>
      </w:r>
      <w:r>
        <w:instrText xml:space="preserve"> REF _Ref312193352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31</w:t>
      </w:r>
      <w:r>
        <w:rPr>
          <w:highlight w:val="yellow"/>
        </w:rPr>
        <w:fldChar w:fldCharType="end"/>
      </w:r>
      <w:r>
        <w:t xml:space="preserve">). It is noteworthy that there are no preferable zones in the scaffold for cells to attach. Irregular distribution of cells is found for the three cases and in the case of 120 </w:t>
      </w:r>
      <w:r w:rsidRPr="00F1482F">
        <w:t xml:space="preserve">µl/min </w:t>
      </w:r>
      <w:r>
        <w:t>where more cells are attached, cells are found throughout the scaffold depth. This is contrary to the static seeding where cells were only found at the top layers.</w:t>
      </w:r>
    </w:p>
    <w:p w:rsidR="005D1052" w:rsidRDefault="005D1052" w:rsidP="005D1052">
      <w:pPr>
        <w:keepNext/>
        <w:ind w:firstLine="0"/>
        <w:jc w:val="center"/>
      </w:pPr>
    </w:p>
    <w:p w:rsidR="005D1052" w:rsidRDefault="005D1052" w:rsidP="005D1052">
      <w:pPr>
        <w:keepNext/>
        <w:ind w:firstLine="0"/>
        <w:jc w:val="center"/>
      </w:pPr>
      <w:r>
        <w:rPr>
          <w:b/>
          <w:noProof/>
          <w:lang w:eastAsia="en-GB"/>
        </w:rPr>
        <w:drawing>
          <wp:inline distT="0" distB="0" distL="0" distR="0" wp14:anchorId="4B09EE59" wp14:editId="5709B6E1">
            <wp:extent cx="5372100" cy="615758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cles_time_nogravity.png"/>
                    <pic:cNvPicPr/>
                  </pic:nvPicPr>
                  <pic:blipFill rotWithShape="1">
                    <a:blip r:embed="rId155" cstate="print">
                      <a:extLst>
                        <a:ext uri="{28A0092B-C50C-407E-A947-70E740481C1C}">
                          <a14:useLocalDpi xmlns:a14="http://schemas.microsoft.com/office/drawing/2010/main" val="0"/>
                        </a:ext>
                      </a:extLst>
                    </a:blip>
                    <a:srcRect r="3616"/>
                    <a:stretch/>
                  </pic:blipFill>
                  <pic:spPr bwMode="auto">
                    <a:xfrm>
                      <a:off x="0" y="0"/>
                      <a:ext cx="5381183" cy="6168000"/>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E52A2E" w:rsidRDefault="005D1052" w:rsidP="005D1052">
      <w:pPr>
        <w:pStyle w:val="Caption"/>
      </w:pPr>
      <w:bookmarkStart w:id="577" w:name="_Ref312181726"/>
      <w:bookmarkStart w:id="578" w:name="_Toc438590869"/>
      <w:bookmarkStart w:id="579" w:name="_Toc445718875"/>
      <w:r>
        <w:t xml:space="preserve">Figure </w:t>
      </w:r>
      <w:fldSimple w:instr=" STYLEREF 1 \s ">
        <w:r w:rsidR="00924C7D">
          <w:rPr>
            <w:noProof/>
          </w:rPr>
          <w:t>5</w:t>
        </w:r>
      </w:fldSimple>
      <w:r>
        <w:noBreakHyphen/>
      </w:r>
      <w:fldSimple w:instr=" SEQ Figure \* ARABIC \s 1 ">
        <w:r w:rsidR="00924C7D">
          <w:rPr>
            <w:noProof/>
          </w:rPr>
          <w:t>28</w:t>
        </w:r>
      </w:fldSimple>
      <w:bookmarkEnd w:id="577"/>
      <w:r>
        <w:rPr>
          <w:noProof/>
        </w:rPr>
        <w:t xml:space="preserve"> </w:t>
      </w:r>
      <w:r w:rsidRPr="00E52A2E">
        <w:rPr>
          <w:b w:val="0"/>
          <w:noProof/>
        </w:rPr>
        <w:t xml:space="preserve">Cell path of one injection of cells released from the inlet surface coloured by the time of the simulation. The maximum time plotted in the three cases is the time needed to dispense </w:t>
      </w:r>
      <w:r w:rsidRPr="00E52A2E">
        <w:rPr>
          <w:b w:val="0"/>
        </w:rPr>
        <w:t xml:space="preserve">500 </w:t>
      </w:r>
      <w:r w:rsidRPr="00E52A2E">
        <w:rPr>
          <w:rFonts w:cs="Times New Roman"/>
          <w:b w:val="0"/>
        </w:rPr>
        <w:t>µ</w:t>
      </w:r>
      <w:r w:rsidRPr="00E52A2E">
        <w:rPr>
          <w:b w:val="0"/>
        </w:rPr>
        <w:t>l of fluid for each flow rate.</w:t>
      </w:r>
      <w:bookmarkEnd w:id="578"/>
      <w:bookmarkEnd w:id="579"/>
    </w:p>
    <w:p w:rsidR="005D1052" w:rsidRDefault="005D1052" w:rsidP="005D1052">
      <w:pPr>
        <w:spacing w:after="0"/>
        <w:ind w:firstLine="0"/>
        <w:jc w:val="left"/>
      </w:pPr>
    </w:p>
    <w:p w:rsidR="005D1052" w:rsidRDefault="005D1052" w:rsidP="005D1052">
      <w:pPr>
        <w:spacing w:after="0"/>
        <w:ind w:firstLine="0"/>
        <w:jc w:val="left"/>
      </w:pPr>
      <w:r>
        <w:rPr>
          <w:noProof/>
          <w:lang w:eastAsia="en-GB"/>
        </w:rPr>
        <w:lastRenderedPageBreak/>
        <w:drawing>
          <wp:inline distT="0" distB="0" distL="0" distR="0" wp14:anchorId="2AB9BAD1" wp14:editId="3240BF0A">
            <wp:extent cx="5486400" cy="2505252"/>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s.png"/>
                    <pic:cNvPicPr/>
                  </pic:nvPicPr>
                  <pic:blipFill rotWithShape="1">
                    <a:blip r:embed="rId156" cstate="print">
                      <a:extLst>
                        <a:ext uri="{28A0092B-C50C-407E-A947-70E740481C1C}">
                          <a14:useLocalDpi xmlns:a14="http://schemas.microsoft.com/office/drawing/2010/main" val="0"/>
                        </a:ext>
                      </a:extLst>
                    </a:blip>
                    <a:srcRect r="1834"/>
                    <a:stretch/>
                  </pic:blipFill>
                  <pic:spPr bwMode="auto">
                    <a:xfrm>
                      <a:off x="0" y="0"/>
                      <a:ext cx="5496793" cy="2509998"/>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noProof/>
        </w:rPr>
      </w:pPr>
      <w:bookmarkStart w:id="580" w:name="_Ref312191315"/>
      <w:bookmarkStart w:id="581" w:name="_Toc438590870"/>
      <w:bookmarkStart w:id="582" w:name="_Toc445718876"/>
      <w:r>
        <w:t xml:space="preserve">Figure </w:t>
      </w:r>
      <w:fldSimple w:instr=" STYLEREF 1 \s ">
        <w:r w:rsidR="00924C7D">
          <w:rPr>
            <w:noProof/>
          </w:rPr>
          <w:t>5</w:t>
        </w:r>
      </w:fldSimple>
      <w:r>
        <w:noBreakHyphen/>
      </w:r>
      <w:fldSimple w:instr=" SEQ Figure \* ARABIC \s 1 ">
        <w:r w:rsidR="00924C7D">
          <w:rPr>
            <w:noProof/>
          </w:rPr>
          <w:t>29</w:t>
        </w:r>
      </w:fldSimple>
      <w:bookmarkEnd w:id="580"/>
      <w:r>
        <w:rPr>
          <w:noProof/>
        </w:rPr>
        <w:t xml:space="preserve"> </w:t>
      </w:r>
      <w:r w:rsidRPr="00E52A2E">
        <w:rPr>
          <w:b w:val="0"/>
          <w:noProof/>
        </w:rPr>
        <w:t>Characteristic regions of the microfluidic chamber where cell deposition is studied.</w:t>
      </w:r>
      <w:bookmarkEnd w:id="581"/>
      <w:bookmarkEnd w:id="582"/>
    </w:p>
    <w:p w:rsidR="005D1052" w:rsidRPr="00A976C9" w:rsidRDefault="005D1052" w:rsidP="005D1052"/>
    <w:p w:rsidR="005D1052" w:rsidRDefault="005D1052" w:rsidP="005D1052">
      <w:pPr>
        <w:keepNext/>
        <w:spacing w:after="0"/>
        <w:ind w:firstLine="0"/>
      </w:pPr>
      <w:r>
        <w:rPr>
          <w:noProof/>
          <w:lang w:eastAsia="en-GB"/>
        </w:rPr>
        <w:drawing>
          <wp:inline distT="0" distB="0" distL="0" distR="0" wp14:anchorId="78EDB7AC" wp14:editId="52AC47E8">
            <wp:extent cx="5464388" cy="3786996"/>
            <wp:effectExtent l="0" t="0" r="3175"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cellattachment.png"/>
                    <pic:cNvPicPr/>
                  </pic:nvPicPr>
                  <pic:blipFill>
                    <a:blip r:embed="rId157">
                      <a:extLst>
                        <a:ext uri="{28A0092B-C50C-407E-A947-70E740481C1C}">
                          <a14:useLocalDpi xmlns:a14="http://schemas.microsoft.com/office/drawing/2010/main" val="0"/>
                        </a:ext>
                      </a:extLst>
                    </a:blip>
                    <a:stretch>
                      <a:fillRect/>
                    </a:stretch>
                  </pic:blipFill>
                  <pic:spPr bwMode="auto">
                    <a:xfrm>
                      <a:off x="0" y="0"/>
                      <a:ext cx="5464388" cy="3786996"/>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rPr>
      </w:pPr>
      <w:bookmarkStart w:id="583" w:name="_Ref312191456"/>
      <w:bookmarkStart w:id="584" w:name="_Toc438590871"/>
      <w:bookmarkStart w:id="585" w:name="_Toc445718877"/>
      <w:r>
        <w:t xml:space="preserve">Figure </w:t>
      </w:r>
      <w:fldSimple w:instr=" STYLEREF 1 \s ">
        <w:r w:rsidR="00924C7D">
          <w:rPr>
            <w:noProof/>
          </w:rPr>
          <w:t>5</w:t>
        </w:r>
      </w:fldSimple>
      <w:r>
        <w:noBreakHyphen/>
      </w:r>
      <w:fldSimple w:instr=" SEQ Figure \* ARABIC \s 1 ">
        <w:r w:rsidR="00924C7D">
          <w:rPr>
            <w:noProof/>
          </w:rPr>
          <w:t>30</w:t>
        </w:r>
      </w:fldSimple>
      <w:bookmarkEnd w:id="583"/>
      <w:r>
        <w:t xml:space="preserve"> </w:t>
      </w:r>
      <w:r w:rsidRPr="00143BCF">
        <w:rPr>
          <w:b w:val="0"/>
        </w:rPr>
        <w:t xml:space="preserve">Number of cells attached on Parts 1, 2 and 3 and scaffold surfaces (shown in </w:t>
      </w:r>
      <w:r w:rsidRPr="00143BCF">
        <w:rPr>
          <w:b w:val="0"/>
          <w:highlight w:val="yellow"/>
        </w:rPr>
        <w:fldChar w:fldCharType="begin"/>
      </w:r>
      <w:r w:rsidRPr="00143BCF">
        <w:rPr>
          <w:b w:val="0"/>
        </w:rPr>
        <w:instrText xml:space="preserve"> REF _Ref312191315 \h </w:instrText>
      </w:r>
      <w:r w:rsidRPr="00143BCF">
        <w:rPr>
          <w:b w:val="0"/>
          <w:highlight w:val="yellow"/>
        </w:rPr>
        <w:instrText xml:space="preserve"> \* MERGEFORMAT </w:instrText>
      </w:r>
      <w:r w:rsidRPr="00143BCF">
        <w:rPr>
          <w:b w:val="0"/>
          <w:highlight w:val="yellow"/>
        </w:rPr>
      </w:r>
      <w:r w:rsidRPr="00143BCF">
        <w:rPr>
          <w:b w:val="0"/>
          <w:highlight w:val="yellow"/>
        </w:rPr>
        <w:fldChar w:fldCharType="separate"/>
      </w:r>
      <w:r w:rsidR="00924C7D" w:rsidRPr="00924C7D">
        <w:rPr>
          <w:b w:val="0"/>
        </w:rPr>
        <w:t xml:space="preserve">Figure </w:t>
      </w:r>
      <w:r w:rsidR="00924C7D" w:rsidRPr="00924C7D">
        <w:rPr>
          <w:b w:val="0"/>
          <w:noProof/>
        </w:rPr>
        <w:t>5</w:t>
      </w:r>
      <w:r w:rsidR="00924C7D" w:rsidRPr="00924C7D">
        <w:rPr>
          <w:b w:val="0"/>
          <w:noProof/>
        </w:rPr>
        <w:noBreakHyphen/>
        <w:t>29</w:t>
      </w:r>
      <w:r w:rsidRPr="00143BCF">
        <w:rPr>
          <w:b w:val="0"/>
          <w:highlight w:val="yellow"/>
        </w:rPr>
        <w:fldChar w:fldCharType="end"/>
      </w:r>
      <w:r w:rsidRPr="00143BCF">
        <w:rPr>
          <w:b w:val="0"/>
        </w:rPr>
        <w:t>) depending on the</w:t>
      </w:r>
      <w:r w:rsidRPr="003501BA">
        <w:rPr>
          <w:b w:val="0"/>
        </w:rPr>
        <w:t xml:space="preserve"> flow rate applied.</w:t>
      </w:r>
      <w:bookmarkEnd w:id="584"/>
      <w:bookmarkEnd w:id="585"/>
    </w:p>
    <w:p w:rsidR="005D1052" w:rsidRDefault="005D1052" w:rsidP="005D1052">
      <w:pPr>
        <w:keepNext/>
        <w:spacing w:after="0"/>
        <w:ind w:firstLine="0"/>
        <w:jc w:val="center"/>
      </w:pPr>
      <w:r>
        <w:rPr>
          <w:noProof/>
          <w:lang w:eastAsia="en-GB"/>
        </w:rPr>
        <w:lastRenderedPageBreak/>
        <w:drawing>
          <wp:inline distT="0" distB="0" distL="0" distR="0" wp14:anchorId="364F6407" wp14:editId="1EBD24BB">
            <wp:extent cx="2798859" cy="1817089"/>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iciency.png"/>
                    <pic:cNvPicPr/>
                  </pic:nvPicPr>
                  <pic:blipFill>
                    <a:blip r:embed="rId158">
                      <a:extLst>
                        <a:ext uri="{28A0092B-C50C-407E-A947-70E740481C1C}">
                          <a14:useLocalDpi xmlns:a14="http://schemas.microsoft.com/office/drawing/2010/main" val="0"/>
                        </a:ext>
                      </a:extLst>
                    </a:blip>
                    <a:stretch>
                      <a:fillRect/>
                    </a:stretch>
                  </pic:blipFill>
                  <pic:spPr>
                    <a:xfrm>
                      <a:off x="0" y="0"/>
                      <a:ext cx="2798859" cy="1817089"/>
                    </a:xfrm>
                    <a:prstGeom prst="rect">
                      <a:avLst/>
                    </a:prstGeom>
                  </pic:spPr>
                </pic:pic>
              </a:graphicData>
            </a:graphic>
          </wp:inline>
        </w:drawing>
      </w:r>
    </w:p>
    <w:p w:rsidR="005D1052" w:rsidRDefault="005D1052" w:rsidP="005D1052">
      <w:pPr>
        <w:pStyle w:val="Caption"/>
      </w:pPr>
      <w:bookmarkStart w:id="586" w:name="_Ref312193352"/>
      <w:bookmarkStart w:id="587" w:name="_Toc438590872"/>
      <w:bookmarkStart w:id="588" w:name="_Toc445718878"/>
      <w:r>
        <w:t xml:space="preserve">Figure </w:t>
      </w:r>
      <w:fldSimple w:instr=" STYLEREF 1 \s ">
        <w:r w:rsidR="00924C7D">
          <w:rPr>
            <w:noProof/>
          </w:rPr>
          <w:t>5</w:t>
        </w:r>
      </w:fldSimple>
      <w:r>
        <w:noBreakHyphen/>
      </w:r>
      <w:fldSimple w:instr=" SEQ Figure \* ARABIC \s 1 ">
        <w:r w:rsidR="00924C7D">
          <w:rPr>
            <w:noProof/>
          </w:rPr>
          <w:t>31</w:t>
        </w:r>
      </w:fldSimple>
      <w:bookmarkEnd w:id="586"/>
      <w:r>
        <w:t xml:space="preserve"> </w:t>
      </w:r>
      <w:r w:rsidRPr="003501BA">
        <w:rPr>
          <w:b w:val="0"/>
        </w:rPr>
        <w:t>0.03, 8.6 and 2.5% scaffold cell seeding efficiency for 12, 120 and 600 µl/min respectively</w:t>
      </w:r>
      <w:r w:rsidRPr="00F1482F">
        <w:t>.</w:t>
      </w:r>
      <w:bookmarkEnd w:id="587"/>
      <w:bookmarkEnd w:id="588"/>
    </w:p>
    <w:p w:rsidR="005D1052" w:rsidRDefault="005D1052" w:rsidP="005D1052">
      <w:pPr>
        <w:keepNext/>
        <w:spacing w:after="0"/>
        <w:ind w:firstLine="0"/>
      </w:pPr>
      <w:r w:rsidRPr="00512FD9">
        <w:rPr>
          <w:noProof/>
          <w:lang w:eastAsia="en-GB"/>
        </w:rPr>
        <w:drawing>
          <wp:inline distT="0" distB="0" distL="0" distR="0" wp14:anchorId="5936D8A6" wp14:editId="2822336B">
            <wp:extent cx="5383033" cy="2052152"/>
            <wp:effectExtent l="0" t="0" r="8255"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dingtimenogravity.png"/>
                    <pic:cNvPicPr/>
                  </pic:nvPicPr>
                  <pic:blipFill>
                    <a:blip r:embed="rId159">
                      <a:extLst>
                        <a:ext uri="{28A0092B-C50C-407E-A947-70E740481C1C}">
                          <a14:useLocalDpi xmlns:a14="http://schemas.microsoft.com/office/drawing/2010/main" val="0"/>
                        </a:ext>
                      </a:extLst>
                    </a:blip>
                    <a:stretch>
                      <a:fillRect/>
                    </a:stretch>
                  </pic:blipFill>
                  <pic:spPr bwMode="auto">
                    <a:xfrm>
                      <a:off x="0" y="0"/>
                      <a:ext cx="5383033" cy="2052152"/>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noProof/>
        </w:rPr>
      </w:pPr>
      <w:bookmarkStart w:id="589" w:name="_Ref312193252"/>
      <w:bookmarkStart w:id="590" w:name="_Toc438590873"/>
      <w:bookmarkStart w:id="591" w:name="_Toc445718879"/>
      <w:r>
        <w:t xml:space="preserve">Figure </w:t>
      </w:r>
      <w:fldSimple w:instr=" STYLEREF 1 \s ">
        <w:r w:rsidR="00924C7D">
          <w:rPr>
            <w:noProof/>
          </w:rPr>
          <w:t>5</w:t>
        </w:r>
      </w:fldSimple>
      <w:r>
        <w:noBreakHyphen/>
      </w:r>
      <w:fldSimple w:instr=" SEQ Figure \* ARABIC \s 1 ">
        <w:r w:rsidR="00924C7D">
          <w:rPr>
            <w:noProof/>
          </w:rPr>
          <w:t>32</w:t>
        </w:r>
      </w:fldSimple>
      <w:bookmarkEnd w:id="589"/>
      <w:r w:rsidRPr="009F02B3">
        <w:rPr>
          <w:noProof/>
        </w:rPr>
        <w:t xml:space="preserve"> </w:t>
      </w:r>
      <w:r w:rsidRPr="003501BA">
        <w:rPr>
          <w:b w:val="0"/>
          <w:noProof/>
        </w:rPr>
        <w:t>Number of cells suspended in the fluid flow during the 2 hours experiment for the three flow rates applied. At the beginning the number of cells increase</w:t>
      </w:r>
      <w:r>
        <w:rPr>
          <w:b w:val="0"/>
          <w:noProof/>
        </w:rPr>
        <w:t>s</w:t>
      </w:r>
      <w:r w:rsidRPr="003501BA">
        <w:rPr>
          <w:b w:val="0"/>
          <w:noProof/>
        </w:rPr>
        <w:t xml:space="preserve"> as cells are injected in the microfluidic system until a peak is reached. From that point on, no more cells are injected and cells deposite on the boundaries while they travel back and forward in the fluid domain.</w:t>
      </w:r>
      <w:bookmarkEnd w:id="590"/>
      <w:bookmarkEnd w:id="591"/>
    </w:p>
    <w:p w:rsidR="005D1052" w:rsidRPr="00ED75F4" w:rsidRDefault="005D1052" w:rsidP="005D1052">
      <w:pPr>
        <w:pStyle w:val="Heading5"/>
        <w:numPr>
          <w:ilvl w:val="4"/>
          <w:numId w:val="21"/>
        </w:numPr>
      </w:pPr>
      <w:bookmarkStart w:id="592" w:name="_Ref312193203"/>
      <w:bookmarkStart w:id="593" w:name="_Toc440823289"/>
      <w:r>
        <w:t>Detailed study of the effect of fluid inertia on cell deposition</w:t>
      </w:r>
      <w:bookmarkEnd w:id="592"/>
      <w:bookmarkEnd w:id="593"/>
    </w:p>
    <w:p w:rsidR="005D1052" w:rsidRPr="003B2559" w:rsidRDefault="005D1052" w:rsidP="005D1052">
      <w:r>
        <w:t xml:space="preserve">To investigate the actual effect of the secondary flow on cell deposition a simpler model was applied with one single injection of around 4,000 cells. For that, the surface mesh at the inlet was refined by increasing the number of surface mesh elements from 274 to 4,358. Cells were released from the inlet and the flow was reversed only once so only one cycle was simulated. In addition, more flow rates were applied to better </w:t>
      </w:r>
      <w:r>
        <w:lastRenderedPageBreak/>
        <w:t xml:space="preserve">understand how variations on the flow rate affect cell deposition. More specifically, 12, 120, 360, 480, 600, 720 and 840 </w:t>
      </w:r>
      <w:r w:rsidRPr="003B2559">
        <w:t>µl/min</w:t>
      </w:r>
      <w:r>
        <w:t xml:space="preserve"> were applied in the model described above.</w:t>
      </w:r>
    </w:p>
    <w:p w:rsidR="005D1052" w:rsidRDefault="005D1052" w:rsidP="005D1052">
      <w:pPr>
        <w:keepNext/>
        <w:ind w:firstLine="0"/>
        <w:jc w:val="center"/>
      </w:pPr>
    </w:p>
    <w:p w:rsidR="005D1052" w:rsidRDefault="005D1052" w:rsidP="005D1052">
      <w:pPr>
        <w:keepNext/>
        <w:ind w:firstLine="0"/>
        <w:jc w:val="center"/>
      </w:pPr>
      <w:r>
        <w:rPr>
          <w:b/>
          <w:noProof/>
          <w:lang w:eastAsia="en-GB"/>
        </w:rPr>
        <w:drawing>
          <wp:inline distT="0" distB="0" distL="0" distR="0" wp14:anchorId="431B64EA" wp14:editId="0CFB4512">
            <wp:extent cx="5017453" cy="5502302"/>
            <wp:effectExtent l="0" t="0" r="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attachmentnogravity.png"/>
                    <pic:cNvPicPr/>
                  </pic:nvPicPr>
                  <pic:blipFill rotWithShape="1">
                    <a:blip r:embed="rId160" cstate="print">
                      <a:extLst>
                        <a:ext uri="{28A0092B-C50C-407E-A947-70E740481C1C}">
                          <a14:useLocalDpi xmlns:a14="http://schemas.microsoft.com/office/drawing/2010/main" val="0"/>
                        </a:ext>
                      </a:extLst>
                    </a:blip>
                    <a:srcRect b="1834"/>
                    <a:stretch/>
                  </pic:blipFill>
                  <pic:spPr bwMode="auto">
                    <a:xfrm>
                      <a:off x="0" y="0"/>
                      <a:ext cx="5019342" cy="5504373"/>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3501BA" w:rsidRDefault="005D1052" w:rsidP="005D1052">
      <w:pPr>
        <w:pStyle w:val="Caption"/>
        <w:rPr>
          <w:b w:val="0"/>
        </w:rPr>
      </w:pPr>
      <w:bookmarkStart w:id="594" w:name="_Ref312193323"/>
      <w:bookmarkStart w:id="595" w:name="_Toc438590874"/>
      <w:bookmarkStart w:id="596" w:name="_Toc445718880"/>
      <w:r>
        <w:t xml:space="preserve">Figure </w:t>
      </w:r>
      <w:fldSimple w:instr=" STYLEREF 1 \s ">
        <w:r w:rsidR="00924C7D">
          <w:rPr>
            <w:noProof/>
          </w:rPr>
          <w:t>5</w:t>
        </w:r>
      </w:fldSimple>
      <w:r>
        <w:noBreakHyphen/>
      </w:r>
      <w:fldSimple w:instr=" SEQ Figure \* ARABIC \s 1 ">
        <w:r w:rsidR="00924C7D">
          <w:rPr>
            <w:noProof/>
          </w:rPr>
          <w:t>33</w:t>
        </w:r>
      </w:fldSimple>
      <w:bookmarkEnd w:id="594"/>
      <w:r>
        <w:t xml:space="preserve"> </w:t>
      </w:r>
      <w:r w:rsidRPr="003501BA">
        <w:rPr>
          <w:b w:val="0"/>
        </w:rPr>
        <w:t>Cells attached on the boundaries of the cell seeding system including scaffold substrate for the three flow rates applied. 12 µl/min is the case with less number of cells attached and cells are mostly found at Part 3. 120 µl/min is the case where more cells are found in Part 3 and scaffold. 600 µl/min is the flow rate that results on more cells attached in Part 1.</w:t>
      </w:r>
      <w:bookmarkEnd w:id="595"/>
      <w:r>
        <w:rPr>
          <w:b w:val="0"/>
        </w:rPr>
        <w:t xml:space="preserve"> </w:t>
      </w:r>
      <w:r w:rsidRPr="00E52A2E">
        <w:rPr>
          <w:b w:val="0"/>
        </w:rPr>
        <w:t>The cells are represented with spheres ten times bigger than the real size of cells to improve visibility.</w:t>
      </w:r>
      <w:bookmarkEnd w:id="596"/>
    </w:p>
    <w:p w:rsidR="005D1052" w:rsidRDefault="005D1052" w:rsidP="005D1052">
      <w:pPr>
        <w:keepNext/>
        <w:spacing w:after="0"/>
        <w:ind w:firstLine="0"/>
        <w:jc w:val="left"/>
      </w:pPr>
      <w:r>
        <w:rPr>
          <w:b/>
          <w:noProof/>
          <w:lang w:eastAsia="en-GB"/>
        </w:rPr>
        <w:lastRenderedPageBreak/>
        <w:drawing>
          <wp:inline distT="0" distB="0" distL="0" distR="0" wp14:anchorId="1E9571C6" wp14:editId="663A6F2D">
            <wp:extent cx="5475768" cy="1024172"/>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ffoldattachmentnogravity.png"/>
                    <pic:cNvPicPr/>
                  </pic:nvPicPr>
                  <pic:blipFill rotWithShape="1">
                    <a:blip r:embed="rId161" cstate="print">
                      <a:extLst>
                        <a:ext uri="{28A0092B-C50C-407E-A947-70E740481C1C}">
                          <a14:useLocalDpi xmlns:a14="http://schemas.microsoft.com/office/drawing/2010/main" val="0"/>
                        </a:ext>
                      </a:extLst>
                    </a:blip>
                    <a:srcRect l="1233"/>
                    <a:stretch/>
                  </pic:blipFill>
                  <pic:spPr bwMode="auto">
                    <a:xfrm>
                      <a:off x="0" y="0"/>
                      <a:ext cx="5528962" cy="1034121"/>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rPr>
      </w:pPr>
      <w:bookmarkStart w:id="597" w:name="_Toc438590875"/>
      <w:bookmarkStart w:id="598" w:name="_Toc445718881"/>
      <w:r>
        <w:t xml:space="preserve">Figure </w:t>
      </w:r>
      <w:fldSimple w:instr=" STYLEREF 1 \s ">
        <w:r w:rsidR="00924C7D">
          <w:rPr>
            <w:noProof/>
          </w:rPr>
          <w:t>5</w:t>
        </w:r>
      </w:fldSimple>
      <w:r>
        <w:noBreakHyphen/>
      </w:r>
      <w:fldSimple w:instr=" SEQ Figure \* ARABIC \s 1 ">
        <w:r w:rsidR="00924C7D">
          <w:rPr>
            <w:noProof/>
          </w:rPr>
          <w:t>34</w:t>
        </w:r>
      </w:fldSimple>
      <w:r>
        <w:rPr>
          <w:noProof/>
        </w:rPr>
        <w:t xml:space="preserve"> </w:t>
      </w:r>
      <w:r w:rsidRPr="00815677">
        <w:rPr>
          <w:b w:val="0"/>
          <w:noProof/>
        </w:rPr>
        <w:t>Side view of the scaffold. Transparency is applied to the scaffold surface to visualize the cells attached inside the microstructure for the three flow rates applied. Irregular distribution of cells throughout scaffold depth is found for the three cases.</w:t>
      </w:r>
      <w:bookmarkEnd w:id="597"/>
      <w:r>
        <w:rPr>
          <w:b w:val="0"/>
          <w:noProof/>
        </w:rPr>
        <w:t xml:space="preserve"> </w:t>
      </w:r>
      <w:r w:rsidRPr="00E52A2E">
        <w:rPr>
          <w:b w:val="0"/>
        </w:rPr>
        <w:t>The cells are represented with spheres ten times bigger than the real size of cells to improve visibility.</w:t>
      </w:r>
      <w:bookmarkEnd w:id="598"/>
    </w:p>
    <w:p w:rsidR="005D1052" w:rsidRPr="00AC3D3F" w:rsidRDefault="005D1052" w:rsidP="005D1052"/>
    <w:p w:rsidR="005D1052" w:rsidRDefault="005D1052" w:rsidP="005D1052">
      <w:pPr>
        <w:keepNext/>
        <w:ind w:firstLine="0"/>
        <w:jc w:val="center"/>
      </w:pPr>
      <w:r>
        <w:rPr>
          <w:noProof/>
          <w:lang w:eastAsia="en-GB"/>
        </w:rPr>
        <w:drawing>
          <wp:inline distT="0" distB="0" distL="0" distR="0" wp14:anchorId="6AC7FEAA" wp14:editId="1581C07D">
            <wp:extent cx="5354623" cy="20859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nongravity.png"/>
                    <pic:cNvPicPr/>
                  </pic:nvPicPr>
                  <pic:blipFill rotWithShape="1">
                    <a:blip r:embed="rId162" cstate="print">
                      <a:extLst>
                        <a:ext uri="{28A0092B-C50C-407E-A947-70E740481C1C}">
                          <a14:useLocalDpi xmlns:a14="http://schemas.microsoft.com/office/drawing/2010/main" val="0"/>
                        </a:ext>
                      </a:extLst>
                    </a:blip>
                    <a:srcRect r="1449"/>
                    <a:stretch/>
                  </pic:blipFill>
                  <pic:spPr bwMode="auto">
                    <a:xfrm>
                      <a:off x="0" y="0"/>
                      <a:ext cx="5369792" cy="2091884"/>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815677" w:rsidRDefault="005D1052" w:rsidP="005D1052">
      <w:pPr>
        <w:pStyle w:val="Caption"/>
        <w:rPr>
          <w:b w:val="0"/>
          <w:noProof/>
        </w:rPr>
      </w:pPr>
      <w:bookmarkStart w:id="599" w:name="_Toc438590876"/>
      <w:bookmarkStart w:id="600" w:name="_Toc445718882"/>
      <w:r>
        <w:t xml:space="preserve">Figure </w:t>
      </w:r>
      <w:fldSimple w:instr=" STYLEREF 1 \s ">
        <w:r w:rsidR="00924C7D">
          <w:rPr>
            <w:noProof/>
          </w:rPr>
          <w:t>5</w:t>
        </w:r>
      </w:fldSimple>
      <w:r>
        <w:noBreakHyphen/>
      </w:r>
      <w:fldSimple w:instr=" SEQ Figure \* ARABIC \s 1 ">
        <w:r w:rsidR="00924C7D">
          <w:rPr>
            <w:noProof/>
          </w:rPr>
          <w:t>35</w:t>
        </w:r>
      </w:fldSimple>
      <w:r>
        <w:rPr>
          <w:noProof/>
        </w:rPr>
        <w:t xml:space="preserve"> </w:t>
      </w:r>
      <w:r w:rsidRPr="00815677">
        <w:rPr>
          <w:b w:val="0"/>
          <w:noProof/>
        </w:rPr>
        <w:t>Top view of the scaffold. Transparency is applied to the scaffold surface to visualize the cells attached inside the microstructure for the three flow rates applied. Irregular distribution of cells is found throughout scaffold diamater in all cases.</w:t>
      </w:r>
      <w:bookmarkEnd w:id="599"/>
      <w:r>
        <w:rPr>
          <w:b w:val="0"/>
          <w:noProof/>
        </w:rPr>
        <w:t xml:space="preserve"> </w:t>
      </w:r>
      <w:r w:rsidRPr="00E52A2E">
        <w:rPr>
          <w:b w:val="0"/>
        </w:rPr>
        <w:t>The cells are represented with spheres ten times bigger than the real size of cells to improve visibility.</w:t>
      </w:r>
      <w:bookmarkEnd w:id="600"/>
    </w:p>
    <w:p w:rsidR="005D1052" w:rsidRDefault="005D1052" w:rsidP="005D1052">
      <w:r>
        <w:t xml:space="preserve">The results show that by increasing the flow rate from 12 to 480 </w:t>
      </w:r>
      <w:r w:rsidRPr="003B2559">
        <w:t>µl/min</w:t>
      </w:r>
      <w:r>
        <w:t xml:space="preserve"> more cells deposit along the entire perfusion system. Higher flow rates (600, 720 and 840 </w:t>
      </w:r>
      <w:r w:rsidRPr="003B2559">
        <w:t>µl/min</w:t>
      </w:r>
      <w:r>
        <w:t xml:space="preserve">) do not show this behaviour anymore especially in the scaffold where the number of cells attached is even less than for the lowest flow rate investigated, 12 </w:t>
      </w:r>
      <w:r w:rsidRPr="003B2559">
        <w:t>µl/min</w:t>
      </w:r>
      <w:r>
        <w:t xml:space="preserve"> (see results in </w:t>
      </w:r>
      <w:r>
        <w:fldChar w:fldCharType="begin"/>
      </w:r>
      <w:r>
        <w:instrText xml:space="preserve"> REF _Ref312193544 \h </w:instrText>
      </w:r>
      <w:r>
        <w:fldChar w:fldCharType="separate"/>
      </w:r>
      <w:r w:rsidR="00924C7D">
        <w:t xml:space="preserve">Figure </w:t>
      </w:r>
      <w:r w:rsidR="00924C7D">
        <w:rPr>
          <w:noProof/>
        </w:rPr>
        <w:t>5</w:t>
      </w:r>
      <w:r w:rsidR="00924C7D">
        <w:noBreakHyphen/>
      </w:r>
      <w:r w:rsidR="00924C7D">
        <w:rPr>
          <w:noProof/>
        </w:rPr>
        <w:t>36</w:t>
      </w:r>
      <w:r>
        <w:fldChar w:fldCharType="end"/>
      </w:r>
      <w:r w:rsidRPr="00815677">
        <w:t>).</w:t>
      </w:r>
      <w:r>
        <w:t xml:space="preserve"> </w:t>
      </w:r>
    </w:p>
    <w:p w:rsidR="005D1052" w:rsidRDefault="005D1052" w:rsidP="005D1052">
      <w:pPr>
        <w:keepNext/>
        <w:spacing w:after="0"/>
        <w:ind w:firstLine="0"/>
        <w:jc w:val="center"/>
      </w:pPr>
      <w:r>
        <w:rPr>
          <w:noProof/>
          <w:lang w:eastAsia="en-GB"/>
        </w:rPr>
        <w:lastRenderedPageBreak/>
        <w:drawing>
          <wp:inline distT="0" distB="0" distL="0" distR="0" wp14:anchorId="2DC23149" wp14:editId="0DE98800">
            <wp:extent cx="4894135" cy="4657867"/>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163">
                      <a:extLst>
                        <a:ext uri="{28A0092B-C50C-407E-A947-70E740481C1C}">
                          <a14:useLocalDpi xmlns:a14="http://schemas.microsoft.com/office/drawing/2010/main" val="0"/>
                        </a:ext>
                      </a:extLst>
                    </a:blip>
                    <a:stretch>
                      <a:fillRect/>
                    </a:stretch>
                  </pic:blipFill>
                  <pic:spPr>
                    <a:xfrm>
                      <a:off x="0" y="0"/>
                      <a:ext cx="4894135" cy="4657867"/>
                    </a:xfrm>
                    <a:prstGeom prst="rect">
                      <a:avLst/>
                    </a:prstGeom>
                  </pic:spPr>
                </pic:pic>
              </a:graphicData>
            </a:graphic>
          </wp:inline>
        </w:drawing>
      </w:r>
    </w:p>
    <w:p w:rsidR="005D1052" w:rsidRPr="00815677" w:rsidRDefault="005D1052" w:rsidP="005D1052">
      <w:pPr>
        <w:pStyle w:val="Caption"/>
        <w:rPr>
          <w:b w:val="0"/>
          <w:noProof/>
          <w:sz w:val="24"/>
          <w:szCs w:val="22"/>
          <w:lang w:eastAsia="en-GB"/>
        </w:rPr>
      </w:pPr>
      <w:bookmarkStart w:id="601" w:name="_Ref312193544"/>
      <w:bookmarkStart w:id="602" w:name="_Toc438590877"/>
      <w:bookmarkStart w:id="603" w:name="_Toc445718883"/>
      <w:r>
        <w:t xml:space="preserve">Figure </w:t>
      </w:r>
      <w:fldSimple w:instr=" STYLEREF 1 \s ">
        <w:r w:rsidR="00924C7D">
          <w:rPr>
            <w:noProof/>
          </w:rPr>
          <w:t>5</w:t>
        </w:r>
      </w:fldSimple>
      <w:r>
        <w:noBreakHyphen/>
      </w:r>
      <w:fldSimple w:instr=" SEQ Figure \* ARABIC \s 1 ">
        <w:r w:rsidR="00924C7D">
          <w:rPr>
            <w:noProof/>
          </w:rPr>
          <w:t>36</w:t>
        </w:r>
      </w:fldSimple>
      <w:bookmarkEnd w:id="601"/>
      <w:r>
        <w:t xml:space="preserve"> </w:t>
      </w:r>
      <w:r w:rsidRPr="00815677">
        <w:rPr>
          <w:b w:val="0"/>
        </w:rPr>
        <w:t xml:space="preserve">Number of </w:t>
      </w:r>
      <w:r>
        <w:rPr>
          <w:b w:val="0"/>
        </w:rPr>
        <w:t>cells attached on Parts 1, 2, 3 and</w:t>
      </w:r>
      <w:r w:rsidRPr="00815677">
        <w:rPr>
          <w:b w:val="0"/>
        </w:rPr>
        <w:t xml:space="preserve"> scaffold surface (</w:t>
      </w:r>
      <w:r>
        <w:rPr>
          <w:b w:val="0"/>
        </w:rPr>
        <w:t>parts defined</w:t>
      </w:r>
      <w:r w:rsidRPr="00815677">
        <w:rPr>
          <w:b w:val="0"/>
        </w:rPr>
        <w:t xml:space="preserve"> in </w:t>
      </w:r>
      <w:r w:rsidRPr="00A976C9">
        <w:rPr>
          <w:b w:val="0"/>
          <w:highlight w:val="yellow"/>
        </w:rPr>
        <w:fldChar w:fldCharType="begin"/>
      </w:r>
      <w:r w:rsidRPr="00A976C9">
        <w:rPr>
          <w:b w:val="0"/>
        </w:rPr>
        <w:instrText xml:space="preserve"> REF _Ref312191315 \h </w:instrText>
      </w:r>
      <w:r w:rsidRPr="00A976C9">
        <w:rPr>
          <w:b w:val="0"/>
          <w:highlight w:val="yellow"/>
        </w:rPr>
        <w:instrText xml:space="preserve"> \* MERGEFORMAT </w:instrText>
      </w:r>
      <w:r w:rsidRPr="00A976C9">
        <w:rPr>
          <w:b w:val="0"/>
          <w:highlight w:val="yellow"/>
        </w:rPr>
      </w:r>
      <w:r w:rsidRPr="00A976C9">
        <w:rPr>
          <w:b w:val="0"/>
          <w:highlight w:val="yellow"/>
        </w:rPr>
        <w:fldChar w:fldCharType="separate"/>
      </w:r>
      <w:r w:rsidR="00924C7D" w:rsidRPr="00924C7D">
        <w:rPr>
          <w:b w:val="0"/>
        </w:rPr>
        <w:t xml:space="preserve">Figure </w:t>
      </w:r>
      <w:r w:rsidR="00924C7D" w:rsidRPr="00924C7D">
        <w:rPr>
          <w:b w:val="0"/>
          <w:noProof/>
        </w:rPr>
        <w:t>5</w:t>
      </w:r>
      <w:r w:rsidR="00924C7D" w:rsidRPr="00924C7D">
        <w:rPr>
          <w:b w:val="0"/>
          <w:noProof/>
        </w:rPr>
        <w:noBreakHyphen/>
        <w:t>29</w:t>
      </w:r>
      <w:r w:rsidRPr="00A976C9">
        <w:rPr>
          <w:b w:val="0"/>
          <w:highlight w:val="yellow"/>
        </w:rPr>
        <w:fldChar w:fldCharType="end"/>
      </w:r>
      <w:r w:rsidRPr="00A976C9">
        <w:rPr>
          <w:b w:val="0"/>
        </w:rPr>
        <w:t xml:space="preserve">) </w:t>
      </w:r>
      <w:r w:rsidRPr="00815677">
        <w:rPr>
          <w:b w:val="0"/>
        </w:rPr>
        <w:t>dep</w:t>
      </w:r>
      <w:r>
        <w:rPr>
          <w:b w:val="0"/>
        </w:rPr>
        <w:t>ending on the flow rate applied</w:t>
      </w:r>
      <w:r w:rsidRPr="00815677">
        <w:rPr>
          <w:b w:val="0"/>
        </w:rPr>
        <w:t>.</w:t>
      </w:r>
      <w:bookmarkEnd w:id="602"/>
      <w:bookmarkEnd w:id="603"/>
    </w:p>
    <w:p w:rsidR="005D1052" w:rsidRDefault="005D1052" w:rsidP="005D1052">
      <w:r>
        <w:t xml:space="preserve">Above 480 </w:t>
      </w:r>
      <w:r w:rsidRPr="003B2559">
        <w:t>µl/min</w:t>
      </w:r>
      <w:r>
        <w:t xml:space="preserve"> flow rate, two vortexes are found inside the cylinder where the scaffold is located (see </w:t>
      </w:r>
      <w:r>
        <w:rPr>
          <w:highlight w:val="yellow"/>
        </w:rPr>
        <w:fldChar w:fldCharType="begin"/>
      </w:r>
      <w:r>
        <w:instrText xml:space="preserve"> REF _Ref312193586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37</w:t>
      </w:r>
      <w:r>
        <w:rPr>
          <w:highlight w:val="yellow"/>
        </w:rPr>
        <w:fldChar w:fldCharType="end"/>
      </w:r>
      <w:r>
        <w:t xml:space="preserve">). In addition, the shape of the vortexes changes when increasing the flow rate from 600 to 840 </w:t>
      </w:r>
      <w:r w:rsidRPr="00532584">
        <w:t>µl/min</w:t>
      </w:r>
      <w:r>
        <w:t xml:space="preserve"> as well as the path of the cells that enter in these vortexes. These vortexes have a negative effect on cell seeding efficiency as cells are recirculating inside them when the flow is due to reverse (see </w:t>
      </w:r>
      <w:r>
        <w:rPr>
          <w:highlight w:val="yellow"/>
        </w:rPr>
        <w:fldChar w:fldCharType="begin"/>
      </w:r>
      <w:r>
        <w:instrText xml:space="preserve"> REF _Ref312193609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39</w:t>
      </w:r>
      <w:r>
        <w:rPr>
          <w:highlight w:val="yellow"/>
        </w:rPr>
        <w:fldChar w:fldCharType="end"/>
      </w:r>
      <w:r>
        <w:t xml:space="preserve">). Thus, cells trapped in the vortexes will not cross the scaffold reducing the probability of cell attachment on it. When the direction of the flow is changed and the fluid flows from Part 3 to Part 2 (Parts 3 and 2 defined in </w:t>
      </w:r>
      <w:r>
        <w:fldChar w:fldCharType="begin"/>
      </w:r>
      <w:r>
        <w:instrText xml:space="preserve"> REF _Ref312191315 \h </w:instrText>
      </w:r>
      <w:r>
        <w:fldChar w:fldCharType="separate"/>
      </w:r>
      <w:r w:rsidR="00924C7D">
        <w:t xml:space="preserve">Figure </w:t>
      </w:r>
      <w:r w:rsidR="00924C7D">
        <w:rPr>
          <w:noProof/>
        </w:rPr>
        <w:t>5</w:t>
      </w:r>
      <w:r w:rsidR="00924C7D">
        <w:noBreakHyphen/>
      </w:r>
      <w:r w:rsidR="00924C7D">
        <w:rPr>
          <w:noProof/>
        </w:rPr>
        <w:t>29</w:t>
      </w:r>
      <w:r>
        <w:fldChar w:fldCharType="end"/>
      </w:r>
      <w:r>
        <w:t xml:space="preserve">) similar vortexes form underneath the scaffold. These vortexes will also prevent cells coming from the </w:t>
      </w:r>
      <w:r>
        <w:lastRenderedPageBreak/>
        <w:t xml:space="preserve">outlet (outlet defined in </w:t>
      </w:r>
      <w:r>
        <w:fldChar w:fldCharType="begin"/>
      </w:r>
      <w:r>
        <w:instrText xml:space="preserve"> REF _Ref312191315 \h </w:instrText>
      </w:r>
      <w:r>
        <w:fldChar w:fldCharType="separate"/>
      </w:r>
      <w:r w:rsidR="00924C7D">
        <w:t xml:space="preserve">Figure </w:t>
      </w:r>
      <w:r w:rsidR="00924C7D">
        <w:rPr>
          <w:noProof/>
        </w:rPr>
        <w:t>5</w:t>
      </w:r>
      <w:r w:rsidR="00924C7D">
        <w:noBreakHyphen/>
      </w:r>
      <w:r w:rsidR="00924C7D">
        <w:rPr>
          <w:noProof/>
        </w:rPr>
        <w:t>29</w:t>
      </w:r>
      <w:r>
        <w:fldChar w:fldCharType="end"/>
      </w:r>
      <w:r w:rsidRPr="00815677">
        <w:t>)</w:t>
      </w:r>
      <w:r>
        <w:t xml:space="preserve"> to cross the scaffold which also has a negative impact on scaffold cell seeding. When increasing the number of cycles, the presence of vortexes near the scaffold will lead to more inconsistent results as observed in the results of 2 hours cell seeding experiment with 600 </w:t>
      </w:r>
      <w:r w:rsidRPr="003B2559">
        <w:t>µl/min</w:t>
      </w:r>
      <w:r>
        <w:t xml:space="preserve"> flow rate (see results in </w:t>
      </w:r>
      <w:r>
        <w:rPr>
          <w:highlight w:val="yellow"/>
        </w:rPr>
        <w:fldChar w:fldCharType="begin"/>
      </w:r>
      <w:r>
        <w:instrText xml:space="preserve"> REF _Ref312191456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30</w:t>
      </w:r>
      <w:r>
        <w:rPr>
          <w:highlight w:val="yellow"/>
        </w:rPr>
        <w:fldChar w:fldCharType="end"/>
      </w:r>
      <w:r>
        <w:t>).</w:t>
      </w:r>
    </w:p>
    <w:p w:rsidR="005D1052" w:rsidRDefault="005D1052" w:rsidP="005D1052">
      <w:pPr>
        <w:keepNext/>
        <w:spacing w:after="0"/>
        <w:ind w:firstLine="0"/>
        <w:jc w:val="center"/>
      </w:pPr>
    </w:p>
    <w:p w:rsidR="005D1052" w:rsidRDefault="005D1052" w:rsidP="005D1052">
      <w:pPr>
        <w:keepNext/>
        <w:spacing w:after="0"/>
        <w:ind w:firstLine="0"/>
        <w:jc w:val="center"/>
      </w:pPr>
      <w:r>
        <w:rPr>
          <w:noProof/>
          <w:lang w:eastAsia="en-GB"/>
        </w:rPr>
        <w:drawing>
          <wp:inline distT="0" distB="0" distL="0" distR="0" wp14:anchorId="5313309B" wp14:editId="223C8486">
            <wp:extent cx="5249258" cy="5390707"/>
            <wp:effectExtent l="0" t="0" r="889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rtex fluidvelo.png"/>
                    <pic:cNvPicPr/>
                  </pic:nvPicPr>
                  <pic:blipFill rotWithShape="1">
                    <a:blip r:embed="rId164" cstate="print">
                      <a:extLst>
                        <a:ext uri="{28A0092B-C50C-407E-A947-70E740481C1C}">
                          <a14:useLocalDpi xmlns:a14="http://schemas.microsoft.com/office/drawing/2010/main" val="0"/>
                        </a:ext>
                      </a:extLst>
                    </a:blip>
                    <a:srcRect t="2046" b="2500"/>
                    <a:stretch/>
                  </pic:blipFill>
                  <pic:spPr bwMode="auto">
                    <a:xfrm>
                      <a:off x="0" y="0"/>
                      <a:ext cx="5249258" cy="5390707"/>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rPr>
      </w:pPr>
      <w:bookmarkStart w:id="604" w:name="_Ref312193586"/>
      <w:bookmarkStart w:id="605" w:name="_Toc438590878"/>
      <w:bookmarkStart w:id="606" w:name="_Toc445718884"/>
      <w:r>
        <w:t xml:space="preserve">Figure </w:t>
      </w:r>
      <w:fldSimple w:instr=" STYLEREF 1 \s ">
        <w:r w:rsidR="00924C7D">
          <w:rPr>
            <w:noProof/>
          </w:rPr>
          <w:t>5</w:t>
        </w:r>
      </w:fldSimple>
      <w:r>
        <w:noBreakHyphen/>
      </w:r>
      <w:fldSimple w:instr=" SEQ Figure \* ARABIC \s 1 ">
        <w:r w:rsidR="00924C7D">
          <w:rPr>
            <w:noProof/>
          </w:rPr>
          <w:t>37</w:t>
        </w:r>
      </w:fldSimple>
      <w:bookmarkEnd w:id="604"/>
      <w:r>
        <w:t xml:space="preserve"> </w:t>
      </w:r>
      <w:r>
        <w:rPr>
          <w:b w:val="0"/>
        </w:rPr>
        <w:t>Velocity profile</w:t>
      </w:r>
      <w:r w:rsidRPr="004B5760">
        <w:rPr>
          <w:b w:val="0"/>
        </w:rPr>
        <w:t xml:space="preserve"> above the sca</w:t>
      </w:r>
      <w:r>
        <w:rPr>
          <w:b w:val="0"/>
        </w:rPr>
        <w:t>ffold showing the recirculation</w:t>
      </w:r>
      <w:r w:rsidRPr="004B5760">
        <w:rPr>
          <w:b w:val="0"/>
        </w:rPr>
        <w:t xml:space="preserve"> formed when the fluid enters Part 2 from Part 1 (</w:t>
      </w:r>
      <w:r>
        <w:rPr>
          <w:b w:val="0"/>
        </w:rPr>
        <w:t xml:space="preserve">Part 1 and 2 defined </w:t>
      </w:r>
      <w:r w:rsidRPr="005046E9">
        <w:rPr>
          <w:b w:val="0"/>
        </w:rPr>
        <w:t xml:space="preserve">in </w:t>
      </w:r>
      <w:r w:rsidRPr="005046E9">
        <w:rPr>
          <w:b w:val="0"/>
        </w:rPr>
        <w:fldChar w:fldCharType="begin"/>
      </w:r>
      <w:r w:rsidRPr="005046E9">
        <w:rPr>
          <w:b w:val="0"/>
        </w:rPr>
        <w:instrText xml:space="preserve"> REF _Ref312191315 \h  \* MERGEFORMAT </w:instrText>
      </w:r>
      <w:r w:rsidRPr="005046E9">
        <w:rPr>
          <w:b w:val="0"/>
        </w:rPr>
      </w:r>
      <w:r w:rsidRPr="005046E9">
        <w:rPr>
          <w:b w:val="0"/>
        </w:rPr>
        <w:fldChar w:fldCharType="separate"/>
      </w:r>
      <w:r w:rsidR="00924C7D" w:rsidRPr="00924C7D">
        <w:rPr>
          <w:b w:val="0"/>
        </w:rPr>
        <w:t xml:space="preserve">Figure </w:t>
      </w:r>
      <w:r w:rsidR="00924C7D" w:rsidRPr="00924C7D">
        <w:rPr>
          <w:b w:val="0"/>
          <w:noProof/>
        </w:rPr>
        <w:t>5</w:t>
      </w:r>
      <w:r w:rsidR="00924C7D" w:rsidRPr="00924C7D">
        <w:rPr>
          <w:b w:val="0"/>
          <w:noProof/>
        </w:rPr>
        <w:noBreakHyphen/>
        <w:t>29</w:t>
      </w:r>
      <w:r w:rsidRPr="005046E9">
        <w:rPr>
          <w:b w:val="0"/>
        </w:rPr>
        <w:fldChar w:fldCharType="end"/>
      </w:r>
      <w:r w:rsidRPr="005046E9">
        <w:rPr>
          <w:b w:val="0"/>
        </w:rPr>
        <w:t>) for</w:t>
      </w:r>
      <w:r w:rsidRPr="004B5760">
        <w:rPr>
          <w:b w:val="0"/>
        </w:rPr>
        <w:t xml:space="preserve"> the flow rates </w:t>
      </w:r>
      <w:r>
        <w:rPr>
          <w:b w:val="0"/>
        </w:rPr>
        <w:t xml:space="preserve">480, </w:t>
      </w:r>
      <w:r w:rsidRPr="004B5760">
        <w:rPr>
          <w:b w:val="0"/>
        </w:rPr>
        <w:t>600, 720 and 840 µl/min. The recirculation region increases with flow rate as well as the peak velocity at the centre of the vortexes.</w:t>
      </w:r>
      <w:r>
        <w:rPr>
          <w:b w:val="0"/>
        </w:rPr>
        <w:t xml:space="preserve"> For the case of 480 </w:t>
      </w:r>
      <w:r w:rsidRPr="004B5760">
        <w:rPr>
          <w:b w:val="0"/>
        </w:rPr>
        <w:t>µl/min</w:t>
      </w:r>
      <w:r>
        <w:rPr>
          <w:b w:val="0"/>
        </w:rPr>
        <w:t xml:space="preserve"> the recirculation is negligible.</w:t>
      </w:r>
      <w:bookmarkEnd w:id="605"/>
      <w:bookmarkEnd w:id="606"/>
    </w:p>
    <w:p w:rsidR="005D1052" w:rsidRDefault="005D1052" w:rsidP="005D1052">
      <w:pPr>
        <w:keepNext/>
        <w:spacing w:after="0"/>
        <w:ind w:firstLine="0"/>
        <w:jc w:val="center"/>
      </w:pPr>
      <w:r>
        <w:rPr>
          <w:noProof/>
          <w:lang w:eastAsia="en-GB"/>
        </w:rPr>
        <w:lastRenderedPageBreak/>
        <w:drawing>
          <wp:inline distT="0" distB="0" distL="0" distR="0" wp14:anchorId="06B4D6D5" wp14:editId="62A26E29">
            <wp:extent cx="5100452" cy="2792823"/>
            <wp:effectExtent l="0" t="0" r="508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rtexes.png"/>
                    <pic:cNvPicPr/>
                  </pic:nvPicPr>
                  <pic:blipFill rotWithShape="1">
                    <a:blip r:embed="rId165" cstate="print">
                      <a:extLst>
                        <a:ext uri="{28A0092B-C50C-407E-A947-70E740481C1C}">
                          <a14:useLocalDpi xmlns:a14="http://schemas.microsoft.com/office/drawing/2010/main" val="0"/>
                        </a:ext>
                      </a:extLst>
                    </a:blip>
                    <a:srcRect b="2460"/>
                    <a:stretch/>
                  </pic:blipFill>
                  <pic:spPr bwMode="auto">
                    <a:xfrm>
                      <a:off x="0" y="0"/>
                      <a:ext cx="5103866" cy="2794693"/>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rPr>
      </w:pPr>
      <w:bookmarkStart w:id="607" w:name="_Ref312195332"/>
      <w:bookmarkStart w:id="608" w:name="_Toc438590879"/>
      <w:bookmarkStart w:id="609" w:name="_Toc445718885"/>
      <w:r>
        <w:t xml:space="preserve">Figure </w:t>
      </w:r>
      <w:fldSimple w:instr=" STYLEREF 1 \s ">
        <w:r w:rsidR="00924C7D">
          <w:rPr>
            <w:noProof/>
          </w:rPr>
          <w:t>5</w:t>
        </w:r>
      </w:fldSimple>
      <w:r>
        <w:noBreakHyphen/>
      </w:r>
      <w:fldSimple w:instr=" SEQ Figure \* ARABIC \s 1 ">
        <w:r w:rsidR="00924C7D">
          <w:rPr>
            <w:noProof/>
          </w:rPr>
          <w:t>38</w:t>
        </w:r>
      </w:fldSimple>
      <w:bookmarkEnd w:id="607"/>
      <w:r>
        <w:t xml:space="preserve"> </w:t>
      </w:r>
      <w:r w:rsidRPr="004B5760">
        <w:rPr>
          <w:b w:val="0"/>
        </w:rPr>
        <w:t>Cell path inside Part 2 (</w:t>
      </w:r>
      <w:r>
        <w:rPr>
          <w:b w:val="0"/>
        </w:rPr>
        <w:t xml:space="preserve">Part 2 </w:t>
      </w:r>
      <w:r w:rsidRPr="00AC6428">
        <w:rPr>
          <w:b w:val="0"/>
        </w:rPr>
        <w:t xml:space="preserve">defined in </w:t>
      </w:r>
      <w:r w:rsidRPr="00AC6428">
        <w:rPr>
          <w:b w:val="0"/>
          <w:highlight w:val="yellow"/>
        </w:rPr>
        <w:fldChar w:fldCharType="begin"/>
      </w:r>
      <w:r w:rsidRPr="00AC6428">
        <w:rPr>
          <w:b w:val="0"/>
        </w:rPr>
        <w:instrText xml:space="preserve"> REF _Ref312191315 \h </w:instrText>
      </w:r>
      <w:r w:rsidRPr="00AC6428">
        <w:rPr>
          <w:b w:val="0"/>
          <w:highlight w:val="yellow"/>
        </w:rPr>
        <w:instrText xml:space="preserve"> \* MERGEFORMAT </w:instrText>
      </w:r>
      <w:r w:rsidRPr="00AC6428">
        <w:rPr>
          <w:b w:val="0"/>
          <w:highlight w:val="yellow"/>
        </w:rPr>
      </w:r>
      <w:r w:rsidRPr="00AC6428">
        <w:rPr>
          <w:b w:val="0"/>
          <w:highlight w:val="yellow"/>
        </w:rPr>
        <w:fldChar w:fldCharType="separate"/>
      </w:r>
      <w:r w:rsidR="00924C7D" w:rsidRPr="00924C7D">
        <w:rPr>
          <w:b w:val="0"/>
        </w:rPr>
        <w:t xml:space="preserve">Figure </w:t>
      </w:r>
      <w:r w:rsidR="00924C7D" w:rsidRPr="00924C7D">
        <w:rPr>
          <w:b w:val="0"/>
          <w:noProof/>
        </w:rPr>
        <w:t>5</w:t>
      </w:r>
      <w:r w:rsidR="00924C7D" w:rsidRPr="00924C7D">
        <w:rPr>
          <w:b w:val="0"/>
          <w:noProof/>
        </w:rPr>
        <w:noBreakHyphen/>
        <w:t>29</w:t>
      </w:r>
      <w:r w:rsidRPr="00AC6428">
        <w:rPr>
          <w:b w:val="0"/>
          <w:highlight w:val="yellow"/>
        </w:rPr>
        <w:fldChar w:fldCharType="end"/>
      </w:r>
      <w:r w:rsidRPr="00AC6428">
        <w:rPr>
          <w:b w:val="0"/>
        </w:rPr>
        <w:t>)</w:t>
      </w:r>
      <w:r w:rsidRPr="004B5760">
        <w:rPr>
          <w:b w:val="0"/>
        </w:rPr>
        <w:t xml:space="preserve"> when cells are released from the inlet and travel towards the outlet. Inside the green box there is the path of the cells that are trapped inside the fluid recirculation regions. Cell path inside these regions changes with flow rate; for 600 µl/min the recirculation path is shorter than for higher flow rates and in the case of 840 µl/min the vortexes</w:t>
      </w:r>
      <w:r>
        <w:rPr>
          <w:b w:val="0"/>
        </w:rPr>
        <w:t xml:space="preserve"> are closer to the scaffold than</w:t>
      </w:r>
      <w:r w:rsidRPr="004B5760">
        <w:rPr>
          <w:b w:val="0"/>
        </w:rPr>
        <w:t xml:space="preserve"> for slower flow rates.</w:t>
      </w:r>
      <w:bookmarkEnd w:id="608"/>
      <w:bookmarkEnd w:id="609"/>
    </w:p>
    <w:p w:rsidR="005D1052" w:rsidRDefault="005D1052" w:rsidP="005D1052">
      <w:pPr>
        <w:keepNext/>
        <w:spacing w:after="0"/>
        <w:ind w:firstLine="0"/>
        <w:jc w:val="center"/>
      </w:pPr>
      <w:r>
        <w:rPr>
          <w:noProof/>
          <w:lang w:eastAsia="en-GB"/>
        </w:rPr>
        <w:drawing>
          <wp:inline distT="0" distB="0" distL="0" distR="0" wp14:anchorId="0C69115C" wp14:editId="35CBB091">
            <wp:extent cx="5777345" cy="2606634"/>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rtex time.png"/>
                    <pic:cNvPicPr/>
                  </pic:nvPicPr>
                  <pic:blipFill rotWithShape="1">
                    <a:blip r:embed="rId166" cstate="print">
                      <a:extLst>
                        <a:ext uri="{28A0092B-C50C-407E-A947-70E740481C1C}">
                          <a14:useLocalDpi xmlns:a14="http://schemas.microsoft.com/office/drawing/2010/main" val="0"/>
                        </a:ext>
                      </a:extLst>
                    </a:blip>
                    <a:srcRect t="2402" r="3629" b="1735"/>
                    <a:stretch/>
                  </pic:blipFill>
                  <pic:spPr bwMode="auto">
                    <a:xfrm>
                      <a:off x="0" y="0"/>
                      <a:ext cx="5779981" cy="2607823"/>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4B5760" w:rsidRDefault="005D1052" w:rsidP="005D1052">
      <w:pPr>
        <w:pStyle w:val="Caption"/>
        <w:rPr>
          <w:b w:val="0"/>
        </w:rPr>
      </w:pPr>
      <w:bookmarkStart w:id="610" w:name="_Ref312193609"/>
      <w:bookmarkStart w:id="611" w:name="_Toc438590880"/>
      <w:bookmarkStart w:id="612" w:name="_Toc445718886"/>
      <w:r>
        <w:t xml:space="preserve">Figure </w:t>
      </w:r>
      <w:fldSimple w:instr=" STYLEREF 1 \s ">
        <w:r w:rsidR="00924C7D">
          <w:rPr>
            <w:noProof/>
          </w:rPr>
          <w:t>5</w:t>
        </w:r>
      </w:fldSimple>
      <w:r>
        <w:noBreakHyphen/>
      </w:r>
      <w:fldSimple w:instr=" SEQ Figure \* ARABIC \s 1 ">
        <w:r w:rsidR="00924C7D">
          <w:rPr>
            <w:noProof/>
          </w:rPr>
          <w:t>39</w:t>
        </w:r>
      </w:fldSimple>
      <w:bookmarkEnd w:id="610"/>
      <w:r>
        <w:t xml:space="preserve"> </w:t>
      </w:r>
      <w:r w:rsidRPr="004B5760">
        <w:rPr>
          <w:b w:val="0"/>
        </w:rPr>
        <w:t>Cell path plotted from the time when the flow would be due to change direction up to 200 seconds</w:t>
      </w:r>
      <w:r>
        <w:rPr>
          <w:b w:val="0"/>
        </w:rPr>
        <w:t xml:space="preserve"> (keeping the same flow direction)</w:t>
      </w:r>
      <w:r w:rsidRPr="004B5760">
        <w:rPr>
          <w:b w:val="0"/>
        </w:rPr>
        <w:t>. For 600 and 720 µl/min the time when the flow would reverse is 50 and 40 s respectively</w:t>
      </w:r>
      <w:r>
        <w:rPr>
          <w:b w:val="0"/>
        </w:rPr>
        <w:t>. A</w:t>
      </w:r>
      <w:r w:rsidRPr="004B5760">
        <w:rPr>
          <w:b w:val="0"/>
        </w:rPr>
        <w:t>t those time points</w:t>
      </w:r>
      <w:r>
        <w:rPr>
          <w:b w:val="0"/>
        </w:rPr>
        <w:t>,</w:t>
      </w:r>
      <w:r w:rsidRPr="004B5760">
        <w:rPr>
          <w:b w:val="0"/>
        </w:rPr>
        <w:t xml:space="preserve"> some cells are still recirculating in the vortexes and even after 200 s</w:t>
      </w:r>
      <w:r>
        <w:rPr>
          <w:b w:val="0"/>
        </w:rPr>
        <w:t>econds</w:t>
      </w:r>
      <w:r w:rsidRPr="004B5760">
        <w:rPr>
          <w:b w:val="0"/>
        </w:rPr>
        <w:t xml:space="preserve"> they will not cross the scaffold. For 840 µl/min, the flow would reverse after 35 s</w:t>
      </w:r>
      <w:r>
        <w:rPr>
          <w:b w:val="0"/>
        </w:rPr>
        <w:t>econds</w:t>
      </w:r>
      <w:r w:rsidRPr="004B5760">
        <w:rPr>
          <w:b w:val="0"/>
        </w:rPr>
        <w:t xml:space="preserve"> and at that time almost all cells have exited from the vortexes although many cells still have not reached the scaffold.</w:t>
      </w:r>
      <w:bookmarkEnd w:id="611"/>
      <w:bookmarkEnd w:id="612"/>
    </w:p>
    <w:p w:rsidR="005D1052" w:rsidRDefault="005D1052" w:rsidP="005D1052">
      <w:pPr>
        <w:pStyle w:val="Heading4"/>
      </w:pPr>
      <w:bookmarkStart w:id="613" w:name="_Toc440823290"/>
      <w:r>
        <w:lastRenderedPageBreak/>
        <w:t xml:space="preserve">Discrete phase results considering </w:t>
      </w:r>
      <w:r w:rsidRPr="00EC316F">
        <w:t>gravity</w:t>
      </w:r>
      <w:bookmarkEnd w:id="613"/>
    </w:p>
    <w:p w:rsidR="005D1052" w:rsidRPr="00EC316F" w:rsidRDefault="005D1052" w:rsidP="005D1052">
      <w:pPr>
        <w:pStyle w:val="Heading5"/>
      </w:pPr>
      <w:bookmarkStart w:id="614" w:name="_Toc440823291"/>
      <w:r w:rsidRPr="00EC316F">
        <w:t xml:space="preserve">Cell </w:t>
      </w:r>
      <w:r>
        <w:t>motion</w:t>
      </w:r>
      <w:bookmarkEnd w:id="614"/>
    </w:p>
    <w:p w:rsidR="005D1052" w:rsidRDefault="005D1052" w:rsidP="005D1052">
      <w:r>
        <w:t xml:space="preserve">The effect of gravity on cell motion becomes more significant for low flow rates deviating cells from the fluid streamlines (see </w:t>
      </w:r>
      <w:r>
        <w:rPr>
          <w:highlight w:val="yellow"/>
        </w:rPr>
        <w:fldChar w:fldCharType="begin"/>
      </w:r>
      <w:r>
        <w:instrText xml:space="preserve"> REF _Ref312193847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40</w:t>
      </w:r>
      <w:r>
        <w:rPr>
          <w:highlight w:val="yellow"/>
        </w:rPr>
        <w:fldChar w:fldCharType="end"/>
      </w:r>
      <w:r>
        <w:t xml:space="preserve">). For the lowest flow rate, 12 </w:t>
      </w:r>
      <w:r>
        <w:rPr>
          <w:rFonts w:ascii="Calibri" w:hAnsi="Calibri"/>
        </w:rPr>
        <w:t>μl/min</w:t>
      </w:r>
      <w:r>
        <w:t xml:space="preserve">, gravity has the strongest impact on cell motion so just few cells reach the scaffold. The majority of cells deposit on the inlet channels before arriving to the cylindrical chamber where the scaffold is placed. The cells that enter in the cylindrical chamber reach the scaffold or the bottom of the chamber at the side closer to the inlet. Moreover, no cells reach the outlet. For 120 </w:t>
      </w:r>
      <w:r>
        <w:rPr>
          <w:rFonts w:ascii="Calibri" w:hAnsi="Calibri"/>
        </w:rPr>
        <w:t>μ</w:t>
      </w:r>
      <w:r>
        <w:t xml:space="preserve">l/min, many cells arrive to the cylindrical chamber and cross the scaffold although due to gravity some cells do not reach the outlet being lost at the bottom of the chamber. For the flow rate of 600 </w:t>
      </w:r>
      <w:r>
        <w:rPr>
          <w:rFonts w:ascii="Calibri" w:hAnsi="Calibri"/>
        </w:rPr>
        <w:t>μ</w:t>
      </w:r>
      <w:r>
        <w:t xml:space="preserve">l/min, cells are less affected by gravity so they mainly follow the fluid streamlines. The distribution of cells passing throughout the scaffold is more homogeneous than for the 120 </w:t>
      </w:r>
      <w:r>
        <w:rPr>
          <w:rFonts w:ascii="Calibri" w:hAnsi="Calibri"/>
        </w:rPr>
        <w:t>μ</w:t>
      </w:r>
      <w:r>
        <w:t xml:space="preserve">l/min case where more cells pass through the scaffold pores closer to the inlet. The effect of gravity on cell path depending on the flow rate applied can be better observed in </w:t>
      </w:r>
      <w:r>
        <w:fldChar w:fldCharType="begin"/>
      </w:r>
      <w:r>
        <w:instrText xml:space="preserve"> REF _Ref312193888 \h </w:instrText>
      </w:r>
      <w:r>
        <w:fldChar w:fldCharType="separate"/>
      </w:r>
      <w:r w:rsidR="00924C7D">
        <w:t xml:space="preserve">Figure </w:t>
      </w:r>
      <w:r w:rsidR="00924C7D">
        <w:rPr>
          <w:noProof/>
        </w:rPr>
        <w:t>5</w:t>
      </w:r>
      <w:r w:rsidR="00924C7D">
        <w:noBreakHyphen/>
      </w:r>
      <w:r w:rsidR="00924C7D">
        <w:rPr>
          <w:noProof/>
        </w:rPr>
        <w:t>41</w:t>
      </w:r>
      <w:r>
        <w:fldChar w:fldCharType="end"/>
      </w:r>
      <w:r w:rsidRPr="004B5760">
        <w:t>.</w:t>
      </w:r>
    </w:p>
    <w:p w:rsidR="005D1052" w:rsidRPr="0091191E" w:rsidRDefault="005D1052" w:rsidP="005D1052">
      <w:r w:rsidRPr="008E163E">
        <w:t xml:space="preserve">Cells are injected </w:t>
      </w:r>
      <w:r>
        <w:t>in 72</w:t>
      </w:r>
      <w:r w:rsidRPr="008E163E">
        <w:t xml:space="preserve"> time points during the first half period when 50</w:t>
      </w:r>
      <w:r>
        <w:t>0 µl of media is dispensed</w:t>
      </w:r>
      <w:r w:rsidRPr="008E163E">
        <w:t>. For 12 μ</w:t>
      </w:r>
      <w:r w:rsidRPr="002B0963">
        <w:t>l/min</w:t>
      </w:r>
      <w:r>
        <w:t xml:space="preserve">, by the time the flow reverses all the cells injected have deposited in Parts 1 and 2 (Parts 1 and 2 defined in </w:t>
      </w:r>
      <w:r>
        <w:rPr>
          <w:highlight w:val="yellow"/>
        </w:rPr>
        <w:fldChar w:fldCharType="begin"/>
      </w:r>
      <w:r>
        <w:instrText xml:space="preserve"> REF _Ref312191315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29</w:t>
      </w:r>
      <w:r>
        <w:rPr>
          <w:highlight w:val="yellow"/>
        </w:rPr>
        <w:fldChar w:fldCharType="end"/>
      </w:r>
      <w:r>
        <w:t>) or on the scaffold surface. For</w:t>
      </w:r>
      <w:r w:rsidRPr="002B0963">
        <w:t xml:space="preserve"> </w:t>
      </w:r>
      <w:r>
        <w:t>120</w:t>
      </w:r>
      <w:r w:rsidRPr="002B0963">
        <w:t xml:space="preserve"> </w:t>
      </w:r>
      <w:r w:rsidRPr="002B0963">
        <w:rPr>
          <w:rFonts w:ascii="Calibri" w:hAnsi="Calibri"/>
        </w:rPr>
        <w:t>μ</w:t>
      </w:r>
      <w:r w:rsidRPr="002B0963">
        <w:t xml:space="preserve">l/min, </w:t>
      </w:r>
      <w:r>
        <w:t xml:space="preserve">the injection time is 125 seconds and the flow changes direction after 250 seconds, by that time even the last cells injected have attached to a boundary or reached the outlet. For 600 </w:t>
      </w:r>
      <w:r w:rsidRPr="002B0963">
        <w:rPr>
          <w:rFonts w:ascii="Calibri" w:hAnsi="Calibri"/>
        </w:rPr>
        <w:t>μ</w:t>
      </w:r>
      <w:r w:rsidRPr="002B0963">
        <w:t>l/min</w:t>
      </w:r>
      <w:r>
        <w:t xml:space="preserve">, injection time is 25 seconds and the flow changes direction after 50 seconds. Some cells require more than 30 seconds to either attach to a boundary or reach the outlet so when the flow reverses some cells especially the ones from the last injections will be suspended on the flow (see results in </w:t>
      </w:r>
      <w:r>
        <w:fldChar w:fldCharType="begin"/>
      </w:r>
      <w:r>
        <w:instrText xml:space="preserve"> REF _Ref312195300 \h </w:instrText>
      </w:r>
      <w:r>
        <w:fldChar w:fldCharType="separate"/>
      </w:r>
      <w:r w:rsidR="00924C7D">
        <w:t xml:space="preserve">Figure </w:t>
      </w:r>
      <w:r w:rsidR="00924C7D">
        <w:rPr>
          <w:noProof/>
        </w:rPr>
        <w:t>5</w:t>
      </w:r>
      <w:r w:rsidR="00924C7D">
        <w:noBreakHyphen/>
      </w:r>
      <w:r w:rsidR="00924C7D">
        <w:rPr>
          <w:noProof/>
        </w:rPr>
        <w:t>42</w:t>
      </w:r>
      <w:r>
        <w:fldChar w:fldCharType="end"/>
      </w:r>
      <w:r w:rsidRPr="0091191E">
        <w:t>).</w:t>
      </w:r>
      <w:r>
        <w:t xml:space="preserve"> It is noteworthy that in the case of 600 </w:t>
      </w:r>
      <w:r w:rsidRPr="002B0963">
        <w:rPr>
          <w:rFonts w:ascii="Calibri" w:hAnsi="Calibri"/>
        </w:rPr>
        <w:t>μ</w:t>
      </w:r>
      <w:r w:rsidRPr="002B0963">
        <w:t>l/min</w:t>
      </w:r>
      <w:r>
        <w:t xml:space="preserve"> the gravity force prevents cells to enter in the fluid recirculation zones shown in </w:t>
      </w:r>
      <w:r>
        <w:rPr>
          <w:highlight w:val="yellow"/>
        </w:rPr>
        <w:fldChar w:fldCharType="begin"/>
      </w:r>
      <w:r>
        <w:instrText xml:space="preserve"> REF _Ref312195332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38</w:t>
      </w:r>
      <w:r>
        <w:rPr>
          <w:highlight w:val="yellow"/>
        </w:rPr>
        <w:fldChar w:fldCharType="end"/>
      </w:r>
      <w:r>
        <w:t>.</w:t>
      </w:r>
    </w:p>
    <w:p w:rsidR="005D1052" w:rsidRDefault="005D1052" w:rsidP="005D1052">
      <w:pPr>
        <w:keepNext/>
        <w:spacing w:after="0"/>
        <w:ind w:firstLine="0"/>
      </w:pPr>
    </w:p>
    <w:p w:rsidR="005D1052" w:rsidRDefault="005D1052" w:rsidP="005D1052">
      <w:pPr>
        <w:keepNext/>
        <w:spacing w:after="0"/>
        <w:ind w:firstLine="0"/>
      </w:pPr>
    </w:p>
    <w:p w:rsidR="005D1052" w:rsidRDefault="005D1052" w:rsidP="005D1052">
      <w:pPr>
        <w:keepNext/>
        <w:spacing w:after="0"/>
        <w:ind w:firstLine="0"/>
      </w:pPr>
    </w:p>
    <w:p w:rsidR="005D1052" w:rsidRDefault="005D1052" w:rsidP="005D1052">
      <w:pPr>
        <w:keepNext/>
        <w:spacing w:after="0"/>
        <w:ind w:firstLine="0"/>
      </w:pPr>
      <w:r>
        <w:rPr>
          <w:noProof/>
          <w:lang w:eastAsia="en-GB"/>
        </w:rPr>
        <w:drawing>
          <wp:inline distT="0" distB="0" distL="0" distR="0" wp14:anchorId="624182B7" wp14:editId="064090BC">
            <wp:extent cx="5607170" cy="5253128"/>
            <wp:effectExtent l="0" t="0" r="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hvelo.png"/>
                    <pic:cNvPicPr/>
                  </pic:nvPicPr>
                  <pic:blipFill rotWithShape="1">
                    <a:blip r:embed="rId167" cstate="print">
                      <a:extLst>
                        <a:ext uri="{28A0092B-C50C-407E-A947-70E740481C1C}">
                          <a14:useLocalDpi xmlns:a14="http://schemas.microsoft.com/office/drawing/2010/main" val="0"/>
                        </a:ext>
                      </a:extLst>
                    </a:blip>
                    <a:srcRect r="2223"/>
                    <a:stretch/>
                  </pic:blipFill>
                  <pic:spPr bwMode="auto">
                    <a:xfrm>
                      <a:off x="0" y="0"/>
                      <a:ext cx="5609180" cy="5255011"/>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4B5760" w:rsidRDefault="005D1052" w:rsidP="005D1052">
      <w:pPr>
        <w:pStyle w:val="Caption"/>
        <w:rPr>
          <w:b w:val="0"/>
        </w:rPr>
      </w:pPr>
      <w:bookmarkStart w:id="615" w:name="_Ref312193847"/>
      <w:bookmarkStart w:id="616" w:name="_Toc438590881"/>
      <w:bookmarkStart w:id="617" w:name="_Toc445718887"/>
      <w:r>
        <w:t xml:space="preserve">Figure </w:t>
      </w:r>
      <w:fldSimple w:instr=" STYLEREF 1 \s ">
        <w:r w:rsidR="00924C7D">
          <w:rPr>
            <w:noProof/>
          </w:rPr>
          <w:t>5</w:t>
        </w:r>
      </w:fldSimple>
      <w:r>
        <w:noBreakHyphen/>
      </w:r>
      <w:fldSimple w:instr=" SEQ Figure \* ARABIC \s 1 ">
        <w:r w:rsidR="00924C7D">
          <w:rPr>
            <w:noProof/>
          </w:rPr>
          <w:t>40</w:t>
        </w:r>
      </w:fldSimple>
      <w:bookmarkEnd w:id="615"/>
      <w:r>
        <w:t xml:space="preserve"> </w:t>
      </w:r>
      <w:r w:rsidRPr="004B5760">
        <w:rPr>
          <w:b w:val="0"/>
        </w:rPr>
        <w:t>Cell path of one injection of cells released from the inlet surface for the flow rates 12, 120 and 600 µl/min along the entire microfluidic system (left) and inside the cylinder and scaffold pores (right). Cell path is coloured by cell velocity values.</w:t>
      </w:r>
      <w:bookmarkEnd w:id="616"/>
      <w:bookmarkEnd w:id="617"/>
    </w:p>
    <w:p w:rsidR="005D1052" w:rsidRDefault="005D1052" w:rsidP="005D1052">
      <w:pPr>
        <w:keepNext/>
        <w:ind w:firstLine="0"/>
        <w:jc w:val="center"/>
      </w:pPr>
      <w:r>
        <w:rPr>
          <w:noProof/>
          <w:lang w:eastAsia="en-GB"/>
        </w:rPr>
        <w:lastRenderedPageBreak/>
        <w:drawing>
          <wp:inline distT="0" distB="0" distL="0" distR="0" wp14:anchorId="75FD1F23" wp14:editId="0AA06D51">
            <wp:extent cx="5457825" cy="1882966"/>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vspath.png"/>
                    <pic:cNvPicPr/>
                  </pic:nvPicPr>
                  <pic:blipFill rotWithShape="1">
                    <a:blip r:embed="rId168" cstate="print">
                      <a:extLst>
                        <a:ext uri="{28A0092B-C50C-407E-A947-70E740481C1C}">
                          <a14:useLocalDpi xmlns:a14="http://schemas.microsoft.com/office/drawing/2010/main" val="0"/>
                        </a:ext>
                      </a:extLst>
                    </a:blip>
                    <a:srcRect t="7128"/>
                    <a:stretch/>
                  </pic:blipFill>
                  <pic:spPr bwMode="auto">
                    <a:xfrm>
                      <a:off x="0" y="0"/>
                      <a:ext cx="5471513" cy="1887688"/>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rPr>
      </w:pPr>
      <w:bookmarkStart w:id="618" w:name="_Ref312193888"/>
      <w:bookmarkStart w:id="619" w:name="_Toc438590882"/>
      <w:bookmarkStart w:id="620" w:name="_Toc445718888"/>
      <w:r>
        <w:t xml:space="preserve">Figure </w:t>
      </w:r>
      <w:fldSimple w:instr=" STYLEREF 1 \s ">
        <w:r w:rsidR="00924C7D">
          <w:rPr>
            <w:noProof/>
          </w:rPr>
          <w:t>5</w:t>
        </w:r>
      </w:fldSimple>
      <w:r>
        <w:noBreakHyphen/>
      </w:r>
      <w:fldSimple w:instr=" SEQ Figure \* ARABIC \s 1 ">
        <w:r w:rsidR="00924C7D">
          <w:rPr>
            <w:noProof/>
          </w:rPr>
          <w:t>41</w:t>
        </w:r>
      </w:fldSimple>
      <w:bookmarkEnd w:id="618"/>
      <w:r>
        <w:t xml:space="preserve"> </w:t>
      </w:r>
      <w:r w:rsidRPr="00A62488">
        <w:rPr>
          <w:b w:val="0"/>
        </w:rPr>
        <w:t>Cell path (pink) and fluid streamlines (blue) along the cylinder and scaffold pores (side view) for the three flow rates. Gravity effect on cell motion is stronger for lower flow rates especially for 12 µl/min where cell path detaches from the fluid streamlines. For higher flow rates such as 600 µl/min cells travel along the fluid streamlines as the effect of the gravity force is less strong.</w:t>
      </w:r>
      <w:bookmarkEnd w:id="619"/>
      <w:bookmarkEnd w:id="620"/>
    </w:p>
    <w:p w:rsidR="005D1052" w:rsidRPr="00EC316F" w:rsidRDefault="005D1052" w:rsidP="005D1052">
      <w:pPr>
        <w:pStyle w:val="Heading5"/>
        <w:numPr>
          <w:ilvl w:val="4"/>
          <w:numId w:val="22"/>
        </w:numPr>
      </w:pPr>
      <w:bookmarkStart w:id="621" w:name="_Toc440823292"/>
      <w:r>
        <w:t>Cell deposition</w:t>
      </w:r>
      <w:bookmarkEnd w:id="621"/>
    </w:p>
    <w:p w:rsidR="005D1052" w:rsidRPr="001F016B" w:rsidRDefault="005D1052" w:rsidP="005D1052">
      <w:r w:rsidRPr="006D405A">
        <w:t xml:space="preserve">The flow rate that provides the highest cell seeding efficiency is 120 μl/min. A high number of cells pass by the scaffold pores and the gravity deviates the cells from the fluid streamlines sufficiently in order to intercept the scaffold substrate. Despite the fact that this flow rate provides the highest number of cells attached on the scaffold, the seeding efficiency is low with a value of 14%. Most of the cells attach in Parts 1 and 3 as seen in </w:t>
      </w:r>
      <w:r w:rsidRPr="006D405A">
        <w:rPr>
          <w:highlight w:val="yellow"/>
        </w:rPr>
        <w:fldChar w:fldCharType="begin"/>
      </w:r>
      <w:r w:rsidRPr="006D405A">
        <w:instrText xml:space="preserve"> REF _Ref312195355 \h </w:instrText>
      </w:r>
      <w:r>
        <w:rPr>
          <w:highlight w:val="yellow"/>
        </w:rPr>
        <w:instrText xml:space="preserve"> \* MERGEFORMAT </w:instrText>
      </w:r>
      <w:r w:rsidRPr="006D405A">
        <w:rPr>
          <w:highlight w:val="yellow"/>
        </w:rPr>
      </w:r>
      <w:r w:rsidRPr="006D405A">
        <w:rPr>
          <w:highlight w:val="yellow"/>
        </w:rPr>
        <w:fldChar w:fldCharType="separate"/>
      </w:r>
      <w:r w:rsidR="00924C7D">
        <w:t>Figure 5</w:t>
      </w:r>
      <w:r w:rsidR="00924C7D">
        <w:noBreakHyphen/>
        <w:t>43</w:t>
      </w:r>
      <w:r w:rsidRPr="006D405A">
        <w:rPr>
          <w:highlight w:val="yellow"/>
        </w:rPr>
        <w:fldChar w:fldCharType="end"/>
      </w:r>
      <w:r w:rsidRPr="006D405A">
        <w:t>. The lowest scaffold seeding efficiency is 2.2% for the flow rate of 12 µl/min</w:t>
      </w:r>
      <w:r>
        <w:t>. In this case,</w:t>
      </w:r>
      <w:r w:rsidRPr="006D405A">
        <w:t xml:space="preserve"> cell sedimentation is significantly higher and most of the cells attach to Part 1 before arriving to the scaffold. In the case of 600 µl/min, the efficiency is lower than for 120 µl/min since the drag force overcomes the gravity effect</w:t>
      </w:r>
      <w:r>
        <w:t>; therefore,</w:t>
      </w:r>
      <w:r w:rsidRPr="006D405A">
        <w:t xml:space="preserve"> cell</w:t>
      </w:r>
      <w:r>
        <w:t>s</w:t>
      </w:r>
      <w:r w:rsidRPr="006D405A">
        <w:t xml:space="preserve"> do not deviate from the streamlines </w:t>
      </w:r>
      <w:r>
        <w:t>preventing their</w:t>
      </w:r>
      <w:r w:rsidRPr="006D405A">
        <w:t xml:space="preserve"> intercept</w:t>
      </w:r>
      <w:r>
        <w:t>ion</w:t>
      </w:r>
      <w:r w:rsidRPr="006D405A">
        <w:t xml:space="preserve"> with the scaffold substrate (see efficiency results in </w:t>
      </w:r>
      <w:r w:rsidRPr="006D405A">
        <w:rPr>
          <w:highlight w:val="yellow"/>
        </w:rPr>
        <w:fldChar w:fldCharType="begin"/>
      </w:r>
      <w:r w:rsidRPr="006D405A">
        <w:instrText xml:space="preserve"> REF _Ref312195367 \h </w:instrText>
      </w:r>
      <w:r>
        <w:rPr>
          <w:highlight w:val="yellow"/>
        </w:rPr>
        <w:instrText xml:space="preserve"> \* MERGEFORMAT </w:instrText>
      </w:r>
      <w:r w:rsidRPr="006D405A">
        <w:rPr>
          <w:highlight w:val="yellow"/>
        </w:rPr>
      </w:r>
      <w:r w:rsidRPr="006D405A">
        <w:rPr>
          <w:highlight w:val="yellow"/>
        </w:rPr>
        <w:fldChar w:fldCharType="separate"/>
      </w:r>
      <w:r w:rsidR="00924C7D">
        <w:t>Figure 5</w:t>
      </w:r>
      <w:r w:rsidR="00924C7D">
        <w:noBreakHyphen/>
        <w:t>44</w:t>
      </w:r>
      <w:r w:rsidRPr="006D405A">
        <w:rPr>
          <w:highlight w:val="yellow"/>
        </w:rPr>
        <w:fldChar w:fldCharType="end"/>
      </w:r>
      <w:r w:rsidRPr="006D405A">
        <w:t xml:space="preserve">). This flow rate still provides higher efficiency than 12 µl/min as more cells reach the scaffold so the probability of cells to attach is higher. Cell distribution on the microfluidic system walls is shown in </w:t>
      </w:r>
      <w:r w:rsidRPr="006D405A">
        <w:rPr>
          <w:highlight w:val="yellow"/>
        </w:rPr>
        <w:fldChar w:fldCharType="begin"/>
      </w:r>
      <w:r w:rsidRPr="006D405A">
        <w:instrText xml:space="preserve"> REF _Ref312195395 \h </w:instrText>
      </w:r>
      <w:r>
        <w:rPr>
          <w:highlight w:val="yellow"/>
        </w:rPr>
        <w:instrText xml:space="preserve"> \* MERGEFORMAT </w:instrText>
      </w:r>
      <w:r w:rsidRPr="006D405A">
        <w:rPr>
          <w:highlight w:val="yellow"/>
        </w:rPr>
      </w:r>
      <w:r w:rsidRPr="006D405A">
        <w:rPr>
          <w:highlight w:val="yellow"/>
        </w:rPr>
        <w:fldChar w:fldCharType="separate"/>
      </w:r>
      <w:r w:rsidR="00924C7D">
        <w:t>Figure 5</w:t>
      </w:r>
      <w:r w:rsidR="00924C7D">
        <w:noBreakHyphen/>
        <w:t>45</w:t>
      </w:r>
      <w:r w:rsidRPr="006D405A">
        <w:rPr>
          <w:highlight w:val="yellow"/>
        </w:rPr>
        <w:fldChar w:fldCharType="end"/>
      </w:r>
      <w:r>
        <w:t>.</w:t>
      </w:r>
    </w:p>
    <w:p w:rsidR="005D1052" w:rsidRDefault="005D1052" w:rsidP="005D1052">
      <w:pPr>
        <w:pStyle w:val="Caption"/>
      </w:pPr>
    </w:p>
    <w:p w:rsidR="005D1052" w:rsidRDefault="005D1052" w:rsidP="005D1052">
      <w:pPr>
        <w:pStyle w:val="Caption"/>
      </w:pPr>
    </w:p>
    <w:p w:rsidR="005D1052" w:rsidRDefault="005D1052" w:rsidP="005D1052">
      <w:pPr>
        <w:pStyle w:val="Caption"/>
      </w:pPr>
      <w:r>
        <w:rPr>
          <w:noProof/>
          <w:lang w:eastAsia="en-GB"/>
        </w:rPr>
        <w:drawing>
          <wp:inline distT="0" distB="0" distL="0" distR="0" wp14:anchorId="478E699B" wp14:editId="3D764D74">
            <wp:extent cx="5380112" cy="5688281"/>
            <wp:effectExtent l="0" t="0" r="0" b="8255"/>
            <wp:docPr id="8192" name="Picture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timegravityon.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383802" cy="5692182"/>
                    </a:xfrm>
                    <a:prstGeom prst="rect">
                      <a:avLst/>
                    </a:prstGeom>
                  </pic:spPr>
                </pic:pic>
              </a:graphicData>
            </a:graphic>
          </wp:inline>
        </w:drawing>
      </w:r>
    </w:p>
    <w:p w:rsidR="005D1052" w:rsidRPr="00A62488" w:rsidRDefault="005D1052" w:rsidP="005D1052">
      <w:pPr>
        <w:pStyle w:val="Caption"/>
        <w:rPr>
          <w:b w:val="0"/>
          <w:noProof/>
        </w:rPr>
      </w:pPr>
      <w:bookmarkStart w:id="622" w:name="_Ref312195300"/>
      <w:bookmarkStart w:id="623" w:name="_Toc438590883"/>
      <w:bookmarkStart w:id="624" w:name="_Toc445718889"/>
      <w:r>
        <w:t xml:space="preserve">Figure </w:t>
      </w:r>
      <w:fldSimple w:instr=" STYLEREF 1 \s ">
        <w:r w:rsidR="00924C7D">
          <w:rPr>
            <w:noProof/>
          </w:rPr>
          <w:t>5</w:t>
        </w:r>
      </w:fldSimple>
      <w:r>
        <w:noBreakHyphen/>
      </w:r>
      <w:fldSimple w:instr=" SEQ Figure \* ARABIC \s 1 ">
        <w:r w:rsidR="00924C7D">
          <w:rPr>
            <w:noProof/>
          </w:rPr>
          <w:t>42</w:t>
        </w:r>
      </w:fldSimple>
      <w:bookmarkEnd w:id="622"/>
      <w:r>
        <w:rPr>
          <w:noProof/>
        </w:rPr>
        <w:t xml:space="preserve"> </w:t>
      </w:r>
      <w:r w:rsidRPr="00A62488">
        <w:rPr>
          <w:b w:val="0"/>
          <w:noProof/>
        </w:rPr>
        <w:t xml:space="preserve">Cell path of one injection of cells released from the inlet surface coloured by the time of the simulation. The maximum time plotted in the three cases is the time needed to dispense </w:t>
      </w:r>
      <w:r w:rsidRPr="00A62488">
        <w:rPr>
          <w:b w:val="0"/>
        </w:rPr>
        <w:t xml:space="preserve">500 </w:t>
      </w:r>
      <w:r w:rsidRPr="00A62488">
        <w:rPr>
          <w:rFonts w:cs="Times New Roman"/>
          <w:b w:val="0"/>
        </w:rPr>
        <w:t>µ</w:t>
      </w:r>
      <w:r w:rsidRPr="00A62488">
        <w:rPr>
          <w:b w:val="0"/>
        </w:rPr>
        <w:t>l of fluid for each flow rate.</w:t>
      </w:r>
      <w:bookmarkEnd w:id="623"/>
      <w:bookmarkEnd w:id="624"/>
    </w:p>
    <w:p w:rsidR="005D1052" w:rsidRDefault="005D1052" w:rsidP="005D1052">
      <w:pPr>
        <w:keepNext/>
        <w:spacing w:after="0"/>
        <w:ind w:firstLine="0"/>
      </w:pPr>
    </w:p>
    <w:p w:rsidR="005D1052" w:rsidRDefault="005D1052" w:rsidP="005D1052">
      <w:pPr>
        <w:keepNext/>
        <w:spacing w:after="0"/>
        <w:ind w:firstLine="0"/>
      </w:pPr>
      <w:r>
        <w:rPr>
          <w:noProof/>
          <w:lang w:eastAsia="en-GB"/>
        </w:rPr>
        <w:drawing>
          <wp:inline distT="0" distB="0" distL="0" distR="0" wp14:anchorId="7E86356D" wp14:editId="7DBC9213">
            <wp:extent cx="4993057" cy="3460348"/>
            <wp:effectExtent l="0" t="0" r="0" b="6985"/>
            <wp:docPr id="8193" name="Picture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gravity.png"/>
                    <pic:cNvPicPr/>
                  </pic:nvPicPr>
                  <pic:blipFill>
                    <a:blip r:embed="rId170">
                      <a:extLst>
                        <a:ext uri="{28A0092B-C50C-407E-A947-70E740481C1C}">
                          <a14:useLocalDpi xmlns:a14="http://schemas.microsoft.com/office/drawing/2010/main" val="0"/>
                        </a:ext>
                      </a:extLst>
                    </a:blip>
                    <a:stretch>
                      <a:fillRect/>
                    </a:stretch>
                  </pic:blipFill>
                  <pic:spPr bwMode="auto">
                    <a:xfrm>
                      <a:off x="0" y="0"/>
                      <a:ext cx="4993057" cy="3460348"/>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91191E" w:rsidRDefault="005D1052" w:rsidP="005D1052">
      <w:pPr>
        <w:pStyle w:val="Caption"/>
        <w:rPr>
          <w:b w:val="0"/>
        </w:rPr>
      </w:pPr>
      <w:bookmarkStart w:id="625" w:name="_Ref312195355"/>
      <w:bookmarkStart w:id="626" w:name="_Toc438590884"/>
      <w:bookmarkStart w:id="627" w:name="_Toc445718890"/>
      <w:r>
        <w:t xml:space="preserve">Figure </w:t>
      </w:r>
      <w:fldSimple w:instr=" STYLEREF 1 \s ">
        <w:r w:rsidR="00924C7D">
          <w:rPr>
            <w:noProof/>
          </w:rPr>
          <w:t>5</w:t>
        </w:r>
      </w:fldSimple>
      <w:r>
        <w:noBreakHyphen/>
      </w:r>
      <w:fldSimple w:instr=" SEQ Figure \* ARABIC \s 1 ">
        <w:r w:rsidR="00924C7D">
          <w:rPr>
            <w:noProof/>
          </w:rPr>
          <w:t>43</w:t>
        </w:r>
      </w:fldSimple>
      <w:bookmarkEnd w:id="625"/>
      <w:r>
        <w:t xml:space="preserve"> </w:t>
      </w:r>
      <w:r w:rsidRPr="0091191E">
        <w:rPr>
          <w:b w:val="0"/>
        </w:rPr>
        <w:t xml:space="preserve">Number </w:t>
      </w:r>
      <w:r w:rsidRPr="00D6340D">
        <w:rPr>
          <w:b w:val="0"/>
        </w:rPr>
        <w:t>of cells attached on Parts 1, 2 and 3 and scaffold surface (Parts 1,</w:t>
      </w:r>
      <w:r>
        <w:rPr>
          <w:b w:val="0"/>
        </w:rPr>
        <w:t xml:space="preserve"> </w:t>
      </w:r>
      <w:r w:rsidRPr="00D6340D">
        <w:rPr>
          <w:b w:val="0"/>
        </w:rPr>
        <w:t xml:space="preserve">2 and 3 defined in </w:t>
      </w:r>
      <w:r w:rsidRPr="00D6340D">
        <w:rPr>
          <w:b w:val="0"/>
          <w:highlight w:val="yellow"/>
        </w:rPr>
        <w:fldChar w:fldCharType="begin"/>
      </w:r>
      <w:r w:rsidRPr="00D6340D">
        <w:rPr>
          <w:b w:val="0"/>
        </w:rPr>
        <w:instrText xml:space="preserve"> REF _Ref312191315 \h </w:instrText>
      </w:r>
      <w:r w:rsidRPr="00D6340D">
        <w:rPr>
          <w:b w:val="0"/>
          <w:highlight w:val="yellow"/>
        </w:rPr>
        <w:instrText xml:space="preserve"> \* MERGEFORMAT </w:instrText>
      </w:r>
      <w:r w:rsidRPr="00D6340D">
        <w:rPr>
          <w:b w:val="0"/>
          <w:highlight w:val="yellow"/>
        </w:rPr>
      </w:r>
      <w:r w:rsidRPr="00D6340D">
        <w:rPr>
          <w:b w:val="0"/>
          <w:highlight w:val="yellow"/>
        </w:rPr>
        <w:fldChar w:fldCharType="separate"/>
      </w:r>
      <w:r w:rsidR="00924C7D" w:rsidRPr="00924C7D">
        <w:rPr>
          <w:b w:val="0"/>
        </w:rPr>
        <w:t xml:space="preserve">Figure </w:t>
      </w:r>
      <w:r w:rsidR="00924C7D" w:rsidRPr="00924C7D">
        <w:rPr>
          <w:b w:val="0"/>
          <w:noProof/>
        </w:rPr>
        <w:t>5</w:t>
      </w:r>
      <w:r w:rsidR="00924C7D" w:rsidRPr="00924C7D">
        <w:rPr>
          <w:b w:val="0"/>
          <w:noProof/>
        </w:rPr>
        <w:noBreakHyphen/>
        <w:t>29</w:t>
      </w:r>
      <w:r w:rsidRPr="00D6340D">
        <w:rPr>
          <w:b w:val="0"/>
          <w:highlight w:val="yellow"/>
        </w:rPr>
        <w:fldChar w:fldCharType="end"/>
      </w:r>
      <w:r w:rsidRPr="00D6340D">
        <w:rPr>
          <w:b w:val="0"/>
        </w:rPr>
        <w:t>) depending</w:t>
      </w:r>
      <w:r w:rsidRPr="0091191E">
        <w:rPr>
          <w:b w:val="0"/>
        </w:rPr>
        <w:t xml:space="preserve"> on the flow rate applied.</w:t>
      </w:r>
      <w:bookmarkEnd w:id="626"/>
      <w:bookmarkEnd w:id="627"/>
    </w:p>
    <w:p w:rsidR="005D1052" w:rsidRDefault="005D1052" w:rsidP="005D1052">
      <w:pPr>
        <w:keepNext/>
        <w:spacing w:after="0"/>
        <w:ind w:firstLine="0"/>
        <w:jc w:val="center"/>
      </w:pPr>
    </w:p>
    <w:p w:rsidR="005D1052" w:rsidRDefault="005D1052" w:rsidP="005D1052">
      <w:pPr>
        <w:keepNext/>
        <w:spacing w:after="0"/>
        <w:ind w:firstLine="0"/>
        <w:jc w:val="center"/>
      </w:pPr>
      <w:r>
        <w:rPr>
          <w:noProof/>
          <w:lang w:eastAsia="en-GB"/>
        </w:rPr>
        <w:drawing>
          <wp:inline distT="0" distB="0" distL="0" distR="0" wp14:anchorId="463CF04B" wp14:editId="2ADB3DCC">
            <wp:extent cx="2949300" cy="1793174"/>
            <wp:effectExtent l="0" t="0" r="3810" b="0"/>
            <wp:docPr id="8194" name="Picture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iciency G.png"/>
                    <pic:cNvPicPr/>
                  </pic:nvPicPr>
                  <pic:blipFill>
                    <a:blip r:embed="rId171">
                      <a:extLst>
                        <a:ext uri="{28A0092B-C50C-407E-A947-70E740481C1C}">
                          <a14:useLocalDpi xmlns:a14="http://schemas.microsoft.com/office/drawing/2010/main" val="0"/>
                        </a:ext>
                      </a:extLst>
                    </a:blip>
                    <a:stretch>
                      <a:fillRect/>
                    </a:stretch>
                  </pic:blipFill>
                  <pic:spPr>
                    <a:xfrm>
                      <a:off x="0" y="0"/>
                      <a:ext cx="2961494" cy="1800588"/>
                    </a:xfrm>
                    <a:prstGeom prst="rect">
                      <a:avLst/>
                    </a:prstGeom>
                  </pic:spPr>
                </pic:pic>
              </a:graphicData>
            </a:graphic>
          </wp:inline>
        </w:drawing>
      </w:r>
    </w:p>
    <w:p w:rsidR="005D1052" w:rsidRPr="0091191E" w:rsidRDefault="005D1052" w:rsidP="005D1052">
      <w:pPr>
        <w:pStyle w:val="Caption"/>
        <w:rPr>
          <w:b w:val="0"/>
        </w:rPr>
      </w:pPr>
      <w:bookmarkStart w:id="628" w:name="_Ref312195367"/>
      <w:bookmarkStart w:id="629" w:name="_Toc438590885"/>
      <w:bookmarkStart w:id="630" w:name="_Toc445718891"/>
      <w:r>
        <w:t xml:space="preserve">Figure </w:t>
      </w:r>
      <w:fldSimple w:instr=" STYLEREF 1 \s ">
        <w:r w:rsidR="00924C7D">
          <w:rPr>
            <w:noProof/>
          </w:rPr>
          <w:t>5</w:t>
        </w:r>
      </w:fldSimple>
      <w:r>
        <w:noBreakHyphen/>
      </w:r>
      <w:fldSimple w:instr=" SEQ Figure \* ARABIC \s 1 ">
        <w:r w:rsidR="00924C7D">
          <w:rPr>
            <w:noProof/>
          </w:rPr>
          <w:t>44</w:t>
        </w:r>
      </w:fldSimple>
      <w:bookmarkEnd w:id="628"/>
      <w:r>
        <w:t xml:space="preserve"> </w:t>
      </w:r>
      <w:r w:rsidRPr="0091191E">
        <w:rPr>
          <w:b w:val="0"/>
        </w:rPr>
        <w:t>2.2, 14 and 3.7 % scaffold cell seeding efficiency for 12, 120 and 600 µl/min respectively.</w:t>
      </w:r>
      <w:bookmarkEnd w:id="629"/>
      <w:bookmarkEnd w:id="630"/>
    </w:p>
    <w:p w:rsidR="005D1052" w:rsidRDefault="005D1052" w:rsidP="005D1052">
      <w:pPr>
        <w:spacing w:after="0"/>
        <w:ind w:firstLine="0"/>
        <w:jc w:val="center"/>
      </w:pPr>
      <w:r w:rsidRPr="003F1E67">
        <w:rPr>
          <w:noProof/>
          <w:lang w:eastAsia="en-GB"/>
        </w:rPr>
        <w:lastRenderedPageBreak/>
        <w:drawing>
          <wp:inline distT="0" distB="0" distL="0" distR="0" wp14:anchorId="37DE78B4" wp14:editId="6CC950B4">
            <wp:extent cx="5455766" cy="5848350"/>
            <wp:effectExtent l="0" t="0" r="0" b="0"/>
            <wp:docPr id="8197" name="Picture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attachment_all.png"/>
                    <pic:cNvPicPr/>
                  </pic:nvPicPr>
                  <pic:blipFill rotWithShape="1">
                    <a:blip r:embed="rId172" cstate="print">
                      <a:extLst>
                        <a:ext uri="{28A0092B-C50C-407E-A947-70E740481C1C}">
                          <a14:useLocalDpi xmlns:a14="http://schemas.microsoft.com/office/drawing/2010/main" val="0"/>
                        </a:ext>
                      </a:extLst>
                    </a:blip>
                    <a:srcRect l="2386" b="1250"/>
                    <a:stretch/>
                  </pic:blipFill>
                  <pic:spPr bwMode="auto">
                    <a:xfrm>
                      <a:off x="0" y="0"/>
                      <a:ext cx="5463244" cy="5856366"/>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912CF3" w:rsidRDefault="005D1052" w:rsidP="005D1052">
      <w:pPr>
        <w:pStyle w:val="Caption"/>
        <w:rPr>
          <w:b w:val="0"/>
        </w:rPr>
      </w:pPr>
      <w:bookmarkStart w:id="631" w:name="_Ref312195395"/>
      <w:bookmarkStart w:id="632" w:name="_Toc438590886"/>
      <w:bookmarkStart w:id="633" w:name="_Toc445718892"/>
      <w:r>
        <w:t xml:space="preserve">Figure </w:t>
      </w:r>
      <w:fldSimple w:instr=" STYLEREF 1 \s ">
        <w:r w:rsidR="00924C7D">
          <w:rPr>
            <w:noProof/>
          </w:rPr>
          <w:t>5</w:t>
        </w:r>
      </w:fldSimple>
      <w:r>
        <w:noBreakHyphen/>
      </w:r>
      <w:fldSimple w:instr=" SEQ Figure \* ARABIC \s 1 ">
        <w:r w:rsidR="00924C7D">
          <w:rPr>
            <w:noProof/>
          </w:rPr>
          <w:t>45</w:t>
        </w:r>
      </w:fldSimple>
      <w:bookmarkEnd w:id="631"/>
      <w:r>
        <w:rPr>
          <w:noProof/>
        </w:rPr>
        <w:t xml:space="preserve"> </w:t>
      </w:r>
      <w:r w:rsidRPr="00912CF3">
        <w:rPr>
          <w:b w:val="0"/>
        </w:rPr>
        <w:t>Cells attached on the boundaries of the cell seeding system including scaffold substrate for the three flow rates applied. In 12 µl/min</w:t>
      </w:r>
      <w:r>
        <w:rPr>
          <w:b w:val="0"/>
        </w:rPr>
        <w:t>,</w:t>
      </w:r>
      <w:r w:rsidRPr="00912CF3">
        <w:rPr>
          <w:b w:val="0"/>
        </w:rPr>
        <w:t xml:space="preserve"> almost all cells deposit on Part 1. In 120 µl/min</w:t>
      </w:r>
      <w:r>
        <w:rPr>
          <w:b w:val="0"/>
        </w:rPr>
        <w:t>,</w:t>
      </w:r>
      <w:r w:rsidRPr="00912CF3">
        <w:rPr>
          <w:b w:val="0"/>
        </w:rPr>
        <w:t xml:space="preserve"> more cells arrive to </w:t>
      </w:r>
      <w:r>
        <w:rPr>
          <w:b w:val="0"/>
        </w:rPr>
        <w:t>Part 2</w:t>
      </w:r>
      <w:r w:rsidRPr="00912CF3">
        <w:rPr>
          <w:b w:val="0"/>
        </w:rPr>
        <w:t xml:space="preserve"> and the scaffold and few of them reach the outlet. 600 µl/min is the case where more cells arrive to Part 3.</w:t>
      </w:r>
      <w:bookmarkEnd w:id="632"/>
      <w:r>
        <w:rPr>
          <w:b w:val="0"/>
        </w:rPr>
        <w:t xml:space="preserve"> </w:t>
      </w:r>
      <w:r w:rsidRPr="00E52A2E">
        <w:rPr>
          <w:b w:val="0"/>
        </w:rPr>
        <w:t>The cells are represented with spheres ten times bigger than the real size of cells to improve visibility.</w:t>
      </w:r>
      <w:bookmarkEnd w:id="633"/>
    </w:p>
    <w:p w:rsidR="005D1052" w:rsidRDefault="005D1052" w:rsidP="005D1052">
      <w:r>
        <w:t xml:space="preserve">Regarding the distribution of cells inside the scaffold, for 12 </w:t>
      </w:r>
      <w:r w:rsidRPr="00056580">
        <w:t>µ</w:t>
      </w:r>
      <w:r w:rsidRPr="00DC4B81">
        <w:t>l/min</w:t>
      </w:r>
      <w:r>
        <w:t xml:space="preserve"> the cells attach to the scaffold at the region closer to the inlet (see </w:t>
      </w:r>
      <w:r>
        <w:rPr>
          <w:highlight w:val="yellow"/>
        </w:rPr>
        <w:fldChar w:fldCharType="begin"/>
      </w:r>
      <w:r>
        <w:instrText xml:space="preserve"> REF _Ref312195551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46</w:t>
      </w:r>
      <w:r>
        <w:rPr>
          <w:highlight w:val="yellow"/>
        </w:rPr>
        <w:fldChar w:fldCharType="end"/>
      </w:r>
      <w:r>
        <w:t xml:space="preserve">). </w:t>
      </w:r>
      <w:r w:rsidRPr="005660C1">
        <w:t>120 µl/</w:t>
      </w:r>
      <w:r w:rsidRPr="00DC4B81">
        <w:t>min</w:t>
      </w:r>
      <w:r>
        <w:t xml:space="preserve"> results in the best spatial distribution of cells throughout the scaffold although with less </w:t>
      </w:r>
      <w:r>
        <w:lastRenderedPageBreak/>
        <w:t xml:space="preserve">presence of cells at the region </w:t>
      </w:r>
      <w:r w:rsidRPr="00E54408">
        <w:t>far from the inlet</w:t>
      </w:r>
      <w:r>
        <w:t xml:space="preserve">. For 600 </w:t>
      </w:r>
      <w:r w:rsidRPr="00A13AAF">
        <w:t>µ</w:t>
      </w:r>
      <w:r w:rsidRPr="00DC4B81">
        <w:t>l/min</w:t>
      </w:r>
      <w:r>
        <w:t xml:space="preserve">, some cells are found at the region of the scaffold closer to the outlet as cells can travel longer distance since they are less affected by gravity (see </w:t>
      </w:r>
      <w:r>
        <w:fldChar w:fldCharType="begin"/>
      </w:r>
      <w:r>
        <w:instrText xml:space="preserve"> REF _Ref440733844 \h </w:instrText>
      </w:r>
      <w:r>
        <w:fldChar w:fldCharType="separate"/>
      </w:r>
      <w:r w:rsidR="00924C7D">
        <w:t xml:space="preserve">Figure </w:t>
      </w:r>
      <w:r w:rsidR="00924C7D">
        <w:rPr>
          <w:noProof/>
        </w:rPr>
        <w:t>5</w:t>
      </w:r>
      <w:r w:rsidR="00924C7D">
        <w:noBreakHyphen/>
      </w:r>
      <w:r w:rsidR="00924C7D">
        <w:rPr>
          <w:noProof/>
        </w:rPr>
        <w:t>47</w:t>
      </w:r>
      <w:r>
        <w:fldChar w:fldCharType="end"/>
      </w:r>
      <w:r>
        <w:t>). For the three cases, cells can be found in all levels along scaffold depth.</w:t>
      </w:r>
    </w:p>
    <w:p w:rsidR="005D1052" w:rsidRDefault="005D1052" w:rsidP="005D1052"/>
    <w:p w:rsidR="005D1052" w:rsidRDefault="005D1052" w:rsidP="005D1052">
      <w:pPr>
        <w:keepNext/>
        <w:spacing w:after="0"/>
        <w:ind w:firstLine="0"/>
      </w:pPr>
      <w:r>
        <w:rPr>
          <w:noProof/>
          <w:lang w:eastAsia="en-GB"/>
        </w:rPr>
        <w:drawing>
          <wp:inline distT="0" distB="0" distL="0" distR="0" wp14:anchorId="0229F5E4" wp14:editId="1ECADFE8">
            <wp:extent cx="5505450" cy="1286440"/>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png"/>
                    <pic:cNvPicPr/>
                  </pic:nvPicPr>
                  <pic:blipFill rotWithShape="1">
                    <a:blip r:embed="rId173" cstate="print">
                      <a:extLst>
                        <a:ext uri="{28A0092B-C50C-407E-A947-70E740481C1C}">
                          <a14:useLocalDpi xmlns:a14="http://schemas.microsoft.com/office/drawing/2010/main" val="0"/>
                        </a:ext>
                      </a:extLst>
                    </a:blip>
                    <a:srcRect l="1947" t="11855" r="1530"/>
                    <a:stretch/>
                  </pic:blipFill>
                  <pic:spPr bwMode="auto">
                    <a:xfrm>
                      <a:off x="0" y="0"/>
                      <a:ext cx="5548022" cy="1296388"/>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912CF3" w:rsidRDefault="005D1052" w:rsidP="005D1052">
      <w:pPr>
        <w:pStyle w:val="Caption"/>
        <w:rPr>
          <w:b w:val="0"/>
        </w:rPr>
      </w:pPr>
      <w:bookmarkStart w:id="634" w:name="_Ref312195551"/>
      <w:bookmarkStart w:id="635" w:name="_Toc438590887"/>
      <w:bookmarkStart w:id="636" w:name="_Toc445718893"/>
      <w:r>
        <w:t xml:space="preserve">Figure </w:t>
      </w:r>
      <w:fldSimple w:instr=" STYLEREF 1 \s ">
        <w:r w:rsidR="00924C7D">
          <w:rPr>
            <w:noProof/>
          </w:rPr>
          <w:t>5</w:t>
        </w:r>
      </w:fldSimple>
      <w:r>
        <w:noBreakHyphen/>
      </w:r>
      <w:fldSimple w:instr=" SEQ Figure \* ARABIC \s 1 ">
        <w:r w:rsidR="00924C7D">
          <w:rPr>
            <w:noProof/>
          </w:rPr>
          <w:t>46</w:t>
        </w:r>
      </w:fldSimple>
      <w:bookmarkEnd w:id="634"/>
      <w:r>
        <w:t xml:space="preserve"> </w:t>
      </w:r>
      <w:r w:rsidRPr="00912CF3">
        <w:rPr>
          <w:b w:val="0"/>
        </w:rPr>
        <w:t>Cell distribution inside the scaffold for the three flow rates investigated. Transparency is applied to the scaffold geometry to observe cell attachment inside the porous structure. The higher the flow rate the more cells can be found at the right part of the scaffold</w:t>
      </w:r>
      <w:r>
        <w:rPr>
          <w:b w:val="0"/>
        </w:rPr>
        <w:t xml:space="preserve"> (region closer to the outlet)</w:t>
      </w:r>
      <w:r w:rsidRPr="00912CF3">
        <w:rPr>
          <w:b w:val="0"/>
        </w:rPr>
        <w:t xml:space="preserve"> as cell motion is less affected by gravity.</w:t>
      </w:r>
      <w:bookmarkEnd w:id="635"/>
      <w:r>
        <w:rPr>
          <w:b w:val="0"/>
        </w:rPr>
        <w:t xml:space="preserve"> </w:t>
      </w:r>
      <w:r w:rsidRPr="00E52A2E">
        <w:rPr>
          <w:b w:val="0"/>
        </w:rPr>
        <w:t>The cells are represented with spheres ten times bigger than the real size of cells to improve visibility.</w:t>
      </w:r>
      <w:bookmarkEnd w:id="636"/>
    </w:p>
    <w:p w:rsidR="005D1052" w:rsidRDefault="005D1052" w:rsidP="005D1052">
      <w:pPr>
        <w:keepNext/>
        <w:spacing w:after="0"/>
        <w:ind w:firstLine="0"/>
        <w:jc w:val="center"/>
      </w:pPr>
      <w:r>
        <w:rPr>
          <w:noProof/>
          <w:lang w:eastAsia="en-GB"/>
        </w:rPr>
        <w:drawing>
          <wp:inline distT="0" distB="0" distL="0" distR="0" wp14:anchorId="67FC83F9" wp14:editId="5D5FDD3E">
            <wp:extent cx="4169100" cy="2759064"/>
            <wp:effectExtent l="0" t="0" r="3175" b="3810"/>
            <wp:docPr id="8195" name="Picture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png"/>
                    <pic:cNvPicPr/>
                  </pic:nvPicPr>
                  <pic:blipFill rotWithShape="1">
                    <a:blip r:embed="rId174" cstate="print">
                      <a:extLst>
                        <a:ext uri="{28A0092B-C50C-407E-A947-70E740481C1C}">
                          <a14:useLocalDpi xmlns:a14="http://schemas.microsoft.com/office/drawing/2010/main" val="0"/>
                        </a:ext>
                      </a:extLst>
                    </a:blip>
                    <a:srcRect t="2538" b="1542"/>
                    <a:stretch/>
                  </pic:blipFill>
                  <pic:spPr bwMode="auto">
                    <a:xfrm>
                      <a:off x="0" y="0"/>
                      <a:ext cx="4171446" cy="2760616"/>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912CF3" w:rsidRDefault="005D1052" w:rsidP="005D1052">
      <w:pPr>
        <w:pStyle w:val="Caption"/>
        <w:rPr>
          <w:b w:val="0"/>
          <w:noProof/>
        </w:rPr>
      </w:pPr>
      <w:bookmarkStart w:id="637" w:name="_Ref440733844"/>
      <w:bookmarkStart w:id="638" w:name="_Toc438590888"/>
      <w:bookmarkStart w:id="639" w:name="_Toc445718894"/>
      <w:r>
        <w:t xml:space="preserve">Figure </w:t>
      </w:r>
      <w:fldSimple w:instr=" STYLEREF 1 \s ">
        <w:r w:rsidR="00924C7D">
          <w:rPr>
            <w:noProof/>
          </w:rPr>
          <w:t>5</w:t>
        </w:r>
      </w:fldSimple>
      <w:r>
        <w:noBreakHyphen/>
      </w:r>
      <w:fldSimple w:instr=" SEQ Figure \* ARABIC \s 1 ">
        <w:r w:rsidR="00924C7D">
          <w:rPr>
            <w:noProof/>
          </w:rPr>
          <w:t>47</w:t>
        </w:r>
      </w:fldSimple>
      <w:bookmarkEnd w:id="637"/>
      <w:r>
        <w:rPr>
          <w:noProof/>
        </w:rPr>
        <w:t xml:space="preserve"> </w:t>
      </w:r>
      <w:r w:rsidRPr="00912CF3">
        <w:rPr>
          <w:b w:val="0"/>
          <w:noProof/>
        </w:rPr>
        <w:t>Cell path (a)</w:t>
      </w:r>
      <w:r>
        <w:rPr>
          <w:b w:val="0"/>
          <w:noProof/>
        </w:rPr>
        <w:t xml:space="preserve"> </w:t>
      </w:r>
      <w:r w:rsidRPr="00912CF3">
        <w:rPr>
          <w:b w:val="0"/>
          <w:noProof/>
        </w:rPr>
        <w:t>when approching to the scaffold and cells attached on scaffold surface (b) (top view). As long as increasing the flow rate cells can travel longer distance and reach positions inside the scaffold far from the inlet.</w:t>
      </w:r>
      <w:bookmarkEnd w:id="638"/>
      <w:r>
        <w:rPr>
          <w:b w:val="0"/>
          <w:noProof/>
        </w:rPr>
        <w:t xml:space="preserve"> </w:t>
      </w:r>
      <w:r w:rsidRPr="00E52A2E">
        <w:rPr>
          <w:b w:val="0"/>
        </w:rPr>
        <w:t>The cells are represented with spheres ten times bigger than the real size of cells to improve visibility.</w:t>
      </w:r>
      <w:bookmarkEnd w:id="639"/>
    </w:p>
    <w:p w:rsidR="005D1052" w:rsidRDefault="005D1052" w:rsidP="005D1052">
      <w:r w:rsidRPr="000F5D0D">
        <w:lastRenderedPageBreak/>
        <w:t>Two hours of cell seeding were simulated</w:t>
      </w:r>
      <w:r>
        <w:t xml:space="preserve"> and the number of cells suspended in the fluid flow over time was tracked for the three flow rates applied as shown in </w:t>
      </w:r>
      <w:r>
        <w:rPr>
          <w:highlight w:val="yellow"/>
        </w:rPr>
        <w:fldChar w:fldCharType="begin"/>
      </w:r>
      <w:r>
        <w:instrText xml:space="preserve"> REF _Ref312195610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48</w:t>
      </w:r>
      <w:r>
        <w:rPr>
          <w:highlight w:val="yellow"/>
        </w:rPr>
        <w:fldChar w:fldCharType="end"/>
      </w:r>
      <w:r w:rsidRPr="000F5D0D">
        <w:t>. For 12 µl/min, the maximum number of cells found in the fluid domain after the injection phase (</w:t>
      </w:r>
      <w:r>
        <w:t>1,250</w:t>
      </w:r>
      <w:r w:rsidRPr="000F5D0D">
        <w:t xml:space="preserve"> seconds) is only 1</w:t>
      </w:r>
      <w:r>
        <w:t>,</w:t>
      </w:r>
      <w:r w:rsidRPr="000F5D0D">
        <w:t xml:space="preserve">500 cells </w:t>
      </w:r>
      <w:r>
        <w:t xml:space="preserve">out of 20,000 injected </w:t>
      </w:r>
      <w:r w:rsidRPr="000F5D0D">
        <w:t xml:space="preserve">since most of them sediment just after being injected. </w:t>
      </w:r>
      <w:r>
        <w:t>In addition, a</w:t>
      </w:r>
      <w:r w:rsidRPr="000F5D0D">
        <w:t>fter 1 hour of seeding no cells are found suspended in the microfluidic chamber. For 120 µl/min, around 12</w:t>
      </w:r>
      <w:r>
        <w:t>,</w:t>
      </w:r>
      <w:r w:rsidRPr="000F5D0D">
        <w:t>000 cells can be found after the injecti</w:t>
      </w:r>
      <w:r>
        <w:t>on time (125</w:t>
      </w:r>
      <w:r w:rsidRPr="000F5D0D">
        <w:t xml:space="preserve"> seconds) and then they attach </w:t>
      </w:r>
      <w:r>
        <w:t>during</w:t>
      </w:r>
      <w:r w:rsidRPr="000F5D0D">
        <w:t xml:space="preserve"> up to half an hour when no </w:t>
      </w:r>
      <w:r>
        <w:t xml:space="preserve">more </w:t>
      </w:r>
      <w:r w:rsidRPr="000F5D0D">
        <w:t xml:space="preserve">cells are found in suspension. For the case of 600 µl/min, at the end of </w:t>
      </w:r>
      <w:r>
        <w:t>the injections (after 25</w:t>
      </w:r>
      <w:r w:rsidRPr="000F5D0D">
        <w:t xml:space="preserve"> seconds) 18</w:t>
      </w:r>
      <w:r>
        <w:t>,</w:t>
      </w:r>
      <w:r w:rsidRPr="000F5D0D">
        <w:t>000 cells are found in the fluid volume</w:t>
      </w:r>
      <w:r>
        <w:t>. A</w:t>
      </w:r>
      <w:r w:rsidRPr="000F5D0D">
        <w:t>fter that</w:t>
      </w:r>
      <w:r>
        <w:t>,</w:t>
      </w:r>
      <w:r w:rsidRPr="000F5D0D">
        <w:t xml:space="preserve"> cells attach to the wall boundaries over time with a lower deposition rate than </w:t>
      </w:r>
      <w:r>
        <w:t xml:space="preserve">in </w:t>
      </w:r>
      <w:r w:rsidRPr="000F5D0D">
        <w:t xml:space="preserve">the case of 120 µl/min. This is due to the fact that cells are less affected by gravity </w:t>
      </w:r>
      <w:r>
        <w:t xml:space="preserve">when </w:t>
      </w:r>
      <w:r w:rsidRPr="000F5D0D">
        <w:t xml:space="preserve">600 µl/min </w:t>
      </w:r>
      <w:r>
        <w:t>is applied. Therefore, cells</w:t>
      </w:r>
      <w:r w:rsidRPr="000F5D0D">
        <w:t xml:space="preserve"> follow the </w:t>
      </w:r>
      <w:r>
        <w:t xml:space="preserve">fluid </w:t>
      </w:r>
      <w:r w:rsidRPr="000F5D0D">
        <w:t xml:space="preserve">streamlines </w:t>
      </w:r>
      <w:r>
        <w:t>which</w:t>
      </w:r>
      <w:r w:rsidRPr="000F5D0D">
        <w:t xml:space="preserve"> makes difficult the interception of cells with </w:t>
      </w:r>
      <w:r>
        <w:t xml:space="preserve">the </w:t>
      </w:r>
      <w:r w:rsidRPr="000F5D0D">
        <w:t>scaffold fibres</w:t>
      </w:r>
      <w:r>
        <w:t xml:space="preserve"> or channel walls</w:t>
      </w:r>
      <w:r w:rsidRPr="000F5D0D">
        <w:t xml:space="preserve">. After </w:t>
      </w:r>
      <w:r>
        <w:t>15 minutes</w:t>
      </w:r>
      <w:r w:rsidRPr="000F5D0D">
        <w:t>, cell seeding reaches a plateau with almost 4</w:t>
      </w:r>
      <w:r>
        <w:t>,</w:t>
      </w:r>
      <w:r w:rsidRPr="000F5D0D">
        <w:t>000 cells traveling inside the microfluidic chamber.</w:t>
      </w:r>
    </w:p>
    <w:p w:rsidR="005D1052" w:rsidRPr="00FE454A" w:rsidRDefault="005D1052" w:rsidP="005D1052"/>
    <w:p w:rsidR="005D1052" w:rsidRDefault="005D1052" w:rsidP="005D1052">
      <w:pPr>
        <w:keepNext/>
        <w:spacing w:after="0"/>
        <w:ind w:firstLine="0"/>
      </w:pPr>
      <w:r>
        <w:rPr>
          <w:b/>
          <w:noProof/>
          <w:lang w:eastAsia="en-GB"/>
        </w:rPr>
        <w:drawing>
          <wp:inline distT="0" distB="0" distL="0" distR="0" wp14:anchorId="41B7820B" wp14:editId="3804B6C4">
            <wp:extent cx="5504316" cy="2318599"/>
            <wp:effectExtent l="0" t="0" r="1270" b="5715"/>
            <wp:docPr id="8198" name="Picture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dingtime.png"/>
                    <pic:cNvPicPr/>
                  </pic:nvPicPr>
                  <pic:blipFill>
                    <a:blip r:embed="rId175">
                      <a:extLst>
                        <a:ext uri="{28A0092B-C50C-407E-A947-70E740481C1C}">
                          <a14:useLocalDpi xmlns:a14="http://schemas.microsoft.com/office/drawing/2010/main" val="0"/>
                        </a:ext>
                      </a:extLst>
                    </a:blip>
                    <a:stretch>
                      <a:fillRect/>
                    </a:stretch>
                  </pic:blipFill>
                  <pic:spPr bwMode="auto">
                    <a:xfrm>
                      <a:off x="0" y="0"/>
                      <a:ext cx="5504316" cy="2318599"/>
                    </a:xfrm>
                    <a:prstGeom prst="rect">
                      <a:avLst/>
                    </a:prstGeom>
                    <a:ln>
                      <a:noFill/>
                    </a:ln>
                    <a:extLst>
                      <a:ext uri="{53640926-AAD7-44D8-BBD7-CCE9431645EC}">
                        <a14:shadowObscured xmlns:a14="http://schemas.microsoft.com/office/drawing/2010/main"/>
                      </a:ext>
                    </a:extLst>
                  </pic:spPr>
                </pic:pic>
              </a:graphicData>
            </a:graphic>
          </wp:inline>
        </w:drawing>
      </w:r>
    </w:p>
    <w:p w:rsidR="005D1052" w:rsidRPr="00912CF3" w:rsidRDefault="005D1052" w:rsidP="005D1052">
      <w:pPr>
        <w:pStyle w:val="Caption"/>
        <w:rPr>
          <w:b w:val="0"/>
          <w:noProof/>
        </w:rPr>
      </w:pPr>
      <w:bookmarkStart w:id="640" w:name="_Ref312195610"/>
      <w:bookmarkStart w:id="641" w:name="_Toc438590889"/>
      <w:bookmarkStart w:id="642" w:name="_Toc445718895"/>
      <w:r>
        <w:t xml:space="preserve">Figure </w:t>
      </w:r>
      <w:fldSimple w:instr=" STYLEREF 1 \s ">
        <w:r w:rsidR="00924C7D">
          <w:rPr>
            <w:noProof/>
          </w:rPr>
          <w:t>5</w:t>
        </w:r>
      </w:fldSimple>
      <w:r>
        <w:noBreakHyphen/>
      </w:r>
      <w:fldSimple w:instr=" SEQ Figure \* ARABIC \s 1 ">
        <w:r w:rsidR="00924C7D">
          <w:rPr>
            <w:noProof/>
          </w:rPr>
          <w:t>48</w:t>
        </w:r>
      </w:fldSimple>
      <w:bookmarkEnd w:id="640"/>
      <w:r>
        <w:rPr>
          <w:noProof/>
        </w:rPr>
        <w:t xml:space="preserve"> </w:t>
      </w:r>
      <w:r w:rsidRPr="00912CF3">
        <w:rPr>
          <w:b w:val="0"/>
          <w:noProof/>
        </w:rPr>
        <w:t>Number of cells in suspension in the fluid during the 2 hours of cell seeding experiment for the three flow rates investigated.</w:t>
      </w:r>
      <w:bookmarkEnd w:id="641"/>
      <w:bookmarkEnd w:id="642"/>
    </w:p>
    <w:p w:rsidR="005D1052" w:rsidRDefault="005D1052" w:rsidP="005D1052">
      <w:pPr>
        <w:pStyle w:val="Heading3"/>
      </w:pPr>
      <w:bookmarkStart w:id="643" w:name="_Toc440823293"/>
      <w:r w:rsidRPr="00EC316F">
        <w:lastRenderedPageBreak/>
        <w:t>In silico vs. in vitro cell seeding experiments</w:t>
      </w:r>
      <w:bookmarkEnd w:id="643"/>
    </w:p>
    <w:p w:rsidR="005D1052" w:rsidRDefault="005D1052" w:rsidP="005D1052">
      <w:pPr>
        <w:pStyle w:val="Heading4"/>
      </w:pPr>
      <w:bookmarkStart w:id="644" w:name="_Toc440823294"/>
      <w:r>
        <w:t>Static cell seeding</w:t>
      </w:r>
      <w:bookmarkEnd w:id="644"/>
    </w:p>
    <w:p w:rsidR="005D1052" w:rsidRDefault="005D1052" w:rsidP="005D1052">
      <w:r>
        <w:t xml:space="preserve">The static cell seeding laboratory experiments performed in five scaffolds reports 55 </w:t>
      </w:r>
      <w:r>
        <w:rPr>
          <w:rFonts w:ascii="Calibri" w:hAnsi="Calibri"/>
        </w:rPr>
        <w:t>± 5</w:t>
      </w:r>
      <w:r>
        <w:t xml:space="preserve"> % of efficiency on the scaffold [17</w:t>
      </w:r>
      <w:r w:rsidR="00447D22">
        <w:t>7</w:t>
      </w:r>
      <w:r>
        <w:t xml:space="preserve">] whereas the simulation overestimates cell attachment with 85% efficiency (see results in </w:t>
      </w:r>
      <w:r>
        <w:rPr>
          <w:highlight w:val="yellow"/>
        </w:rPr>
        <w:fldChar w:fldCharType="begin"/>
      </w:r>
      <w:r>
        <w:instrText xml:space="preserve"> REF _Ref312195750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49</w:t>
      </w:r>
      <w:r>
        <w:rPr>
          <w:highlight w:val="yellow"/>
        </w:rPr>
        <w:fldChar w:fldCharType="end"/>
      </w:r>
      <w:r>
        <w:t>).</w:t>
      </w:r>
    </w:p>
    <w:p w:rsidR="005D1052" w:rsidRPr="00C907DD" w:rsidRDefault="005D1052" w:rsidP="005D1052"/>
    <w:p w:rsidR="005D1052" w:rsidRDefault="005D1052" w:rsidP="005D1052">
      <w:pPr>
        <w:keepNext/>
        <w:spacing w:line="276" w:lineRule="auto"/>
        <w:ind w:firstLine="0"/>
        <w:jc w:val="center"/>
      </w:pPr>
      <w:r>
        <w:rPr>
          <w:rFonts w:ascii="Times New Roman" w:eastAsia="Cambria" w:hAnsi="Times New Roman" w:cs="Times New Roman"/>
          <w:b/>
          <w:noProof/>
          <w:color w:val="000000"/>
          <w:szCs w:val="24"/>
          <w:lang w:eastAsia="en-GB"/>
        </w:rPr>
        <w:drawing>
          <wp:inline distT="0" distB="0" distL="0" distR="0" wp14:anchorId="27E43DB8" wp14:editId="7A207E60">
            <wp:extent cx="3590538" cy="2199736"/>
            <wp:effectExtent l="0" t="0" r="0" b="0"/>
            <wp:docPr id="8199" name="Picture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c-vs.png"/>
                    <pic:cNvPicPr/>
                  </pic:nvPicPr>
                  <pic:blipFill>
                    <a:blip r:embed="rId176">
                      <a:extLst>
                        <a:ext uri="{28A0092B-C50C-407E-A947-70E740481C1C}">
                          <a14:useLocalDpi xmlns:a14="http://schemas.microsoft.com/office/drawing/2010/main" val="0"/>
                        </a:ext>
                      </a:extLst>
                    </a:blip>
                    <a:stretch>
                      <a:fillRect/>
                    </a:stretch>
                  </pic:blipFill>
                  <pic:spPr>
                    <a:xfrm>
                      <a:off x="0" y="0"/>
                      <a:ext cx="3588271" cy="2198347"/>
                    </a:xfrm>
                    <a:prstGeom prst="rect">
                      <a:avLst/>
                    </a:prstGeom>
                  </pic:spPr>
                </pic:pic>
              </a:graphicData>
            </a:graphic>
          </wp:inline>
        </w:drawing>
      </w:r>
    </w:p>
    <w:p w:rsidR="005D1052" w:rsidRPr="00912CF3" w:rsidRDefault="005D1052" w:rsidP="005D1052">
      <w:pPr>
        <w:pStyle w:val="Caption"/>
        <w:rPr>
          <w:b w:val="0"/>
        </w:rPr>
      </w:pPr>
      <w:bookmarkStart w:id="645" w:name="_Ref312195750"/>
      <w:bookmarkStart w:id="646" w:name="_Toc438590890"/>
      <w:bookmarkStart w:id="647" w:name="_Toc445718896"/>
      <w:r>
        <w:t xml:space="preserve">Figure </w:t>
      </w:r>
      <w:fldSimple w:instr=" STYLEREF 1 \s ">
        <w:r w:rsidR="00924C7D">
          <w:rPr>
            <w:noProof/>
          </w:rPr>
          <w:t>5</w:t>
        </w:r>
      </w:fldSimple>
      <w:r>
        <w:noBreakHyphen/>
      </w:r>
      <w:fldSimple w:instr=" SEQ Figure \* ARABIC \s 1 ">
        <w:r w:rsidR="00924C7D">
          <w:rPr>
            <w:noProof/>
          </w:rPr>
          <w:t>49</w:t>
        </w:r>
      </w:fldSimple>
      <w:bookmarkEnd w:id="645"/>
      <w:r>
        <w:t xml:space="preserve"> </w:t>
      </w:r>
      <w:r w:rsidRPr="00912CF3">
        <w:rPr>
          <w:b w:val="0"/>
          <w:noProof/>
        </w:rPr>
        <w:t>Comparison of scaffold cell seeding efficiency</w:t>
      </w:r>
      <w:r>
        <w:rPr>
          <w:b w:val="0"/>
          <w:noProof/>
        </w:rPr>
        <w:t xml:space="preserve"> using static methods</w:t>
      </w:r>
      <w:r w:rsidRPr="00912CF3">
        <w:rPr>
          <w:b w:val="0"/>
          <w:noProof/>
        </w:rPr>
        <w:t xml:space="preserve"> between the laboratory experiments and the simulations.</w:t>
      </w:r>
      <w:bookmarkEnd w:id="646"/>
      <w:bookmarkEnd w:id="647"/>
    </w:p>
    <w:p w:rsidR="005D1052" w:rsidRPr="00EC316F" w:rsidRDefault="005D1052" w:rsidP="005D1052">
      <w:pPr>
        <w:pStyle w:val="Heading4"/>
      </w:pPr>
      <w:bookmarkStart w:id="648" w:name="_Toc440823295"/>
      <w:r>
        <w:t>Dynamic cell seeding</w:t>
      </w:r>
      <w:bookmarkEnd w:id="648"/>
    </w:p>
    <w:p w:rsidR="005D1052" w:rsidRDefault="005D1052" w:rsidP="005D1052">
      <w:r>
        <w:t xml:space="preserve">The highest efficiency found in the in vitro experiments after two hours of dynamic seeding is 11 </w:t>
      </w:r>
      <w:r>
        <w:rPr>
          <w:rFonts w:ascii="Calibri" w:hAnsi="Calibri"/>
        </w:rPr>
        <w:t xml:space="preserve">± 0.61 </w:t>
      </w:r>
      <w:r>
        <w:t xml:space="preserve">% corresponding to 120 </w:t>
      </w:r>
      <w:r w:rsidRPr="00FE4C7C">
        <w:t>µ</w:t>
      </w:r>
      <w:r>
        <w:t>l/min flow rate [17</w:t>
      </w:r>
      <w:r w:rsidR="00447D22">
        <w:t>7</w:t>
      </w:r>
      <w:r>
        <w:t xml:space="preserve">]. For 12 </w:t>
      </w:r>
      <w:r w:rsidRPr="00FE4C7C">
        <w:t>µ</w:t>
      </w:r>
      <w:r>
        <w:t xml:space="preserve">l/min no cells are found in the scaffold and for 600 </w:t>
      </w:r>
      <w:r w:rsidRPr="00FE4C7C">
        <w:t>µ</w:t>
      </w:r>
      <w:r>
        <w:t xml:space="preserve">l/min the efficiency is 6.5 </w:t>
      </w:r>
      <w:r>
        <w:rPr>
          <w:rFonts w:ascii="Calibri" w:hAnsi="Calibri"/>
        </w:rPr>
        <w:t xml:space="preserve">± 0.61 </w:t>
      </w:r>
      <w:r>
        <w:t xml:space="preserve"> %. The same trend is found in the simulations performed accounting for gravity and in the ones without gravity; the highest efficiency is for 120 </w:t>
      </w:r>
      <w:r w:rsidRPr="00FE4C7C">
        <w:t>µ</w:t>
      </w:r>
      <w:r>
        <w:t xml:space="preserve">l/min and the lowest for 12 </w:t>
      </w:r>
      <w:r w:rsidRPr="00FE4C7C">
        <w:t>µ</w:t>
      </w:r>
      <w:r>
        <w:t>l/min (</w:t>
      </w:r>
      <w:r w:rsidRPr="00FE4C7C">
        <w:t xml:space="preserve">see </w:t>
      </w:r>
      <w:r>
        <w:rPr>
          <w:highlight w:val="yellow"/>
        </w:rPr>
        <w:fldChar w:fldCharType="begin"/>
      </w:r>
      <w:r>
        <w:instrText xml:space="preserve"> REF _Ref312195776 \h </w:instrText>
      </w:r>
      <w:r>
        <w:rPr>
          <w:highlight w:val="yellow"/>
        </w:rPr>
      </w:r>
      <w:r>
        <w:rPr>
          <w:highlight w:val="yellow"/>
        </w:rPr>
        <w:fldChar w:fldCharType="separate"/>
      </w:r>
      <w:r w:rsidR="00924C7D">
        <w:t xml:space="preserve">Figure </w:t>
      </w:r>
      <w:r w:rsidR="00924C7D">
        <w:rPr>
          <w:noProof/>
        </w:rPr>
        <w:t>5</w:t>
      </w:r>
      <w:r w:rsidR="00924C7D">
        <w:noBreakHyphen/>
      </w:r>
      <w:r w:rsidR="00924C7D">
        <w:rPr>
          <w:noProof/>
        </w:rPr>
        <w:t>50</w:t>
      </w:r>
      <w:r>
        <w:rPr>
          <w:highlight w:val="yellow"/>
        </w:rPr>
        <w:fldChar w:fldCharType="end"/>
      </w:r>
      <w:r w:rsidRPr="00FE4C7C">
        <w:t>)</w:t>
      </w:r>
      <w:r>
        <w:t xml:space="preserve">. </w:t>
      </w:r>
      <w:r w:rsidRPr="00C17B81">
        <w:t xml:space="preserve">For 12 </w:t>
      </w:r>
      <w:r w:rsidRPr="00FE4C7C">
        <w:t>µ</w:t>
      </w:r>
      <w:r w:rsidRPr="00C17B81">
        <w:t>l/min</w:t>
      </w:r>
      <w:r>
        <w:t>, in the simulations where gravity is considered cells sediment before reaching the scaffold and in case of no gravity cells just cross the scaffold three times in two hours experiment reducing the probability for cells to attach</w:t>
      </w:r>
      <w:r w:rsidRPr="00C17B81">
        <w:t xml:space="preserve">. </w:t>
      </w:r>
      <w:r w:rsidRPr="00C17B81">
        <w:lastRenderedPageBreak/>
        <w:t xml:space="preserve">For 120 </w:t>
      </w:r>
      <w:r w:rsidRPr="00FE4C7C">
        <w:t>µ</w:t>
      </w:r>
      <w:r w:rsidRPr="00C17B81">
        <w:t>l/min,</w:t>
      </w:r>
      <w:r>
        <w:t xml:space="preserve"> in the simulations accounting for gravity cells are carried to the scaffold and the force due to gravity deviates them from the flow path enhancing cell-scaffold interception. </w:t>
      </w:r>
      <w:r w:rsidRPr="00365B62">
        <w:t xml:space="preserve">For the case of no gravity, the cycles within the 2 hours experiment are sufficient for cells to attach to the scaffold by means of </w:t>
      </w:r>
      <w:r>
        <w:t xml:space="preserve">secondary </w:t>
      </w:r>
      <w:r w:rsidRPr="00365B62">
        <w:t>flow</w:t>
      </w:r>
      <w:r>
        <w:t xml:space="preserve">. For </w:t>
      </w:r>
      <w:r w:rsidRPr="00365B62">
        <w:t xml:space="preserve">600 µl/min, </w:t>
      </w:r>
      <w:r>
        <w:t xml:space="preserve">in the simulations with gravity high cell transport properties on the scaffold are found. However, the gravity effect on cell motion is weaker than in 120 </w:t>
      </w:r>
      <w:r w:rsidRPr="00365B62">
        <w:t xml:space="preserve">µl/min </w:t>
      </w:r>
      <w:r>
        <w:t>so cell-scaffold interception is low. When gravity is not accounted for, cells are trapped in recirculation regions before entering the scaffold so cell-scaffold deposition can’t occur.</w:t>
      </w:r>
    </w:p>
    <w:p w:rsidR="005D1052" w:rsidRPr="00AF6415" w:rsidRDefault="005D1052" w:rsidP="005D1052"/>
    <w:p w:rsidR="005D1052" w:rsidRDefault="005D1052" w:rsidP="005D1052">
      <w:pPr>
        <w:keepNext/>
        <w:spacing w:after="0"/>
      </w:pPr>
      <w:r>
        <w:rPr>
          <w:noProof/>
          <w:sz w:val="16"/>
          <w:szCs w:val="16"/>
          <w:lang w:eastAsia="en-GB"/>
        </w:rPr>
        <w:drawing>
          <wp:inline distT="0" distB="0" distL="0" distR="0" wp14:anchorId="4B9D3477" wp14:editId="68F2A25A">
            <wp:extent cx="4986272" cy="2410490"/>
            <wp:effectExtent l="0" t="0" r="5080" b="8890"/>
            <wp:docPr id="8200" name="Picture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son.png"/>
                    <pic:cNvPicPr/>
                  </pic:nvPicPr>
                  <pic:blipFill>
                    <a:blip r:embed="rId177">
                      <a:extLst>
                        <a:ext uri="{28A0092B-C50C-407E-A947-70E740481C1C}">
                          <a14:useLocalDpi xmlns:a14="http://schemas.microsoft.com/office/drawing/2010/main" val="0"/>
                        </a:ext>
                      </a:extLst>
                    </a:blip>
                    <a:stretch>
                      <a:fillRect/>
                    </a:stretch>
                  </pic:blipFill>
                  <pic:spPr>
                    <a:xfrm>
                      <a:off x="0" y="0"/>
                      <a:ext cx="4986272" cy="2410490"/>
                    </a:xfrm>
                    <a:prstGeom prst="rect">
                      <a:avLst/>
                    </a:prstGeom>
                  </pic:spPr>
                </pic:pic>
              </a:graphicData>
            </a:graphic>
          </wp:inline>
        </w:drawing>
      </w:r>
    </w:p>
    <w:p w:rsidR="005D1052" w:rsidRPr="00912CF3" w:rsidRDefault="005D1052" w:rsidP="005D1052">
      <w:pPr>
        <w:pStyle w:val="Caption"/>
        <w:rPr>
          <w:b w:val="0"/>
        </w:rPr>
      </w:pPr>
      <w:bookmarkStart w:id="649" w:name="_Ref312195776"/>
      <w:bookmarkStart w:id="650" w:name="_Toc438590891"/>
      <w:bookmarkStart w:id="651" w:name="_Toc445718897"/>
      <w:r>
        <w:t xml:space="preserve">Figure </w:t>
      </w:r>
      <w:fldSimple w:instr=" STYLEREF 1 \s ">
        <w:r w:rsidR="00924C7D">
          <w:rPr>
            <w:noProof/>
          </w:rPr>
          <w:t>5</w:t>
        </w:r>
      </w:fldSimple>
      <w:r>
        <w:noBreakHyphen/>
      </w:r>
      <w:fldSimple w:instr=" SEQ Figure \* ARABIC \s 1 ">
        <w:r w:rsidR="00924C7D">
          <w:rPr>
            <w:noProof/>
          </w:rPr>
          <w:t>50</w:t>
        </w:r>
      </w:fldSimple>
      <w:bookmarkEnd w:id="649"/>
      <w:r>
        <w:rPr>
          <w:noProof/>
        </w:rPr>
        <w:t xml:space="preserve"> </w:t>
      </w:r>
      <w:r w:rsidRPr="00912CF3">
        <w:rPr>
          <w:b w:val="0"/>
          <w:noProof/>
        </w:rPr>
        <w:t xml:space="preserve">Comparison of scaffold cell seeding efficiency between the laboratory experiments and the simulations with and without gravity for </w:t>
      </w:r>
      <w:r>
        <w:rPr>
          <w:b w:val="0"/>
          <w:noProof/>
        </w:rPr>
        <w:t xml:space="preserve">the </w:t>
      </w:r>
      <w:r w:rsidRPr="00912CF3">
        <w:rPr>
          <w:b w:val="0"/>
          <w:noProof/>
        </w:rPr>
        <w:t>dynamic seeding.</w:t>
      </w:r>
      <w:bookmarkEnd w:id="650"/>
      <w:bookmarkEnd w:id="651"/>
    </w:p>
    <w:p w:rsidR="005D1052" w:rsidRPr="00EC316F" w:rsidRDefault="005D1052" w:rsidP="005D1052">
      <w:pPr>
        <w:pStyle w:val="Heading2"/>
      </w:pPr>
      <w:bookmarkStart w:id="652" w:name="_Toc310605644"/>
      <w:bookmarkStart w:id="653" w:name="_Toc310605939"/>
      <w:bookmarkStart w:id="654" w:name="_Toc440823296"/>
      <w:r w:rsidRPr="00EC316F">
        <w:t>Discussion</w:t>
      </w:r>
      <w:bookmarkEnd w:id="652"/>
      <w:bookmarkEnd w:id="653"/>
      <w:bookmarkEnd w:id="654"/>
    </w:p>
    <w:p w:rsidR="005D1052" w:rsidRDefault="005D1052" w:rsidP="005D1052">
      <w:r>
        <w:t>The computational model developed in the previous chapter was used to investigate different in vitro seeding strategies. The m</w:t>
      </w:r>
      <w:r w:rsidRPr="003B1DA4">
        <w:t>ain</w:t>
      </w:r>
      <w:r>
        <w:t xml:space="preserve"> disadvantages of each in vitro experiment are reported along with the limitations of the computational model. These computational simulations provide valuable feedback that could be applied to enhance the efficiency of cell seeding experiments. Furthermore, new hints are presented to </w:t>
      </w:r>
      <w:r>
        <w:lastRenderedPageBreak/>
        <w:t xml:space="preserve">expand the computational model towards more accurate simulations that at the same time will help to design and improve cell seeding processes. </w:t>
      </w:r>
    </w:p>
    <w:p w:rsidR="005D1052" w:rsidRPr="00EC316F" w:rsidRDefault="005D1052" w:rsidP="005D1052">
      <w:pPr>
        <w:pStyle w:val="Heading3"/>
      </w:pPr>
      <w:bookmarkStart w:id="655" w:name="_Toc310605645"/>
      <w:bookmarkStart w:id="656" w:name="_Toc310605940"/>
      <w:bookmarkStart w:id="657" w:name="_Toc440823297"/>
      <w:r w:rsidRPr="00EC316F">
        <w:t xml:space="preserve">Cell </w:t>
      </w:r>
      <w:r>
        <w:t>adhesion to scaffold substrate</w:t>
      </w:r>
      <w:bookmarkEnd w:id="655"/>
      <w:bookmarkEnd w:id="656"/>
      <w:bookmarkEnd w:id="657"/>
      <w:r>
        <w:t xml:space="preserve"> </w:t>
      </w:r>
    </w:p>
    <w:p w:rsidR="005D1052" w:rsidRDefault="005D1052" w:rsidP="005D1052">
      <w:r>
        <w:t>The discrete phase model served to investigate the role of fluid dynamics on cell deposition on scaffold substrate and microfluidic channels. However, when cells are deposited on the scaffold or channels walls, they adhere to the boundary as soon as they intercept it. Hence, this model can only report the maximum cell seeding efficiency on a scaffold within a microfluidic system. In vitro experiments are more complex scenarios where cell adhesion is not always guaranteed. For instance, cells that contact the scaffold substrate may not adhere to it due to incompatibility with scaffold material or unsuitable stiffness of the substrate. Furthermore, cells that are already adhered can detach from the scaffold if they are exposed to high fluid-shear stresses provoking the rupture of cell focal adhesions. Moreover, the model does not capture cell viability of adhered cells which needs to be ensured so the next steps for the formation of new tissue such as proliferation and differentiation can occur.</w:t>
      </w:r>
    </w:p>
    <w:p w:rsidR="005D1052" w:rsidRDefault="005D1052" w:rsidP="005D1052">
      <w:r>
        <w:t xml:space="preserve">It is noteworthy that scaffold coating is generally used during in vitro cell seeding since it can promote cell adhesion. In that case, new forces may be involved on driving cells towards the scaffold substrate such as electrostatic forces. However, these newly induced forces would need to overcome stronger forces due to fluid drag in order to deviate cells from the fluid streamlines. </w:t>
      </w:r>
    </w:p>
    <w:p w:rsidR="005D1052" w:rsidRPr="000D1FD3" w:rsidRDefault="005D1052" w:rsidP="005D1052">
      <w:pPr>
        <w:pStyle w:val="Heading3"/>
      </w:pPr>
      <w:bookmarkStart w:id="658" w:name="_Toc310605646"/>
      <w:bookmarkStart w:id="659" w:name="_Toc310605941"/>
      <w:bookmarkStart w:id="660" w:name="_Toc440823298"/>
      <w:r w:rsidRPr="000D1FD3">
        <w:t>Cell-to-cell interactions</w:t>
      </w:r>
      <w:bookmarkEnd w:id="658"/>
      <w:bookmarkEnd w:id="659"/>
      <w:bookmarkEnd w:id="660"/>
    </w:p>
    <w:p w:rsidR="005D1052" w:rsidRDefault="005D1052" w:rsidP="005D1052">
      <w:r>
        <w:t xml:space="preserve">Cells interactions were not modelled as the cell phase represented a low fraction of volume in the fluid phase. This assumption can be critical when cells are driven to the same scaffold region. In the computational model, cells can overlap and attach at the same location. However in the experiments, cells can form clusters which can alter cell response during seeding and the first stages of tissue formation. In addition, clusters of </w:t>
      </w:r>
      <w:r>
        <w:lastRenderedPageBreak/>
        <w:t xml:space="preserve">cells at the scaffold surface become a new physical boundary with higher surface area for cells to attach. Moreover, this new boundary can alter the local fluid dynamics. Consequently, the formation of clusters can have an important impact on cell seeding and this could be further investigated with the Brinkman </w:t>
      </w:r>
      <w:r w:rsidRPr="007E48B6">
        <w:t xml:space="preserve">equation </w:t>
      </w:r>
      <w:r w:rsidRPr="007E48B6">
        <w:fldChar w:fldCharType="begin" w:fldLock="1"/>
      </w:r>
      <w:r>
        <w:instrText>ADDIN CSL_CITATION { "citationItems" : [ { "id" : "ITEM-1", "itemData" : { "DOI" : "10.1002/bit.25672", "abstract" : "Bone tissue engineering strategies use flow through perfusion bioreactors to apply mechanical stimuli to cells seeded on porous scaffolds. Cells grow on the scaffold surface but also by bridging the scaffold pores leading a fully filled scaffold following the scaffold's geometric characteristics. Current computational fluid dynamic approaches for tissue engineering bioreactor systems have been mostly carried out for empty scaffolds. The effect of 3D cell growth and extracellular matrix formation (termed in this study as neotissue growth), on its surrounding fluid flow field is a challenge yet to be tackled. In this work a combined approach was followed linking curvature driven cell growth to fluid dynamics modeling. The level-set method (LSM) was employed to capture neotissue growth driven by curvature, while the Stokes and Darcy equations, combined in the Brinkman equation, provided information regarding the distribution of the shear stress profile at the neotissue/medium interface and within the neotissue itself during growth. The neotissue was assumed to be micro-porous allowing flow through its structure while at the same time allowing the simulation of complete scaffold filling without numerical convergence issues. The results show a significant difference in the amplitude of shear stress for cells located within the micro-porous neo-tissue or at the neotissue/medium interface, demonstrating the importance of taking along the neotissue in the calculation of the mechanical stimulation of cells during culture.The presented computational framework is used on different scaffold pore geometries demonstrating its potential to be used a design as tool for scaffold architecture taking into account the growing neotissue. Biotechnol. Bioeng. 2015;9999: 1-10. \u00a9 2015 Wiley Periodicals, Inc.", "author" : [ { "family" : "Guyot", "given" : "Y" }, { "family" : "Luyten", "given" : "F P" }, { "family" : "Schrooten", "given" : "J" }, { "family" : "Papantoniou", "given" : "I" }, { "family" : "Geris", "given" : "L" } ], "container-title" : "Biotechnology and bioengineering", "id" : "ITEM-1", "issue" : "12", "issued" : { "date-parts" : [ [ "2015" ] ] }, "page" : "2591-2600", "title" : "A three-dimensional computational fluid dynamics model of shear stress distribution during neotissue growth in a perfusion bioreactor.", "type" : "article-journal", "volume" : "112" }, "uris" : [ "http://www.mendeley.com/documents/?uuid=1ac7452e-d365-44d7-af90-42a0fbe01128" ] } ], "mendeley" : { "formattedCitation" : "[136]", "plainTextFormattedCitation" : "[136]", "previouslyFormattedCitation" : "[137]" }, "properties" : { "noteIndex" : 0 }, "schema" : "https://github.com/citation-style-language/schema/raw/master/csl-citation.json" }</w:instrText>
      </w:r>
      <w:r w:rsidRPr="007E48B6">
        <w:fldChar w:fldCharType="separate"/>
      </w:r>
      <w:r w:rsidRPr="00A15EFA">
        <w:rPr>
          <w:noProof/>
        </w:rPr>
        <w:t>[137]</w:t>
      </w:r>
      <w:r w:rsidRPr="007E48B6">
        <w:fldChar w:fldCharType="end"/>
      </w:r>
      <w:r w:rsidRPr="007E48B6">
        <w:t>.</w:t>
      </w:r>
    </w:p>
    <w:p w:rsidR="005D1052" w:rsidRPr="000D1FD3" w:rsidRDefault="005D1052" w:rsidP="005D1052">
      <w:pPr>
        <w:pStyle w:val="Heading3"/>
      </w:pPr>
      <w:bookmarkStart w:id="661" w:name="_Toc310605647"/>
      <w:bookmarkStart w:id="662" w:name="_Toc310605942"/>
      <w:bookmarkStart w:id="663" w:name="_Toc440823299"/>
      <w:r w:rsidRPr="000D1FD3">
        <w:t>Static seeding</w:t>
      </w:r>
      <w:bookmarkEnd w:id="661"/>
      <w:bookmarkEnd w:id="662"/>
      <w:bookmarkEnd w:id="663"/>
    </w:p>
    <w:p w:rsidR="005D1052" w:rsidRDefault="005D1052" w:rsidP="005D1052">
      <w:r>
        <w:t xml:space="preserve">A heterogeneous distribution of cells was found due to the irregular spatial arrangement of fibres inside the scaffold as </w:t>
      </w:r>
      <w:r w:rsidRPr="00912CF3">
        <w:t>discussed in Chapter 3 which</w:t>
      </w:r>
      <w:r>
        <w:t xml:space="preserve"> prevents cells to reach the deepest layers of fibres. Moreover, cells were only found at the side of the fibres that faced the injection region at the top of the chamber. If the chamber is rotated so the initial bottom face of the cylindrical chamber becomes the top and thereby the injection face, an additional injection at this side could help to seed cells on the deepest fibres. However, during the 1.5 hours of the in vitro experiment cells also proliferate to the deeper and empty regions inside the scaffold. Thus, better cell distribution can be expected after the static seeding experiment than in the computational results. On the other hand, cells located at the top of the scaffold can form clusters while sedimentation occurs and block the upper pores preventing cells to advance through the scaffold. </w:t>
      </w:r>
    </w:p>
    <w:p w:rsidR="005D1052" w:rsidRDefault="005D1052" w:rsidP="005D1052">
      <w:r>
        <w:t xml:space="preserve">The seeding time reported in the simulations can change if a different cell material </w:t>
      </w:r>
      <w:r w:rsidRPr="0080792A">
        <w:t xml:space="preserve">density </w:t>
      </w:r>
      <w:r>
        <w:t>is selected; the larger the value with respect to the fluid density the earlier the cells will sediment. Therefore, the model can be more cell type-specific and provide more realistic results.</w:t>
      </w:r>
    </w:p>
    <w:p w:rsidR="005D1052" w:rsidRPr="000D1FD3" w:rsidRDefault="005D1052" w:rsidP="005D1052">
      <w:pPr>
        <w:pStyle w:val="Heading3"/>
      </w:pPr>
      <w:bookmarkStart w:id="664" w:name="_Toc310605648"/>
      <w:bookmarkStart w:id="665" w:name="_Toc310605943"/>
      <w:bookmarkStart w:id="666" w:name="_Toc440823300"/>
      <w:r w:rsidRPr="000D1FD3">
        <w:t>Dynamic seeding</w:t>
      </w:r>
      <w:bookmarkEnd w:id="664"/>
      <w:bookmarkEnd w:id="665"/>
      <w:bookmarkEnd w:id="666"/>
    </w:p>
    <w:p w:rsidR="005D1052" w:rsidRPr="000D1FD3" w:rsidRDefault="005D1052" w:rsidP="005D1052">
      <w:pPr>
        <w:pStyle w:val="Heading4"/>
      </w:pPr>
      <w:bookmarkStart w:id="667" w:name="_Ref312182402"/>
      <w:bookmarkStart w:id="668" w:name="_Toc440823301"/>
      <w:r w:rsidRPr="000D1FD3">
        <w:t>Cell deposition when gravity is not considered</w:t>
      </w:r>
      <w:bookmarkEnd w:id="667"/>
      <w:bookmarkEnd w:id="668"/>
    </w:p>
    <w:p w:rsidR="005D1052" w:rsidRDefault="005D1052" w:rsidP="005D1052">
      <w:r>
        <w:t>By removing</w:t>
      </w:r>
      <w:r w:rsidRPr="007877BC">
        <w:t xml:space="preserve"> the effect of gravity</w:t>
      </w:r>
      <w:r>
        <w:t xml:space="preserve"> in the simulations, the impact of the flow rate on cell deposition could be investigated more extensively</w:t>
      </w:r>
      <w:r w:rsidRPr="00151A80">
        <w:t xml:space="preserve">. </w:t>
      </w:r>
      <w:r>
        <w:t xml:space="preserve">Cell inertia is sufficiently low that cells follow the fluid streamlines for all the flow rates investigated. Therefore, the </w:t>
      </w:r>
      <w:r>
        <w:lastRenderedPageBreak/>
        <w:t>fluid needs to flow towards the wall boundaries for cells to deposit. As long as the flow rate is increased, secondary flow becomes more significant so more cells can be dragged towards the scaffold or channel surfaces. It has been shown that cell deposition is enhanced with the presence of secondary flow. However, above a certain value of flow rate the fluid flow can form vortexes trapping cells and preventing them from passing through the scaffold.</w:t>
      </w:r>
    </w:p>
    <w:p w:rsidR="005D1052" w:rsidRDefault="005D1052" w:rsidP="005D1052">
      <w:r>
        <w:t>It is important to mention that different flow rates result in different number of cycles as each flow rate</w:t>
      </w:r>
      <w:r w:rsidRPr="00BF3855">
        <w:t xml:space="preserve"> require</w:t>
      </w:r>
      <w:r>
        <w:t>s different amount of</w:t>
      </w:r>
      <w:r w:rsidRPr="00BF3855">
        <w:t xml:space="preserve"> time to dispense 500 </w:t>
      </w:r>
      <w:r w:rsidRPr="006C2785">
        <w:t>µ</w:t>
      </w:r>
      <w:r>
        <w:t xml:space="preserve">l. Lower flow rates result in less number of cycles within 2 hours experiment thereby reducing the number of times that cells cross the scaffold. This could be improved by increasing the number of cycles although that would require longer experiments. In fact, the long </w:t>
      </w:r>
      <w:r w:rsidRPr="004B48FC">
        <w:t>exposure of cells to shear stress can be detrimental for cell viability and induce cell detachment</w:t>
      </w:r>
      <w:r>
        <w:t>.</w:t>
      </w:r>
    </w:p>
    <w:p w:rsidR="005D1052" w:rsidRPr="000D1FD3" w:rsidRDefault="005D1052" w:rsidP="005D1052">
      <w:pPr>
        <w:pStyle w:val="Heading4"/>
      </w:pPr>
      <w:bookmarkStart w:id="669" w:name="_Toc440823302"/>
      <w:r w:rsidRPr="000D1FD3">
        <w:t>Cell deposition when gravity is considered</w:t>
      </w:r>
      <w:bookmarkEnd w:id="669"/>
    </w:p>
    <w:p w:rsidR="005D1052" w:rsidRDefault="005D1052" w:rsidP="005D1052">
      <w:r>
        <w:t xml:space="preserve">It has been shown that </w:t>
      </w:r>
      <w:r w:rsidRPr="007877BC">
        <w:t>gravity</w:t>
      </w:r>
      <w:r>
        <w:t xml:space="preserve"> promotes cell attachment as cells are deviated from the fluid streamlines so cells can intercept the scaffold wall. The lower the fluid velocities the higher is the effect of gravity, however, low fluid velocities can result in poor transport of cells towards the scaffold. Therefore, a trade-off between fluid velocities and force due to gravity needs to be found to increase cell seeding efficiency.</w:t>
      </w:r>
    </w:p>
    <w:p w:rsidR="005D1052" w:rsidRDefault="005D1052" w:rsidP="005D1052">
      <w:pPr>
        <w:pStyle w:val="Heading3"/>
      </w:pPr>
      <w:bookmarkStart w:id="670" w:name="_Toc310605649"/>
      <w:bookmarkStart w:id="671" w:name="_Toc310605944"/>
      <w:bookmarkStart w:id="672" w:name="_Ref312182578"/>
      <w:bookmarkStart w:id="673" w:name="_Toc440823303"/>
      <w:r>
        <w:t>Limitations of the computational model that affect cell deposition</w:t>
      </w:r>
      <w:bookmarkEnd w:id="670"/>
      <w:bookmarkEnd w:id="671"/>
      <w:bookmarkEnd w:id="672"/>
      <w:bookmarkEnd w:id="673"/>
    </w:p>
    <w:p w:rsidR="005D1052" w:rsidRDefault="005D1052" w:rsidP="005D1052">
      <w:r>
        <w:t>M</w:t>
      </w:r>
      <w:r w:rsidRPr="006D108E">
        <w:t xml:space="preserve">esh </w:t>
      </w:r>
      <w:r>
        <w:t xml:space="preserve">density </w:t>
      </w:r>
      <w:r w:rsidRPr="006D108E">
        <w:t xml:space="preserve">can affect </w:t>
      </w:r>
      <w:r>
        <w:t xml:space="preserve">the deposition of the discrete phase on the wall boundaries so different mesh convergence studies should be carried out for the discrete and the carrier phases as shown </w:t>
      </w:r>
      <w:r w:rsidRPr="00366D51">
        <w:t xml:space="preserve">in section </w:t>
      </w:r>
      <w:r w:rsidRPr="00366D51">
        <w:fldChar w:fldCharType="begin"/>
      </w:r>
      <w:r w:rsidRPr="00366D51">
        <w:instrText xml:space="preserve"> REF _Ref438394736 \r \h </w:instrText>
      </w:r>
      <w:r>
        <w:instrText xml:space="preserve"> \* MERGEFORMAT </w:instrText>
      </w:r>
      <w:r w:rsidRPr="00366D51">
        <w:fldChar w:fldCharType="separate"/>
      </w:r>
      <w:r w:rsidR="00924C7D">
        <w:t>5.3.1</w:t>
      </w:r>
      <w:r w:rsidRPr="00366D51">
        <w:fldChar w:fldCharType="end"/>
      </w:r>
      <w:r w:rsidRPr="00366D51">
        <w:t>. Frank</w:t>
      </w:r>
      <w:r w:rsidRPr="003F1EBD">
        <w:t>-Ito et al.</w:t>
      </w:r>
      <w:r>
        <w:t xml:space="preserve"> </w:t>
      </w:r>
      <w:r>
        <w:fldChar w:fldCharType="begin" w:fldLock="1"/>
      </w:r>
      <w:r>
        <w:instrText>ADDIN CSL_CITATION { "citationItems" : [ { "id" : "ITEM-1", "itemData" : { "DOI" : "10.1089/jamp.2014.1188", "abstract" : "BACKGROUND: There are methodological ambiguities in the literature on mesh refinement analysis for computational fluid dynamics (CFD) modeling of physiologically realistic airflow dynamics and particle transport in the human sinonasal cavity. To investigate grid independence in discretization of the (sino)nasal geometry, researchers have considered CFD variables such as pressure drop, velocity profile, wall shear, airflow, and particle deposition fractions. Standardization in nasal geometry is also lacking: unilateral or bilateral nasal cavities with and without paranasal sinuses have been used. These methodological variants have led to inconsistencies in establishing grid-independent mesh densities. The aim of this study is to provide important insight in the role of mesh refinement analysis on airflow and particle deposition in sinonasal airway modeling.\n\nMETHODS: A three-dimensional reconstruction of the complete sinonasal cavity was created from computed tomography images of a subject who had functional endoscopic sinus surgery. To investigate airflow grid independence, nine different tetrahedral mesh densities were generated. For particle transport mesh refinement analysis, hybrid tetrahedral-prism elements with near-wall prisms ranging from 1 to 6 layers were implemented. Steady-state, laminar inspiratory airflow simulations under physiologic pressure-driven conditions and nebulized particle transport simulations were performed with particle sizes ranging from 1-20\u2009\u03bcm.\n\nRESULTS: Mesh independence for sinonasal airflow was achieved with approximately 4 million unstructured tetrahedral elements. The hybrid mesh containing 4 million tetrahedral cells with three prism layers demonstrated asymptotic behavior for sinonasal particle deposition. Inclusion of boundary prism layers reduced deposition fractions relative to tetrahedral-only meshes.\n\nCONCLUSIONS: To ensure numerically accurate simulation results, mesh refinement analyses should be performed for both airflow and particle transport simulations. Tetrahedral-only meshes overpredict particle deposition and are less accurate than hybrid tetrahedral-prism meshes.", "author" : [ { "family" : "Frank-Ito", "given" : "Dennis O" }, { "family" : "Wofford", "given" : "Matthew" }, { "family" : "Schroeter", "given" : "Jeffry D" }, { "family" : "Kimbell", "given" : "Julia S" } ], "container-title" : "Journal of aerosol medicine and pulmonary drug delivery", "id" : "ITEM-1", "issue" : "JUNE", "issued" : { "date-parts" : [ [ "2015", "6", "11" ] ] }, "title" : "Influence of Mesh Density on Airflow and Particle Deposition in Sinonasal Airway Modeling.", "type" : "article-journal" }, "uris" : [ "http://www.mendeley.com/documents/?uuid=e7faf16c-c250-4bc9-8168-80820ddc83ee" ] } ], "mendeley" : { "formattedCitation" : "[177]", "manualFormatting" : "[177]", "plainTextFormattedCitation" : "[177]", "previouslyFormattedCitation" : "[178]" }, "properties" : { "noteIndex" : 0 }, "schema" : "https://github.com/citation-style-language/schema/raw/master/csl-citation.json" }</w:instrText>
      </w:r>
      <w:r>
        <w:fldChar w:fldCharType="separate"/>
      </w:r>
      <w:r w:rsidRPr="00224979">
        <w:rPr>
          <w:noProof/>
        </w:rPr>
        <w:t>[17</w:t>
      </w:r>
      <w:r w:rsidR="00701B00">
        <w:rPr>
          <w:noProof/>
        </w:rPr>
        <w:t>8</w:t>
      </w:r>
      <w:r w:rsidRPr="00224979">
        <w:rPr>
          <w:noProof/>
        </w:rPr>
        <w:t>]</w:t>
      </w:r>
      <w:r>
        <w:fldChar w:fldCharType="end"/>
      </w:r>
      <w:r>
        <w:t xml:space="preserve"> presented a two-stage mesh refinement approach to simulate accurately the deposition of particles on human sinonasal cavities for post-surgery nebulized drug delivery applications. The </w:t>
      </w:r>
      <w:r>
        <w:lastRenderedPageBreak/>
        <w:t>transport of particles in airflow was modelled using the DPM model of Fluent Ansys in different unstructured tetrahedral meshes with varying density. They reported that the discrete phase required higher mesh density to converge than the air/carrier phase as also shown herein. In this chapter, the discrete phase does not converge for the mesh employed in the simulations and cell deposition was overestimated. Unfortunately, the computational cost required to solve the full model with denser meshes becomes unaffordable. This has a consequence on the prediction of cell seeding efficiency although the same efficiency trends found in the experiments were reported.</w:t>
      </w:r>
    </w:p>
    <w:p w:rsidR="005D1052" w:rsidRDefault="005D1052" w:rsidP="005D1052">
      <w:r>
        <w:t xml:space="preserve">Furthermore, they also studied the performance of hybrid meshes on particle deposition concluding that the inclusion of prisms layers at the wall boundaries in tetrahedral meshes reduces the deposition of </w:t>
      </w:r>
      <w:r w:rsidRPr="00912CF3">
        <w:t xml:space="preserve">particles (see </w:t>
      </w:r>
      <w:r>
        <w:fldChar w:fldCharType="begin"/>
      </w:r>
      <w:r>
        <w:instrText xml:space="preserve"> REF _Ref312195688 \h </w:instrText>
      </w:r>
      <w:r>
        <w:fldChar w:fldCharType="separate"/>
      </w:r>
      <w:r w:rsidR="00924C7D">
        <w:t xml:space="preserve">Figure </w:t>
      </w:r>
      <w:r w:rsidR="00924C7D">
        <w:rPr>
          <w:noProof/>
        </w:rPr>
        <w:t>5</w:t>
      </w:r>
      <w:r w:rsidR="00924C7D">
        <w:noBreakHyphen/>
      </w:r>
      <w:r w:rsidR="00924C7D">
        <w:rPr>
          <w:noProof/>
        </w:rPr>
        <w:t>51</w:t>
      </w:r>
      <w:r>
        <w:fldChar w:fldCharType="end"/>
      </w:r>
      <w:r w:rsidRPr="00912CF3">
        <w:t>). In</w:t>
      </w:r>
      <w:r>
        <w:t xml:space="preserve"> the present study, only tetrahedral elements were used. Mesh refinement studies on hybrid meshes become more complex as particle deposition is also sensitive to the thickness of the prism zone and the number of layers. </w:t>
      </w:r>
    </w:p>
    <w:p w:rsidR="005D1052" w:rsidRDefault="005D1052" w:rsidP="005D1052">
      <w:pPr>
        <w:keepNext/>
        <w:ind w:firstLine="0"/>
        <w:jc w:val="center"/>
      </w:pPr>
      <w:r>
        <w:rPr>
          <w:noProof/>
          <w:lang w:eastAsia="en-GB"/>
        </w:rPr>
        <w:drawing>
          <wp:inline distT="0" distB="0" distL="0" distR="0" wp14:anchorId="3F4B50D4" wp14:editId="4768B1B4">
            <wp:extent cx="4273910" cy="2990964"/>
            <wp:effectExtent l="0" t="0" r="0" b="0"/>
            <wp:docPr id="8201" name="Picture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m-mesh.png"/>
                    <pic:cNvPicPr/>
                  </pic:nvPicPr>
                  <pic:blipFill>
                    <a:blip r:embed="rId178">
                      <a:extLst>
                        <a:ext uri="{28A0092B-C50C-407E-A947-70E740481C1C}">
                          <a14:useLocalDpi xmlns:a14="http://schemas.microsoft.com/office/drawing/2010/main" val="0"/>
                        </a:ext>
                      </a:extLst>
                    </a:blip>
                    <a:stretch>
                      <a:fillRect/>
                    </a:stretch>
                  </pic:blipFill>
                  <pic:spPr>
                    <a:xfrm>
                      <a:off x="0" y="0"/>
                      <a:ext cx="4274816" cy="2991598"/>
                    </a:xfrm>
                    <a:prstGeom prst="rect">
                      <a:avLst/>
                    </a:prstGeom>
                  </pic:spPr>
                </pic:pic>
              </a:graphicData>
            </a:graphic>
          </wp:inline>
        </w:drawing>
      </w:r>
    </w:p>
    <w:p w:rsidR="005D1052" w:rsidRPr="00912CF3" w:rsidRDefault="005D1052" w:rsidP="005D1052">
      <w:pPr>
        <w:pStyle w:val="Caption"/>
        <w:rPr>
          <w:b w:val="0"/>
          <w:noProof/>
        </w:rPr>
      </w:pPr>
      <w:bookmarkStart w:id="674" w:name="_Ref312195688"/>
      <w:bookmarkStart w:id="675" w:name="_Toc438590892"/>
      <w:bookmarkStart w:id="676" w:name="_Toc445718898"/>
      <w:r>
        <w:t xml:space="preserve">Figure </w:t>
      </w:r>
      <w:fldSimple w:instr=" STYLEREF 1 \s ">
        <w:r w:rsidR="00924C7D">
          <w:rPr>
            <w:noProof/>
          </w:rPr>
          <w:t>5</w:t>
        </w:r>
      </w:fldSimple>
      <w:r>
        <w:noBreakHyphen/>
      </w:r>
      <w:fldSimple w:instr=" SEQ Figure \* ARABIC \s 1 ">
        <w:r w:rsidR="00924C7D">
          <w:rPr>
            <w:noProof/>
          </w:rPr>
          <w:t>51</w:t>
        </w:r>
      </w:fldSimple>
      <w:bookmarkEnd w:id="674"/>
      <w:r>
        <w:rPr>
          <w:noProof/>
        </w:rPr>
        <w:t xml:space="preserve"> </w:t>
      </w:r>
      <w:r w:rsidRPr="00912CF3">
        <w:rPr>
          <w:b w:val="0"/>
          <w:noProof/>
        </w:rPr>
        <w:t>Cell deposition for different particle sizes calculated in tetrahedral and hybrid meshes with different levels of refinement [</w:t>
      </w:r>
      <w:r>
        <w:rPr>
          <w:b w:val="0"/>
          <w:noProof/>
        </w:rPr>
        <w:t>17</w:t>
      </w:r>
      <w:r w:rsidR="00701B00">
        <w:rPr>
          <w:b w:val="0"/>
          <w:noProof/>
        </w:rPr>
        <w:t>8</w:t>
      </w:r>
      <w:r w:rsidRPr="00912CF3">
        <w:rPr>
          <w:b w:val="0"/>
          <w:noProof/>
        </w:rPr>
        <w:t>].</w:t>
      </w:r>
      <w:bookmarkEnd w:id="675"/>
      <w:bookmarkEnd w:id="676"/>
    </w:p>
    <w:p w:rsidR="005D1052" w:rsidRDefault="005D1052" w:rsidP="005D1052">
      <w:r>
        <w:lastRenderedPageBreak/>
        <w:t>Another aspect to be further explored in the computational model is the advancement of cells when the fluid flow reverses direction. While the flow direction is reversed, fluid velocities are decreased and then increased again to move in opposite direction. As cells respond rapidly to changes in the fluid flow, cell velocity will also be reduced and later increased following the fluid flow. If cell velocity is reduced during this transition, gravity force can overcome fluid drag forces and induce cell deposition. However in the present model, the fluid phase at each time step was resolved in the opposite direction and completely developed before cells were advanced in the fluid domain. As a result, the impact of reversing the fluid flow until reaching a steady state on cell transport was not captured.</w:t>
      </w:r>
    </w:p>
    <w:p w:rsidR="005D1052" w:rsidRDefault="005D1052" w:rsidP="005D1052">
      <w:r>
        <w:t>It is noteworthy that if cells reach the inlet and outlet boundaries they are reflected preventing them from escaping from the fluid domain. Nevertheless in the in vitro experimental scenario, cells travel out of the chamber towards the syringe and may not be back inside the microfluidic chamber and cross the scaffold pores again. Consequently, the model calculates cell seeding efficiency out of all cells that were initially injected so it can overestimate seeding efficiency results.</w:t>
      </w:r>
    </w:p>
    <w:p w:rsidR="005D1052" w:rsidRPr="00C9697B" w:rsidRDefault="005D1052" w:rsidP="005D1052">
      <w:pPr>
        <w:pStyle w:val="Heading3"/>
      </w:pPr>
      <w:bookmarkStart w:id="677" w:name="_Toc440823304"/>
      <w:r w:rsidRPr="00C9697B">
        <w:t>Dynamic vs. static seeding</w:t>
      </w:r>
      <w:bookmarkEnd w:id="677"/>
    </w:p>
    <w:p w:rsidR="005D1052" w:rsidRDefault="005D1052" w:rsidP="005D1052">
      <w:r>
        <w:t>In the computational simulations, the highest efficiency was reported for the static seeding case and a significant difference was found with respect to the dynamic strategy. However in case of large scaffolds, static seeding lacks of mass transport properties so even carrying out static seeding on both sides of scaffold, the internal regions will be empty. As cells proliferate and move towards empty regions, it is worthy to explore with computational models the best injection points to seed cells and evaluate the final outcome after cell proliferation. In this manner, injection strategies could be tailored for different scaffold geometries in order to achieve homogeneous cell distribution and high seeding efficiency.</w:t>
      </w:r>
    </w:p>
    <w:p w:rsidR="005D1052" w:rsidRDefault="005D1052" w:rsidP="005D1052">
      <w:r>
        <w:lastRenderedPageBreak/>
        <w:t>In the dynamic seeding, cells can reach deeper regions but cell deposition on scaffold substrate is lower than in static seeding. Rotating the chamber or performing the experiment on a shaking platform could promote cell deposition while benefiting from the good transport properties of dynamic seeding.</w:t>
      </w:r>
    </w:p>
    <w:p w:rsidR="005D1052" w:rsidRDefault="005D1052" w:rsidP="005D1052">
      <w:pPr>
        <w:pStyle w:val="Heading3"/>
      </w:pPr>
      <w:bookmarkStart w:id="678" w:name="_Toc310605650"/>
      <w:bookmarkStart w:id="679" w:name="_Toc310605945"/>
      <w:bookmarkStart w:id="680" w:name="_Toc440823305"/>
      <w:r w:rsidRPr="00C9697B">
        <w:t>In vitro vs in silico cell seeding</w:t>
      </w:r>
      <w:bookmarkEnd w:id="678"/>
      <w:bookmarkEnd w:id="679"/>
      <w:bookmarkEnd w:id="680"/>
    </w:p>
    <w:p w:rsidR="005D1052" w:rsidRDefault="005D1052" w:rsidP="005D1052">
      <w:r>
        <w:t xml:space="preserve">For static cell seeding, the efficiency calculated in the simulations was 35% higher than in the experiments. That is due to the limitation of the model to simulate realistic cell adhesion events or formation of cell clusters. Furthermore, cells were injected with a regular distribution in the simulations whereas in the in vitro experiments a drop of media with cells is placed on top of the scaffold where the initial cell distribution is unknown. Five scaffolds were seeded statically in vitro whereas only one scaffold was studied computationally. Static seeding simulations should be performed in other µCT-scaffolds in order to gain statistical significance and also report the effect of intersample variability on cell distribution. </w:t>
      </w:r>
    </w:p>
    <w:p w:rsidR="005D1052" w:rsidRDefault="005D1052" w:rsidP="005D1052">
      <w:r>
        <w:t>Dynamic cell seeding experiments show similar efficiencies than in the simulations. However, the factors that yield those efficiencies are different depending whether gravity is considered or not. When the simulations account for gravity, the force due to gravity helps cells to detach from the flow stream which results in high efficiency if the adequate flow rate is applied. When gravity is neglected, the flow rate determines whether secondary flow carries cells towards the walls. In summary, gravity and secondary flow are key factors for cell deposition however they have been explored separately. As a consequence, the real contribution of each of them on cell deposition during in vitro experiments is still unknown. In addition, different cell density values will alter the influence of gravity on cell transport. It is noteworthy that five scaffolds were seeded in vitro dynamically per each flow rate, whereas in the simulations only one scaffold per flow rate was investigated. More scaffolds should be seeded computationally in order to obtain more reliable results.</w:t>
      </w:r>
    </w:p>
    <w:p w:rsidR="005D1052" w:rsidRPr="00EC316F" w:rsidRDefault="005D1052" w:rsidP="005D1052">
      <w:pPr>
        <w:pStyle w:val="Heading2"/>
      </w:pPr>
      <w:bookmarkStart w:id="681" w:name="_Toc310605651"/>
      <w:bookmarkStart w:id="682" w:name="_Toc310605946"/>
      <w:bookmarkStart w:id="683" w:name="_Toc440823306"/>
      <w:r w:rsidRPr="00EC316F">
        <w:lastRenderedPageBreak/>
        <w:t>Conclusions</w:t>
      </w:r>
      <w:bookmarkEnd w:id="681"/>
      <w:bookmarkEnd w:id="682"/>
      <w:bookmarkEnd w:id="683"/>
    </w:p>
    <w:p w:rsidR="005D1052" w:rsidRDefault="005D1052" w:rsidP="005D1052">
      <w:r>
        <w:t xml:space="preserve">The discrete phase model developed </w:t>
      </w:r>
      <w:r w:rsidRPr="00CA2F4B">
        <w:t>in Chapter 4 was adapted</w:t>
      </w:r>
      <w:r>
        <w:t xml:space="preserve"> to a real in vitro cell seeding experiment. This computational model permitted to investigate the effect of different boundary conditions on scaffold cell seeding inside a microfluidic chamber. Static seeding where cells are driven by the force due to gravity showed the best efficiency although the disadvantage of cells to travel to deep regions inside the scaffold could result in low efficiency in case of larger scaffolds. On the other hand, dynamic seeding by perfusion can overcome the poor transport properties of static seeding. However, cells do not intercept scaffold substrate as they follow the fluid streamlines resulting in low seeding efficiency. Gravity and secondary flow were identified as the main factors to drive cells to the scaffold surface and increase cell attachment. This computational tool can help to explore real in vitro experiments in order to find the best configuration to achieve maximum cell seeding efficiency and avoid expensive trails and cell waste. Furthermore, the model allows understanding the main mechanisms that drives cells towards scaffold substrate under fluid flow and provides hints for the design of seeding experiments. Nevertheless, this model does not include cell detachment and realistic cell behaviour during adhesion so it can only report maximum cell seeding efficiency. In addition, the model needs to address other limitations such as the inclusion of cell-to-cell adhesion which eventually could result in cell clusters altering significantly cell seeding conditions and outcome. </w:t>
      </w:r>
    </w:p>
    <w:p w:rsidR="005D1052" w:rsidRDefault="005D1052" w:rsidP="005D1052">
      <w:pPr>
        <w:sectPr w:rsidR="005D1052" w:rsidSect="00EB11EA">
          <w:headerReference w:type="even" r:id="rId179"/>
          <w:headerReference w:type="default" r:id="rId180"/>
          <w:footerReference w:type="default" r:id="rId181"/>
          <w:pgSz w:w="11906" w:h="16838"/>
          <w:pgMar w:top="2268" w:right="1134" w:bottom="1701" w:left="2268" w:header="284" w:footer="454" w:gutter="0"/>
          <w:cols w:space="708"/>
          <w:titlePg/>
          <w:docGrid w:linePitch="360"/>
        </w:sectPr>
      </w:pPr>
    </w:p>
    <w:p w:rsidR="005D1052" w:rsidRPr="00571C93" w:rsidRDefault="005D1052" w:rsidP="005D1052">
      <w:pPr>
        <w:pStyle w:val="Heading1"/>
      </w:pPr>
      <w:bookmarkStart w:id="684" w:name="_Toc420596731"/>
      <w:bookmarkStart w:id="685" w:name="_Toc310605652"/>
      <w:bookmarkStart w:id="686" w:name="_Toc310605947"/>
      <w:bookmarkStart w:id="687" w:name="_Toc440823307"/>
      <w:r>
        <w:lastRenderedPageBreak/>
        <w:t>General d</w:t>
      </w:r>
      <w:r w:rsidRPr="00571C93">
        <w:t>iscussion</w:t>
      </w:r>
      <w:bookmarkEnd w:id="684"/>
      <w:bookmarkEnd w:id="685"/>
      <w:bookmarkEnd w:id="686"/>
      <w:bookmarkEnd w:id="687"/>
    </w:p>
    <w:p w:rsidR="005D1052" w:rsidRDefault="005D1052" w:rsidP="005D1052">
      <w:pPr>
        <w:pStyle w:val="Heading2"/>
        <w:numPr>
          <w:ilvl w:val="0"/>
          <w:numId w:val="0"/>
        </w:numPr>
        <w:ind w:left="431"/>
      </w:pPr>
    </w:p>
    <w:p w:rsidR="005D1052" w:rsidRDefault="005D1052" w:rsidP="005D1052">
      <w:r>
        <w:t xml:space="preserve">The emerging TE field holds the potential to incorporate patient-specific grafts with the same performance as autologous grafts into the clinics. At this stage, TE researchers are working to generate the knowledge and the methods to prove the feasibility of the TE concept and its translation into clinical scenarios. One of the current challenges is the production of TE grafts in an automatic and cost-effective manner. Industry will play an important role for the commercialization of TE grafts and their integration into hospitals as standard treatments. Unfortunately, there is still a gap between academia and industry; the methods developed in research should evolve towards GMP and safety standards ensuring the quality and reproducibility of the products. Regulatory agencies such as the FDA should establish guidelines for the production of TE grafts and inspection protocols with defined quality criteria. However, tailoring regulatory pathways for TE processes remains a complex task. </w:t>
      </w:r>
      <w:r w:rsidRPr="009E1BC4">
        <w:t>Morrison et al.</w:t>
      </w:r>
      <w:r>
        <w:t xml:space="preserve"> </w:t>
      </w:r>
      <w:r>
        <w:fldChar w:fldCharType="begin" w:fldLock="1"/>
      </w:r>
      <w:r>
        <w:instrText>ADDIN CSL_CITATION { "citationItems" : [ { "id" : "ITEM-1", "itemData" : { "DOI" : "10.1111/cts.12315", "author" : [ { "family" : "Morrison", "given" : "Robert J." }, { "family" : "Kashlan", "given" : "Khaled N." }, { "family" : "Flanangan", "given" : "Colleen L." }, { "family" : "Wright", "given" : "Jeanne K." }, { "family" : "Green", "given" : "Glenn E." }, { "family" : "Hollister", "given" : "Scott J." }, { "family" : "Weatherwax", "given" : "Kevin J." } ], "container-title" : "Clinical and Translational Science", "id" : "ITEM-1", "issue" : "5", "issued" : { "date-parts" : [ [ "2015" ] ] }, "page" : "594-600", "title" : "Regulatory Considerations in the Design and Manufacturing of Implantable 3D-Printed Medical Devices", "type" : "article-journal", "volume" : "8" }, "uris" : [ "http://www.mendeley.com/documents/?uuid=659d3a57-8630-4860-8f13-6d60bcfb9644" ] } ], "mendeley" : { "formattedCitation" : "[105]", "plainTextFormattedCitation" : "[105]", "previouslyFormattedCitation" : "[106]" }, "properties" : { "noteIndex" : 0 }, "schema" : "https://github.com/citation-style-language/schema/raw/master/csl-citation.json" }</w:instrText>
      </w:r>
      <w:r>
        <w:fldChar w:fldCharType="separate"/>
      </w:r>
      <w:r w:rsidRPr="00A15EFA">
        <w:rPr>
          <w:noProof/>
        </w:rPr>
        <w:t>[106]</w:t>
      </w:r>
      <w:r>
        <w:fldChar w:fldCharType="end"/>
      </w:r>
      <w:r>
        <w:t xml:space="preserve"> defined and proposed the steps for the production of a tracheobronchial splint to treat tracheobronchomalacia following GMP standards. The proposal had to pass various phases to obtain approval for a FDA-regulated human clinical trial. This study illustrates the challenges involved in the regulation of TE processes prior to the introduction into the market. Nonetheless, it consists of an isolated case and more standard protocols should be designed for a wide range of scaffold-based therapies.</w:t>
      </w:r>
    </w:p>
    <w:p w:rsidR="005D1052" w:rsidRDefault="005D1052" w:rsidP="005D1052">
      <w:r>
        <w:t xml:space="preserve">The development of TE strategies should be accompanied by efforts to produce scaffolds ensuring quality and reproducibility. Scaffold is an active participant during tissue growth, and the material and the architecture determine its actual role. </w:t>
      </w:r>
      <w:r>
        <w:lastRenderedPageBreak/>
        <w:t>Therefore, scaffold fabrication should deliver the expected microstructure and performance in vitro and in vivo.  RP methods have been extensively used to fabricate scaffolds with pre-defined geometries and biomechanical properties. However, limitations in the fabrication process could lead to variations in the scaffold geometry altering the mechanical environment at the cell level, and thereby cell behaviour. For instance in</w:t>
      </w:r>
      <w:r w:rsidRPr="002C19D1">
        <w:t xml:space="preserve"> SLS</w:t>
      </w:r>
      <w:r>
        <w:t>,</w:t>
      </w:r>
      <w:r w:rsidRPr="002C19D1">
        <w:t xml:space="preserve"> </w:t>
      </w:r>
      <w:r>
        <w:t xml:space="preserve">the </w:t>
      </w:r>
      <w:r w:rsidRPr="002C19D1">
        <w:t>energy</w:t>
      </w:r>
      <w:r>
        <w:t xml:space="preserve"> density applied during the sintering of the powder material determines scaffold microporosity and local mechanical properties [9</w:t>
      </w:r>
      <w:r w:rsidR="003B5865">
        <w:t>5</w:t>
      </w:r>
      <w:r>
        <w:t xml:space="preserve">]. Domingos et al. </w:t>
      </w:r>
      <w:r>
        <w:fldChar w:fldCharType="begin" w:fldLock="1"/>
      </w:r>
      <w:r>
        <w:instrText>ADDIN CSL_CITATION { "citationItems" : [ { "id" : "ITEM-1", "itemData" : { "DOI" : "10.1108/13552541211193502", "author" : [ { "family" : "Domingos", "given" : "M." }, { "family" : "Chiellini", "given" : "F." }, { "family" : "Gloria", "given" : "a." }, { "family" : "Ambrosio", "given" : "L." }, { "family" : "Bartolo", "given" : "P." }, { "family" : "Chiellini", "given" : "E." } ], "container-title" : "Rapid Prototyping Journal", "id" : "ITEM-1", "issue" : "1", "issued" : { "date-parts" : [ [ "2012" ] ] }, "page" : "56-67", "title" : "Effect of process parameters on the morphological and mechanical properties of 3D Bioextruded poly(?-caprolactone) scaffolds", "type" : "article-journal", "volume" : "18" }, "uris" : [ "http://www.mendeley.com/documents/?uuid=200b7dad-6e80-4678-9a1c-fad6846b937c" ] } ], "mendeley" : { "formattedCitation" : "[102]", "plainTextFormattedCitation" : "[102]", "previouslyFormattedCitation" : "[103]" }, "properties" : { "noteIndex" : 0 }, "schema" : "https://github.com/citation-style-language/schema/raw/master/csl-citation.json" }</w:instrText>
      </w:r>
      <w:r>
        <w:fldChar w:fldCharType="separate"/>
      </w:r>
      <w:r w:rsidRPr="00A15EFA">
        <w:rPr>
          <w:noProof/>
        </w:rPr>
        <w:t>[103]</w:t>
      </w:r>
      <w:r>
        <w:fldChar w:fldCharType="end"/>
      </w:r>
      <w:r>
        <w:t xml:space="preserve"> reported the sensitivity of FDM scaffolds to the temperature and deposition velocity when forming struts. Consequently, fabricated scaffolds should be inspected to identify the limitations in the manufacturing process and the geometrical irregularities. Generally, RP scaffolds are assumed to be regular as they are printed directly from a digital design. Inspection methods such as digital reconstruction have been widely used for the characterization of irregular porous scaffolds with less emphasis for the assessment of regular-intended scaffolds. </w:t>
      </w:r>
    </w:p>
    <w:p w:rsidR="005D1052" w:rsidRDefault="005D1052" w:rsidP="005D1052">
      <w:r>
        <w:t xml:space="preserve">In Chapter 3, a novel computational approach was presented to inspect RP scaffolds in a systematic way. Scaffold architecture is characterised at the pore level and the local mechanical stimuli is mapped throughout the scaffold structure. Hence, the methodology allows the comparison of various scaffolds at multiple regions to report variability among samples and also the deviation of fabricated samples from the intended design. A regular PCL scaffold manufactured by FDM was investigated using the proposed methodology. This is a commercial scaffold from 3D Biotek that in principle should meet GMP standards. The samples were digitally reconstructed using  µCT. The architecture of the samples shows an unexpected cone-truncated shape due to the punching process. In addition, scaffolds present irregular pore size and distribution as a consequence of the time required for the fibres to solidify and the lack of control over fibre deposition. The structural analysis also reported morphological variability with regard to the CAD scaffold and among fabricated samples. By including the µCT geometry in CFD simulations, the fluid velocities and WSS at the pores could be obtained for all the samples. The irregular scaffold geometry influences the velocity maps and </w:t>
      </w:r>
      <w:r>
        <w:lastRenderedPageBreak/>
        <w:t xml:space="preserve">WSS distribution inside the scaffolds. High variability at the outer part of the scaffolds is found due to the geometrical defects originated in the punching process. Furthermore, the irregular pore size distribution and spatial arrangement lead to variability in the fluid flow conditions from pore to pore within samples. In addition, no common patterns were found among fabricated samples and all of them differed from the CAD performance. At this stage, a clear criteria should decide whether the variability found can be neglected or not. From the author’s perspective, the quality criteria for scaffold fabrication should be determined by cell activity and phenotype. The presented study should be extended by comparing the distribution of fluid flow velocities and WSS with the properties of the tissue formed within the scaffold. The same sample could be scanned with µCT and included in the simulations prior to the in vitro experiment. In this way, it could be established whether the variability found at the mechanical microenvironment affects cell response and it could be linked to scaffold geometry. Meanwhile, the studies presented in the literature suggest that the range of WSS values found herein could result in different cell behaviour from pore to pore and among samples [156, 157]. </w:t>
      </w:r>
    </w:p>
    <w:p w:rsidR="005D1052" w:rsidRDefault="005D1052" w:rsidP="005D1052">
      <w:r>
        <w:t>Cell response can be also influenced by the scaffold morphology at the surface. Variability in surface topography could strongly induce heterogeneous cell behaviour. The acquisition of surface topography by µCT scanning was restricted due to the resolution of the scanning machine. The µCT-scaffolds resulted in fibres with flat topography, especially after the smoothing process involved in the digitalization of the scaffold</w:t>
      </w:r>
      <w:r w:rsidRPr="00A23734">
        <w:t>.</w:t>
      </w:r>
      <w:r>
        <w:t xml:space="preserve"> Scaffold reconstruction, including filtering and segmentation, can modify the actual representation of the scanned scaffold. On the other hand, CFD-post-processing involves a certain level of manual handling. Thus, a sensitivity analysis was carried out to assess the reliability of the presented computational method for the inspection of fabricated samples. One sample was analysed five times and good agreement was found in the morphological characterization. Regarding the local fluid velocity and WSS, a qualitative agreement is found between the five analyses. However, the similarities are not significant in terms of WSS. This sensitivity analysis shows the inaccuracies of the </w:t>
      </w:r>
      <w:r>
        <w:lastRenderedPageBreak/>
        <w:t xml:space="preserve">model and provides valuable feedback in order to improve it towards a more reliable inspection procedure to analyse RP scaffolds. The inclusion of inspection methods in the chain of processes involved in engineering bone tissue could help to gain more control in the entire process. The noise present in in vitro experiments due to variability in the scaffold geometry could be identified, thereby gaining a better insight into the mechanisms of tissue growth.  </w:t>
      </w:r>
    </w:p>
    <w:p w:rsidR="005D1052" w:rsidRDefault="005D1052" w:rsidP="005D1052">
      <w:r>
        <w:t xml:space="preserve">In addition to WSS, the variability in terms of fluid velocities could strongly affect tissue development. Fluid flow velocity is related to the mass transport properties of the scaffold. It can affect the delivery of nutrients and oxygen to cells. Furthermore, it can influence the final distribution of cells after dynamic cell seeding. Cell seeding is a crucial step in TE since it precedes all the steps in tissue formation, and the initial density and spatial distribution of cells inside the scaffold are related to the final tissue properties. Therefore, homogeneous mass transport properties in the scaffold unit are essential for cell seeding and tissue growth. In Chapter 3, the local fluid velocities were calculated computationally at the pore level, although without experimental validation. In Chapter 4, µPIV experiments were carried out to calculate fluid velocity maps inside the scaffold pores and validate the CFD model. Conventional µPIV techniques require optical access to the region of interest and they can only measure 2D in plane velocities. Thus, the use of µPIV methods to characterise the fluid flow environment inside 3D scaffolds remains challenging. µPIV experiments on 2D substrates exemplifying the main architectural features of the 3D </w:t>
      </w:r>
      <w:r w:rsidRPr="004E525C">
        <w:t>scaffold</w:t>
      </w:r>
      <w:r>
        <w:t xml:space="preserve">s have been performed in the literature introducing a 2D+ concept in the characterization of the fluid flow profiles inside 3D scaffolds [138, 139, 140]. In Chapter 4, a new approach was presented where the 3D scaffold used in Chapter 3 was trimmed in order to gain visual access for the µPIV experiments. Thus, scaffold pores that are formed by a 3D arrangement of vertical and horizontal fibres could be observed by the tracking system. The 3D trimmed scaffold was fitted in a parallel plate. The pores observed by the microscope were the ones closer to the bottom of the channel, thereby inducing 2D fluid velocities that could be measured by the µPIV system. The effect of the 3D pore geometry on the local fluid velocities could be understood and </w:t>
      </w:r>
      <w:r>
        <w:lastRenderedPageBreak/>
        <w:t xml:space="preserve">described. Fluid velocities are higher at the centre of the pores and they decrease towards the scaffold fibres. In addition, the effect of the horizontal fibre on the velocity gradients over the pore depth could be measured. The pore velocity profiles described using µPIV served to evaluate the predictive power of the CFD model. Due to the variability found in Chapter 3 for this particular type of scaffold, the µCT-geometry of the trimmed scaffold used in the experiments was included in the CFD simulations. In this case, a good agreement was found between both methods. However, more trials should be carried out to gain statistical significance. The validation of both techniques encountered several challenges, such as the selection of the focus plane to compare both methods and the difficulty to capture scaffold position inside the channel in the CFD model. In addition, the µPIV showed a lack of resolution to define the fluid flow at the vicinity of the fibres. So far, the comparison with µPIV showed the potential of the computational model to predict the initial fluid flow conditions for cell seeding, if the µCT-scaffold was included in the simulations. </w:t>
      </w:r>
    </w:p>
    <w:p w:rsidR="005D1052" w:rsidRDefault="005D1052" w:rsidP="005D1052">
      <w:r>
        <w:t xml:space="preserve">To investigate the effect of fluid flow in cell seeding, cells suspended in media were infused in the microfluidic system where the trimmed scaffold was placed. Cell motion inside scaffold pores was tracked over time and space by PTV. To the author’s knowledge, this is the first time that cell seeding has been investigated inside a 3D scaffold with tracking methods. Fluid flow seemed to play an important role on cell transport in dynamic systems since, cells mainly followed the fluid streamlines. The transport of cells could be linked to the pore velocity profiles previously generated with µPIV. More cells passed by the centre of the pores where the local fluid velocities were higher. This decreases the probability of cells to intercept scaffold substrate and thereby cell adhesion. In addition, the effect of the irregular pore distribution inside the scaffold due to the limitations of the fabrication process could be noticed in the experiments. More cells travelled along bigger pores which could lead to an irregular distribution of cells throughout the scaffold. This highlights the importance of inspecting scaffolds prior to experiments. One of the main challenges in the experimental seeding was to maintain </w:t>
      </w:r>
      <w:r>
        <w:lastRenderedPageBreak/>
        <w:t xml:space="preserve">cells in suspension from the inlet to the scaffold. This shows the strong effect of gravity on cell motion within the fluid media. </w:t>
      </w:r>
    </w:p>
    <w:p w:rsidR="005D1052" w:rsidRDefault="005D1052" w:rsidP="005D1052">
      <w:r>
        <w:t>The PTV experimental results helped to formulate a CFD model able to predict cell path inside microfluidic systems. The effect of gravity in cell motion was incorporated by modelling cells with higher density than the fluid media [16</w:t>
      </w:r>
      <w:r w:rsidR="003B5865">
        <w:t>8</w:t>
      </w:r>
      <w:r>
        <w:t>, 16</w:t>
      </w:r>
      <w:r w:rsidR="003B5865">
        <w:t>9</w:t>
      </w:r>
      <w:r>
        <w:t xml:space="preserve">]. The CFD simulations corroborated that the flow rate selected in the experimental seeding was optimal to avoid cell sedimentation. Furthermore, the CFD results showed that the fluid drag is one of the main mechanisms in cell transport, as found in the PTV experiments. As cell adhesion was not observed during experimental seeding, cells were set to stick to the scaffold wall as soon as they intercepted it. In this way, the number of cells that could trigger cell adhesion was calculated with the CFD model which turned out to be a low percentage of cells as expected from the experimental observations. </w:t>
      </w:r>
    </w:p>
    <w:p w:rsidR="005D1052" w:rsidRDefault="005D1052" w:rsidP="005D1052">
      <w:r>
        <w:t xml:space="preserve">However, no agreement was found in cell velocity magnitude when comparing PTV and CFD results. Herein, the reason could be the fact that the DOC in the tracking system was increased by almost four times comparing to the µPIV experiments due to the size of the cells. Larger DOC implies the contribution of out of plane cells in the measurements, thereby misleading the cell velocity calculations. Moreover, the cell path observed in the PTV results could be the projection of perpendicular trajectories to the focus plane. For this reason, stereoscopic tracking systems could be a good solution to track 3D displacements of cells, although visual access from different angles will be required. Another reason for the disagreement on velocity </w:t>
      </w:r>
      <w:r w:rsidRPr="004212AF">
        <w:t>magnitudes may</w:t>
      </w:r>
      <w:r>
        <w:t xml:space="preserve"> be the fact that the available µCT-scaffold was different from the sample used in the PTV experiments. Variations from the µCT scaffold and the sample used in the experiments could lead to different fluid flow conditions and cell velocities. Despite the lack of agreement in terms of velocity magnitude, both approaches captured the same variability of cell velocities when moving from region to region inside the scaffold. That emphasises the importance of accurate fabrication systems to provide scaffolds with regular microstructure, and therefore a constant biomechanical microenvironment. It is </w:t>
      </w:r>
      <w:r>
        <w:lastRenderedPageBreak/>
        <w:t xml:space="preserve">noteworthy that suitable controlled biochemical conditions and surface coating could be beneficial for cell attachment. However, cell-scaffold interception should be first guaranteed so chemical signalling and cell adhesion may occur. In summary, Chapter 4 shows the influence of scaffold geometry on the local fluid flow and cell motion. This study also identifies gravity and fluid drag as the governing mechanisms of cell transport under fluid flow. </w:t>
      </w:r>
    </w:p>
    <w:p w:rsidR="005D1052" w:rsidRDefault="005D1052" w:rsidP="005D1052">
      <w:r>
        <w:t xml:space="preserve">The model developed in Chapter 4 was used later in Chapter 5 to investigate real in vitro cell seeding scenarios. The computational model was configured to simulate static and dynamic seeding approaches. The microfluidic chamber and the fluid flow boundary conditions applied in the experiments were replicated in the CFD simulations including a µCT scaffold. This study served to further investigate the predictive power of the computational model and explore the in vitro experiments in order to identify potential aspects to be improved for the enhancement of cell seeding efficiency. </w:t>
      </w:r>
    </w:p>
    <w:p w:rsidR="005D1052" w:rsidRDefault="005D1052" w:rsidP="005D1052">
      <w:r>
        <w:t>In the static seeding simulations, cells sediment within the static fluid towards the scaffold, adhering to the first obstacle found. More cells are found at the fibres closer to the injection region leading to a heterogeneous distribution of cells inside the scaffold. In addition, the irregular distribution of fibres, as a consequence of the manufacturing process, affects the spatial distribution of cells attached to the scaffold. Nonetheless, cell proliferation is not accounted for in the simulations and this could result on cells moving towards empty regions thereby improving the spatial distribution of cells. Scaffold cell seeding efficiency was found to be higher in the computational simulations than in the in vitro experiments. The CFD simulations overestimates scaffold cell seeding efficiency and the reason could be the assumption that cells attach to scaffold substrate as soon as they hit on it. In in vitro experiments, the interception of cells with scaffold substrate does not necessarily imply cell adhesion since a series of cellular events need to occur under suitable biochemical conditions. Furthermore, cells can form clusters obstructing scaffold pores and preventing cells from depositing on the scaffold substrate.</w:t>
      </w:r>
    </w:p>
    <w:p w:rsidR="005D1052" w:rsidRDefault="005D1052" w:rsidP="005D1052">
      <w:r>
        <w:lastRenderedPageBreak/>
        <w:t xml:space="preserve">In dynamic seeding, various experiments were performed under different flow rates. The simulations showed the effect of the imposed flow rate on cell deposition on the microfluidic channels and scaffold surface. More specifically, the influence of the flow rate on the forces due to gravity and fluid drag acting on cell motion. </w:t>
      </w:r>
      <w:r w:rsidRPr="0050710F">
        <w:t xml:space="preserve">Higher flow rates lead to secondary flows promoting cell impaction on scaffold substrate and channel walls. However, flow rates </w:t>
      </w:r>
      <w:r>
        <w:t xml:space="preserve">above a certain value </w:t>
      </w:r>
      <w:r w:rsidRPr="0050710F">
        <w:t>can originate recirculation areas preventing cells from passing through the scaffold pores. For lower flow rates, gravity becomes a dominant factor on cell deposition</w:t>
      </w:r>
      <w:r>
        <w:t xml:space="preserve"> although flow rates below a certain value detach cells from the flow thereby reducing cell transport properties. The best conditions to increase scaffold cell seeding efficiency seems to be a compromise between cell impaction due to fluid inertia and gravity, as also seen in the </w:t>
      </w:r>
      <w:r w:rsidRPr="0017025D">
        <w:t xml:space="preserve">experimental results. </w:t>
      </w:r>
    </w:p>
    <w:p w:rsidR="005D1052" w:rsidRDefault="005D1052" w:rsidP="005D1052">
      <w:r>
        <w:t>However, computational cell deposition results are sensitive to the density of the mesh that represents the fluid domain. Cell deposition rates calculated with the CFD model did not converge for the mesh size selected in the study. Higher mesh density leads to lower cell deposition rates, so it can be stated that the calculated seeding efficiencies were overestimated. More computational resources would be required to perform the simulations in finer meshes in order to find results that are more reliable. Besides the mesh density, integrating cell-to-cell interactions and cluster formation could also improve the explanatory capability of the simulations. Nevertheless, the same trends when varying the flow rate were found in the computational and in the experimental scaffold cell deposition results.</w:t>
      </w:r>
    </w:p>
    <w:p w:rsidR="005D1052" w:rsidRDefault="005D1052" w:rsidP="005D1052">
      <w:r>
        <w:t xml:space="preserve">It is noteworthy that performing static and dynamic cell seeding simulations in more µCT scaffolds could give a better insight of the effect of scaffold variability on cell seeding. More simulations could serve to identify whether there is a common pattern in terms of cell distribution when applying the same seeding conditions, or if different distributions are found as a consequence of variations on scaffold geometry. However, </w:t>
      </w:r>
      <w:r>
        <w:lastRenderedPageBreak/>
        <w:t>in the dynamic seeding simulations, a low number of cells deposit onto the scaffold which complicates the identification of distribution patterns.</w:t>
      </w:r>
    </w:p>
    <w:p w:rsidR="005D1052" w:rsidRPr="006D737B" w:rsidRDefault="005D1052" w:rsidP="005D1052">
      <w:r>
        <w:t>To the author’s knowledge, only two studies have investigated cell seeding of 3D porous scaffolds under fluid flow by means of computational simulations tracking individual cell paths. The main limitation in the study of Adebiyi et al. [13</w:t>
      </w:r>
      <w:r w:rsidR="003B5865">
        <w:t>5</w:t>
      </w:r>
      <w:r>
        <w:t>] is the assumption of the scaffold geometry as an idealised porous medium. This thesis shows the importance of including the actual scaffold geometry, as local variations could generate perturbations in the local fluid dynamics and cell transport during seeding. In the case of Olivares and Lacroix [13</w:t>
      </w:r>
      <w:r w:rsidR="003B5865">
        <w:t>3</w:t>
      </w:r>
      <w:r>
        <w:t>], the µCT scaffold was included in the simulations and a good agreement with experiments was found. However, the force due to gravity acting on cells was not considered in the simulations. Therefore, their computational model is limited to describe cell motion in cases where the flow rate is sufficiently low that the dominance of gravity is superior to the effect of fluid drag. Furthermore, none of these methods explored the influence of the selected mesh size on cell deposition and the predictive capability of the models.</w:t>
      </w:r>
    </w:p>
    <w:p w:rsidR="005D1052" w:rsidRDefault="005D1052" w:rsidP="005D1052">
      <w:r>
        <w:t xml:space="preserve">Static seeding seems to perform better than dynamic both computationally and experimentally. Nevertheless, the static approach presents irregular </w:t>
      </w:r>
      <w:r w:rsidRPr="00B746C7">
        <w:t>cell distribution</w:t>
      </w:r>
      <w:r>
        <w:t xml:space="preserve"> inside the scaffold. Eventually cell proliferation could solve this issue although in case of larger scaffolds, cell proliferation may not cover all scaffold regions. Additional seeding points along with cell proliferation could help to achieve a more regular distribution of cells although cell proliferation may be time consuming. For the integration of TE processes into industry, cell seeding time should be reduced and optimised and cell transport properties should satisfy different scaffolds sizes. Dynamic seeding overcomes the poor transport properties of static methods. However, it lacks control over cell deposition on scaffold substrate. By controlling the driving factors on cell motion under fluid flow, these methods could be promising candidates to seed 3D scaffolds with high efficiencies and within reduced time intervals. </w:t>
      </w:r>
      <w:r w:rsidRPr="0017025D">
        <w:t>New strategies should be developed to promote cell scaffold intercept</w:t>
      </w:r>
      <w:r>
        <w:t>ion such as p</w:t>
      </w:r>
      <w:r w:rsidRPr="0017025D">
        <w:t xml:space="preserve">erfusion systems </w:t>
      </w:r>
      <w:r>
        <w:t>in combination</w:t>
      </w:r>
      <w:r w:rsidRPr="0017025D">
        <w:t xml:space="preserve"> with </w:t>
      </w:r>
      <w:r w:rsidRPr="0017025D">
        <w:lastRenderedPageBreak/>
        <w:t>rotatory chambers [17</w:t>
      </w:r>
      <w:r w:rsidR="003B5865">
        <w:t>4</w:t>
      </w:r>
      <w:r w:rsidRPr="0017025D">
        <w:t>] or scaffolds filled with collagen networks to increased surface area</w:t>
      </w:r>
      <w:r>
        <w:t xml:space="preserve"> for cell trapping</w:t>
      </w:r>
      <w:r w:rsidRPr="0017025D">
        <w:t xml:space="preserve"> [17</w:t>
      </w:r>
      <w:r w:rsidR="003B5865">
        <w:t>6</w:t>
      </w:r>
      <w:r w:rsidRPr="0017025D">
        <w:t>].</w:t>
      </w:r>
    </w:p>
    <w:p w:rsidR="005D1052" w:rsidRDefault="005D1052" w:rsidP="005D1052"/>
    <w:p w:rsidR="005D1052" w:rsidRDefault="005D1052" w:rsidP="005D1052">
      <w:pPr>
        <w:sectPr w:rsidR="005D1052" w:rsidSect="00EB11EA">
          <w:headerReference w:type="even" r:id="rId182"/>
          <w:headerReference w:type="default" r:id="rId183"/>
          <w:footerReference w:type="default" r:id="rId184"/>
          <w:pgSz w:w="11906" w:h="16838"/>
          <w:pgMar w:top="2268" w:right="1134" w:bottom="1701" w:left="2268" w:header="284" w:footer="454" w:gutter="0"/>
          <w:cols w:space="708"/>
          <w:titlePg/>
          <w:docGrid w:linePitch="360"/>
        </w:sectPr>
      </w:pPr>
    </w:p>
    <w:p w:rsidR="005D1052" w:rsidRPr="00571C93" w:rsidRDefault="005D1052" w:rsidP="005D1052">
      <w:pPr>
        <w:pStyle w:val="Heading1"/>
      </w:pPr>
      <w:bookmarkStart w:id="688" w:name="_Toc310605653"/>
      <w:bookmarkStart w:id="689" w:name="_Toc310605948"/>
      <w:bookmarkStart w:id="690" w:name="_Toc440823308"/>
      <w:r>
        <w:lastRenderedPageBreak/>
        <w:t>Conclusions</w:t>
      </w:r>
      <w:bookmarkEnd w:id="688"/>
      <w:bookmarkEnd w:id="689"/>
      <w:bookmarkEnd w:id="690"/>
    </w:p>
    <w:p w:rsidR="005D1052" w:rsidRDefault="005D1052" w:rsidP="005D1052">
      <w:pPr>
        <w:pStyle w:val="Heading2"/>
        <w:numPr>
          <w:ilvl w:val="0"/>
          <w:numId w:val="0"/>
        </w:numPr>
      </w:pPr>
    </w:p>
    <w:p w:rsidR="005D1052" w:rsidRDefault="005D1052" w:rsidP="005D1052">
      <w:pPr>
        <w:pStyle w:val="Heading2"/>
        <w:spacing w:before="0" w:after="0"/>
      </w:pPr>
      <w:bookmarkStart w:id="691" w:name="_Toc440823309"/>
      <w:r>
        <w:t>Summary of main contributions</w:t>
      </w:r>
      <w:bookmarkEnd w:id="691"/>
    </w:p>
    <w:p w:rsidR="005D1052" w:rsidRPr="00A9207B" w:rsidRDefault="005D1052" w:rsidP="005D1052">
      <w:r w:rsidRPr="0021765D">
        <w:t>T</w:t>
      </w:r>
      <w:r>
        <w:t>his thesis focuses on the study of in silico methods for the development of TE constructs for bone grafting. The present thesis shows the potential of computational simulations for the control of TE processes towards successful incorporation into the clinics. The main contribution of this study focuses on the characterization of RP scaffolds to understand how the geometry affects the initial fluid flow conditions and its impact on scaffold cell seeding. The mechanisms of cell transport during cell seeding are identified and a computational model is presented to explore and optimise in vitro scenarios for the enhancement of cell seeding efficiency of 3D porous scaffolds.</w:t>
      </w:r>
    </w:p>
    <w:p w:rsidR="005D1052" w:rsidRPr="00A82BBC" w:rsidRDefault="005D1052" w:rsidP="005D1052">
      <w:r w:rsidRPr="00FC5DF9">
        <w:t>The study presented in</w:t>
      </w:r>
      <w:r>
        <w:rPr>
          <w:b/>
        </w:rPr>
        <w:t xml:space="preserve"> </w:t>
      </w:r>
      <w:r w:rsidRPr="00A9207B">
        <w:rPr>
          <w:b/>
        </w:rPr>
        <w:t>Chapter 3</w:t>
      </w:r>
      <w:r>
        <w:t xml:space="preserve"> showed the importance of inspecting scaffolds with intended regular structures. RP manufacturing should further develop to deliver quality and reproducible TE scaffolds. Inconsistencies in the manufacturing process could lead to undesired porous microstructures and unexpected scaffold performance during tissue formation. More standard protocols</w:t>
      </w:r>
      <w:r w:rsidRPr="0050710F">
        <w:t xml:space="preserve"> </w:t>
      </w:r>
      <w:r>
        <w:t xml:space="preserve">should be incorporated in the chain of TE process to evaluate the scaffold geometry and biomechanical properties. An inspection protocol to analyse RP scaffolds in a more systematic manner was presented based on the recent advancement of imaging techniques and CFD simulations. The method provides morphological characterization of fabricated scaffolds and calculates the mechanical behaviour under fluid flow at the pore level. The variability on the local fluid flow can be explained by the limitations of the fabrication process thereby providing valuable feedback for manufacturers. Furthermore, the model can compare </w:t>
      </w:r>
      <w:r>
        <w:lastRenderedPageBreak/>
        <w:t xml:space="preserve">local fluid flow conditions among scaffolds, reporting the quality and the reproducibility of the fabricated samples. This method also serves to analyse scaffolds prior to in vitro or in vivo trials in order to identify any noise during tissue growth as a consequence of alterations in scaffold geometry. Moreover, this protocol has the potential to inspect a wide range of RP scaffolds. Scaffold variability in terms of WSS cannot be underestimated due to the lack of agreement in the literature regarding its effect on cell response. Furthermore, variations of local fluid velocities can influence scaffold cell seeding and therefore the initial conditions for tissue development. </w:t>
      </w:r>
    </w:p>
    <w:p w:rsidR="005D1052" w:rsidRPr="00F72B9D" w:rsidRDefault="005D1052" w:rsidP="005D1052">
      <w:r w:rsidRPr="00F72B9D">
        <w:t xml:space="preserve">In </w:t>
      </w:r>
      <w:r>
        <w:rPr>
          <w:b/>
        </w:rPr>
        <w:t>Chapter 4</w:t>
      </w:r>
      <w:r>
        <w:t xml:space="preserve">, a µPIV strategy was developed for the first time for the calculation of velocity maps inside a 3D scaffold. The inclusion of the µCT-scaffold in the CFD model showed the potential of the computational model to predict the initial fluid flow conditions for cell seeding at the pore level. A discrete phase was added into the CFD model to represent cells in suspension and describe cell motion under dynamic seeding. On the other hand, labelled cells were infused in the experimental setup to observe and track cell path over time and space inside the scaffold pores. Experiments and numerical simulations agreed on the strong effect of fluid drag and gravity on cell transport. Cells follow fluid streamlines that reduce the probability of cell impaction on scaffold substrate and thereby cell adhesion. In case of low flow rates, gravity becomes more dominant leading to cell sedimentation. </w:t>
      </w:r>
    </w:p>
    <w:p w:rsidR="005D1052" w:rsidRDefault="005D1052" w:rsidP="005D1052">
      <w:r>
        <w:t xml:space="preserve">The model formulated in Chapter 4 was employed in </w:t>
      </w:r>
      <w:r w:rsidRPr="009804CA">
        <w:rPr>
          <w:b/>
        </w:rPr>
        <w:t>Chapter 5</w:t>
      </w:r>
      <w:r>
        <w:t xml:space="preserve"> to explore realistic in vitro cell seeding configurations. Static and dynamic strategies were investigated providing hints for further improvement. The model predicts higher cell efficiency for the static approach over the dynamic seeding as found in the experiments. The model suggests that multiple injection regions could lead to better spatial distribution of cells in static seeding. On the other hand, the low efficiencies found in the dynamic seeding were explained from the computational results. Cells follow fluid motion closely and only secondary flows can transport cells towards scaffold substrate. However, under certain flow rates the gravity force can overcome fluid drag, detaching </w:t>
      </w:r>
      <w:r>
        <w:lastRenderedPageBreak/>
        <w:t xml:space="preserve">cells from the flow and driving cells towards the scaffold walls. The study shows that the selection of the flow rate is an important factor that determines the actual contribution of fluid inertia and gravity on cell deposition. The fact that cells pass by all scaffold pores does not imply cell-scaffold interception and these findings can help to design new configurations to promote cell deposition. For instance, perfusion systems in combination with rotatory chambers or scaffolds with more tortuous channels could enhance cell deposition on scaffold substrate. The presented in silico model is a powerful tool to enhance scaffold cell seeding efficiency in in vitro systems while reducing the number of expensive trials and cell waste. </w:t>
      </w:r>
    </w:p>
    <w:p w:rsidR="005D1052" w:rsidRDefault="005D1052" w:rsidP="005D1052">
      <w:pPr>
        <w:pStyle w:val="Heading2"/>
      </w:pPr>
      <w:bookmarkStart w:id="692" w:name="_Toc440823310"/>
      <w:r>
        <w:t>Limitations</w:t>
      </w:r>
      <w:bookmarkEnd w:id="692"/>
    </w:p>
    <w:p w:rsidR="005D1052" w:rsidRDefault="005D1052" w:rsidP="005D1052">
      <w:r>
        <w:t xml:space="preserve">In </w:t>
      </w:r>
      <w:r w:rsidRPr="002C7FE1">
        <w:rPr>
          <w:b/>
        </w:rPr>
        <w:t>Chapter 3</w:t>
      </w:r>
      <w:r>
        <w:t>, a</w:t>
      </w:r>
      <w:r w:rsidRPr="002C7FE1">
        <w:t xml:space="preserve"> </w:t>
      </w:r>
      <w:r>
        <w:t>sensitivity analysis was carried out to evaluate whether the variability reported by the computational protocol was due to inaccuracies during scaffold fabrication or the inspection process. The WSS post-processing seems to be a major source of error. Extraction of WSS data from the CFD simulations involves manual handling so more accurate methods should be developed to improve this phase of the inspection process. In addition, the present study could incorporate results from in vitro experiments to relate cell response to scaffold variability. In this way, geometrical tolerances could be established to avoid unexpected cell behaviour. It is noteworthy that only five samples were analysed; the inspection of more samples could contribute to the statistical power of the study. Furthermore, inspecting other scaffold designs with the methodology proposed could help to assess the versatility of the protocol before defining it as a standard procedure to analyse RP scaffolds.</w:t>
      </w:r>
    </w:p>
    <w:p w:rsidR="005D1052" w:rsidRDefault="005D1052" w:rsidP="005D1052">
      <w:r w:rsidRPr="00461BBB">
        <w:t>The extraction of experimental data in</w:t>
      </w:r>
      <w:r>
        <w:rPr>
          <w:b/>
        </w:rPr>
        <w:t xml:space="preserve"> </w:t>
      </w:r>
      <w:r w:rsidRPr="001537E3">
        <w:rPr>
          <w:b/>
        </w:rPr>
        <w:t>Chapter 4</w:t>
      </w:r>
      <w:r>
        <w:t xml:space="preserve"> was a challenging step in this thesis. Scaffolds could not be re-used as fluorescence particles and labelled cells stained the surface of sample. Only one CFD simulation could be compared to µPIV results using the same scaffold and in the case of cell tracking the results were compared with the </w:t>
      </w:r>
      <w:r>
        <w:lastRenderedPageBreak/>
        <w:t>multiphase CFD model using different scaffolds. Multiple analyses using the same scaffold both experimentally and computationally could establish the capability of the CFD model to predict the local fluid flow and cell motion. Furthermore, cell tracking experiments are limited due to the large DOC so stereoscopic systems able to track 3D displacements should be employed instead. Another important factor is the perturbations generated in the local fluid flow due to the position of the scaffold with regard to the channel walls. Different representations in the simulations could lead to different results in terms of fluid and cell velocities on the local fluid dynamics.</w:t>
      </w:r>
    </w:p>
    <w:p w:rsidR="005D1052" w:rsidRPr="001537E3" w:rsidRDefault="005D1052" w:rsidP="005D1052">
      <w:r w:rsidRPr="00A64EB0">
        <w:t>The study in</w:t>
      </w:r>
      <w:r>
        <w:rPr>
          <w:b/>
        </w:rPr>
        <w:t xml:space="preserve"> </w:t>
      </w:r>
      <w:r w:rsidRPr="001537E3">
        <w:rPr>
          <w:b/>
        </w:rPr>
        <w:t>Chapter 5</w:t>
      </w:r>
      <w:r>
        <w:t xml:space="preserve"> describes the mechanisms of cell scaffold deposition for in vitro cell seeding and </w:t>
      </w:r>
      <w:r w:rsidRPr="008D5C4F">
        <w:t xml:space="preserve">the </w:t>
      </w:r>
      <w:r>
        <w:t>results appears</w:t>
      </w:r>
      <w:r w:rsidRPr="008D5C4F">
        <w:t xml:space="preserve"> in accordance with the experimental findings. However, cell adhesion and cell viability are not included in the model </w:t>
      </w:r>
      <w:r>
        <w:t xml:space="preserve">, </w:t>
      </w:r>
      <w:r w:rsidRPr="008D5C4F">
        <w:t xml:space="preserve">thereby only maximum seeding efficiency can be reported. Furthermore, the interaction between cells such </w:t>
      </w:r>
      <w:r>
        <w:t xml:space="preserve">as </w:t>
      </w:r>
      <w:r w:rsidRPr="008D5C4F">
        <w:t>intercellular collisions or the formation of clusters</w:t>
      </w:r>
      <w:r>
        <w:t xml:space="preserve"> should be included in the simulations as it could affect cell deposition rates on scaffold substrate. Nevertheless, the main limitation in the computational simulations is the mesh density selected that overestimates cell deposition. An extended mesh independence test should be carried out to find the mesh density that converges for cell deposition rates. Moreover, the element type near scaffold walls should be investigated as it could modify the cell deposition behaviour.</w:t>
      </w:r>
    </w:p>
    <w:p w:rsidR="005D1052" w:rsidRDefault="005D1052" w:rsidP="005D1052">
      <w:pPr>
        <w:pStyle w:val="Heading2"/>
      </w:pPr>
      <w:bookmarkStart w:id="693" w:name="_Toc440823311"/>
      <w:r>
        <w:t>Future prospects</w:t>
      </w:r>
      <w:bookmarkEnd w:id="693"/>
    </w:p>
    <w:p w:rsidR="005D1052" w:rsidRDefault="005D1052" w:rsidP="005D1052">
      <w:pPr>
        <w:spacing w:after="360"/>
      </w:pPr>
      <w:r>
        <w:t xml:space="preserve">In silico methods are rapidly evolving playing an important role in the development of the TE field. These methods have demonstrated their potential to describe and predict complex processes involved in the formation of new tissue with the aid of 3D porous scaffolds. The computational approach presented in this thesis is able to describe scaffold cell seeding under in vitro hydrodynamic conditions although the lack of biological aspects can influence its predictive capability. The previous limitations </w:t>
      </w:r>
      <w:r>
        <w:lastRenderedPageBreak/>
        <w:t xml:space="preserve">at the cell level such as cell adhesion, cell viability or cell-to-cell interactions are key variables that can affect cell seeding outcomes, and thereby the initial conditions for tissue formation. These limitations could be addressed by integrating the model within a multi-scale computational framework. Computational models at the cell scale could supply the present model with more realistic rules about cell behaviour during seeding. Furthermore, models at the cell level could integrate cell-type or material-microenvironment specific properties into the model being able to describe a wider range of scenarios and applications. On the other hand, a multi-scale approach could enhance the inspection protocol proposed in this thesis by computing cell phenotype using mechanoregulatory theories. This could help to better assess the quality of the fabrication process and its repercussion on tissue growth. More efforts should be made to develop computational models that integrate mechanical aspects with biochemical behaviours. Such sophisticated models, with greater explanatory power could help to gain a deep insight into TE processes avoiding long experimental trials and paving the way for the successful integration of scaffold-therapies in clinical scenarios. </w:t>
      </w:r>
    </w:p>
    <w:p w:rsidR="005D1052" w:rsidRDefault="005D1052" w:rsidP="005D1052">
      <w:pPr>
        <w:spacing w:after="360"/>
      </w:pPr>
      <w:r>
        <w:br w:type="page"/>
      </w:r>
    </w:p>
    <w:p w:rsidR="005D1052" w:rsidRDefault="005D1052" w:rsidP="005D1052">
      <w:pPr>
        <w:spacing w:after="360"/>
        <w:sectPr w:rsidR="005D1052" w:rsidSect="00EB11EA">
          <w:headerReference w:type="even" r:id="rId185"/>
          <w:headerReference w:type="default" r:id="rId186"/>
          <w:footerReference w:type="default" r:id="rId187"/>
          <w:pgSz w:w="11906" w:h="16838"/>
          <w:pgMar w:top="2268" w:right="1134" w:bottom="1701" w:left="2268" w:header="284" w:footer="454" w:gutter="0"/>
          <w:cols w:space="708"/>
          <w:titlePg/>
          <w:docGrid w:linePitch="360"/>
        </w:sectPr>
      </w:pPr>
    </w:p>
    <w:p w:rsidR="005D1052" w:rsidRDefault="005D1052" w:rsidP="005D1052">
      <w:pPr>
        <w:spacing w:after="360"/>
        <w:sectPr w:rsidR="005D1052" w:rsidSect="00EB11EA">
          <w:pgSz w:w="11906" w:h="16838"/>
          <w:pgMar w:top="2268" w:right="1134" w:bottom="1701" w:left="2268" w:header="284" w:footer="454" w:gutter="0"/>
          <w:cols w:space="708"/>
          <w:titlePg/>
          <w:docGrid w:linePitch="360"/>
        </w:sectPr>
      </w:pPr>
    </w:p>
    <w:p w:rsidR="005D1052" w:rsidRDefault="005D1052" w:rsidP="005D1052">
      <w:pPr>
        <w:pStyle w:val="Heading1"/>
      </w:pPr>
      <w:bookmarkStart w:id="694" w:name="_Toc420596733"/>
      <w:bookmarkStart w:id="695" w:name="_Toc310605654"/>
      <w:bookmarkStart w:id="696" w:name="_Toc310605949"/>
      <w:bookmarkStart w:id="697" w:name="_Toc440823312"/>
      <w:r w:rsidRPr="00571C93">
        <w:lastRenderedPageBreak/>
        <w:t>References</w:t>
      </w:r>
      <w:bookmarkEnd w:id="694"/>
      <w:bookmarkEnd w:id="695"/>
      <w:bookmarkEnd w:id="696"/>
      <w:bookmarkEnd w:id="697"/>
    </w:p>
    <w:p w:rsidR="005D1052" w:rsidRDefault="005D1052" w:rsidP="005D1052">
      <w:pPr>
        <w:pStyle w:val="Heading2"/>
        <w:numPr>
          <w:ilvl w:val="0"/>
          <w:numId w:val="0"/>
        </w:numPr>
      </w:pPr>
    </w:p>
    <w:p w:rsidR="005D1052" w:rsidRPr="005E0378" w:rsidRDefault="005D1052" w:rsidP="005D1052">
      <w:pPr>
        <w:pStyle w:val="NormalWeb"/>
        <w:ind w:left="640" w:hanging="640"/>
        <w:rPr>
          <w:rFonts w:ascii="Calibri" w:eastAsiaTheme="minorEastAsia" w:hAnsi="Calibri"/>
          <w:sz w:val="24"/>
        </w:rPr>
      </w:pPr>
      <w:r w:rsidRPr="00552A5F">
        <w:rPr>
          <w:b/>
          <w:sz w:val="24"/>
          <w:szCs w:val="24"/>
        </w:rPr>
        <w:fldChar w:fldCharType="begin" w:fldLock="1"/>
      </w:r>
      <w:r w:rsidRPr="00552A5F">
        <w:rPr>
          <w:b/>
          <w:sz w:val="24"/>
          <w:szCs w:val="24"/>
        </w:rPr>
        <w:instrText xml:space="preserve">ADDIN Mendeley Bibliography CSL_BIBLIOGRAPHY </w:instrText>
      </w:r>
      <w:r w:rsidRPr="00552A5F">
        <w:rPr>
          <w:b/>
          <w:sz w:val="24"/>
          <w:szCs w:val="24"/>
        </w:rPr>
        <w:fldChar w:fldCharType="separate"/>
      </w:r>
      <w:r w:rsidRPr="005E0378">
        <w:rPr>
          <w:rFonts w:ascii="Calibri" w:hAnsi="Calibri"/>
          <w:sz w:val="24"/>
        </w:rPr>
        <w:t xml:space="preserve">1. </w:t>
      </w:r>
      <w:r w:rsidRPr="005E0378">
        <w:rPr>
          <w:rFonts w:ascii="Calibri" w:hAnsi="Calibri"/>
          <w:sz w:val="24"/>
        </w:rPr>
        <w:tab/>
        <w:t xml:space="preserve">Donati D, Zolezzi C, Tomba P, Viganò A. </w:t>
      </w:r>
      <w:r>
        <w:rPr>
          <w:rFonts w:ascii="Calibri" w:hAnsi="Calibri"/>
          <w:sz w:val="24"/>
        </w:rPr>
        <w:t xml:space="preserve">2007 </w:t>
      </w:r>
      <w:r w:rsidRPr="005E0378">
        <w:rPr>
          <w:rFonts w:ascii="Calibri" w:hAnsi="Calibri"/>
          <w:sz w:val="24"/>
        </w:rPr>
        <w:t>Bone grafting: historical and conceptual review, starting with an old manuscript by Vit</w:t>
      </w:r>
      <w:r>
        <w:rPr>
          <w:rFonts w:ascii="Calibri" w:hAnsi="Calibri"/>
          <w:sz w:val="24"/>
        </w:rPr>
        <w:t xml:space="preserve">torio Putti. </w:t>
      </w:r>
      <w:r w:rsidRPr="005229C2">
        <w:rPr>
          <w:rFonts w:ascii="Calibri" w:hAnsi="Calibri"/>
          <w:i/>
          <w:sz w:val="24"/>
        </w:rPr>
        <w:t xml:space="preserve">Acta orthopaedica </w:t>
      </w:r>
      <w:r>
        <w:rPr>
          <w:rFonts w:ascii="Calibri" w:hAnsi="Calibri"/>
          <w:i/>
          <w:sz w:val="24"/>
        </w:rPr>
        <w:t xml:space="preserve">78, </w:t>
      </w:r>
      <w:r w:rsidRPr="005229C2">
        <w:rPr>
          <w:rFonts w:ascii="Calibri" w:hAnsi="Calibri"/>
          <w:sz w:val="24"/>
        </w:rPr>
        <w:t>19-25.</w:t>
      </w:r>
      <w:r w:rsidRPr="005E0378">
        <w:rPr>
          <w:rFonts w:ascii="Calibri" w:hAnsi="Calibri"/>
          <w:sz w:val="24"/>
        </w:rPr>
        <w:t xml:space="preserve">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2. </w:t>
      </w:r>
      <w:r w:rsidRPr="005E0378">
        <w:rPr>
          <w:rFonts w:ascii="Calibri" w:hAnsi="Calibri"/>
          <w:sz w:val="24"/>
        </w:rPr>
        <w:tab/>
        <w:t>Nerlich a. G, Zink a., Szeimies U, Hagedorn HG.</w:t>
      </w:r>
      <w:r>
        <w:rPr>
          <w:rFonts w:ascii="Calibri" w:hAnsi="Calibri"/>
          <w:sz w:val="24"/>
        </w:rPr>
        <w:t xml:space="preserve"> </w:t>
      </w:r>
      <w:r w:rsidRPr="005229C2">
        <w:rPr>
          <w:rFonts w:ascii="Calibri" w:hAnsi="Calibri"/>
          <w:sz w:val="24"/>
        </w:rPr>
        <w:t>2000</w:t>
      </w:r>
      <w:r w:rsidRPr="005E0378">
        <w:rPr>
          <w:rFonts w:ascii="Calibri" w:hAnsi="Calibri"/>
          <w:sz w:val="24"/>
        </w:rPr>
        <w:t xml:space="preserve"> Ancient Egyptian prosthesis of the big toe. </w:t>
      </w:r>
      <w:r w:rsidRPr="005229C2">
        <w:rPr>
          <w:rFonts w:ascii="Calibri" w:hAnsi="Calibri"/>
          <w:i/>
          <w:sz w:val="24"/>
        </w:rPr>
        <w:t>The Lancet</w:t>
      </w:r>
      <w:r w:rsidRPr="005E0378">
        <w:rPr>
          <w:rFonts w:ascii="Calibri" w:hAnsi="Calibri"/>
          <w:sz w:val="24"/>
        </w:rPr>
        <w:t xml:space="preserve"> </w:t>
      </w:r>
      <w:r w:rsidRPr="005229C2">
        <w:rPr>
          <w:rFonts w:ascii="Calibri" w:hAnsi="Calibri"/>
          <w:sz w:val="24"/>
        </w:rPr>
        <w:t> </w:t>
      </w:r>
      <w:r w:rsidRPr="005229C2">
        <w:rPr>
          <w:rFonts w:ascii="Calibri" w:hAnsi="Calibri"/>
          <w:i/>
          <w:sz w:val="24"/>
        </w:rPr>
        <w:t>356</w:t>
      </w:r>
      <w:r>
        <w:rPr>
          <w:rFonts w:ascii="Calibri" w:hAnsi="Calibri"/>
          <w:sz w:val="24"/>
        </w:rPr>
        <w:t xml:space="preserve">, </w:t>
      </w:r>
      <w:r w:rsidRPr="005229C2">
        <w:rPr>
          <w:rFonts w:ascii="Calibri" w:hAnsi="Calibri"/>
          <w:sz w:val="24"/>
        </w:rPr>
        <w:t>2176-9.</w:t>
      </w:r>
    </w:p>
    <w:p w:rsidR="005D1052" w:rsidRPr="005229C2" w:rsidRDefault="005D1052" w:rsidP="005D1052">
      <w:pPr>
        <w:pStyle w:val="NormalWeb"/>
        <w:ind w:left="640" w:hanging="640"/>
        <w:rPr>
          <w:rFonts w:ascii="Calibri" w:hAnsi="Calibri"/>
          <w:sz w:val="24"/>
        </w:rPr>
      </w:pPr>
      <w:r w:rsidRPr="005E0378">
        <w:rPr>
          <w:rFonts w:ascii="Calibri" w:hAnsi="Calibri"/>
          <w:sz w:val="24"/>
        </w:rPr>
        <w:t xml:space="preserve">3. </w:t>
      </w:r>
      <w:r w:rsidRPr="005E0378">
        <w:rPr>
          <w:rFonts w:ascii="Calibri" w:hAnsi="Calibri"/>
          <w:sz w:val="24"/>
        </w:rPr>
        <w:tab/>
        <w:t>Miron RJ, Sculean A, Shuang Y, B</w:t>
      </w:r>
      <w:r>
        <w:rPr>
          <w:rFonts w:ascii="Calibri" w:hAnsi="Calibri"/>
          <w:sz w:val="24"/>
        </w:rPr>
        <w:t>osshardt DD, Gruber R, Buser D</w:t>
      </w:r>
      <w:r w:rsidRPr="005229C2">
        <w:rPr>
          <w:rFonts w:ascii="Calibri" w:hAnsi="Calibri"/>
          <w:sz w:val="24"/>
        </w:rPr>
        <w:t>, Chandad F, Zhang Y</w:t>
      </w:r>
      <w:r>
        <w:rPr>
          <w:rFonts w:ascii="Calibri" w:hAnsi="Calibri"/>
          <w:sz w:val="24"/>
        </w:rPr>
        <w:t>.</w:t>
      </w:r>
      <w:r w:rsidRPr="005E0378">
        <w:rPr>
          <w:rFonts w:ascii="Calibri" w:hAnsi="Calibri"/>
          <w:sz w:val="24"/>
        </w:rPr>
        <w:t xml:space="preserve"> </w:t>
      </w:r>
      <w:r>
        <w:rPr>
          <w:rFonts w:ascii="Calibri" w:hAnsi="Calibri"/>
          <w:sz w:val="24"/>
        </w:rPr>
        <w:t xml:space="preserve">2015 </w:t>
      </w:r>
      <w:r w:rsidRPr="005E0378">
        <w:rPr>
          <w:rFonts w:ascii="Calibri" w:hAnsi="Calibri"/>
          <w:sz w:val="24"/>
        </w:rPr>
        <w:t>Osteoinductive potential of a novel biphasic calcium phosphate bone graft in comparison with autographs, xenografts, an</w:t>
      </w:r>
      <w:r>
        <w:rPr>
          <w:rFonts w:ascii="Calibri" w:hAnsi="Calibri"/>
          <w:sz w:val="24"/>
        </w:rPr>
        <w:t xml:space="preserve">d DFDBA. </w:t>
      </w:r>
      <w:r w:rsidRPr="005229C2">
        <w:rPr>
          <w:rFonts w:ascii="Calibri" w:hAnsi="Calibri"/>
          <w:i/>
          <w:sz w:val="24"/>
        </w:rPr>
        <w:t>Clinical Oral Implants</w:t>
      </w:r>
      <w:r>
        <w:rPr>
          <w:rFonts w:ascii="Calibri" w:hAnsi="Calibri"/>
          <w:sz w:val="24"/>
        </w:rPr>
        <w:t>.</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4. </w:t>
      </w:r>
      <w:r w:rsidRPr="005E0378">
        <w:rPr>
          <w:rFonts w:ascii="Calibri" w:hAnsi="Calibri"/>
          <w:sz w:val="24"/>
        </w:rPr>
        <w:tab/>
        <w:t>Younger EM, Chapman MW. 1989</w:t>
      </w:r>
      <w:r>
        <w:rPr>
          <w:rFonts w:ascii="Calibri" w:hAnsi="Calibri"/>
          <w:sz w:val="24"/>
        </w:rPr>
        <w:t xml:space="preserve"> </w:t>
      </w:r>
      <w:r w:rsidRPr="005E0378">
        <w:rPr>
          <w:rFonts w:ascii="Calibri" w:hAnsi="Calibri"/>
          <w:sz w:val="24"/>
        </w:rPr>
        <w:t xml:space="preserve">Morbidity at Bone Graft Donor Sites. </w:t>
      </w:r>
      <w:r w:rsidRPr="005229C2">
        <w:rPr>
          <w:rFonts w:ascii="Calibri" w:hAnsi="Calibri"/>
          <w:i/>
          <w:sz w:val="24"/>
        </w:rPr>
        <w:t>Journal of Orthopaedic Trauma</w:t>
      </w:r>
      <w:r>
        <w:rPr>
          <w:rFonts w:ascii="Calibri" w:hAnsi="Calibri"/>
          <w:sz w:val="24"/>
        </w:rPr>
        <w:t xml:space="preserve"> </w:t>
      </w:r>
      <w:r w:rsidRPr="005229C2">
        <w:rPr>
          <w:rFonts w:ascii="Calibri" w:hAnsi="Calibri"/>
          <w:i/>
          <w:sz w:val="24"/>
        </w:rPr>
        <w:t>3</w:t>
      </w:r>
      <w:r>
        <w:rPr>
          <w:rFonts w:ascii="Calibri" w:hAnsi="Calibri"/>
          <w:sz w:val="24"/>
        </w:rPr>
        <w:t>, 192-195</w:t>
      </w:r>
      <w:r w:rsidRPr="005E0378">
        <w:rPr>
          <w:rFonts w:ascii="Calibri" w:hAnsi="Calibri"/>
          <w:sz w:val="24"/>
        </w:rPr>
        <w:t>.</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5. </w:t>
      </w:r>
      <w:r w:rsidRPr="005E0378">
        <w:rPr>
          <w:rFonts w:ascii="Calibri" w:hAnsi="Calibri"/>
          <w:sz w:val="24"/>
        </w:rPr>
        <w:tab/>
        <w:t>Smith CA, Richardson SM, Eagle MJ, Rooney P, Board T, Hoyland JA. 2015</w:t>
      </w:r>
      <w:r>
        <w:rPr>
          <w:rFonts w:ascii="Calibri" w:hAnsi="Calibri"/>
          <w:sz w:val="24"/>
        </w:rPr>
        <w:t xml:space="preserve"> </w:t>
      </w:r>
      <w:r w:rsidRPr="005E0378">
        <w:rPr>
          <w:rFonts w:ascii="Calibri" w:hAnsi="Calibri"/>
          <w:sz w:val="24"/>
        </w:rPr>
        <w:t xml:space="preserve">The use of a novel bone allograft wash process to generate a biocompatible, mechanically stable and osteoinductive biological scaffold for use in bone tissue engineering. </w:t>
      </w:r>
      <w:r w:rsidRPr="005229C2">
        <w:rPr>
          <w:rFonts w:ascii="Calibri" w:hAnsi="Calibri"/>
          <w:i/>
          <w:sz w:val="24"/>
        </w:rPr>
        <w:t>Journal of Tissue Engineering and Regenerative Medicine</w:t>
      </w:r>
      <w:r>
        <w:rPr>
          <w:rFonts w:ascii="Calibri" w:hAnsi="Calibri"/>
          <w:sz w:val="24"/>
        </w:rPr>
        <w:t xml:space="preserve"> </w:t>
      </w:r>
      <w:r w:rsidRPr="005229C2">
        <w:rPr>
          <w:rFonts w:ascii="Calibri" w:hAnsi="Calibri"/>
          <w:i/>
          <w:sz w:val="24"/>
        </w:rPr>
        <w:t>9</w:t>
      </w:r>
      <w:r>
        <w:rPr>
          <w:rFonts w:ascii="Calibri" w:hAnsi="Calibri"/>
          <w:sz w:val="24"/>
        </w:rPr>
        <w:t xml:space="preserve">, </w:t>
      </w:r>
      <w:r w:rsidRPr="005E0378">
        <w:rPr>
          <w:rFonts w:ascii="Calibri" w:hAnsi="Calibri"/>
          <w:sz w:val="24"/>
        </w:rPr>
        <w:t xml:space="preserve">595–604.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6. </w:t>
      </w:r>
      <w:r w:rsidRPr="005E0378">
        <w:rPr>
          <w:rFonts w:ascii="Calibri" w:hAnsi="Calibri"/>
          <w:sz w:val="24"/>
        </w:rPr>
        <w:tab/>
        <w:t>Habibovic P, de Groot K. 2007</w:t>
      </w:r>
      <w:r>
        <w:rPr>
          <w:rFonts w:ascii="Calibri" w:hAnsi="Calibri"/>
          <w:sz w:val="24"/>
        </w:rPr>
        <w:t xml:space="preserve"> </w:t>
      </w:r>
      <w:r w:rsidRPr="005E0378">
        <w:rPr>
          <w:rFonts w:ascii="Calibri" w:hAnsi="Calibri"/>
          <w:sz w:val="24"/>
        </w:rPr>
        <w:t xml:space="preserve">Osteoinductive biomaterials—properties and relevance in bone repair. </w:t>
      </w:r>
      <w:r w:rsidRPr="0026419E">
        <w:rPr>
          <w:rFonts w:ascii="Calibri" w:hAnsi="Calibri"/>
          <w:i/>
          <w:sz w:val="24"/>
        </w:rPr>
        <w:t>Journal of tissue engineering and regenerative medicine 1</w:t>
      </w:r>
      <w:r>
        <w:rPr>
          <w:rFonts w:ascii="Calibri" w:hAnsi="Calibri"/>
          <w:sz w:val="24"/>
        </w:rPr>
        <w:t xml:space="preserve">, </w:t>
      </w:r>
      <w:r w:rsidRPr="005E0378">
        <w:rPr>
          <w:rFonts w:ascii="Calibri" w:hAnsi="Calibri"/>
          <w:sz w:val="24"/>
        </w:rPr>
        <w:t xml:space="preserve">25–32.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7. </w:t>
      </w:r>
      <w:r w:rsidRPr="005E0378">
        <w:rPr>
          <w:rFonts w:ascii="Calibri" w:hAnsi="Calibri"/>
          <w:sz w:val="24"/>
        </w:rPr>
        <w:tab/>
        <w:t xml:space="preserve">Wu S, Liu X, Yeung KWK, Liu C, Yang X. </w:t>
      </w:r>
      <w:r>
        <w:rPr>
          <w:rFonts w:ascii="Calibri" w:hAnsi="Calibri"/>
          <w:sz w:val="24"/>
        </w:rPr>
        <w:t xml:space="preserve">2014 </w:t>
      </w:r>
      <w:r w:rsidRPr="005E0378">
        <w:rPr>
          <w:rFonts w:ascii="Calibri" w:hAnsi="Calibri"/>
          <w:sz w:val="24"/>
        </w:rPr>
        <w:t xml:space="preserve">Biomimetic porous scaffolds for bone tissue engineering. </w:t>
      </w:r>
      <w:r w:rsidRPr="0026419E">
        <w:rPr>
          <w:rFonts w:ascii="Calibri" w:hAnsi="Calibri"/>
          <w:i/>
          <w:sz w:val="24"/>
        </w:rPr>
        <w:t>Materials Science and Engineering: R: Reports</w:t>
      </w:r>
      <w:r>
        <w:rPr>
          <w:rFonts w:ascii="Calibri" w:hAnsi="Calibri"/>
          <w:i/>
          <w:sz w:val="24"/>
        </w:rPr>
        <w:t xml:space="preserve"> </w:t>
      </w:r>
      <w:r w:rsidRPr="0026419E">
        <w:rPr>
          <w:rFonts w:ascii="Calibri" w:hAnsi="Calibri"/>
          <w:i/>
          <w:sz w:val="24"/>
        </w:rPr>
        <w:t>80</w:t>
      </w:r>
      <w:r>
        <w:rPr>
          <w:rFonts w:ascii="Calibri" w:hAnsi="Calibri"/>
          <w:sz w:val="24"/>
        </w:rPr>
        <w:t>, 1–36.</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8. </w:t>
      </w:r>
      <w:r w:rsidRPr="005E0378">
        <w:rPr>
          <w:rFonts w:ascii="Calibri" w:hAnsi="Calibri"/>
          <w:sz w:val="24"/>
        </w:rPr>
        <w:tab/>
        <w:t>Mills LA, Simpson a HRW.</w:t>
      </w:r>
      <w:r>
        <w:rPr>
          <w:rFonts w:ascii="Calibri" w:hAnsi="Calibri"/>
          <w:sz w:val="24"/>
        </w:rPr>
        <w:t xml:space="preserve"> </w:t>
      </w:r>
      <w:r w:rsidRPr="005E0378">
        <w:rPr>
          <w:rFonts w:ascii="Calibri" w:hAnsi="Calibri"/>
          <w:sz w:val="24"/>
        </w:rPr>
        <w:t xml:space="preserve">2013 The relative incidence of fracture non-union in the Scottish population (5.17 million): a 5-year </w:t>
      </w:r>
      <w:r>
        <w:rPr>
          <w:rFonts w:ascii="Calibri" w:hAnsi="Calibri"/>
          <w:sz w:val="24"/>
        </w:rPr>
        <w:t xml:space="preserve">epidemiological study. </w:t>
      </w:r>
      <w:r w:rsidRPr="0026419E">
        <w:rPr>
          <w:rFonts w:ascii="Calibri" w:hAnsi="Calibri"/>
          <w:i/>
          <w:sz w:val="24"/>
        </w:rPr>
        <w:t>BMJ open 3</w:t>
      </w:r>
      <w:r>
        <w:rPr>
          <w:rFonts w:ascii="Calibri" w:hAnsi="Calibri"/>
          <w:sz w:val="24"/>
        </w:rPr>
        <w:t xml:space="preserve">, </w:t>
      </w:r>
      <w:r w:rsidRPr="005E0378">
        <w:rPr>
          <w:rFonts w:ascii="Calibri" w:hAnsi="Calibri"/>
          <w:sz w:val="24"/>
        </w:rPr>
        <w:t>1–7.</w:t>
      </w:r>
    </w:p>
    <w:p w:rsidR="005D1052" w:rsidRPr="005E0378" w:rsidRDefault="005D1052" w:rsidP="005D1052">
      <w:pPr>
        <w:pStyle w:val="NormalWeb"/>
        <w:ind w:left="640" w:hanging="640"/>
        <w:rPr>
          <w:rFonts w:ascii="Calibri" w:hAnsi="Calibri"/>
          <w:sz w:val="24"/>
        </w:rPr>
      </w:pPr>
      <w:r w:rsidRPr="005E0378">
        <w:rPr>
          <w:rFonts w:ascii="Calibri" w:hAnsi="Calibri"/>
          <w:sz w:val="24"/>
        </w:rPr>
        <w:lastRenderedPageBreak/>
        <w:t xml:space="preserve">9. </w:t>
      </w:r>
      <w:r w:rsidRPr="005E0378">
        <w:rPr>
          <w:rFonts w:ascii="Calibri" w:hAnsi="Calibri"/>
          <w:sz w:val="24"/>
        </w:rPr>
        <w:tab/>
      </w:r>
      <w:r w:rsidRPr="0026419E">
        <w:rPr>
          <w:rFonts w:ascii="Calibri" w:hAnsi="Calibri"/>
          <w:sz w:val="24"/>
        </w:rPr>
        <w:t>Hak DJ, Fitzpatrick D, Bishop JA, Marsh JL, Tilp S, Schnettler R, Simpson H, Alt V</w:t>
      </w:r>
      <w:r>
        <w:rPr>
          <w:rFonts w:ascii="Calibri" w:hAnsi="Calibri"/>
          <w:sz w:val="24"/>
        </w:rPr>
        <w:t xml:space="preserve"> </w:t>
      </w:r>
      <w:r w:rsidRPr="005E0378">
        <w:rPr>
          <w:rFonts w:ascii="Calibri" w:hAnsi="Calibri"/>
          <w:sz w:val="24"/>
        </w:rPr>
        <w:t>2014 Delayed union and nonunions: Epidemiology, clinical issues, and financi</w:t>
      </w:r>
      <w:r>
        <w:rPr>
          <w:rFonts w:ascii="Calibri" w:hAnsi="Calibri"/>
          <w:sz w:val="24"/>
        </w:rPr>
        <w:t xml:space="preserve">al aspects. </w:t>
      </w:r>
      <w:r w:rsidRPr="0026419E">
        <w:rPr>
          <w:rFonts w:ascii="Calibri" w:hAnsi="Calibri"/>
          <w:i/>
          <w:sz w:val="24"/>
        </w:rPr>
        <w:t>Injury 45</w:t>
      </w:r>
      <w:r>
        <w:rPr>
          <w:rFonts w:ascii="Calibri" w:hAnsi="Calibri"/>
          <w:sz w:val="24"/>
        </w:rPr>
        <w:t xml:space="preserve">, </w:t>
      </w:r>
      <w:r w:rsidRPr="005E0378">
        <w:rPr>
          <w:rFonts w:ascii="Calibri" w:hAnsi="Calibri"/>
          <w:sz w:val="24"/>
        </w:rPr>
        <w:t xml:space="preserve">S3–S7.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10. </w:t>
      </w:r>
      <w:r w:rsidRPr="005E0378">
        <w:rPr>
          <w:rFonts w:ascii="Calibri" w:hAnsi="Calibri"/>
          <w:sz w:val="24"/>
        </w:rPr>
        <w:tab/>
        <w:t>Vacanti JP. 2012</w:t>
      </w:r>
      <w:r>
        <w:rPr>
          <w:rFonts w:ascii="Calibri" w:hAnsi="Calibri"/>
          <w:sz w:val="24"/>
        </w:rPr>
        <w:t xml:space="preserve"> </w:t>
      </w:r>
      <w:r w:rsidRPr="005E0378">
        <w:rPr>
          <w:rFonts w:ascii="Calibri" w:hAnsi="Calibri"/>
          <w:sz w:val="24"/>
        </w:rPr>
        <w:t xml:space="preserve">Tissue engineering and the road to whole organs. </w:t>
      </w:r>
      <w:r>
        <w:rPr>
          <w:rFonts w:ascii="Calibri" w:hAnsi="Calibri"/>
          <w:i/>
          <w:sz w:val="24"/>
        </w:rPr>
        <w:t xml:space="preserve">British Journal of Surgery </w:t>
      </w:r>
      <w:r w:rsidRPr="0026419E">
        <w:rPr>
          <w:rFonts w:ascii="Calibri" w:hAnsi="Calibri"/>
          <w:i/>
          <w:sz w:val="24"/>
        </w:rPr>
        <w:t>99</w:t>
      </w:r>
      <w:r>
        <w:rPr>
          <w:rFonts w:ascii="Calibri" w:hAnsi="Calibri"/>
          <w:sz w:val="24"/>
        </w:rPr>
        <w:t xml:space="preserve">, </w:t>
      </w:r>
      <w:r w:rsidRPr="005E0378">
        <w:rPr>
          <w:rFonts w:ascii="Calibri" w:hAnsi="Calibri"/>
          <w:sz w:val="24"/>
        </w:rPr>
        <w:t xml:space="preserve">451–3.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11. </w:t>
      </w:r>
      <w:r w:rsidRPr="005E0378">
        <w:rPr>
          <w:rFonts w:ascii="Calibri" w:hAnsi="Calibri"/>
          <w:sz w:val="24"/>
        </w:rPr>
        <w:tab/>
        <w:t xml:space="preserve">Langer R, Vacanti JP. </w:t>
      </w:r>
      <w:r>
        <w:rPr>
          <w:rFonts w:ascii="Calibri" w:hAnsi="Calibri"/>
          <w:sz w:val="24"/>
        </w:rPr>
        <w:t xml:space="preserve">1993 </w:t>
      </w:r>
      <w:r w:rsidRPr="005E0378">
        <w:rPr>
          <w:rFonts w:ascii="Calibri" w:hAnsi="Calibri"/>
          <w:sz w:val="24"/>
        </w:rPr>
        <w:t>Ti</w:t>
      </w:r>
      <w:r>
        <w:rPr>
          <w:rFonts w:ascii="Calibri" w:hAnsi="Calibri"/>
          <w:sz w:val="24"/>
        </w:rPr>
        <w:t xml:space="preserve">ssue Engineering. </w:t>
      </w:r>
      <w:r w:rsidRPr="0026419E">
        <w:rPr>
          <w:rFonts w:ascii="Calibri" w:hAnsi="Calibri"/>
          <w:i/>
          <w:sz w:val="24"/>
        </w:rPr>
        <w:t>Science 260</w:t>
      </w:r>
      <w:r>
        <w:rPr>
          <w:rFonts w:ascii="Calibri" w:hAnsi="Calibri"/>
          <w:sz w:val="24"/>
        </w:rPr>
        <w:t xml:space="preserve">, </w:t>
      </w:r>
      <w:r w:rsidRPr="005E0378">
        <w:rPr>
          <w:rFonts w:ascii="Calibri" w:hAnsi="Calibri"/>
          <w:sz w:val="24"/>
        </w:rPr>
        <w:t xml:space="preserve">920–6. </w:t>
      </w:r>
    </w:p>
    <w:p w:rsidR="005D1052" w:rsidRPr="005E0378" w:rsidRDefault="005D1052" w:rsidP="005D1052">
      <w:pPr>
        <w:pStyle w:val="NormalWeb"/>
        <w:ind w:left="640" w:hanging="640"/>
        <w:rPr>
          <w:rFonts w:ascii="Calibri" w:hAnsi="Calibri"/>
          <w:sz w:val="24"/>
        </w:rPr>
      </w:pPr>
      <w:r>
        <w:rPr>
          <w:rFonts w:ascii="Calibri" w:hAnsi="Calibri"/>
          <w:sz w:val="24"/>
        </w:rPr>
        <w:t xml:space="preserve">12. </w:t>
      </w:r>
      <w:r>
        <w:rPr>
          <w:rFonts w:ascii="Calibri" w:hAnsi="Calibri"/>
          <w:sz w:val="24"/>
        </w:rPr>
        <w:tab/>
      </w:r>
      <w:r w:rsidRPr="0026419E">
        <w:rPr>
          <w:rFonts w:ascii="Calibri" w:hAnsi="Calibri"/>
          <w:sz w:val="24"/>
        </w:rPr>
        <w:t>Jakob M, Saxer F, Scotti C, Schreiner S, Studer P, Scherberich A, Heberer M, Martin I.</w:t>
      </w:r>
      <w:r w:rsidRPr="005E0378">
        <w:rPr>
          <w:rFonts w:ascii="Calibri" w:hAnsi="Calibri"/>
          <w:sz w:val="24"/>
        </w:rPr>
        <w:t xml:space="preserve"> </w:t>
      </w:r>
      <w:r>
        <w:rPr>
          <w:rFonts w:ascii="Calibri" w:hAnsi="Calibri"/>
          <w:sz w:val="24"/>
        </w:rPr>
        <w:t xml:space="preserve">2012 </w:t>
      </w:r>
      <w:r w:rsidRPr="005E0378">
        <w:rPr>
          <w:rFonts w:ascii="Calibri" w:hAnsi="Calibri"/>
          <w:sz w:val="24"/>
        </w:rPr>
        <w:t xml:space="preserve">Perspective on the evolution of cell-based bone tissue engineering strategies. </w:t>
      </w:r>
      <w:r w:rsidRPr="006D2582">
        <w:rPr>
          <w:rFonts w:ascii="Calibri" w:hAnsi="Calibri"/>
          <w:i/>
          <w:sz w:val="24"/>
        </w:rPr>
        <w:t>European surgical research  49</w:t>
      </w:r>
      <w:r>
        <w:rPr>
          <w:rFonts w:ascii="Calibri" w:hAnsi="Calibri"/>
          <w:sz w:val="24"/>
        </w:rPr>
        <w:t xml:space="preserve">, </w:t>
      </w:r>
      <w:r w:rsidRPr="005E0378">
        <w:rPr>
          <w:rFonts w:ascii="Calibri" w:hAnsi="Calibri"/>
          <w:sz w:val="24"/>
        </w:rPr>
        <w:t>1–7.</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13. </w:t>
      </w:r>
      <w:r w:rsidRPr="005E0378">
        <w:rPr>
          <w:rFonts w:ascii="Calibri" w:hAnsi="Calibri"/>
          <w:sz w:val="24"/>
        </w:rPr>
        <w:tab/>
      </w:r>
      <w:r w:rsidRPr="006D2582">
        <w:rPr>
          <w:rFonts w:ascii="Calibri" w:hAnsi="Calibri"/>
          <w:sz w:val="24"/>
        </w:rPr>
        <w:t>Martin I, Baldomero H, Bocelli-Tyndall C, Emmert MY, Hoerstrup SP, Ireland H, Passweg J, Tyndall A.</w:t>
      </w:r>
      <w:r w:rsidRPr="005E0378">
        <w:rPr>
          <w:rFonts w:ascii="Calibri" w:hAnsi="Calibri"/>
          <w:sz w:val="24"/>
        </w:rPr>
        <w:t xml:space="preserve"> 2013</w:t>
      </w:r>
      <w:r>
        <w:rPr>
          <w:rFonts w:ascii="Calibri" w:hAnsi="Calibri"/>
          <w:sz w:val="24"/>
        </w:rPr>
        <w:t xml:space="preserve"> </w:t>
      </w:r>
      <w:r w:rsidRPr="005E0378">
        <w:rPr>
          <w:rFonts w:ascii="Calibri" w:hAnsi="Calibri"/>
          <w:sz w:val="24"/>
        </w:rPr>
        <w:t>The Survey on Cellular and Engineered Tissue Therapies in Europe in 2</w:t>
      </w:r>
      <w:r>
        <w:rPr>
          <w:rFonts w:ascii="Calibri" w:hAnsi="Calibri"/>
          <w:sz w:val="24"/>
        </w:rPr>
        <w:t xml:space="preserve">011. </w:t>
      </w:r>
      <w:r w:rsidRPr="006D2582">
        <w:rPr>
          <w:rFonts w:ascii="Calibri" w:hAnsi="Calibri"/>
          <w:i/>
          <w:sz w:val="24"/>
        </w:rPr>
        <w:t>Tissue Engineering Part A 20</w:t>
      </w:r>
      <w:r>
        <w:rPr>
          <w:rFonts w:ascii="Calibri" w:hAnsi="Calibri"/>
          <w:sz w:val="24"/>
        </w:rPr>
        <w:t>, 842-53</w:t>
      </w:r>
      <w:r w:rsidRPr="005E0378">
        <w:rPr>
          <w:rFonts w:ascii="Calibri" w:hAnsi="Calibri"/>
          <w:sz w:val="24"/>
        </w:rPr>
        <w:t xml:space="preserve">. </w:t>
      </w:r>
    </w:p>
    <w:p w:rsidR="005D1052" w:rsidRPr="005E0378" w:rsidRDefault="005D1052" w:rsidP="005D1052">
      <w:pPr>
        <w:pStyle w:val="NormalWeb"/>
        <w:ind w:left="640" w:hanging="640"/>
        <w:rPr>
          <w:rFonts w:ascii="Calibri" w:hAnsi="Calibri"/>
          <w:sz w:val="24"/>
        </w:rPr>
      </w:pPr>
      <w:r w:rsidRPr="005E0378">
        <w:rPr>
          <w:rFonts w:ascii="Calibri" w:hAnsi="Calibri"/>
          <w:sz w:val="24"/>
        </w:rPr>
        <w:t>14</w:t>
      </w:r>
      <w:r>
        <w:rPr>
          <w:rFonts w:ascii="Calibri" w:hAnsi="Calibri"/>
          <w:sz w:val="24"/>
        </w:rPr>
        <w:t xml:space="preserve">. </w:t>
      </w:r>
      <w:r>
        <w:rPr>
          <w:rFonts w:ascii="Calibri" w:hAnsi="Calibri"/>
          <w:sz w:val="24"/>
        </w:rPr>
        <w:tab/>
        <w:t>Melchels FPW, Domingos MA</w:t>
      </w:r>
      <w:r w:rsidRPr="005E0378">
        <w:rPr>
          <w:rFonts w:ascii="Calibri" w:hAnsi="Calibri"/>
          <w:sz w:val="24"/>
        </w:rPr>
        <w:t>, Klein TJ, Malda J, Bartolo PJ, Hutmacher DW. 201</w:t>
      </w:r>
      <w:r>
        <w:rPr>
          <w:rFonts w:ascii="Calibri" w:hAnsi="Calibri"/>
          <w:sz w:val="24"/>
        </w:rPr>
        <w:t xml:space="preserve">2 </w:t>
      </w:r>
      <w:r w:rsidRPr="005E0378">
        <w:rPr>
          <w:rFonts w:ascii="Calibri" w:hAnsi="Calibri"/>
          <w:sz w:val="24"/>
        </w:rPr>
        <w:t xml:space="preserve">Additive manufacturing of tissues and organs. </w:t>
      </w:r>
      <w:r w:rsidRPr="006D2582">
        <w:rPr>
          <w:rFonts w:ascii="Calibri" w:hAnsi="Calibri"/>
          <w:i/>
          <w:sz w:val="24"/>
        </w:rPr>
        <w:t>Progress in Polymer Science</w:t>
      </w:r>
      <w:r>
        <w:rPr>
          <w:rFonts w:ascii="Calibri" w:hAnsi="Calibri"/>
          <w:sz w:val="24"/>
        </w:rPr>
        <w:t xml:space="preserve"> </w:t>
      </w:r>
      <w:r w:rsidRPr="006D2582">
        <w:rPr>
          <w:rFonts w:ascii="Calibri" w:hAnsi="Calibri"/>
          <w:i/>
          <w:sz w:val="24"/>
        </w:rPr>
        <w:t>37</w:t>
      </w:r>
      <w:r>
        <w:rPr>
          <w:rFonts w:ascii="Calibri" w:hAnsi="Calibri"/>
          <w:sz w:val="24"/>
        </w:rPr>
        <w:t xml:space="preserve">, </w:t>
      </w:r>
      <w:r w:rsidRPr="005E0378">
        <w:rPr>
          <w:rFonts w:ascii="Calibri" w:hAnsi="Calibri"/>
          <w:sz w:val="24"/>
        </w:rPr>
        <w:t xml:space="preserve">1079–104.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15. </w:t>
      </w:r>
      <w:r w:rsidRPr="005E0378">
        <w:rPr>
          <w:rFonts w:ascii="Calibri" w:hAnsi="Calibri"/>
          <w:sz w:val="24"/>
        </w:rPr>
        <w:tab/>
      </w:r>
      <w:r w:rsidRPr="006D2582">
        <w:rPr>
          <w:rFonts w:ascii="Calibri" w:hAnsi="Calibri"/>
          <w:sz w:val="24"/>
        </w:rPr>
        <w:t>Semple JL, Woolridge N, Lumsden CJ. 2005</w:t>
      </w:r>
      <w:r>
        <w:rPr>
          <w:rFonts w:ascii="Calibri" w:hAnsi="Calibri"/>
          <w:sz w:val="24"/>
        </w:rPr>
        <w:t xml:space="preserve"> </w:t>
      </w:r>
      <w:r w:rsidRPr="006D2582">
        <w:rPr>
          <w:rFonts w:ascii="Calibri" w:hAnsi="Calibri"/>
          <w:sz w:val="24"/>
        </w:rPr>
        <w:t xml:space="preserve">Review: in vitro, in vivo, in silico: computational systems in tissue engineering and regenerative medicine. </w:t>
      </w:r>
      <w:r w:rsidRPr="006D2582">
        <w:rPr>
          <w:rFonts w:ascii="Calibri" w:hAnsi="Calibri"/>
          <w:i/>
          <w:sz w:val="24"/>
        </w:rPr>
        <w:t>Tissue engineering</w:t>
      </w:r>
      <w:r w:rsidRPr="006D2582">
        <w:rPr>
          <w:rFonts w:ascii="Calibri" w:hAnsi="Calibri"/>
          <w:sz w:val="24"/>
        </w:rPr>
        <w:t xml:space="preserve"> </w:t>
      </w:r>
      <w:r w:rsidRPr="006D2582">
        <w:rPr>
          <w:rFonts w:ascii="Calibri" w:hAnsi="Calibri"/>
          <w:i/>
          <w:sz w:val="24"/>
        </w:rPr>
        <w:t>11</w:t>
      </w:r>
      <w:r>
        <w:rPr>
          <w:rFonts w:ascii="Calibri" w:hAnsi="Calibri"/>
          <w:sz w:val="24"/>
        </w:rPr>
        <w:t xml:space="preserve">, </w:t>
      </w:r>
      <w:r w:rsidRPr="006D2582">
        <w:rPr>
          <w:rFonts w:ascii="Calibri" w:hAnsi="Calibri"/>
          <w:sz w:val="24"/>
        </w:rPr>
        <w:t>341-56.</w:t>
      </w:r>
      <w:r w:rsidRPr="005E0378">
        <w:rPr>
          <w:rFonts w:ascii="Calibri" w:hAnsi="Calibri"/>
          <w:sz w:val="24"/>
        </w:rPr>
        <w:t xml:space="preserve"> </w:t>
      </w:r>
    </w:p>
    <w:p w:rsidR="005D1052" w:rsidRPr="003A2B62" w:rsidRDefault="005D1052" w:rsidP="005D1052">
      <w:pPr>
        <w:pStyle w:val="NormalWeb"/>
        <w:ind w:left="640" w:hanging="640"/>
        <w:rPr>
          <w:rFonts w:ascii="Calibri" w:hAnsi="Calibri"/>
          <w:sz w:val="24"/>
        </w:rPr>
      </w:pPr>
      <w:r w:rsidRPr="005E0378">
        <w:rPr>
          <w:rFonts w:ascii="Calibri" w:hAnsi="Calibri"/>
          <w:sz w:val="24"/>
        </w:rPr>
        <w:t xml:space="preserve">16. </w:t>
      </w:r>
      <w:r w:rsidRPr="005E0378">
        <w:rPr>
          <w:rFonts w:ascii="Calibri" w:hAnsi="Calibri"/>
          <w:sz w:val="24"/>
        </w:rPr>
        <w:tab/>
        <w:t>Geris L. 2013</w:t>
      </w:r>
      <w:r>
        <w:rPr>
          <w:rFonts w:ascii="Calibri" w:hAnsi="Calibri"/>
          <w:sz w:val="24"/>
        </w:rPr>
        <w:t xml:space="preserve"> </w:t>
      </w:r>
      <w:r w:rsidRPr="005E0378">
        <w:rPr>
          <w:rFonts w:ascii="Calibri" w:hAnsi="Calibri"/>
          <w:sz w:val="24"/>
        </w:rPr>
        <w:t xml:space="preserve">In vivo, in vitro, in silico: computational tools for product and process design in tissue engineering. </w:t>
      </w:r>
      <w:r w:rsidRPr="003A2B62">
        <w:rPr>
          <w:rFonts w:ascii="Calibri" w:hAnsi="Calibri"/>
          <w:i/>
          <w:sz w:val="24"/>
        </w:rPr>
        <w:t>Computational Modeling in Tissue Engineering</w:t>
      </w:r>
      <w:r>
        <w:rPr>
          <w:rFonts w:ascii="Calibri" w:hAnsi="Calibri"/>
          <w:sz w:val="24"/>
        </w:rPr>
        <w:t>,</w:t>
      </w:r>
      <w:r w:rsidRPr="003A2B62">
        <w:rPr>
          <w:rFonts w:ascii="Calibri" w:hAnsi="Calibri"/>
          <w:sz w:val="24"/>
        </w:rPr>
        <w:t xml:space="preserve"> 1-15</w:t>
      </w:r>
      <w:r w:rsidRPr="005E0378">
        <w:rPr>
          <w:rFonts w:ascii="Calibri" w:hAnsi="Calibri"/>
          <w:sz w:val="24"/>
        </w:rPr>
        <w:t xml:space="preserve">. </w:t>
      </w:r>
      <w:r w:rsidRPr="003A2B62">
        <w:rPr>
          <w:rFonts w:ascii="Calibri" w:hAnsi="Calibri"/>
          <w:sz w:val="24"/>
        </w:rPr>
        <w:t>Springer Berlin Heidelberg</w:t>
      </w:r>
      <w:r>
        <w:rPr>
          <w:rFonts w:ascii="Calibri" w:hAnsi="Calibri"/>
          <w:sz w:val="24"/>
        </w:rPr>
        <w:t>.</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17. </w:t>
      </w:r>
      <w:r w:rsidRPr="005E0378">
        <w:rPr>
          <w:rFonts w:ascii="Calibri" w:hAnsi="Calibri"/>
          <w:sz w:val="24"/>
        </w:rPr>
        <w:tab/>
        <w:t>Mesallati T, Buckley CT, Nagel T, Kelly DJ. 2013</w:t>
      </w:r>
      <w:r>
        <w:rPr>
          <w:rFonts w:ascii="Calibri" w:hAnsi="Calibri"/>
          <w:sz w:val="24"/>
        </w:rPr>
        <w:t xml:space="preserve"> </w:t>
      </w:r>
      <w:r w:rsidRPr="005E0378">
        <w:rPr>
          <w:rFonts w:ascii="Calibri" w:hAnsi="Calibri"/>
          <w:sz w:val="24"/>
        </w:rPr>
        <w:t xml:space="preserve">Scaffold architecture determines chondrocyte response to externally applied dynamic compression. </w:t>
      </w:r>
      <w:r w:rsidRPr="003A2B62">
        <w:rPr>
          <w:rFonts w:ascii="Calibri" w:hAnsi="Calibri"/>
          <w:i/>
          <w:sz w:val="24"/>
        </w:rPr>
        <w:t>Biomechanics and Modeling in Mechanobiology</w:t>
      </w:r>
      <w:r>
        <w:rPr>
          <w:rFonts w:ascii="Calibri" w:hAnsi="Calibri"/>
          <w:sz w:val="24"/>
        </w:rPr>
        <w:t xml:space="preserve"> </w:t>
      </w:r>
      <w:r w:rsidRPr="003A2B62">
        <w:rPr>
          <w:rFonts w:ascii="Calibri" w:hAnsi="Calibri"/>
          <w:i/>
          <w:sz w:val="24"/>
        </w:rPr>
        <w:t>12</w:t>
      </w:r>
      <w:r>
        <w:rPr>
          <w:rFonts w:ascii="Calibri" w:hAnsi="Calibri"/>
          <w:sz w:val="24"/>
        </w:rPr>
        <w:t xml:space="preserve">, </w:t>
      </w:r>
      <w:r w:rsidRPr="005E0378">
        <w:rPr>
          <w:rFonts w:ascii="Calibri" w:hAnsi="Calibri"/>
          <w:sz w:val="24"/>
        </w:rPr>
        <w:t xml:space="preserve">889–99.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18. </w:t>
      </w:r>
      <w:r w:rsidRPr="005E0378">
        <w:rPr>
          <w:rFonts w:ascii="Calibri" w:hAnsi="Calibri"/>
          <w:sz w:val="24"/>
        </w:rPr>
        <w:tab/>
        <w:t xml:space="preserve">Vetsch JR, Müller R, Hofmann S. </w:t>
      </w:r>
      <w:r>
        <w:rPr>
          <w:rFonts w:ascii="Calibri" w:hAnsi="Calibri"/>
          <w:sz w:val="24"/>
        </w:rPr>
        <w:t xml:space="preserve">2015 </w:t>
      </w:r>
      <w:r w:rsidRPr="005E0378">
        <w:rPr>
          <w:rFonts w:ascii="Calibri" w:hAnsi="Calibri"/>
          <w:sz w:val="24"/>
        </w:rPr>
        <w:t xml:space="preserve">The evolution of simulation techniques for dynamic bone tissue engineering in bioreactors. </w:t>
      </w:r>
      <w:r w:rsidRPr="003A2B62">
        <w:rPr>
          <w:rFonts w:ascii="Calibri" w:hAnsi="Calibri"/>
          <w:i/>
          <w:sz w:val="24"/>
        </w:rPr>
        <w:t>Journal of Tissue Engineering and Regenerative Medicine</w:t>
      </w:r>
      <w:r w:rsidRPr="005E0378">
        <w:rPr>
          <w:rFonts w:ascii="Calibri" w:hAnsi="Calibri"/>
          <w:sz w:val="24"/>
        </w:rPr>
        <w:t xml:space="preserve"> </w:t>
      </w:r>
      <w:r w:rsidRPr="003A2B62">
        <w:rPr>
          <w:rFonts w:ascii="Calibri" w:hAnsi="Calibri"/>
          <w:i/>
          <w:sz w:val="24"/>
        </w:rPr>
        <w:t>9,</w:t>
      </w:r>
      <w:r>
        <w:rPr>
          <w:rFonts w:ascii="Calibri" w:hAnsi="Calibri"/>
          <w:sz w:val="24"/>
        </w:rPr>
        <w:t xml:space="preserve"> </w:t>
      </w:r>
      <w:r w:rsidRPr="005E0378">
        <w:rPr>
          <w:rFonts w:ascii="Calibri" w:hAnsi="Calibri"/>
          <w:sz w:val="24"/>
        </w:rPr>
        <w:t xml:space="preserve">903–17.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19. </w:t>
      </w:r>
      <w:r w:rsidRPr="005E0378">
        <w:rPr>
          <w:rFonts w:ascii="Calibri" w:hAnsi="Calibri"/>
          <w:sz w:val="24"/>
        </w:rPr>
        <w:tab/>
        <w:t xml:space="preserve">Olivares AL, Lacroix D. </w:t>
      </w:r>
      <w:r>
        <w:rPr>
          <w:rFonts w:ascii="Calibri" w:hAnsi="Calibri"/>
          <w:sz w:val="24"/>
        </w:rPr>
        <w:t xml:space="preserve">2013 </w:t>
      </w:r>
      <w:r w:rsidRPr="005E0378">
        <w:rPr>
          <w:rFonts w:ascii="Calibri" w:hAnsi="Calibri"/>
          <w:sz w:val="24"/>
        </w:rPr>
        <w:t>Computational Methods in the Modeling of Scaffolds for Ti</w:t>
      </w:r>
      <w:r>
        <w:rPr>
          <w:rFonts w:ascii="Calibri" w:hAnsi="Calibri"/>
          <w:sz w:val="24"/>
        </w:rPr>
        <w:t xml:space="preserve">ssue Engineering. </w:t>
      </w:r>
      <w:r w:rsidRPr="003A2B62">
        <w:rPr>
          <w:rFonts w:ascii="Calibri" w:hAnsi="Calibri"/>
          <w:i/>
          <w:sz w:val="24"/>
        </w:rPr>
        <w:t>Computational Modeling in Tissue Engineering</w:t>
      </w:r>
      <w:r>
        <w:rPr>
          <w:rFonts w:ascii="Calibri" w:hAnsi="Calibri"/>
          <w:sz w:val="24"/>
        </w:rPr>
        <w:t xml:space="preserve">, </w:t>
      </w:r>
      <w:r w:rsidRPr="005E0378">
        <w:rPr>
          <w:rFonts w:ascii="Calibri" w:hAnsi="Calibri"/>
          <w:sz w:val="24"/>
        </w:rPr>
        <w:t xml:space="preserve">107–26. </w:t>
      </w:r>
      <w:r w:rsidRPr="003A2B62">
        <w:rPr>
          <w:rFonts w:ascii="Calibri" w:hAnsi="Calibri"/>
          <w:sz w:val="24"/>
        </w:rPr>
        <w:t>Springer Berlin Heidelberg</w:t>
      </w:r>
      <w:r>
        <w:rPr>
          <w:rFonts w:ascii="Calibri" w:hAnsi="Calibri"/>
          <w:sz w:val="24"/>
        </w:rPr>
        <w:t>.</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20. </w:t>
      </w:r>
      <w:r w:rsidRPr="005E0378">
        <w:rPr>
          <w:rFonts w:ascii="Calibri" w:hAnsi="Calibri"/>
          <w:sz w:val="24"/>
        </w:rPr>
        <w:tab/>
        <w:t>Sandino C, Lacroix D. 2011</w:t>
      </w:r>
      <w:r>
        <w:rPr>
          <w:rFonts w:ascii="Calibri" w:hAnsi="Calibri"/>
          <w:sz w:val="24"/>
        </w:rPr>
        <w:t xml:space="preserve"> </w:t>
      </w:r>
      <w:r w:rsidRPr="005E0378">
        <w:rPr>
          <w:rFonts w:ascii="Calibri" w:hAnsi="Calibri"/>
          <w:sz w:val="24"/>
        </w:rPr>
        <w:t xml:space="preserve">A dynamical study of the mechanical stimuli and tissue differentiation within a CaP scaffold based on micro-CT finite element models. </w:t>
      </w:r>
      <w:r w:rsidRPr="003A2B62">
        <w:rPr>
          <w:rFonts w:ascii="Calibri" w:hAnsi="Calibri"/>
          <w:i/>
          <w:sz w:val="24"/>
        </w:rPr>
        <w:t>Biomechanics and modeling in mechanobiology</w:t>
      </w:r>
      <w:r>
        <w:rPr>
          <w:rFonts w:ascii="Calibri" w:hAnsi="Calibri"/>
          <w:sz w:val="24"/>
        </w:rPr>
        <w:t xml:space="preserve"> </w:t>
      </w:r>
      <w:r w:rsidRPr="003A2B62">
        <w:rPr>
          <w:rFonts w:ascii="Calibri" w:hAnsi="Calibri"/>
          <w:i/>
          <w:sz w:val="24"/>
        </w:rPr>
        <w:t>10</w:t>
      </w:r>
      <w:r>
        <w:rPr>
          <w:rFonts w:ascii="Calibri" w:hAnsi="Calibri"/>
          <w:sz w:val="24"/>
        </w:rPr>
        <w:t>, 565-566.</w:t>
      </w:r>
    </w:p>
    <w:p w:rsidR="005D1052" w:rsidRPr="005E0378" w:rsidRDefault="005D1052" w:rsidP="005D1052">
      <w:pPr>
        <w:pStyle w:val="NormalWeb"/>
        <w:ind w:left="640" w:hanging="640"/>
        <w:rPr>
          <w:rFonts w:ascii="Calibri" w:hAnsi="Calibri"/>
          <w:sz w:val="24"/>
        </w:rPr>
      </w:pPr>
      <w:r w:rsidRPr="005E0378">
        <w:rPr>
          <w:rFonts w:ascii="Calibri" w:hAnsi="Calibri"/>
          <w:sz w:val="24"/>
        </w:rPr>
        <w:lastRenderedPageBreak/>
        <w:t xml:space="preserve">21. </w:t>
      </w:r>
      <w:r w:rsidRPr="005E0378">
        <w:rPr>
          <w:rFonts w:ascii="Calibri" w:hAnsi="Calibri"/>
          <w:sz w:val="24"/>
        </w:rPr>
        <w:tab/>
        <w:t xml:space="preserve">Raimondi MT, Causin P, Laganà M, Zunino P, Sacco R. </w:t>
      </w:r>
      <w:r>
        <w:rPr>
          <w:rFonts w:ascii="Calibri" w:hAnsi="Calibri"/>
          <w:sz w:val="24"/>
        </w:rPr>
        <w:t xml:space="preserve">2013 </w:t>
      </w:r>
      <w:r w:rsidRPr="005E0378">
        <w:rPr>
          <w:rFonts w:ascii="Calibri" w:hAnsi="Calibri"/>
          <w:sz w:val="24"/>
        </w:rPr>
        <w:t>Multiphysics computational modeling i</w:t>
      </w:r>
      <w:r>
        <w:rPr>
          <w:rFonts w:ascii="Calibri" w:hAnsi="Calibri"/>
          <w:sz w:val="24"/>
        </w:rPr>
        <w:t xml:space="preserve">n cartilage tissue engineering. </w:t>
      </w:r>
      <w:r w:rsidRPr="003A2B62">
        <w:rPr>
          <w:rFonts w:ascii="Calibri" w:hAnsi="Calibri"/>
          <w:i/>
          <w:sz w:val="24"/>
        </w:rPr>
        <w:t>Computational Modeling in Tissue Engineering</w:t>
      </w:r>
      <w:r>
        <w:rPr>
          <w:rFonts w:ascii="Calibri" w:hAnsi="Calibri"/>
          <w:sz w:val="24"/>
        </w:rPr>
        <w:t>,</w:t>
      </w:r>
      <w:r w:rsidRPr="005E0378">
        <w:rPr>
          <w:rFonts w:ascii="Calibri" w:hAnsi="Calibri"/>
          <w:sz w:val="24"/>
        </w:rPr>
        <w:t xml:space="preserve"> 267–85. </w:t>
      </w:r>
      <w:r w:rsidRPr="003A2B62">
        <w:rPr>
          <w:rFonts w:ascii="Calibri" w:hAnsi="Calibri"/>
          <w:sz w:val="24"/>
        </w:rPr>
        <w:t>Springer Berlin Heidelberg</w:t>
      </w:r>
      <w:r>
        <w:rPr>
          <w:rFonts w:ascii="Calibri" w:hAnsi="Calibri"/>
          <w:sz w:val="24"/>
        </w:rPr>
        <w:t>.</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22. </w:t>
      </w:r>
      <w:r w:rsidRPr="005E0378">
        <w:rPr>
          <w:rFonts w:ascii="Calibri" w:hAnsi="Calibri"/>
          <w:sz w:val="24"/>
        </w:rPr>
        <w:tab/>
        <w:t>Weiner S, Wagner HD. 1998</w:t>
      </w:r>
      <w:r>
        <w:rPr>
          <w:rFonts w:ascii="Calibri" w:hAnsi="Calibri"/>
          <w:sz w:val="24"/>
        </w:rPr>
        <w:t xml:space="preserve"> </w:t>
      </w:r>
      <w:r w:rsidRPr="005E0378">
        <w:rPr>
          <w:rFonts w:ascii="Calibri" w:hAnsi="Calibri"/>
          <w:sz w:val="24"/>
        </w:rPr>
        <w:t xml:space="preserve">The material bone: Structure-Mechanical Function Relations. </w:t>
      </w:r>
      <w:r w:rsidRPr="00A9311A">
        <w:rPr>
          <w:rFonts w:ascii="Calibri" w:hAnsi="Calibri"/>
          <w:i/>
          <w:sz w:val="24"/>
        </w:rPr>
        <w:t>Ann</w:t>
      </w:r>
      <w:r>
        <w:rPr>
          <w:rFonts w:ascii="Calibri" w:hAnsi="Calibri"/>
          <w:i/>
          <w:sz w:val="24"/>
        </w:rPr>
        <w:t>ual Review of Materials Science</w:t>
      </w:r>
      <w:r>
        <w:rPr>
          <w:rFonts w:ascii="Calibri" w:hAnsi="Calibri"/>
          <w:sz w:val="24"/>
        </w:rPr>
        <w:t xml:space="preserve"> </w:t>
      </w:r>
      <w:r w:rsidRPr="00A9311A">
        <w:rPr>
          <w:rFonts w:ascii="Calibri" w:hAnsi="Calibri"/>
          <w:i/>
          <w:sz w:val="24"/>
        </w:rPr>
        <w:t>28</w:t>
      </w:r>
      <w:r>
        <w:rPr>
          <w:rFonts w:ascii="Calibri" w:hAnsi="Calibri"/>
          <w:sz w:val="24"/>
        </w:rPr>
        <w:t xml:space="preserve">, </w:t>
      </w:r>
      <w:r w:rsidRPr="005E0378">
        <w:rPr>
          <w:rFonts w:ascii="Calibri" w:hAnsi="Calibri"/>
          <w:sz w:val="24"/>
        </w:rPr>
        <w:t xml:space="preserve">271–98.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23. </w:t>
      </w:r>
      <w:r w:rsidRPr="005E0378">
        <w:rPr>
          <w:rFonts w:ascii="Calibri" w:hAnsi="Calibri"/>
          <w:sz w:val="24"/>
        </w:rPr>
        <w:tab/>
        <w:t xml:space="preserve">Clarke B. </w:t>
      </w:r>
      <w:r>
        <w:rPr>
          <w:rFonts w:ascii="Calibri" w:hAnsi="Calibri"/>
          <w:sz w:val="24"/>
        </w:rPr>
        <w:t xml:space="preserve">2008 </w:t>
      </w:r>
      <w:r w:rsidRPr="005E0378">
        <w:rPr>
          <w:rFonts w:ascii="Calibri" w:hAnsi="Calibri"/>
          <w:sz w:val="24"/>
        </w:rPr>
        <w:t>Norm</w:t>
      </w:r>
      <w:r>
        <w:rPr>
          <w:rFonts w:ascii="Calibri" w:hAnsi="Calibri"/>
          <w:sz w:val="24"/>
        </w:rPr>
        <w:t xml:space="preserve">al Bone Anatomy and Physiology. </w:t>
      </w:r>
      <w:r w:rsidRPr="00A9311A">
        <w:rPr>
          <w:rFonts w:ascii="Calibri" w:hAnsi="Calibri"/>
          <w:i/>
          <w:sz w:val="24"/>
        </w:rPr>
        <w:t>Clinical Journal of the American Society of Nephrology</w:t>
      </w:r>
      <w:r w:rsidRPr="005E0378">
        <w:rPr>
          <w:rFonts w:ascii="Calibri" w:hAnsi="Calibri"/>
          <w:sz w:val="24"/>
        </w:rPr>
        <w:t> </w:t>
      </w:r>
      <w:r w:rsidRPr="00A9311A">
        <w:rPr>
          <w:rFonts w:ascii="Calibri" w:hAnsi="Calibri"/>
          <w:i/>
          <w:sz w:val="24"/>
        </w:rPr>
        <w:t>3</w:t>
      </w:r>
      <w:r>
        <w:rPr>
          <w:rFonts w:ascii="Calibri" w:hAnsi="Calibri"/>
          <w:sz w:val="24"/>
        </w:rPr>
        <w:t>,</w:t>
      </w:r>
      <w:r w:rsidRPr="005E0378">
        <w:rPr>
          <w:rFonts w:ascii="Calibri" w:hAnsi="Calibri"/>
          <w:sz w:val="24"/>
        </w:rPr>
        <w:t xml:space="preserve"> S131–</w:t>
      </w:r>
      <w:r>
        <w:rPr>
          <w:rFonts w:ascii="Calibri" w:hAnsi="Calibri"/>
          <w:sz w:val="24"/>
        </w:rPr>
        <w:t>S13</w:t>
      </w:r>
      <w:r w:rsidRPr="005E0378">
        <w:rPr>
          <w:rFonts w:ascii="Calibri" w:hAnsi="Calibri"/>
          <w:sz w:val="24"/>
        </w:rPr>
        <w:t xml:space="preserve">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24. </w:t>
      </w:r>
      <w:r w:rsidRPr="005E0378">
        <w:rPr>
          <w:rFonts w:ascii="Calibri" w:hAnsi="Calibri"/>
          <w:sz w:val="24"/>
        </w:rPr>
        <w:tab/>
        <w:t>Betts DC, Müller R.</w:t>
      </w:r>
      <w:r>
        <w:rPr>
          <w:rFonts w:ascii="Calibri" w:hAnsi="Calibri"/>
          <w:sz w:val="24"/>
        </w:rPr>
        <w:t xml:space="preserve"> </w:t>
      </w:r>
      <w:r w:rsidRPr="00A9311A">
        <w:rPr>
          <w:rFonts w:ascii="Calibri" w:hAnsi="Calibri"/>
          <w:sz w:val="24"/>
        </w:rPr>
        <w:t>2014</w:t>
      </w:r>
      <w:r w:rsidRPr="005E0378">
        <w:rPr>
          <w:rFonts w:ascii="Calibri" w:hAnsi="Calibri"/>
          <w:sz w:val="24"/>
        </w:rPr>
        <w:t xml:space="preserve"> Mechanical regulation of bone regeneration: theories, models, and experiments. </w:t>
      </w:r>
      <w:r w:rsidRPr="00A9311A">
        <w:rPr>
          <w:rFonts w:ascii="Calibri" w:hAnsi="Calibri"/>
          <w:i/>
          <w:sz w:val="24"/>
        </w:rPr>
        <w:t>Frontiers in endocrinology 5</w:t>
      </w:r>
      <w:r w:rsidRPr="005E0378">
        <w:rPr>
          <w:rFonts w:ascii="Calibri" w:hAnsi="Calibri"/>
          <w:sz w:val="24"/>
        </w:rPr>
        <w:t xml:space="preserve">. </w:t>
      </w:r>
    </w:p>
    <w:p w:rsidR="005D1052" w:rsidRPr="005E0378" w:rsidRDefault="005D1052" w:rsidP="005D1052">
      <w:pPr>
        <w:pStyle w:val="NormalWeb"/>
        <w:ind w:left="640" w:hanging="640"/>
        <w:rPr>
          <w:rFonts w:ascii="Calibri" w:hAnsi="Calibri"/>
          <w:sz w:val="24"/>
        </w:rPr>
      </w:pPr>
      <w:r>
        <w:rPr>
          <w:rFonts w:ascii="Calibri" w:hAnsi="Calibri"/>
          <w:sz w:val="24"/>
        </w:rPr>
        <w:t xml:space="preserve">25. </w:t>
      </w:r>
      <w:r>
        <w:rPr>
          <w:rFonts w:ascii="Calibri" w:hAnsi="Calibri"/>
          <w:sz w:val="24"/>
        </w:rPr>
        <w:tab/>
        <w:t>Marsell R, Einhorn TA</w:t>
      </w:r>
      <w:r w:rsidRPr="005E0378">
        <w:rPr>
          <w:rFonts w:ascii="Calibri" w:hAnsi="Calibri"/>
          <w:sz w:val="24"/>
        </w:rPr>
        <w:t>.</w:t>
      </w:r>
      <w:r>
        <w:rPr>
          <w:rFonts w:ascii="Calibri" w:hAnsi="Calibri"/>
          <w:sz w:val="24"/>
        </w:rPr>
        <w:t xml:space="preserve"> 2011</w:t>
      </w:r>
      <w:r w:rsidRPr="005E0378">
        <w:rPr>
          <w:rFonts w:ascii="Calibri" w:hAnsi="Calibri"/>
          <w:sz w:val="24"/>
        </w:rPr>
        <w:t xml:space="preserve"> The biology of fractu</w:t>
      </w:r>
      <w:r>
        <w:rPr>
          <w:rFonts w:ascii="Calibri" w:hAnsi="Calibri"/>
          <w:sz w:val="24"/>
        </w:rPr>
        <w:t xml:space="preserve">re healing. </w:t>
      </w:r>
      <w:r w:rsidRPr="00A9311A">
        <w:rPr>
          <w:rFonts w:ascii="Calibri" w:hAnsi="Calibri"/>
          <w:i/>
          <w:sz w:val="24"/>
        </w:rPr>
        <w:t>Injury 42</w:t>
      </w:r>
      <w:r>
        <w:rPr>
          <w:rFonts w:ascii="Calibri" w:hAnsi="Calibri"/>
          <w:sz w:val="24"/>
        </w:rPr>
        <w:t xml:space="preserve">, 551–5.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26. </w:t>
      </w:r>
      <w:r w:rsidRPr="005E0378">
        <w:rPr>
          <w:rFonts w:ascii="Calibri" w:hAnsi="Calibri"/>
          <w:sz w:val="24"/>
        </w:rPr>
        <w:tab/>
        <w:t>Kalfas IH. 2001</w:t>
      </w:r>
      <w:r>
        <w:rPr>
          <w:rFonts w:ascii="Calibri" w:hAnsi="Calibri"/>
          <w:sz w:val="24"/>
        </w:rPr>
        <w:t xml:space="preserve"> </w:t>
      </w:r>
      <w:r w:rsidRPr="005E0378">
        <w:rPr>
          <w:rFonts w:ascii="Calibri" w:hAnsi="Calibri"/>
          <w:sz w:val="24"/>
        </w:rPr>
        <w:t xml:space="preserve">Principles of bone healing. </w:t>
      </w:r>
      <w:r w:rsidRPr="00A9311A">
        <w:rPr>
          <w:rFonts w:ascii="Calibri" w:hAnsi="Calibri"/>
          <w:i/>
          <w:sz w:val="24"/>
        </w:rPr>
        <w:t>Neurosurgical focus</w:t>
      </w:r>
      <w:r>
        <w:rPr>
          <w:rFonts w:ascii="Calibri" w:hAnsi="Calibri"/>
          <w:sz w:val="24"/>
        </w:rPr>
        <w:t xml:space="preserve"> </w:t>
      </w:r>
      <w:r w:rsidRPr="00A9311A">
        <w:rPr>
          <w:rFonts w:ascii="Calibri" w:hAnsi="Calibri"/>
          <w:i/>
          <w:sz w:val="24"/>
        </w:rPr>
        <w:t>10</w:t>
      </w:r>
      <w:r>
        <w:rPr>
          <w:rFonts w:ascii="Calibri" w:hAnsi="Calibri"/>
          <w:sz w:val="24"/>
        </w:rPr>
        <w:t>, 1-4</w:t>
      </w:r>
      <w:r w:rsidRPr="005E0378">
        <w:rPr>
          <w:rFonts w:ascii="Calibri" w:hAnsi="Calibri"/>
          <w:sz w:val="24"/>
        </w:rPr>
        <w:t xml:space="preserve">.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27. </w:t>
      </w:r>
      <w:r w:rsidRPr="005E0378">
        <w:rPr>
          <w:rFonts w:ascii="Calibri" w:hAnsi="Calibri"/>
          <w:sz w:val="24"/>
        </w:rPr>
        <w:tab/>
        <w:t>Wang X, Nyman JS, Dong X, Leng H, Reyes M. 2010</w:t>
      </w:r>
      <w:r>
        <w:rPr>
          <w:rFonts w:ascii="Calibri" w:hAnsi="Calibri"/>
          <w:sz w:val="24"/>
        </w:rPr>
        <w:t xml:space="preserve"> </w:t>
      </w:r>
      <w:r w:rsidRPr="005E0378">
        <w:rPr>
          <w:rFonts w:ascii="Calibri" w:hAnsi="Calibri"/>
          <w:sz w:val="24"/>
        </w:rPr>
        <w:t xml:space="preserve">Fundamental Biomechanics in Bone Tissue Engineering. </w:t>
      </w:r>
      <w:r w:rsidRPr="00A9311A">
        <w:rPr>
          <w:rFonts w:ascii="Calibri" w:hAnsi="Calibri"/>
          <w:i/>
          <w:sz w:val="24"/>
        </w:rPr>
        <w:t>Synthesis Lectures on Tissue Engineering 2</w:t>
      </w:r>
      <w:r>
        <w:rPr>
          <w:rFonts w:ascii="Calibri" w:hAnsi="Calibri"/>
          <w:sz w:val="24"/>
        </w:rPr>
        <w:t>, 1-225</w:t>
      </w:r>
      <w:r w:rsidRPr="005E0378">
        <w:rPr>
          <w:rFonts w:ascii="Calibri" w:hAnsi="Calibri"/>
          <w:sz w:val="24"/>
        </w:rPr>
        <w:t xml:space="preserve">.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28. </w:t>
      </w:r>
      <w:r w:rsidRPr="005E0378">
        <w:rPr>
          <w:rFonts w:ascii="Calibri" w:hAnsi="Calibri"/>
          <w:sz w:val="24"/>
        </w:rPr>
        <w:tab/>
        <w:t>Dvir T, Benishti N, Shachar M, Cohen S. 2006</w:t>
      </w:r>
      <w:r>
        <w:rPr>
          <w:rFonts w:ascii="Calibri" w:hAnsi="Calibri"/>
          <w:sz w:val="24"/>
        </w:rPr>
        <w:t xml:space="preserve"> </w:t>
      </w:r>
      <w:r w:rsidRPr="005E0378">
        <w:rPr>
          <w:rFonts w:ascii="Calibri" w:hAnsi="Calibri"/>
          <w:sz w:val="24"/>
        </w:rPr>
        <w:t>A novel perfusion bioreactor providing a homogenous milieu for tissue r</w:t>
      </w:r>
      <w:r>
        <w:rPr>
          <w:rFonts w:ascii="Calibri" w:hAnsi="Calibri"/>
          <w:sz w:val="24"/>
        </w:rPr>
        <w:t xml:space="preserve">egeneration. </w:t>
      </w:r>
      <w:r w:rsidRPr="00A9311A">
        <w:rPr>
          <w:rFonts w:ascii="Calibri" w:hAnsi="Calibri"/>
          <w:i/>
          <w:sz w:val="24"/>
        </w:rPr>
        <w:t>Tissue engineering 12,</w:t>
      </w:r>
      <w:r>
        <w:rPr>
          <w:rFonts w:ascii="Calibri" w:hAnsi="Calibri"/>
          <w:sz w:val="24"/>
        </w:rPr>
        <w:t xml:space="preserve"> </w:t>
      </w:r>
      <w:r w:rsidRPr="005E0378">
        <w:rPr>
          <w:rFonts w:ascii="Calibri" w:hAnsi="Calibri"/>
          <w:sz w:val="24"/>
        </w:rPr>
        <w:t xml:space="preserve">2843–52. </w:t>
      </w:r>
    </w:p>
    <w:p w:rsidR="005D1052" w:rsidRPr="005E0378" w:rsidRDefault="005D1052" w:rsidP="005D1052">
      <w:pPr>
        <w:pStyle w:val="NormalWeb"/>
        <w:ind w:left="640" w:hanging="640"/>
        <w:rPr>
          <w:rFonts w:ascii="Calibri" w:hAnsi="Calibri"/>
          <w:sz w:val="24"/>
        </w:rPr>
      </w:pPr>
      <w:r>
        <w:rPr>
          <w:rFonts w:ascii="Calibri" w:hAnsi="Calibri"/>
          <w:sz w:val="24"/>
        </w:rPr>
        <w:t xml:space="preserve">29. </w:t>
      </w:r>
      <w:r>
        <w:rPr>
          <w:rFonts w:ascii="Calibri" w:hAnsi="Calibri"/>
          <w:sz w:val="24"/>
        </w:rPr>
        <w:tab/>
        <w:t>Claes LE, Heigele CA</w:t>
      </w:r>
      <w:r w:rsidRPr="005E0378">
        <w:rPr>
          <w:rFonts w:ascii="Calibri" w:hAnsi="Calibri"/>
          <w:sz w:val="24"/>
        </w:rPr>
        <w:t xml:space="preserve">. </w:t>
      </w:r>
      <w:r>
        <w:rPr>
          <w:rFonts w:ascii="Calibri" w:hAnsi="Calibri"/>
          <w:sz w:val="24"/>
        </w:rPr>
        <w:t xml:space="preserve">1999 </w:t>
      </w:r>
      <w:r w:rsidRPr="005E0378">
        <w:rPr>
          <w:rFonts w:ascii="Calibri" w:hAnsi="Calibri"/>
          <w:sz w:val="24"/>
        </w:rPr>
        <w:t xml:space="preserve">Magnitudes of local stress and strain along bony surfaces predict the course and type of fracture healing. </w:t>
      </w:r>
      <w:r w:rsidRPr="00A9311A">
        <w:rPr>
          <w:rFonts w:ascii="Calibri" w:hAnsi="Calibri"/>
          <w:i/>
          <w:sz w:val="24"/>
        </w:rPr>
        <w:t>Journal of biomecha</w:t>
      </w:r>
      <w:r>
        <w:rPr>
          <w:rFonts w:ascii="Calibri" w:hAnsi="Calibri"/>
          <w:i/>
          <w:sz w:val="24"/>
        </w:rPr>
        <w:t xml:space="preserve">nics </w:t>
      </w:r>
      <w:r w:rsidRPr="00A9311A">
        <w:rPr>
          <w:rFonts w:ascii="Calibri" w:hAnsi="Calibri"/>
          <w:i/>
          <w:sz w:val="24"/>
        </w:rPr>
        <w:t>32</w:t>
      </w:r>
      <w:r>
        <w:rPr>
          <w:rFonts w:ascii="Calibri" w:hAnsi="Calibri"/>
          <w:sz w:val="24"/>
        </w:rPr>
        <w:t xml:space="preserve">, </w:t>
      </w:r>
      <w:r w:rsidRPr="005E0378">
        <w:rPr>
          <w:rFonts w:ascii="Calibri" w:hAnsi="Calibri"/>
          <w:sz w:val="24"/>
        </w:rPr>
        <w:t xml:space="preserve">255–66.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30. </w:t>
      </w:r>
      <w:r w:rsidRPr="005E0378">
        <w:rPr>
          <w:rFonts w:ascii="Calibri" w:hAnsi="Calibri"/>
          <w:sz w:val="24"/>
        </w:rPr>
        <w:tab/>
        <w:t xml:space="preserve">Prendergast PJ, Huiskes R, Søballe K. </w:t>
      </w:r>
      <w:r>
        <w:rPr>
          <w:rFonts w:ascii="Calibri" w:hAnsi="Calibri"/>
          <w:sz w:val="24"/>
        </w:rPr>
        <w:t xml:space="preserve">1997 </w:t>
      </w:r>
      <w:r w:rsidRPr="005E0378">
        <w:rPr>
          <w:rFonts w:ascii="Calibri" w:hAnsi="Calibri"/>
          <w:sz w:val="24"/>
        </w:rPr>
        <w:t xml:space="preserve">Biophysical stimuli on cells during tissue differentiation at implant interfaces. </w:t>
      </w:r>
      <w:r w:rsidRPr="00A9311A">
        <w:rPr>
          <w:rFonts w:ascii="Calibri" w:hAnsi="Calibri"/>
          <w:i/>
          <w:sz w:val="24"/>
        </w:rPr>
        <w:t>Journal of Biomechanics 30</w:t>
      </w:r>
      <w:r>
        <w:rPr>
          <w:rFonts w:ascii="Calibri" w:hAnsi="Calibri"/>
          <w:sz w:val="24"/>
        </w:rPr>
        <w:t xml:space="preserve">, </w:t>
      </w:r>
      <w:r w:rsidRPr="005E0378">
        <w:rPr>
          <w:rFonts w:ascii="Calibri" w:hAnsi="Calibri"/>
          <w:sz w:val="24"/>
        </w:rPr>
        <w:t xml:space="preserve">539–48.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31. </w:t>
      </w:r>
      <w:r w:rsidRPr="005E0378">
        <w:rPr>
          <w:rFonts w:ascii="Calibri" w:hAnsi="Calibri"/>
          <w:sz w:val="24"/>
        </w:rPr>
        <w:tab/>
        <w:t xml:space="preserve">Byrne DP, Lacroix D, Prendergast PJ. </w:t>
      </w:r>
      <w:r>
        <w:rPr>
          <w:rFonts w:ascii="Calibri" w:hAnsi="Calibri"/>
          <w:sz w:val="24"/>
        </w:rPr>
        <w:t xml:space="preserve">2011 </w:t>
      </w:r>
      <w:r w:rsidRPr="005E0378">
        <w:rPr>
          <w:rFonts w:ascii="Calibri" w:hAnsi="Calibri"/>
          <w:sz w:val="24"/>
        </w:rPr>
        <w:t xml:space="preserve">Simulation of fracture healing in the tibia: mechanoregulation of cell activity using a lattice modeling approach. </w:t>
      </w:r>
      <w:r w:rsidRPr="005B0D60">
        <w:rPr>
          <w:rFonts w:ascii="Calibri" w:hAnsi="Calibri"/>
          <w:i/>
          <w:sz w:val="24"/>
        </w:rPr>
        <w:t>Journal of orthopaedic research 29,</w:t>
      </w:r>
      <w:r>
        <w:rPr>
          <w:rFonts w:ascii="Calibri" w:hAnsi="Calibri"/>
          <w:sz w:val="24"/>
        </w:rPr>
        <w:t xml:space="preserve"> </w:t>
      </w:r>
      <w:r w:rsidRPr="005E0378">
        <w:rPr>
          <w:rFonts w:ascii="Calibri" w:hAnsi="Calibri"/>
          <w:sz w:val="24"/>
        </w:rPr>
        <w:t xml:space="preserve">1496–503.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32. </w:t>
      </w:r>
      <w:r w:rsidRPr="005E0378">
        <w:rPr>
          <w:rFonts w:ascii="Calibri" w:hAnsi="Calibri"/>
          <w:sz w:val="24"/>
        </w:rPr>
        <w:tab/>
      </w:r>
      <w:r w:rsidRPr="005B0D60">
        <w:rPr>
          <w:rFonts w:ascii="Calibri" w:hAnsi="Calibri"/>
          <w:sz w:val="24"/>
        </w:rPr>
        <w:t>Strube P, Sentuerk U, Riha T, Kaspar K, Mueller M, Kasper G</w:t>
      </w:r>
      <w:r>
        <w:rPr>
          <w:rFonts w:ascii="Calibri" w:hAnsi="Calibri"/>
          <w:sz w:val="24"/>
        </w:rPr>
        <w:t>, Matziolis G, Duda GN, Perka C</w:t>
      </w:r>
      <w:r w:rsidRPr="005E0378">
        <w:rPr>
          <w:rFonts w:ascii="Calibri" w:hAnsi="Calibri"/>
          <w:sz w:val="24"/>
        </w:rPr>
        <w:t>. 2008</w:t>
      </w:r>
      <w:r>
        <w:rPr>
          <w:rFonts w:ascii="Calibri" w:hAnsi="Calibri"/>
          <w:sz w:val="24"/>
        </w:rPr>
        <w:t xml:space="preserve"> </w:t>
      </w:r>
      <w:r w:rsidRPr="005E0378">
        <w:rPr>
          <w:rFonts w:ascii="Calibri" w:hAnsi="Calibri"/>
          <w:sz w:val="24"/>
        </w:rPr>
        <w:t xml:space="preserve">Influence of age and mechanical stability on bone defect healing: age reverses mechanical effects. </w:t>
      </w:r>
      <w:r w:rsidRPr="005B0D60">
        <w:rPr>
          <w:rFonts w:ascii="Calibri" w:hAnsi="Calibri"/>
          <w:i/>
          <w:sz w:val="24"/>
        </w:rPr>
        <w:t>Bone 42</w:t>
      </w:r>
      <w:r>
        <w:rPr>
          <w:rFonts w:ascii="Calibri" w:hAnsi="Calibri"/>
          <w:sz w:val="24"/>
        </w:rPr>
        <w:t xml:space="preserve">, </w:t>
      </w:r>
      <w:r w:rsidRPr="005E0378">
        <w:rPr>
          <w:rFonts w:ascii="Calibri" w:hAnsi="Calibri"/>
          <w:sz w:val="24"/>
        </w:rPr>
        <w:t xml:space="preserve">758–64.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33. </w:t>
      </w:r>
      <w:r w:rsidRPr="005E0378">
        <w:rPr>
          <w:rFonts w:ascii="Calibri" w:hAnsi="Calibri"/>
          <w:sz w:val="24"/>
        </w:rPr>
        <w:tab/>
        <w:t>Stadelmann WK, Digenis AG, Tobin GR. 1998</w:t>
      </w:r>
      <w:r>
        <w:rPr>
          <w:rFonts w:ascii="Calibri" w:hAnsi="Calibri"/>
          <w:sz w:val="24"/>
        </w:rPr>
        <w:t xml:space="preserve"> Impediments to wound healing</w:t>
      </w:r>
      <w:r w:rsidRPr="005E0378">
        <w:rPr>
          <w:rFonts w:ascii="Calibri" w:hAnsi="Calibri"/>
          <w:sz w:val="24"/>
        </w:rPr>
        <w:t xml:space="preserve">. </w:t>
      </w:r>
      <w:r w:rsidRPr="005B0D60">
        <w:rPr>
          <w:rFonts w:ascii="Calibri" w:hAnsi="Calibri"/>
          <w:i/>
          <w:sz w:val="24"/>
        </w:rPr>
        <w:t>The American Journal of Surgery 176</w:t>
      </w:r>
      <w:r>
        <w:rPr>
          <w:rFonts w:ascii="Calibri" w:hAnsi="Calibri"/>
          <w:sz w:val="24"/>
        </w:rPr>
        <w:t xml:space="preserve">, </w:t>
      </w:r>
      <w:r w:rsidRPr="005E0378">
        <w:rPr>
          <w:rFonts w:ascii="Calibri" w:hAnsi="Calibri"/>
          <w:sz w:val="24"/>
        </w:rPr>
        <w:t>39</w:t>
      </w:r>
      <w:r>
        <w:rPr>
          <w:rFonts w:ascii="Calibri" w:hAnsi="Calibri"/>
          <w:sz w:val="24"/>
        </w:rPr>
        <w:t>S</w:t>
      </w:r>
      <w:r w:rsidRPr="005E0378">
        <w:rPr>
          <w:rFonts w:ascii="Calibri" w:hAnsi="Calibri"/>
          <w:sz w:val="24"/>
        </w:rPr>
        <w:t xml:space="preserve">–47S.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34. </w:t>
      </w:r>
      <w:r w:rsidRPr="005E0378">
        <w:rPr>
          <w:rFonts w:ascii="Calibri" w:hAnsi="Calibri"/>
          <w:sz w:val="24"/>
        </w:rPr>
        <w:tab/>
        <w:t xml:space="preserve">Linden J. </w:t>
      </w:r>
      <w:r>
        <w:rPr>
          <w:rFonts w:ascii="Calibri" w:hAnsi="Calibri"/>
          <w:sz w:val="24"/>
        </w:rPr>
        <w:t xml:space="preserve">2012 </w:t>
      </w:r>
      <w:r w:rsidRPr="005E0378">
        <w:rPr>
          <w:rFonts w:ascii="Calibri" w:hAnsi="Calibri"/>
          <w:sz w:val="24"/>
        </w:rPr>
        <w:t xml:space="preserve">Translational medicine: Longer life for artificial joints. </w:t>
      </w:r>
      <w:r w:rsidRPr="005B0D60">
        <w:rPr>
          <w:rFonts w:ascii="Calibri" w:hAnsi="Calibri"/>
          <w:i/>
          <w:sz w:val="24"/>
        </w:rPr>
        <w:t>Nature</w:t>
      </w:r>
      <w:r>
        <w:rPr>
          <w:rFonts w:ascii="Calibri" w:hAnsi="Calibri"/>
          <w:i/>
          <w:sz w:val="24"/>
        </w:rPr>
        <w:t xml:space="preserve"> </w:t>
      </w:r>
      <w:r w:rsidRPr="005E0378">
        <w:rPr>
          <w:rFonts w:ascii="Calibri" w:hAnsi="Calibri"/>
          <w:sz w:val="24"/>
        </w:rPr>
        <w:t>487</w:t>
      </w:r>
      <w:r>
        <w:rPr>
          <w:rFonts w:ascii="Calibri" w:hAnsi="Calibri"/>
          <w:sz w:val="24"/>
        </w:rPr>
        <w:t xml:space="preserve">, </w:t>
      </w:r>
      <w:r w:rsidRPr="005E0378">
        <w:rPr>
          <w:rFonts w:ascii="Calibri" w:hAnsi="Calibri"/>
          <w:sz w:val="24"/>
        </w:rPr>
        <w:t xml:space="preserve">179–80. </w:t>
      </w:r>
    </w:p>
    <w:p w:rsidR="005D1052" w:rsidRPr="005E0378" w:rsidRDefault="005D1052" w:rsidP="005D1052">
      <w:pPr>
        <w:pStyle w:val="NormalWeb"/>
        <w:ind w:left="640" w:hanging="640"/>
        <w:rPr>
          <w:rFonts w:ascii="Calibri" w:hAnsi="Calibri"/>
          <w:sz w:val="24"/>
        </w:rPr>
      </w:pPr>
      <w:r w:rsidRPr="005E0378">
        <w:rPr>
          <w:rFonts w:ascii="Calibri" w:hAnsi="Calibri"/>
          <w:sz w:val="24"/>
        </w:rPr>
        <w:lastRenderedPageBreak/>
        <w:t xml:space="preserve">35. </w:t>
      </w:r>
      <w:r w:rsidRPr="005E0378">
        <w:rPr>
          <w:rFonts w:ascii="Calibri" w:hAnsi="Calibri"/>
          <w:sz w:val="24"/>
        </w:rPr>
        <w:tab/>
        <w:t>Martin I, Wendt D, Heberer M. 2004</w:t>
      </w:r>
      <w:r>
        <w:rPr>
          <w:rFonts w:ascii="Calibri" w:hAnsi="Calibri"/>
          <w:sz w:val="24"/>
        </w:rPr>
        <w:t xml:space="preserve"> </w:t>
      </w:r>
      <w:r w:rsidRPr="005E0378">
        <w:rPr>
          <w:rFonts w:ascii="Calibri" w:hAnsi="Calibri"/>
          <w:sz w:val="24"/>
        </w:rPr>
        <w:t xml:space="preserve">The role of bioreactors in tissue engineering. </w:t>
      </w:r>
      <w:r w:rsidRPr="005B0D60">
        <w:rPr>
          <w:rFonts w:ascii="Calibri" w:hAnsi="Calibri"/>
          <w:i/>
          <w:sz w:val="24"/>
        </w:rPr>
        <w:t>Trends in biotechnology 22</w:t>
      </w:r>
      <w:r>
        <w:rPr>
          <w:rFonts w:ascii="Calibri" w:hAnsi="Calibri"/>
          <w:sz w:val="24"/>
        </w:rPr>
        <w:t xml:space="preserve">, </w:t>
      </w:r>
      <w:r w:rsidRPr="005E0378">
        <w:rPr>
          <w:rFonts w:ascii="Calibri" w:hAnsi="Calibri"/>
          <w:sz w:val="24"/>
        </w:rPr>
        <w:t xml:space="preserve">80–6.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36. </w:t>
      </w:r>
      <w:r w:rsidRPr="005E0378">
        <w:rPr>
          <w:rFonts w:ascii="Calibri" w:hAnsi="Calibri"/>
          <w:sz w:val="24"/>
        </w:rPr>
        <w:tab/>
        <w:t>Wendt D, Marsano a., Jakob M, Heberer M, Martin I. 2003</w:t>
      </w:r>
      <w:r>
        <w:rPr>
          <w:rFonts w:ascii="Calibri" w:hAnsi="Calibri"/>
          <w:sz w:val="24"/>
        </w:rPr>
        <w:t xml:space="preserve"> </w:t>
      </w:r>
      <w:r w:rsidRPr="005E0378">
        <w:rPr>
          <w:rFonts w:ascii="Calibri" w:hAnsi="Calibri"/>
          <w:sz w:val="24"/>
        </w:rPr>
        <w:t xml:space="preserve">Oscillating perfusion of cell suspensions through three-dimensional scaffolds enhances cell seeding efficiency and uniformity. </w:t>
      </w:r>
      <w:r w:rsidRPr="005B0D60">
        <w:rPr>
          <w:rFonts w:ascii="Calibri" w:hAnsi="Calibri"/>
          <w:i/>
          <w:sz w:val="24"/>
        </w:rPr>
        <w:t>B</w:t>
      </w:r>
      <w:r>
        <w:rPr>
          <w:rFonts w:ascii="Calibri" w:hAnsi="Calibri"/>
          <w:i/>
          <w:sz w:val="24"/>
        </w:rPr>
        <w:t xml:space="preserve">iotechnology and Bioengineering </w:t>
      </w:r>
      <w:r w:rsidRPr="005B0D60">
        <w:rPr>
          <w:rFonts w:ascii="Calibri" w:hAnsi="Calibri"/>
          <w:i/>
          <w:sz w:val="24"/>
        </w:rPr>
        <w:t>84</w:t>
      </w:r>
      <w:r>
        <w:rPr>
          <w:rFonts w:ascii="Calibri" w:hAnsi="Calibri"/>
          <w:sz w:val="24"/>
        </w:rPr>
        <w:t xml:space="preserve">, </w:t>
      </w:r>
      <w:r w:rsidRPr="005E0378">
        <w:rPr>
          <w:rFonts w:ascii="Calibri" w:hAnsi="Calibri"/>
          <w:sz w:val="24"/>
        </w:rPr>
        <w:t xml:space="preserve">205–14.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37. </w:t>
      </w:r>
      <w:r w:rsidRPr="005E0378">
        <w:rPr>
          <w:rFonts w:ascii="Calibri" w:hAnsi="Calibri"/>
          <w:sz w:val="24"/>
        </w:rPr>
        <w:tab/>
        <w:t xml:space="preserve">Costa-Pinto AR, Reis RL, Neves NM. </w:t>
      </w:r>
      <w:r>
        <w:rPr>
          <w:rFonts w:ascii="Calibri" w:hAnsi="Calibri"/>
          <w:sz w:val="24"/>
        </w:rPr>
        <w:t xml:space="preserve">2011 </w:t>
      </w:r>
      <w:r w:rsidRPr="005E0378">
        <w:rPr>
          <w:rFonts w:ascii="Calibri" w:hAnsi="Calibri"/>
          <w:sz w:val="24"/>
        </w:rPr>
        <w:t xml:space="preserve">Scaffolds Based Bone Tissue Engineering: The Role of Chitosan. </w:t>
      </w:r>
      <w:r w:rsidRPr="005B0D60">
        <w:rPr>
          <w:rFonts w:ascii="Calibri" w:hAnsi="Calibri"/>
          <w:i/>
          <w:sz w:val="24"/>
        </w:rPr>
        <w:t>Tissue Engineering Pa</w:t>
      </w:r>
      <w:r>
        <w:rPr>
          <w:rFonts w:ascii="Calibri" w:hAnsi="Calibri"/>
          <w:i/>
          <w:sz w:val="24"/>
        </w:rPr>
        <w:t xml:space="preserve">rt B: Reviews </w:t>
      </w:r>
      <w:r w:rsidRPr="005B0D60">
        <w:rPr>
          <w:rFonts w:ascii="Calibri" w:hAnsi="Calibri"/>
          <w:i/>
          <w:sz w:val="24"/>
        </w:rPr>
        <w:t>17</w:t>
      </w:r>
      <w:r>
        <w:rPr>
          <w:rFonts w:ascii="Calibri" w:hAnsi="Calibri"/>
          <w:sz w:val="24"/>
        </w:rPr>
        <w:t xml:space="preserve">, </w:t>
      </w:r>
      <w:r w:rsidRPr="005E0378">
        <w:rPr>
          <w:rFonts w:ascii="Calibri" w:hAnsi="Calibri"/>
          <w:sz w:val="24"/>
        </w:rPr>
        <w:t xml:space="preserve">331–47. </w:t>
      </w:r>
    </w:p>
    <w:p w:rsidR="005D1052" w:rsidRPr="005E0378" w:rsidRDefault="005D1052" w:rsidP="005D1052">
      <w:pPr>
        <w:pStyle w:val="NormalWeb"/>
        <w:ind w:left="640" w:hanging="640"/>
        <w:rPr>
          <w:rFonts w:ascii="Calibri" w:hAnsi="Calibri"/>
          <w:sz w:val="24"/>
        </w:rPr>
      </w:pPr>
      <w:r>
        <w:rPr>
          <w:rFonts w:ascii="Calibri" w:hAnsi="Calibri"/>
          <w:sz w:val="24"/>
        </w:rPr>
        <w:t xml:space="preserve">38. </w:t>
      </w:r>
      <w:r>
        <w:rPr>
          <w:rFonts w:ascii="Calibri" w:hAnsi="Calibri"/>
          <w:sz w:val="24"/>
        </w:rPr>
        <w:tab/>
        <w:t>Yeong W</w:t>
      </w:r>
      <w:r w:rsidRPr="005E0378">
        <w:rPr>
          <w:rFonts w:ascii="Calibri" w:hAnsi="Calibri"/>
          <w:sz w:val="24"/>
        </w:rPr>
        <w:t>Y, Chua C</w:t>
      </w:r>
      <w:r>
        <w:rPr>
          <w:rFonts w:ascii="Calibri" w:hAnsi="Calibri"/>
          <w:sz w:val="24"/>
        </w:rPr>
        <w:t>K, Leong K</w:t>
      </w:r>
      <w:r w:rsidRPr="005E0378">
        <w:rPr>
          <w:rFonts w:ascii="Calibri" w:hAnsi="Calibri"/>
          <w:sz w:val="24"/>
        </w:rPr>
        <w:t xml:space="preserve">F, Chandrasekaran M. </w:t>
      </w:r>
      <w:r>
        <w:rPr>
          <w:rFonts w:ascii="Calibri" w:hAnsi="Calibri"/>
          <w:sz w:val="24"/>
        </w:rPr>
        <w:t xml:space="preserve">2004 </w:t>
      </w:r>
      <w:r w:rsidRPr="005E0378">
        <w:rPr>
          <w:rFonts w:ascii="Calibri" w:hAnsi="Calibri"/>
          <w:sz w:val="24"/>
        </w:rPr>
        <w:t>Rapid prototyping in tissue engineering: challenges and pote</w:t>
      </w:r>
      <w:r>
        <w:rPr>
          <w:rFonts w:ascii="Calibri" w:hAnsi="Calibri"/>
          <w:sz w:val="24"/>
        </w:rPr>
        <w:t xml:space="preserve">ntial. </w:t>
      </w:r>
      <w:r w:rsidRPr="005B0D60">
        <w:rPr>
          <w:rFonts w:ascii="Calibri" w:hAnsi="Calibri"/>
          <w:i/>
          <w:sz w:val="24"/>
        </w:rPr>
        <w:t>Trends in biotechnology 22</w:t>
      </w:r>
      <w:r>
        <w:rPr>
          <w:rFonts w:ascii="Calibri" w:hAnsi="Calibri"/>
          <w:sz w:val="24"/>
        </w:rPr>
        <w:t xml:space="preserve">, </w:t>
      </w:r>
      <w:r w:rsidRPr="005E0378">
        <w:rPr>
          <w:rFonts w:ascii="Calibri" w:hAnsi="Calibri"/>
          <w:sz w:val="24"/>
        </w:rPr>
        <w:t xml:space="preserve">643–52.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39. </w:t>
      </w:r>
      <w:r w:rsidRPr="005E0378">
        <w:rPr>
          <w:rFonts w:ascii="Calibri" w:hAnsi="Calibri"/>
          <w:sz w:val="24"/>
        </w:rPr>
        <w:tab/>
        <w:t>Chua CK, Leong KF, Cheah CM, Chua SW. 2003</w:t>
      </w:r>
      <w:r>
        <w:rPr>
          <w:rFonts w:ascii="Calibri" w:hAnsi="Calibri"/>
          <w:sz w:val="24"/>
        </w:rPr>
        <w:t xml:space="preserve"> </w:t>
      </w:r>
      <w:r w:rsidRPr="005E0378">
        <w:rPr>
          <w:rFonts w:ascii="Calibri" w:hAnsi="Calibri"/>
          <w:sz w:val="24"/>
        </w:rPr>
        <w:t xml:space="preserve">Development of a tissue engineering scaffold structure library for rapid prototyping. Part 2: Parametric library and assembly program. </w:t>
      </w:r>
      <w:r w:rsidRPr="00D34C0E">
        <w:rPr>
          <w:rFonts w:ascii="Calibri" w:hAnsi="Calibri"/>
          <w:i/>
          <w:sz w:val="24"/>
        </w:rPr>
        <w:t>International Journal of Ad</w:t>
      </w:r>
      <w:r>
        <w:rPr>
          <w:rFonts w:ascii="Calibri" w:hAnsi="Calibri"/>
          <w:i/>
          <w:sz w:val="24"/>
        </w:rPr>
        <w:t xml:space="preserve">vanced Manufacturing Technology </w:t>
      </w:r>
      <w:r w:rsidRPr="00D34C0E">
        <w:rPr>
          <w:rFonts w:ascii="Calibri" w:hAnsi="Calibri"/>
          <w:i/>
          <w:sz w:val="24"/>
        </w:rPr>
        <w:t>21</w:t>
      </w:r>
      <w:r>
        <w:rPr>
          <w:rFonts w:ascii="Calibri" w:hAnsi="Calibri"/>
          <w:sz w:val="24"/>
        </w:rPr>
        <w:t xml:space="preserve">, </w:t>
      </w:r>
      <w:r w:rsidRPr="005E0378">
        <w:rPr>
          <w:rFonts w:ascii="Calibri" w:hAnsi="Calibri"/>
          <w:sz w:val="24"/>
        </w:rPr>
        <w:t xml:space="preserve">302–12.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40. </w:t>
      </w:r>
      <w:r w:rsidRPr="005E0378">
        <w:rPr>
          <w:rFonts w:ascii="Calibri" w:hAnsi="Calibri"/>
          <w:sz w:val="24"/>
        </w:rPr>
        <w:tab/>
        <w:t>Giannitelli SM, Accoto D, Trombetta M, Rainer A. 2014</w:t>
      </w:r>
      <w:r>
        <w:rPr>
          <w:rFonts w:ascii="Calibri" w:hAnsi="Calibri"/>
          <w:sz w:val="24"/>
        </w:rPr>
        <w:t xml:space="preserve"> </w:t>
      </w:r>
      <w:r w:rsidRPr="005E0378">
        <w:rPr>
          <w:rFonts w:ascii="Calibri" w:hAnsi="Calibri"/>
          <w:sz w:val="24"/>
        </w:rPr>
        <w:t>Current trends in the design of scaffolds for computer-aided tissue engineerin</w:t>
      </w:r>
      <w:r>
        <w:rPr>
          <w:rFonts w:ascii="Calibri" w:hAnsi="Calibri"/>
          <w:sz w:val="24"/>
        </w:rPr>
        <w:t xml:space="preserve">g. </w:t>
      </w:r>
      <w:r w:rsidRPr="00D34C0E">
        <w:rPr>
          <w:rFonts w:ascii="Calibri" w:hAnsi="Calibri"/>
          <w:i/>
          <w:sz w:val="24"/>
        </w:rPr>
        <w:t>Acta Biomaterialia 10</w:t>
      </w:r>
      <w:r>
        <w:rPr>
          <w:rFonts w:ascii="Calibri" w:hAnsi="Calibri"/>
          <w:sz w:val="24"/>
        </w:rPr>
        <w:t xml:space="preserve">, </w:t>
      </w:r>
      <w:r w:rsidRPr="005E0378">
        <w:rPr>
          <w:rFonts w:ascii="Calibri" w:hAnsi="Calibri"/>
          <w:sz w:val="24"/>
        </w:rPr>
        <w:t xml:space="preserve">580–94.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41. </w:t>
      </w:r>
      <w:r w:rsidRPr="005E0378">
        <w:rPr>
          <w:rFonts w:ascii="Calibri" w:hAnsi="Calibri"/>
          <w:sz w:val="24"/>
        </w:rPr>
        <w:tab/>
        <w:t>Ol</w:t>
      </w:r>
      <w:r>
        <w:rPr>
          <w:rFonts w:ascii="Calibri" w:hAnsi="Calibri"/>
          <w:sz w:val="24"/>
        </w:rPr>
        <w:t>ivares AL, Marsal E, Planell JA</w:t>
      </w:r>
      <w:r w:rsidRPr="005E0378">
        <w:rPr>
          <w:rFonts w:ascii="Calibri" w:hAnsi="Calibri"/>
          <w:sz w:val="24"/>
        </w:rPr>
        <w:t xml:space="preserve">, Lacroix D. </w:t>
      </w:r>
      <w:r>
        <w:rPr>
          <w:rFonts w:ascii="Calibri" w:hAnsi="Calibri"/>
          <w:sz w:val="24"/>
        </w:rPr>
        <w:t xml:space="preserve">2009 </w:t>
      </w:r>
      <w:r w:rsidRPr="005E0378">
        <w:rPr>
          <w:rFonts w:ascii="Calibri" w:hAnsi="Calibri"/>
          <w:sz w:val="24"/>
        </w:rPr>
        <w:t>Finite element study of scaffold architecture design and culture conditions for t</w:t>
      </w:r>
      <w:r>
        <w:rPr>
          <w:rFonts w:ascii="Calibri" w:hAnsi="Calibri"/>
          <w:sz w:val="24"/>
        </w:rPr>
        <w:t xml:space="preserve">issue engineering. </w:t>
      </w:r>
      <w:r w:rsidRPr="00D34C0E">
        <w:rPr>
          <w:rFonts w:ascii="Calibri" w:hAnsi="Calibri"/>
          <w:i/>
          <w:sz w:val="24"/>
        </w:rPr>
        <w:t>Biomaterials 30</w:t>
      </w:r>
      <w:r>
        <w:rPr>
          <w:rFonts w:ascii="Calibri" w:hAnsi="Calibri"/>
          <w:sz w:val="24"/>
        </w:rPr>
        <w:t xml:space="preserve">, </w:t>
      </w:r>
      <w:r w:rsidRPr="005E0378">
        <w:rPr>
          <w:rFonts w:ascii="Calibri" w:hAnsi="Calibri"/>
          <w:sz w:val="24"/>
        </w:rPr>
        <w:t xml:space="preserve">6142–9.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42. </w:t>
      </w:r>
      <w:r w:rsidRPr="005E0378">
        <w:rPr>
          <w:rFonts w:ascii="Calibri" w:hAnsi="Calibri"/>
          <w:sz w:val="24"/>
        </w:rPr>
        <w:tab/>
        <w:t>Hollister SJ. 2005</w:t>
      </w:r>
      <w:r>
        <w:rPr>
          <w:rFonts w:ascii="Calibri" w:hAnsi="Calibri"/>
          <w:sz w:val="24"/>
        </w:rPr>
        <w:t xml:space="preserve"> </w:t>
      </w:r>
      <w:r w:rsidRPr="005E0378">
        <w:rPr>
          <w:rFonts w:ascii="Calibri" w:hAnsi="Calibri"/>
          <w:sz w:val="24"/>
        </w:rPr>
        <w:t xml:space="preserve">Porous scaffold design for tissue engineering. </w:t>
      </w:r>
      <w:r>
        <w:rPr>
          <w:rFonts w:ascii="Calibri" w:hAnsi="Calibri"/>
          <w:i/>
          <w:sz w:val="24"/>
        </w:rPr>
        <w:t xml:space="preserve">Nature materials </w:t>
      </w:r>
      <w:r w:rsidRPr="00D34C0E">
        <w:rPr>
          <w:rFonts w:ascii="Calibri" w:hAnsi="Calibri"/>
          <w:i/>
          <w:sz w:val="24"/>
        </w:rPr>
        <w:t>4</w:t>
      </w:r>
      <w:r>
        <w:rPr>
          <w:rFonts w:ascii="Calibri" w:hAnsi="Calibri"/>
          <w:sz w:val="24"/>
        </w:rPr>
        <w:t xml:space="preserve">, </w:t>
      </w:r>
      <w:r w:rsidRPr="005E0378">
        <w:rPr>
          <w:rFonts w:ascii="Calibri" w:hAnsi="Calibri"/>
          <w:sz w:val="24"/>
        </w:rPr>
        <w:t xml:space="preserve">518–24.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43. </w:t>
      </w:r>
      <w:r w:rsidRPr="005E0378">
        <w:rPr>
          <w:rFonts w:ascii="Calibri" w:hAnsi="Calibri"/>
          <w:sz w:val="24"/>
        </w:rPr>
        <w:tab/>
        <w:t xml:space="preserve">Dias MR, Guedes JM, Flanagan CL, Hollister SJ, Fernandes PR. </w:t>
      </w:r>
      <w:r>
        <w:rPr>
          <w:rFonts w:ascii="Calibri" w:hAnsi="Calibri"/>
          <w:sz w:val="24"/>
        </w:rPr>
        <w:t xml:space="preserve">2014 </w:t>
      </w:r>
      <w:r w:rsidRPr="005E0378">
        <w:rPr>
          <w:rFonts w:ascii="Calibri" w:hAnsi="Calibri"/>
          <w:sz w:val="24"/>
        </w:rPr>
        <w:t xml:space="preserve">Optimization of scaffold design for bone tissue engineering: A computational and experimental study. </w:t>
      </w:r>
      <w:r w:rsidRPr="00183F3A">
        <w:rPr>
          <w:rFonts w:ascii="Calibri" w:hAnsi="Calibri"/>
          <w:i/>
          <w:sz w:val="24"/>
        </w:rPr>
        <w:t>Medical Engineering and Physics 36</w:t>
      </w:r>
      <w:r>
        <w:rPr>
          <w:rFonts w:ascii="Calibri" w:hAnsi="Calibri"/>
          <w:sz w:val="24"/>
        </w:rPr>
        <w:t xml:space="preserve">, </w:t>
      </w:r>
      <w:r w:rsidRPr="005E0378">
        <w:rPr>
          <w:rFonts w:ascii="Calibri" w:hAnsi="Calibri"/>
          <w:sz w:val="24"/>
        </w:rPr>
        <w:t xml:space="preserve">448–57.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44. </w:t>
      </w:r>
      <w:r w:rsidRPr="005E0378">
        <w:rPr>
          <w:rFonts w:ascii="Calibri" w:hAnsi="Calibri"/>
          <w:sz w:val="24"/>
        </w:rPr>
        <w:tab/>
        <w:t xml:space="preserve">Yoo D. </w:t>
      </w:r>
      <w:r>
        <w:rPr>
          <w:rFonts w:ascii="Calibri" w:hAnsi="Calibri"/>
          <w:sz w:val="24"/>
        </w:rPr>
        <w:t xml:space="preserve">2013 </w:t>
      </w:r>
      <w:r w:rsidRPr="005E0378">
        <w:rPr>
          <w:rFonts w:ascii="Calibri" w:hAnsi="Calibri"/>
          <w:sz w:val="24"/>
        </w:rPr>
        <w:t xml:space="preserve">New paradigms in hierarchical porous scaffold design for tissue engineering. </w:t>
      </w:r>
      <w:r w:rsidRPr="00D34C0E">
        <w:rPr>
          <w:rFonts w:ascii="Calibri" w:hAnsi="Calibri"/>
          <w:i/>
          <w:sz w:val="24"/>
        </w:rPr>
        <w:t>Materials Science and Engineering C 33</w:t>
      </w:r>
      <w:r>
        <w:rPr>
          <w:rFonts w:ascii="Calibri" w:hAnsi="Calibri"/>
          <w:sz w:val="24"/>
        </w:rPr>
        <w:t>, 1759–72.</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45. </w:t>
      </w:r>
      <w:r w:rsidRPr="005E0378">
        <w:rPr>
          <w:rFonts w:ascii="Calibri" w:hAnsi="Calibri"/>
          <w:sz w:val="24"/>
        </w:rPr>
        <w:tab/>
        <w:t>Chen Y, Zhou S, Li Q. 2011</w:t>
      </w:r>
      <w:r>
        <w:rPr>
          <w:rFonts w:ascii="Calibri" w:hAnsi="Calibri"/>
          <w:sz w:val="24"/>
        </w:rPr>
        <w:t xml:space="preserve"> </w:t>
      </w:r>
      <w:r w:rsidRPr="005E0378">
        <w:rPr>
          <w:rFonts w:ascii="Calibri" w:hAnsi="Calibri"/>
          <w:sz w:val="24"/>
        </w:rPr>
        <w:t xml:space="preserve">Microstructure design of biodegradable scaffold and its effect on tissue regeneration. </w:t>
      </w:r>
      <w:r w:rsidRPr="00183F3A">
        <w:rPr>
          <w:rFonts w:ascii="Calibri" w:hAnsi="Calibri"/>
          <w:i/>
          <w:sz w:val="24"/>
        </w:rPr>
        <w:t>Biomaterials 32</w:t>
      </w:r>
      <w:r>
        <w:rPr>
          <w:rFonts w:ascii="Calibri" w:hAnsi="Calibri"/>
          <w:sz w:val="24"/>
        </w:rPr>
        <w:t xml:space="preserve">, </w:t>
      </w:r>
      <w:r w:rsidRPr="005E0378">
        <w:rPr>
          <w:rFonts w:ascii="Calibri" w:hAnsi="Calibri"/>
          <w:sz w:val="24"/>
        </w:rPr>
        <w:t xml:space="preserve">5003–14. </w:t>
      </w:r>
    </w:p>
    <w:p w:rsidR="005D1052" w:rsidRPr="005E0378" w:rsidRDefault="005D1052" w:rsidP="005D1052">
      <w:pPr>
        <w:pStyle w:val="NormalWeb"/>
        <w:ind w:left="640" w:hanging="640"/>
        <w:rPr>
          <w:rFonts w:ascii="Calibri" w:hAnsi="Calibri"/>
          <w:sz w:val="24"/>
        </w:rPr>
      </w:pPr>
      <w:r>
        <w:rPr>
          <w:rFonts w:ascii="Calibri" w:hAnsi="Calibri"/>
          <w:sz w:val="24"/>
        </w:rPr>
        <w:t xml:space="preserve">46. </w:t>
      </w:r>
      <w:r>
        <w:rPr>
          <w:rFonts w:ascii="Calibri" w:hAnsi="Calibri"/>
          <w:sz w:val="24"/>
        </w:rPr>
        <w:tab/>
        <w:t>Saito E, Liao EE, Hu W</w:t>
      </w:r>
      <w:r w:rsidRPr="005E0378">
        <w:rPr>
          <w:rFonts w:ascii="Calibri" w:hAnsi="Calibri"/>
          <w:sz w:val="24"/>
        </w:rPr>
        <w:t xml:space="preserve">W, Krebsbach PH, Hollister SJ. </w:t>
      </w:r>
      <w:r>
        <w:rPr>
          <w:rFonts w:ascii="Calibri" w:hAnsi="Calibri"/>
          <w:sz w:val="24"/>
        </w:rPr>
        <w:t xml:space="preserve">2013 </w:t>
      </w:r>
      <w:r w:rsidRPr="005E0378">
        <w:rPr>
          <w:rFonts w:ascii="Calibri" w:hAnsi="Calibri"/>
          <w:sz w:val="24"/>
        </w:rPr>
        <w:t xml:space="preserve">Effects of designed PLLA and 50:50 PLGA scaffold architectures on bone formation in vivo. </w:t>
      </w:r>
      <w:r w:rsidRPr="00183F3A">
        <w:rPr>
          <w:rFonts w:ascii="Calibri" w:hAnsi="Calibri"/>
          <w:i/>
          <w:sz w:val="24"/>
        </w:rPr>
        <w:t>Journal of Tissue Engineering and Regenerative Medicin</w:t>
      </w:r>
      <w:r>
        <w:rPr>
          <w:rFonts w:ascii="Calibri" w:hAnsi="Calibri"/>
          <w:i/>
          <w:sz w:val="24"/>
        </w:rPr>
        <w:t xml:space="preserve">e </w:t>
      </w:r>
      <w:r w:rsidRPr="00183F3A">
        <w:rPr>
          <w:rFonts w:ascii="Calibri" w:hAnsi="Calibri"/>
          <w:i/>
          <w:sz w:val="24"/>
        </w:rPr>
        <w:t>7</w:t>
      </w:r>
      <w:r>
        <w:rPr>
          <w:rFonts w:ascii="Calibri" w:hAnsi="Calibri"/>
          <w:sz w:val="24"/>
        </w:rPr>
        <w:t xml:space="preserve">, </w:t>
      </w:r>
      <w:r w:rsidRPr="005E0378">
        <w:rPr>
          <w:rFonts w:ascii="Calibri" w:hAnsi="Calibri"/>
          <w:sz w:val="24"/>
        </w:rPr>
        <w:t xml:space="preserve">99–111. </w:t>
      </w:r>
    </w:p>
    <w:p w:rsidR="005D1052" w:rsidRPr="005E0378" w:rsidRDefault="005D1052" w:rsidP="005D1052">
      <w:pPr>
        <w:pStyle w:val="NormalWeb"/>
        <w:ind w:left="640" w:hanging="640"/>
        <w:rPr>
          <w:rFonts w:ascii="Calibri" w:hAnsi="Calibri"/>
          <w:sz w:val="24"/>
        </w:rPr>
      </w:pPr>
      <w:r w:rsidRPr="005E0378">
        <w:rPr>
          <w:rFonts w:ascii="Calibri" w:hAnsi="Calibri"/>
          <w:sz w:val="24"/>
        </w:rPr>
        <w:lastRenderedPageBreak/>
        <w:t xml:space="preserve">47. </w:t>
      </w:r>
      <w:r w:rsidRPr="005E0378">
        <w:rPr>
          <w:rFonts w:ascii="Calibri" w:hAnsi="Calibri"/>
          <w:sz w:val="24"/>
        </w:rPr>
        <w:tab/>
        <w:t xml:space="preserve">Dorozhkin SV. </w:t>
      </w:r>
      <w:r>
        <w:rPr>
          <w:rFonts w:ascii="Calibri" w:hAnsi="Calibri"/>
          <w:sz w:val="24"/>
        </w:rPr>
        <w:t xml:space="preserve">2010 </w:t>
      </w:r>
      <w:r w:rsidRPr="005E0378">
        <w:rPr>
          <w:rFonts w:ascii="Calibri" w:hAnsi="Calibri"/>
          <w:sz w:val="24"/>
        </w:rPr>
        <w:t>Bioceramics of calcium orthoph</w:t>
      </w:r>
      <w:r>
        <w:rPr>
          <w:rFonts w:ascii="Calibri" w:hAnsi="Calibri"/>
          <w:sz w:val="24"/>
        </w:rPr>
        <w:t xml:space="preserve">osphates. </w:t>
      </w:r>
      <w:r w:rsidRPr="00183F3A">
        <w:rPr>
          <w:rFonts w:ascii="Calibri" w:hAnsi="Calibri"/>
          <w:i/>
          <w:sz w:val="24"/>
        </w:rPr>
        <w:t>Biomaterials 31</w:t>
      </w:r>
      <w:r>
        <w:rPr>
          <w:rFonts w:ascii="Calibri" w:hAnsi="Calibri"/>
          <w:sz w:val="24"/>
        </w:rPr>
        <w:t xml:space="preserve">, </w:t>
      </w:r>
      <w:r w:rsidRPr="005E0378">
        <w:rPr>
          <w:rFonts w:ascii="Calibri" w:hAnsi="Calibri"/>
          <w:sz w:val="24"/>
        </w:rPr>
        <w:t xml:space="preserve">1465–85.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48. </w:t>
      </w:r>
      <w:r w:rsidRPr="005E0378">
        <w:rPr>
          <w:rFonts w:ascii="Calibri" w:hAnsi="Calibri"/>
          <w:sz w:val="24"/>
        </w:rPr>
        <w:tab/>
        <w:t xml:space="preserve">Puppi D, Chiellini F, Piras a. M, Chiellini E. </w:t>
      </w:r>
      <w:r>
        <w:rPr>
          <w:rFonts w:ascii="Calibri" w:hAnsi="Calibri"/>
          <w:sz w:val="24"/>
        </w:rPr>
        <w:t xml:space="preserve">2010 </w:t>
      </w:r>
      <w:r w:rsidRPr="005E0378">
        <w:rPr>
          <w:rFonts w:ascii="Calibri" w:hAnsi="Calibri"/>
          <w:sz w:val="24"/>
        </w:rPr>
        <w:t>Polymeric materials for bone and cartilage repair</w:t>
      </w:r>
      <w:r>
        <w:rPr>
          <w:rFonts w:ascii="Calibri" w:hAnsi="Calibri"/>
          <w:sz w:val="24"/>
        </w:rPr>
        <w:t xml:space="preserve">. </w:t>
      </w:r>
      <w:r w:rsidRPr="00183F3A">
        <w:rPr>
          <w:rFonts w:ascii="Calibri" w:hAnsi="Calibri"/>
          <w:i/>
          <w:sz w:val="24"/>
        </w:rPr>
        <w:t>Progress in Polymer Science 35</w:t>
      </w:r>
      <w:r>
        <w:rPr>
          <w:rFonts w:ascii="Calibri" w:hAnsi="Calibri"/>
          <w:sz w:val="24"/>
        </w:rPr>
        <w:t xml:space="preserve">, </w:t>
      </w:r>
      <w:r w:rsidRPr="005E0378">
        <w:rPr>
          <w:rFonts w:ascii="Calibri" w:hAnsi="Calibri"/>
          <w:sz w:val="24"/>
        </w:rPr>
        <w:t xml:space="preserve">403–40. </w:t>
      </w:r>
    </w:p>
    <w:p w:rsidR="005D1052" w:rsidRPr="005E0378" w:rsidRDefault="005D1052" w:rsidP="005D1052">
      <w:pPr>
        <w:pStyle w:val="NormalWeb"/>
        <w:ind w:left="640" w:hanging="640"/>
        <w:rPr>
          <w:rFonts w:ascii="Calibri" w:hAnsi="Calibri"/>
          <w:sz w:val="24"/>
        </w:rPr>
      </w:pPr>
      <w:r>
        <w:rPr>
          <w:rFonts w:ascii="Calibri" w:hAnsi="Calibri"/>
          <w:sz w:val="24"/>
        </w:rPr>
        <w:t xml:space="preserve">49. </w:t>
      </w:r>
      <w:r>
        <w:rPr>
          <w:rFonts w:ascii="Calibri" w:hAnsi="Calibri"/>
          <w:sz w:val="24"/>
        </w:rPr>
        <w:tab/>
        <w:t>Cheung HY, Lau KT, Lu T</w:t>
      </w:r>
      <w:r w:rsidRPr="005E0378">
        <w:rPr>
          <w:rFonts w:ascii="Calibri" w:hAnsi="Calibri"/>
          <w:sz w:val="24"/>
        </w:rPr>
        <w:t xml:space="preserve">P, Hui D. </w:t>
      </w:r>
      <w:r>
        <w:rPr>
          <w:rFonts w:ascii="Calibri" w:hAnsi="Calibri"/>
          <w:sz w:val="24"/>
        </w:rPr>
        <w:t xml:space="preserve">2007 </w:t>
      </w:r>
      <w:r w:rsidRPr="005E0378">
        <w:rPr>
          <w:rFonts w:ascii="Calibri" w:hAnsi="Calibri"/>
          <w:sz w:val="24"/>
        </w:rPr>
        <w:t xml:space="preserve">A critical review on polymer-based bio-engineered materials for scaffold development. </w:t>
      </w:r>
      <w:r w:rsidRPr="00183F3A">
        <w:rPr>
          <w:rFonts w:ascii="Calibri" w:hAnsi="Calibri"/>
          <w:i/>
          <w:sz w:val="24"/>
        </w:rPr>
        <w:t>Composites Part B: Engineering  38</w:t>
      </w:r>
      <w:r>
        <w:rPr>
          <w:rFonts w:ascii="Calibri" w:hAnsi="Calibri"/>
          <w:sz w:val="24"/>
        </w:rPr>
        <w:t xml:space="preserve">, </w:t>
      </w:r>
      <w:r w:rsidRPr="005E0378">
        <w:rPr>
          <w:rFonts w:ascii="Calibri" w:hAnsi="Calibri"/>
          <w:sz w:val="24"/>
        </w:rPr>
        <w:t xml:space="preserve">291–300.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50. </w:t>
      </w:r>
      <w:r w:rsidRPr="005E0378">
        <w:rPr>
          <w:rFonts w:ascii="Calibri" w:hAnsi="Calibri"/>
          <w:sz w:val="24"/>
        </w:rPr>
        <w:tab/>
        <w:t xml:space="preserve">Liu X, Holzwarth JM, Ma PX. </w:t>
      </w:r>
      <w:r>
        <w:rPr>
          <w:rFonts w:ascii="Calibri" w:hAnsi="Calibri"/>
          <w:sz w:val="24"/>
        </w:rPr>
        <w:t xml:space="preserve">2012 </w:t>
      </w:r>
      <w:r w:rsidRPr="005E0378">
        <w:rPr>
          <w:rFonts w:ascii="Calibri" w:hAnsi="Calibri"/>
          <w:sz w:val="24"/>
        </w:rPr>
        <w:t xml:space="preserve">Functionalized Synthetic Biodegradable Polymer Scaffolds for Tissue Engineering. </w:t>
      </w:r>
      <w:r w:rsidRPr="003602DD">
        <w:rPr>
          <w:rFonts w:ascii="Calibri" w:hAnsi="Calibri"/>
          <w:i/>
          <w:sz w:val="24"/>
        </w:rPr>
        <w:t>Macromolecular Bioscience 12</w:t>
      </w:r>
      <w:r>
        <w:rPr>
          <w:rFonts w:ascii="Calibri" w:hAnsi="Calibri"/>
          <w:sz w:val="24"/>
        </w:rPr>
        <w:t xml:space="preserve">, </w:t>
      </w:r>
      <w:r w:rsidRPr="005E0378">
        <w:rPr>
          <w:rFonts w:ascii="Calibri" w:hAnsi="Calibri"/>
          <w:sz w:val="24"/>
        </w:rPr>
        <w:t xml:space="preserve">911–9.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51. </w:t>
      </w:r>
      <w:r w:rsidRPr="005E0378">
        <w:rPr>
          <w:rFonts w:ascii="Calibri" w:hAnsi="Calibri"/>
          <w:sz w:val="24"/>
        </w:rPr>
        <w:tab/>
      </w:r>
      <w:r w:rsidRPr="003602DD">
        <w:rPr>
          <w:rFonts w:ascii="Calibri" w:hAnsi="Calibri"/>
          <w:sz w:val="24"/>
        </w:rPr>
        <w:t>Chatzinikolaidou M, Rekstyte S, Danilevicius P, Pontikoglou C, Pap</w:t>
      </w:r>
      <w:r>
        <w:rPr>
          <w:rFonts w:ascii="Calibri" w:hAnsi="Calibri"/>
          <w:sz w:val="24"/>
        </w:rPr>
        <w:t>adaki H, Farsari M, Vamvakaki M</w:t>
      </w:r>
      <w:r w:rsidRPr="005E0378">
        <w:rPr>
          <w:rFonts w:ascii="Calibri" w:hAnsi="Calibri"/>
          <w:sz w:val="24"/>
        </w:rPr>
        <w:t xml:space="preserve">. </w:t>
      </w:r>
      <w:r>
        <w:rPr>
          <w:rFonts w:ascii="Calibri" w:hAnsi="Calibri"/>
          <w:sz w:val="24"/>
        </w:rPr>
        <w:t xml:space="preserve">2015 </w:t>
      </w:r>
      <w:r w:rsidRPr="005E0378">
        <w:rPr>
          <w:rFonts w:ascii="Calibri" w:hAnsi="Calibri"/>
          <w:sz w:val="24"/>
        </w:rPr>
        <w:t xml:space="preserve">Adhesion and growth of human bone marrow mesenchymal stem cells on precise-geometry 3D organic–inorganic composite scaffolds for bone repair. </w:t>
      </w:r>
      <w:r w:rsidRPr="003602DD">
        <w:rPr>
          <w:rFonts w:ascii="Calibri" w:hAnsi="Calibri"/>
          <w:i/>
          <w:sz w:val="24"/>
        </w:rPr>
        <w:t>Materi</w:t>
      </w:r>
      <w:r>
        <w:rPr>
          <w:rFonts w:ascii="Calibri" w:hAnsi="Calibri"/>
          <w:i/>
          <w:sz w:val="24"/>
        </w:rPr>
        <w:t xml:space="preserve">als Science and Engineering: C </w:t>
      </w:r>
      <w:r w:rsidRPr="003602DD">
        <w:rPr>
          <w:rFonts w:ascii="Calibri" w:hAnsi="Calibri"/>
          <w:i/>
          <w:sz w:val="24"/>
        </w:rPr>
        <w:t>48</w:t>
      </w:r>
      <w:r>
        <w:rPr>
          <w:rFonts w:ascii="Calibri" w:hAnsi="Calibri"/>
          <w:sz w:val="24"/>
        </w:rPr>
        <w:t xml:space="preserve">, </w:t>
      </w:r>
      <w:r w:rsidRPr="005E0378">
        <w:rPr>
          <w:rFonts w:ascii="Calibri" w:hAnsi="Calibri"/>
          <w:sz w:val="24"/>
        </w:rPr>
        <w:t xml:space="preserve">301–9. </w:t>
      </w:r>
    </w:p>
    <w:p w:rsidR="005D1052" w:rsidRPr="005E0378" w:rsidRDefault="005D1052" w:rsidP="005D1052">
      <w:pPr>
        <w:pStyle w:val="NormalWeb"/>
        <w:ind w:left="640" w:hanging="640"/>
        <w:rPr>
          <w:rFonts w:ascii="Calibri" w:hAnsi="Calibri"/>
          <w:sz w:val="24"/>
        </w:rPr>
      </w:pPr>
      <w:r w:rsidRPr="003602DD">
        <w:rPr>
          <w:rFonts w:ascii="Calibri" w:hAnsi="Calibri"/>
          <w:sz w:val="24"/>
        </w:rPr>
        <w:t xml:space="preserve">52. </w:t>
      </w:r>
      <w:r w:rsidRPr="003602DD">
        <w:rPr>
          <w:rFonts w:ascii="Calibri" w:hAnsi="Calibri"/>
          <w:sz w:val="24"/>
        </w:rPr>
        <w:tab/>
        <w:t xml:space="preserve">Poologasundarampillai G, Yu B, Tsigkou O, Valliant E, Yue S, Lee PD, Hamilton RW, Stevens MM, Kasuga T, Jones JR. 2012 </w:t>
      </w:r>
      <w:r w:rsidRPr="005E0378">
        <w:rPr>
          <w:rFonts w:ascii="Calibri" w:hAnsi="Calibri"/>
          <w:sz w:val="24"/>
        </w:rPr>
        <w:t>Bioactive silica-poly(gamma-glutamic acid) hybrids for bone regeneration: effect of covalent coupling on dissolution and mechanical properties and fabrication of porous scaffolds.</w:t>
      </w:r>
      <w:r>
        <w:rPr>
          <w:rFonts w:ascii="Calibri" w:hAnsi="Calibri"/>
          <w:sz w:val="24"/>
        </w:rPr>
        <w:t xml:space="preserve"> </w:t>
      </w:r>
      <w:r w:rsidRPr="003602DD">
        <w:rPr>
          <w:rFonts w:ascii="Calibri" w:hAnsi="Calibri"/>
          <w:i/>
          <w:sz w:val="24"/>
        </w:rPr>
        <w:t>Soft Matter 8</w:t>
      </w:r>
      <w:r>
        <w:rPr>
          <w:rFonts w:ascii="Calibri" w:hAnsi="Calibri"/>
          <w:sz w:val="24"/>
        </w:rPr>
        <w:t xml:space="preserve">, </w:t>
      </w:r>
      <w:r w:rsidRPr="005E0378">
        <w:rPr>
          <w:rFonts w:ascii="Calibri" w:hAnsi="Calibri"/>
          <w:sz w:val="24"/>
        </w:rPr>
        <w:t xml:space="preserve">4822–32.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53. </w:t>
      </w:r>
      <w:r w:rsidRPr="005E0378">
        <w:rPr>
          <w:rFonts w:ascii="Calibri" w:hAnsi="Calibri"/>
          <w:sz w:val="24"/>
        </w:rPr>
        <w:tab/>
        <w:t xml:space="preserve">Ahn S, Kim Y, Lee H, Kim G. </w:t>
      </w:r>
      <w:r>
        <w:rPr>
          <w:rFonts w:ascii="Calibri" w:hAnsi="Calibri"/>
          <w:sz w:val="24"/>
        </w:rPr>
        <w:t xml:space="preserve">2012 </w:t>
      </w:r>
      <w:r w:rsidRPr="005E0378">
        <w:rPr>
          <w:rFonts w:ascii="Calibri" w:hAnsi="Calibri"/>
          <w:sz w:val="24"/>
        </w:rPr>
        <w:t xml:space="preserve">A new hybrid scaffold constructed of solid freeform-fabricated PCL struts and collagen struts for bone tissue regeneration: fabrication, mechanical properties, and cellular activity. </w:t>
      </w:r>
      <w:r w:rsidRPr="003602DD">
        <w:rPr>
          <w:rFonts w:ascii="Calibri" w:hAnsi="Calibri"/>
          <w:i/>
          <w:sz w:val="24"/>
        </w:rPr>
        <w:t>Journal of Materials Chemistry 22</w:t>
      </w:r>
      <w:r>
        <w:rPr>
          <w:rFonts w:ascii="Calibri" w:hAnsi="Calibri"/>
          <w:sz w:val="24"/>
        </w:rPr>
        <w:t xml:space="preserve">, </w:t>
      </w:r>
      <w:r w:rsidRPr="005E0378">
        <w:rPr>
          <w:rFonts w:ascii="Calibri" w:hAnsi="Calibri"/>
          <w:sz w:val="24"/>
        </w:rPr>
        <w:t>15901</w:t>
      </w:r>
      <w:r>
        <w:rPr>
          <w:rFonts w:ascii="Calibri" w:hAnsi="Calibri"/>
          <w:sz w:val="24"/>
        </w:rPr>
        <w:t>-9</w:t>
      </w:r>
      <w:r w:rsidRPr="005E0378">
        <w:rPr>
          <w:rFonts w:ascii="Calibri" w:hAnsi="Calibri"/>
          <w:sz w:val="24"/>
        </w:rPr>
        <w:t xml:space="preserve">.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54. </w:t>
      </w:r>
      <w:r w:rsidRPr="005E0378">
        <w:rPr>
          <w:rFonts w:ascii="Calibri" w:hAnsi="Calibri"/>
          <w:sz w:val="24"/>
        </w:rPr>
        <w:tab/>
      </w:r>
      <w:r w:rsidRPr="003602DD">
        <w:rPr>
          <w:rFonts w:ascii="Calibri" w:hAnsi="Calibri"/>
          <w:sz w:val="24"/>
        </w:rPr>
        <w:t xml:space="preserve">Lee H, Yeo M, Ahn S, Kang DO, </w:t>
      </w:r>
      <w:r>
        <w:rPr>
          <w:rFonts w:ascii="Calibri" w:hAnsi="Calibri"/>
          <w:sz w:val="24"/>
        </w:rPr>
        <w:t>Jang CH, Lee H, Park GM, Kim GH</w:t>
      </w:r>
      <w:r w:rsidRPr="005E0378">
        <w:rPr>
          <w:rFonts w:ascii="Calibri" w:hAnsi="Calibri"/>
          <w:sz w:val="24"/>
        </w:rPr>
        <w:t xml:space="preserve">. </w:t>
      </w:r>
      <w:r>
        <w:rPr>
          <w:rFonts w:ascii="Calibri" w:hAnsi="Calibri"/>
          <w:sz w:val="24"/>
        </w:rPr>
        <w:t xml:space="preserve">2011 </w:t>
      </w:r>
      <w:r w:rsidRPr="005E0378">
        <w:rPr>
          <w:rFonts w:ascii="Calibri" w:hAnsi="Calibri"/>
          <w:sz w:val="24"/>
        </w:rPr>
        <w:t xml:space="preserve">Designed hybrid scaffolds consisting of polycaprolactone microstrands and electrospun collagen-nanofibers for bone tissue regeneration. </w:t>
      </w:r>
      <w:r w:rsidRPr="003602DD">
        <w:rPr>
          <w:rFonts w:ascii="Calibri" w:hAnsi="Calibri"/>
          <w:i/>
          <w:sz w:val="24"/>
        </w:rPr>
        <w:t>Journal of biomedical materials research Part B: Applied biomaterials 97</w:t>
      </w:r>
      <w:r>
        <w:rPr>
          <w:rFonts w:ascii="Calibri" w:hAnsi="Calibri"/>
          <w:sz w:val="24"/>
        </w:rPr>
        <w:t xml:space="preserve">, </w:t>
      </w:r>
      <w:r w:rsidRPr="005E0378">
        <w:rPr>
          <w:rFonts w:ascii="Calibri" w:hAnsi="Calibri"/>
          <w:sz w:val="24"/>
        </w:rPr>
        <w:t xml:space="preserve">263–70. </w:t>
      </w:r>
    </w:p>
    <w:p w:rsidR="005D1052" w:rsidRPr="005E0378" w:rsidRDefault="005D1052" w:rsidP="005D1052">
      <w:pPr>
        <w:pStyle w:val="NormalWeb"/>
        <w:ind w:left="640" w:hanging="640"/>
        <w:rPr>
          <w:rFonts w:ascii="Calibri" w:hAnsi="Calibri"/>
          <w:sz w:val="24"/>
        </w:rPr>
      </w:pPr>
      <w:r>
        <w:rPr>
          <w:rFonts w:ascii="Calibri" w:hAnsi="Calibri"/>
          <w:sz w:val="24"/>
        </w:rPr>
        <w:t xml:space="preserve">55. </w:t>
      </w:r>
      <w:r>
        <w:rPr>
          <w:rFonts w:ascii="Calibri" w:hAnsi="Calibri"/>
          <w:sz w:val="24"/>
        </w:rPr>
        <w:tab/>
        <w:t>Yu LY</w:t>
      </w:r>
      <w:r w:rsidRPr="005E0378">
        <w:rPr>
          <w:rFonts w:ascii="Calibri" w:hAnsi="Calibri"/>
          <w:sz w:val="24"/>
        </w:rPr>
        <w:t xml:space="preserve">, Shen HM, Xu ZL. </w:t>
      </w:r>
      <w:r>
        <w:rPr>
          <w:rFonts w:ascii="Calibri" w:hAnsi="Calibri"/>
          <w:sz w:val="24"/>
        </w:rPr>
        <w:t xml:space="preserve">2009 </w:t>
      </w:r>
      <w:r w:rsidRPr="005E0378">
        <w:rPr>
          <w:rFonts w:ascii="Calibri" w:hAnsi="Calibri"/>
          <w:sz w:val="24"/>
        </w:rPr>
        <w:t xml:space="preserve">PVDF–TiO2 Composite Hollow Fiber Ultrafiltration Membranes Prepared by TiO2 Sol–Gel Method and Blending Method. </w:t>
      </w:r>
      <w:r w:rsidRPr="003602DD">
        <w:rPr>
          <w:rFonts w:ascii="Calibri" w:hAnsi="Calibri"/>
          <w:i/>
          <w:sz w:val="24"/>
        </w:rPr>
        <w:t>Journal of Applied Physics</w:t>
      </w:r>
      <w:r>
        <w:rPr>
          <w:rFonts w:ascii="Calibri" w:hAnsi="Calibri"/>
          <w:sz w:val="24"/>
        </w:rPr>
        <w:t xml:space="preserve"> </w:t>
      </w:r>
      <w:r w:rsidRPr="003602DD">
        <w:rPr>
          <w:rFonts w:ascii="Calibri" w:hAnsi="Calibri"/>
          <w:i/>
          <w:sz w:val="24"/>
        </w:rPr>
        <w:t>113</w:t>
      </w:r>
      <w:r>
        <w:rPr>
          <w:rFonts w:ascii="Calibri" w:hAnsi="Calibri"/>
          <w:sz w:val="24"/>
        </w:rPr>
        <w:t xml:space="preserve">, </w:t>
      </w:r>
      <w:r w:rsidRPr="005E0378">
        <w:rPr>
          <w:rFonts w:ascii="Calibri" w:hAnsi="Calibri"/>
          <w:sz w:val="24"/>
        </w:rPr>
        <w:t xml:space="preserve">1763–72.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56. </w:t>
      </w:r>
      <w:r w:rsidRPr="005E0378">
        <w:rPr>
          <w:rFonts w:ascii="Calibri" w:hAnsi="Calibri"/>
          <w:sz w:val="24"/>
        </w:rPr>
        <w:tab/>
        <w:t xml:space="preserve">Igwe JC, Mikael PE, Nukavarapu SP. </w:t>
      </w:r>
      <w:r>
        <w:rPr>
          <w:rFonts w:ascii="Calibri" w:hAnsi="Calibri"/>
          <w:sz w:val="24"/>
        </w:rPr>
        <w:t xml:space="preserve">2014 </w:t>
      </w:r>
      <w:r w:rsidRPr="005E0378">
        <w:rPr>
          <w:rFonts w:ascii="Calibri" w:hAnsi="Calibri"/>
          <w:sz w:val="24"/>
        </w:rPr>
        <w:t xml:space="preserve">Design, fabrication and in vitro evaluation of a novel polymer-hydrogel hybrid scaffold for bone tissue engineering. </w:t>
      </w:r>
      <w:r w:rsidRPr="003602DD">
        <w:rPr>
          <w:rFonts w:ascii="Calibri" w:hAnsi="Calibri"/>
          <w:i/>
          <w:sz w:val="24"/>
        </w:rPr>
        <w:t>Journal of Tissue Engineering and Regenerative Medicine 8</w:t>
      </w:r>
      <w:r>
        <w:rPr>
          <w:rFonts w:ascii="Calibri" w:hAnsi="Calibri"/>
          <w:sz w:val="24"/>
        </w:rPr>
        <w:t xml:space="preserve">, </w:t>
      </w:r>
      <w:r w:rsidRPr="005E0378">
        <w:rPr>
          <w:rFonts w:ascii="Calibri" w:hAnsi="Calibri"/>
          <w:sz w:val="24"/>
        </w:rPr>
        <w:t xml:space="preserve">131–42. </w:t>
      </w:r>
    </w:p>
    <w:p w:rsidR="005D1052" w:rsidRPr="005E0378" w:rsidRDefault="005D1052" w:rsidP="005D1052">
      <w:pPr>
        <w:pStyle w:val="NormalWeb"/>
        <w:ind w:left="640" w:hanging="640"/>
        <w:rPr>
          <w:rFonts w:ascii="Calibri" w:hAnsi="Calibri"/>
          <w:sz w:val="24"/>
        </w:rPr>
      </w:pPr>
      <w:r w:rsidRPr="003602DD">
        <w:rPr>
          <w:rFonts w:ascii="Calibri" w:hAnsi="Calibri"/>
          <w:sz w:val="24"/>
        </w:rPr>
        <w:t xml:space="preserve">57. </w:t>
      </w:r>
      <w:r w:rsidRPr="003602DD">
        <w:rPr>
          <w:rFonts w:ascii="Calibri" w:hAnsi="Calibri"/>
          <w:sz w:val="24"/>
        </w:rPr>
        <w:tab/>
        <w:t xml:space="preserve">Mikael PE, Amini AR, Basu J, Arellano-Jimenez MJ, Laurencin CT, Sanders MM, Carter CB, Nukavarapu SP. 2014 </w:t>
      </w:r>
      <w:r w:rsidRPr="005E0378">
        <w:rPr>
          <w:rFonts w:ascii="Calibri" w:hAnsi="Calibri"/>
          <w:sz w:val="24"/>
        </w:rPr>
        <w:t xml:space="preserve">Functionalized carbon nanotube reinforced </w:t>
      </w:r>
      <w:r w:rsidRPr="005E0378">
        <w:rPr>
          <w:rFonts w:ascii="Calibri" w:hAnsi="Calibri"/>
          <w:sz w:val="24"/>
        </w:rPr>
        <w:lastRenderedPageBreak/>
        <w:t xml:space="preserve">scaffolds for bone regenerative engineering: fabrication, </w:t>
      </w:r>
      <w:r w:rsidRPr="005E0378">
        <w:rPr>
          <w:rFonts w:ascii="Calibri" w:hAnsi="Calibri"/>
          <w:i/>
          <w:iCs/>
          <w:sz w:val="24"/>
        </w:rPr>
        <w:t>in vitro</w:t>
      </w:r>
      <w:r w:rsidRPr="005E0378">
        <w:rPr>
          <w:rFonts w:ascii="Calibri" w:hAnsi="Calibri"/>
          <w:sz w:val="24"/>
        </w:rPr>
        <w:t xml:space="preserve"> and </w:t>
      </w:r>
      <w:r w:rsidRPr="005E0378">
        <w:rPr>
          <w:rFonts w:ascii="Calibri" w:hAnsi="Calibri"/>
          <w:i/>
          <w:iCs/>
          <w:sz w:val="24"/>
        </w:rPr>
        <w:t>in vivo</w:t>
      </w:r>
      <w:r w:rsidRPr="005E0378">
        <w:rPr>
          <w:rFonts w:ascii="Calibri" w:hAnsi="Calibri"/>
          <w:sz w:val="24"/>
        </w:rPr>
        <w:t xml:space="preserve"> evaluation. </w:t>
      </w:r>
      <w:r w:rsidRPr="003602DD">
        <w:rPr>
          <w:rFonts w:ascii="Calibri" w:hAnsi="Calibri"/>
          <w:i/>
          <w:sz w:val="24"/>
        </w:rPr>
        <w:t>Biomedical Materials 9</w:t>
      </w:r>
      <w:r>
        <w:rPr>
          <w:rFonts w:ascii="Calibri" w:hAnsi="Calibri"/>
          <w:sz w:val="24"/>
        </w:rPr>
        <w:t xml:space="preserve">, </w:t>
      </w:r>
      <w:r w:rsidRPr="005E0378">
        <w:rPr>
          <w:rFonts w:ascii="Calibri" w:hAnsi="Calibri"/>
          <w:sz w:val="24"/>
        </w:rPr>
        <w:t xml:space="preserve">035001. </w:t>
      </w:r>
    </w:p>
    <w:p w:rsidR="005D1052" w:rsidRPr="005E0378" w:rsidRDefault="005D1052" w:rsidP="005D1052">
      <w:pPr>
        <w:pStyle w:val="NormalWeb"/>
        <w:ind w:left="640" w:hanging="640"/>
        <w:rPr>
          <w:rFonts w:ascii="Calibri" w:hAnsi="Calibri"/>
          <w:sz w:val="24"/>
        </w:rPr>
      </w:pPr>
      <w:r w:rsidRPr="003602DD">
        <w:rPr>
          <w:rFonts w:ascii="Calibri" w:hAnsi="Calibri"/>
          <w:sz w:val="24"/>
        </w:rPr>
        <w:t xml:space="preserve">58. </w:t>
      </w:r>
      <w:r w:rsidRPr="003602DD">
        <w:rPr>
          <w:rFonts w:ascii="Calibri" w:hAnsi="Calibri"/>
          <w:sz w:val="24"/>
        </w:rPr>
        <w:tab/>
        <w:t>Torres AL, Gaspar VM, Serra IR, Diogo GS, Fradique R, Silva AP, Correia IJ. 2</w:t>
      </w:r>
      <w:r>
        <w:rPr>
          <w:rFonts w:ascii="Calibri" w:hAnsi="Calibri"/>
          <w:sz w:val="24"/>
        </w:rPr>
        <w:t>013</w:t>
      </w:r>
      <w:r w:rsidRPr="003602DD">
        <w:rPr>
          <w:rFonts w:ascii="Calibri" w:hAnsi="Calibri"/>
          <w:sz w:val="24"/>
        </w:rPr>
        <w:t xml:space="preserve"> </w:t>
      </w:r>
      <w:r w:rsidRPr="005E0378">
        <w:rPr>
          <w:rFonts w:ascii="Calibri" w:hAnsi="Calibri"/>
          <w:sz w:val="24"/>
        </w:rPr>
        <w:t xml:space="preserve">Bioactive polymeric-ceramic hybrid 3D scaffold for application in bone tissue regeneration. </w:t>
      </w:r>
      <w:r w:rsidRPr="003602DD">
        <w:rPr>
          <w:rFonts w:ascii="Calibri" w:hAnsi="Calibri"/>
          <w:i/>
          <w:sz w:val="24"/>
        </w:rPr>
        <w:t>Materials science &amp; engineering C, Materials for biological applications</w:t>
      </w:r>
      <w:r>
        <w:rPr>
          <w:rFonts w:ascii="Calibri" w:hAnsi="Calibri"/>
          <w:sz w:val="24"/>
        </w:rPr>
        <w:t xml:space="preserve"> </w:t>
      </w:r>
      <w:r w:rsidRPr="003602DD">
        <w:rPr>
          <w:rFonts w:ascii="Calibri" w:hAnsi="Calibri"/>
          <w:i/>
          <w:sz w:val="24"/>
        </w:rPr>
        <w:t>33</w:t>
      </w:r>
      <w:r>
        <w:rPr>
          <w:rFonts w:ascii="Calibri" w:hAnsi="Calibri"/>
          <w:sz w:val="24"/>
        </w:rPr>
        <w:t xml:space="preserve">, </w:t>
      </w:r>
      <w:r w:rsidRPr="005E0378">
        <w:rPr>
          <w:rFonts w:ascii="Calibri" w:hAnsi="Calibri"/>
          <w:sz w:val="24"/>
        </w:rPr>
        <w:t xml:space="preserve">4460–9.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59. </w:t>
      </w:r>
      <w:r w:rsidRPr="005E0378">
        <w:rPr>
          <w:rFonts w:ascii="Calibri" w:hAnsi="Calibri"/>
          <w:sz w:val="24"/>
        </w:rPr>
        <w:tab/>
        <w:t xml:space="preserve">Li X, Wang L, Fan Y, Feng Q, Cui F-Z, Watari F. </w:t>
      </w:r>
      <w:r>
        <w:rPr>
          <w:rFonts w:ascii="Calibri" w:hAnsi="Calibri"/>
          <w:sz w:val="24"/>
        </w:rPr>
        <w:t xml:space="preserve">2013 </w:t>
      </w:r>
      <w:r w:rsidRPr="005E0378">
        <w:rPr>
          <w:rFonts w:ascii="Calibri" w:hAnsi="Calibri"/>
          <w:sz w:val="24"/>
        </w:rPr>
        <w:t xml:space="preserve">Nanostructured scaffolds for bone tissue engineering. </w:t>
      </w:r>
      <w:r w:rsidRPr="0094143B">
        <w:rPr>
          <w:rFonts w:ascii="Calibri" w:hAnsi="Calibri"/>
          <w:i/>
          <w:sz w:val="24"/>
        </w:rPr>
        <w:t>Journal of biomedical materials research Part A 101</w:t>
      </w:r>
      <w:r>
        <w:rPr>
          <w:rFonts w:ascii="Calibri" w:hAnsi="Calibri"/>
          <w:sz w:val="24"/>
        </w:rPr>
        <w:t xml:space="preserve">, </w:t>
      </w:r>
      <w:r w:rsidRPr="005E0378">
        <w:rPr>
          <w:rFonts w:ascii="Calibri" w:hAnsi="Calibri"/>
          <w:sz w:val="24"/>
        </w:rPr>
        <w:t xml:space="preserve">2424–35.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60. </w:t>
      </w:r>
      <w:r w:rsidRPr="005E0378">
        <w:rPr>
          <w:rFonts w:ascii="Calibri" w:hAnsi="Calibri"/>
          <w:sz w:val="24"/>
        </w:rPr>
        <w:tab/>
      </w:r>
      <w:r w:rsidRPr="0094143B">
        <w:rPr>
          <w:rFonts w:ascii="Calibri" w:hAnsi="Calibri"/>
          <w:sz w:val="24"/>
        </w:rPr>
        <w:t>D'angelo F, Armentano I, Mattioli S, Crispoltoni L, Tiribuzi R, Cerulli GG, Palmerini CA, Kenny JM, Martino S, Orlacchio A.</w:t>
      </w:r>
      <w:r w:rsidRPr="005E0378">
        <w:rPr>
          <w:rFonts w:ascii="Calibri" w:hAnsi="Calibri"/>
          <w:sz w:val="24"/>
        </w:rPr>
        <w:t xml:space="preserve"> </w:t>
      </w:r>
      <w:r>
        <w:rPr>
          <w:rFonts w:ascii="Calibri" w:hAnsi="Calibri"/>
          <w:sz w:val="24"/>
        </w:rPr>
        <w:t xml:space="preserve">2010 </w:t>
      </w:r>
      <w:r w:rsidRPr="005E0378">
        <w:rPr>
          <w:rFonts w:ascii="Calibri" w:hAnsi="Calibri"/>
          <w:sz w:val="24"/>
        </w:rPr>
        <w:t xml:space="preserve">Micropatterned hydrogenated amorphous carbon guides mesenchymal stem cells towards neuronal differentiation. </w:t>
      </w:r>
      <w:r w:rsidRPr="0094143B">
        <w:rPr>
          <w:rFonts w:ascii="Calibri" w:hAnsi="Calibri"/>
          <w:i/>
          <w:sz w:val="24"/>
        </w:rPr>
        <w:t>European cells &amp; materials 20</w:t>
      </w:r>
      <w:r>
        <w:rPr>
          <w:rFonts w:ascii="Calibri" w:hAnsi="Calibri"/>
          <w:sz w:val="24"/>
        </w:rPr>
        <w:t xml:space="preserve">, </w:t>
      </w:r>
      <w:r w:rsidRPr="005E0378">
        <w:rPr>
          <w:rFonts w:ascii="Calibri" w:hAnsi="Calibri"/>
          <w:sz w:val="24"/>
        </w:rPr>
        <w:t xml:space="preserve">231–44.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61. </w:t>
      </w:r>
      <w:r w:rsidRPr="005E0378">
        <w:rPr>
          <w:rFonts w:ascii="Calibri" w:hAnsi="Calibri"/>
          <w:sz w:val="24"/>
        </w:rPr>
        <w:tab/>
        <w:t xml:space="preserve">McPhee G, Dalby MJ, Riehle M, Yin H. </w:t>
      </w:r>
      <w:r>
        <w:rPr>
          <w:rFonts w:ascii="Calibri" w:hAnsi="Calibri"/>
          <w:sz w:val="24"/>
        </w:rPr>
        <w:t xml:space="preserve">2010 </w:t>
      </w:r>
      <w:r w:rsidRPr="005E0378">
        <w:rPr>
          <w:rFonts w:ascii="Calibri" w:hAnsi="Calibri"/>
          <w:sz w:val="24"/>
        </w:rPr>
        <w:t xml:space="preserve">Can common adhesion molecules and microtopography affect cellular elasticity? A combined atomic force microscopy and optical study. </w:t>
      </w:r>
      <w:r w:rsidRPr="0094143B">
        <w:rPr>
          <w:rFonts w:ascii="Calibri" w:hAnsi="Calibri"/>
          <w:i/>
          <w:sz w:val="24"/>
        </w:rPr>
        <w:t>Medical and Biological Engineering and Computing 48</w:t>
      </w:r>
      <w:r>
        <w:rPr>
          <w:rFonts w:ascii="Calibri" w:hAnsi="Calibri"/>
          <w:sz w:val="24"/>
        </w:rPr>
        <w:t xml:space="preserve">, </w:t>
      </w:r>
      <w:r w:rsidRPr="005E0378">
        <w:rPr>
          <w:rFonts w:ascii="Calibri" w:hAnsi="Calibri"/>
          <w:sz w:val="24"/>
        </w:rPr>
        <w:t xml:space="preserve">1043–53. </w:t>
      </w:r>
    </w:p>
    <w:p w:rsidR="005D1052" w:rsidRPr="00755B6D" w:rsidRDefault="005D1052" w:rsidP="005D1052">
      <w:pPr>
        <w:pStyle w:val="NormalWeb"/>
        <w:ind w:left="640" w:hanging="640"/>
        <w:rPr>
          <w:rFonts w:ascii="Calibri" w:hAnsi="Calibri"/>
          <w:sz w:val="24"/>
        </w:rPr>
      </w:pPr>
      <w:r w:rsidRPr="005E0378">
        <w:rPr>
          <w:rFonts w:ascii="Calibri" w:hAnsi="Calibri"/>
          <w:sz w:val="24"/>
        </w:rPr>
        <w:t xml:space="preserve">62. </w:t>
      </w:r>
      <w:r w:rsidRPr="005E0378">
        <w:rPr>
          <w:rFonts w:ascii="Calibri" w:hAnsi="Calibri"/>
          <w:sz w:val="24"/>
        </w:rPr>
        <w:tab/>
        <w:t xml:space="preserve">Roohani-Esfahani SI, Lu ZF, Li JJ, Ellis-Behnke R, Kaplan DL, Zreiqat H. </w:t>
      </w:r>
      <w:r>
        <w:rPr>
          <w:rFonts w:ascii="Calibri" w:hAnsi="Calibri"/>
          <w:sz w:val="24"/>
        </w:rPr>
        <w:t xml:space="preserve">2012 </w:t>
      </w:r>
      <w:r w:rsidRPr="005E0378">
        <w:rPr>
          <w:rFonts w:ascii="Calibri" w:hAnsi="Calibri"/>
          <w:sz w:val="24"/>
        </w:rPr>
        <w:t xml:space="preserve">Effect of self-assembled nanofibrous silk/polycaprolactone layer on the osteoconductivity and mechanical properties of biphasic calcium phosphate scaffolds. </w:t>
      </w:r>
      <w:r w:rsidRPr="00755B6D">
        <w:rPr>
          <w:rFonts w:ascii="Calibri" w:hAnsi="Calibri"/>
          <w:i/>
          <w:sz w:val="24"/>
        </w:rPr>
        <w:t>Acta Biomaterialia 8</w:t>
      </w:r>
      <w:r w:rsidRPr="00755B6D">
        <w:rPr>
          <w:rFonts w:ascii="Calibri" w:hAnsi="Calibri"/>
          <w:sz w:val="24"/>
        </w:rPr>
        <w:t xml:space="preserve">, 302–12. </w:t>
      </w:r>
    </w:p>
    <w:p w:rsidR="005D1052" w:rsidRPr="005E0378" w:rsidRDefault="005D1052" w:rsidP="005D1052">
      <w:pPr>
        <w:pStyle w:val="NormalWeb"/>
        <w:ind w:left="640" w:hanging="640"/>
        <w:rPr>
          <w:rFonts w:ascii="Calibri" w:hAnsi="Calibri"/>
          <w:sz w:val="24"/>
        </w:rPr>
      </w:pPr>
      <w:r w:rsidRPr="00755B6D">
        <w:rPr>
          <w:rFonts w:ascii="Calibri" w:hAnsi="Calibri"/>
          <w:sz w:val="24"/>
        </w:rPr>
        <w:t xml:space="preserve">63. </w:t>
      </w:r>
      <w:r w:rsidRPr="00755B6D">
        <w:rPr>
          <w:rFonts w:ascii="Calibri" w:hAnsi="Calibri"/>
          <w:sz w:val="24"/>
        </w:rPr>
        <w:tab/>
      </w:r>
      <w:r>
        <w:rPr>
          <w:rFonts w:ascii="Calibri" w:hAnsi="Calibri"/>
          <w:sz w:val="24"/>
        </w:rPr>
        <w:t>Guo YP, Guan JJ, Yang J, Wang Y, Zhang CQ, Ke Q</w:t>
      </w:r>
      <w:r w:rsidRPr="0094143B">
        <w:rPr>
          <w:rFonts w:ascii="Calibri" w:hAnsi="Calibri"/>
          <w:sz w:val="24"/>
        </w:rPr>
        <w:t>F. 2</w:t>
      </w:r>
      <w:r>
        <w:rPr>
          <w:rFonts w:ascii="Calibri" w:hAnsi="Calibri"/>
          <w:sz w:val="24"/>
        </w:rPr>
        <w:t>015</w:t>
      </w:r>
      <w:r w:rsidRPr="0094143B">
        <w:rPr>
          <w:rFonts w:ascii="Calibri" w:hAnsi="Calibri"/>
          <w:sz w:val="24"/>
        </w:rPr>
        <w:t xml:space="preserve"> </w:t>
      </w:r>
      <w:r w:rsidRPr="005E0378">
        <w:rPr>
          <w:rFonts w:ascii="Calibri" w:hAnsi="Calibri"/>
          <w:sz w:val="24"/>
        </w:rPr>
        <w:t xml:space="preserve">Hybrid nanostructured hydroxyapatite–chitosan composite scaffold: bioinspired fabrication, mechanical properties and biological properties. </w:t>
      </w:r>
      <w:r w:rsidRPr="0094143B">
        <w:rPr>
          <w:rFonts w:ascii="Calibri" w:hAnsi="Calibri"/>
          <w:i/>
          <w:sz w:val="24"/>
        </w:rPr>
        <w:t>J Mater Chem B 3</w:t>
      </w:r>
      <w:r>
        <w:rPr>
          <w:rFonts w:ascii="Calibri" w:hAnsi="Calibri"/>
          <w:sz w:val="24"/>
        </w:rPr>
        <w:t xml:space="preserve">, </w:t>
      </w:r>
      <w:r w:rsidRPr="005E0378">
        <w:rPr>
          <w:rFonts w:ascii="Calibri" w:hAnsi="Calibri"/>
          <w:sz w:val="24"/>
        </w:rPr>
        <w:t xml:space="preserve">4679–89.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64. </w:t>
      </w:r>
      <w:r w:rsidRPr="005E0378">
        <w:rPr>
          <w:rFonts w:ascii="Calibri" w:hAnsi="Calibri"/>
          <w:sz w:val="24"/>
        </w:rPr>
        <w:tab/>
        <w:t xml:space="preserve">Yeong W-Y, Chua C-K, Leong K-F, Chandrasekaran M. </w:t>
      </w:r>
      <w:r>
        <w:rPr>
          <w:rFonts w:ascii="Calibri" w:hAnsi="Calibri"/>
          <w:sz w:val="24"/>
        </w:rPr>
        <w:t xml:space="preserve">2014 </w:t>
      </w:r>
      <w:r w:rsidRPr="005E0378">
        <w:rPr>
          <w:rFonts w:ascii="Calibri" w:hAnsi="Calibri"/>
          <w:sz w:val="24"/>
        </w:rPr>
        <w:t xml:space="preserve">Rapid prototyping in tissue engineering: challenges and potential. </w:t>
      </w:r>
      <w:r w:rsidRPr="0094143B">
        <w:rPr>
          <w:rFonts w:ascii="Calibri" w:hAnsi="Calibri"/>
          <w:i/>
          <w:sz w:val="24"/>
        </w:rPr>
        <w:t>Trends in biotechnology 22</w:t>
      </w:r>
      <w:r>
        <w:rPr>
          <w:rFonts w:ascii="Calibri" w:hAnsi="Calibri"/>
          <w:sz w:val="24"/>
        </w:rPr>
        <w:t xml:space="preserve">, </w:t>
      </w:r>
      <w:r w:rsidRPr="005E0378">
        <w:rPr>
          <w:rFonts w:ascii="Calibri" w:hAnsi="Calibri"/>
          <w:sz w:val="24"/>
        </w:rPr>
        <w:t xml:space="preserve">643–52.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65. </w:t>
      </w:r>
      <w:r w:rsidRPr="005E0378">
        <w:rPr>
          <w:rFonts w:ascii="Calibri" w:hAnsi="Calibri"/>
          <w:sz w:val="24"/>
        </w:rPr>
        <w:tab/>
        <w:t xml:space="preserve">Bose S, Vahabzadeh S, Bandyopadhyay A. </w:t>
      </w:r>
      <w:r>
        <w:rPr>
          <w:rFonts w:ascii="Calibri" w:hAnsi="Calibri"/>
          <w:sz w:val="24"/>
        </w:rPr>
        <w:t xml:space="preserve">2013 </w:t>
      </w:r>
      <w:r w:rsidRPr="005E0378">
        <w:rPr>
          <w:rFonts w:ascii="Calibri" w:hAnsi="Calibri"/>
          <w:sz w:val="24"/>
        </w:rPr>
        <w:t xml:space="preserve">Bone tissue engineering using 3D printing. </w:t>
      </w:r>
      <w:r w:rsidRPr="0094143B">
        <w:rPr>
          <w:rFonts w:ascii="Calibri" w:hAnsi="Calibri"/>
          <w:i/>
          <w:sz w:val="24"/>
        </w:rPr>
        <w:t>Materials T</w:t>
      </w:r>
      <w:r>
        <w:rPr>
          <w:rFonts w:ascii="Calibri" w:hAnsi="Calibri"/>
          <w:i/>
          <w:sz w:val="24"/>
        </w:rPr>
        <w:t xml:space="preserve">oday </w:t>
      </w:r>
      <w:r w:rsidRPr="0094143B">
        <w:rPr>
          <w:rFonts w:ascii="Calibri" w:hAnsi="Calibri"/>
          <w:i/>
          <w:sz w:val="24"/>
        </w:rPr>
        <w:t>16</w:t>
      </w:r>
      <w:r>
        <w:rPr>
          <w:rFonts w:ascii="Calibri" w:hAnsi="Calibri"/>
          <w:sz w:val="24"/>
        </w:rPr>
        <w:t xml:space="preserve">, </w:t>
      </w:r>
      <w:r w:rsidRPr="005E0378">
        <w:rPr>
          <w:rFonts w:ascii="Calibri" w:hAnsi="Calibri"/>
          <w:sz w:val="24"/>
        </w:rPr>
        <w:t xml:space="preserve">496–504.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66. </w:t>
      </w:r>
      <w:r w:rsidRPr="005E0378">
        <w:rPr>
          <w:rFonts w:ascii="Calibri" w:hAnsi="Calibri"/>
          <w:sz w:val="24"/>
        </w:rPr>
        <w:tab/>
      </w:r>
      <w:r w:rsidRPr="0094143B">
        <w:rPr>
          <w:rFonts w:ascii="Calibri" w:hAnsi="Calibri"/>
          <w:sz w:val="24"/>
        </w:rPr>
        <w:t>Inzana JA, Olvera D, Fuller SM, Kelly JP, Graeve OA, Schwarz EM, Kates SL, Awad HA.</w:t>
      </w:r>
      <w:r w:rsidRPr="005E0378">
        <w:rPr>
          <w:rFonts w:ascii="Calibri" w:hAnsi="Calibri"/>
          <w:sz w:val="24"/>
        </w:rPr>
        <w:t xml:space="preserve"> </w:t>
      </w:r>
      <w:r>
        <w:rPr>
          <w:rFonts w:ascii="Calibri" w:hAnsi="Calibri"/>
          <w:sz w:val="24"/>
        </w:rPr>
        <w:t xml:space="preserve">2014 </w:t>
      </w:r>
      <w:r w:rsidRPr="005E0378">
        <w:rPr>
          <w:rFonts w:ascii="Calibri" w:hAnsi="Calibri"/>
          <w:sz w:val="24"/>
        </w:rPr>
        <w:t xml:space="preserve">3D printing of composite calcium phosphate and collagen scaffolds for bone regeneration. </w:t>
      </w:r>
      <w:r w:rsidRPr="0094143B">
        <w:rPr>
          <w:rFonts w:ascii="Calibri" w:hAnsi="Calibri"/>
          <w:i/>
          <w:sz w:val="24"/>
        </w:rPr>
        <w:t>Biomaterials 35</w:t>
      </w:r>
      <w:r>
        <w:rPr>
          <w:rFonts w:ascii="Calibri" w:hAnsi="Calibri"/>
          <w:sz w:val="24"/>
        </w:rPr>
        <w:t xml:space="preserve">, </w:t>
      </w:r>
      <w:r w:rsidRPr="005E0378">
        <w:rPr>
          <w:rFonts w:ascii="Calibri" w:hAnsi="Calibri"/>
          <w:sz w:val="24"/>
        </w:rPr>
        <w:t xml:space="preserve">4026–34.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67. </w:t>
      </w:r>
      <w:r w:rsidRPr="005E0378">
        <w:rPr>
          <w:rFonts w:ascii="Calibri" w:hAnsi="Calibri"/>
          <w:sz w:val="24"/>
        </w:rPr>
        <w:tab/>
      </w:r>
      <w:r w:rsidRPr="0094143B">
        <w:rPr>
          <w:rFonts w:ascii="Calibri" w:hAnsi="Calibri"/>
          <w:sz w:val="24"/>
        </w:rPr>
        <w:t>Butscher A, Bohner M, Roth C, Ernstberger A, Heuberger R, Doebelin N, Von Rohr PR, Müller R.</w:t>
      </w:r>
      <w:r w:rsidRPr="005E0378">
        <w:rPr>
          <w:rFonts w:ascii="Calibri" w:hAnsi="Calibri"/>
          <w:sz w:val="24"/>
        </w:rPr>
        <w:t xml:space="preserve"> </w:t>
      </w:r>
      <w:r>
        <w:rPr>
          <w:rFonts w:ascii="Calibri" w:hAnsi="Calibri"/>
          <w:sz w:val="24"/>
        </w:rPr>
        <w:t xml:space="preserve">2012 </w:t>
      </w:r>
      <w:r w:rsidRPr="005E0378">
        <w:rPr>
          <w:rFonts w:ascii="Calibri" w:hAnsi="Calibri"/>
          <w:sz w:val="24"/>
        </w:rPr>
        <w:t>Printability of calcium phosphate powders for three-</w:t>
      </w:r>
      <w:r w:rsidRPr="005E0378">
        <w:rPr>
          <w:rFonts w:ascii="Calibri" w:hAnsi="Calibri"/>
          <w:sz w:val="24"/>
        </w:rPr>
        <w:lastRenderedPageBreak/>
        <w:t xml:space="preserve">dimensional printing of tissue engineering scaffolds. </w:t>
      </w:r>
      <w:r w:rsidRPr="0094143B">
        <w:rPr>
          <w:rFonts w:ascii="Calibri" w:hAnsi="Calibri"/>
          <w:i/>
          <w:sz w:val="24"/>
        </w:rPr>
        <w:t>Acta Biomaterialia 8</w:t>
      </w:r>
      <w:r>
        <w:rPr>
          <w:rFonts w:ascii="Calibri" w:hAnsi="Calibri"/>
          <w:sz w:val="24"/>
        </w:rPr>
        <w:t xml:space="preserve">, </w:t>
      </w:r>
      <w:r w:rsidRPr="005E0378">
        <w:rPr>
          <w:rFonts w:ascii="Calibri" w:hAnsi="Calibri"/>
          <w:sz w:val="24"/>
        </w:rPr>
        <w:t xml:space="preserve">373–85.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68. </w:t>
      </w:r>
      <w:r w:rsidRPr="005E0378">
        <w:rPr>
          <w:rFonts w:ascii="Calibri" w:hAnsi="Calibri"/>
          <w:sz w:val="24"/>
        </w:rPr>
        <w:tab/>
      </w:r>
      <w:r w:rsidRPr="00E9755F">
        <w:rPr>
          <w:rFonts w:ascii="Calibri" w:hAnsi="Calibri"/>
          <w:sz w:val="24"/>
        </w:rPr>
        <w:t>Tan KH, Chua CK, Leong KF, Cheah</w:t>
      </w:r>
      <w:r>
        <w:rPr>
          <w:rFonts w:ascii="Calibri" w:hAnsi="Calibri"/>
          <w:sz w:val="24"/>
        </w:rPr>
        <w:t xml:space="preserve"> CM, Cheang P, Bakar MA, Cha SW</w:t>
      </w:r>
      <w:r w:rsidRPr="005E0378">
        <w:rPr>
          <w:rFonts w:ascii="Calibri" w:hAnsi="Calibri"/>
          <w:sz w:val="24"/>
        </w:rPr>
        <w:t xml:space="preserve">. </w:t>
      </w:r>
      <w:r>
        <w:rPr>
          <w:rFonts w:ascii="Calibri" w:hAnsi="Calibri"/>
          <w:sz w:val="24"/>
        </w:rPr>
        <w:t xml:space="preserve">2003 </w:t>
      </w:r>
      <w:r w:rsidRPr="005E0378">
        <w:rPr>
          <w:rFonts w:ascii="Calibri" w:hAnsi="Calibri"/>
          <w:sz w:val="24"/>
        </w:rPr>
        <w:t xml:space="preserve">Scaffold development using selective laser sintering of polyetheretherketone–hydroxyapatite biocomposite blends. </w:t>
      </w:r>
      <w:r w:rsidRPr="0094143B">
        <w:rPr>
          <w:rFonts w:ascii="Calibri" w:hAnsi="Calibri"/>
          <w:i/>
          <w:sz w:val="24"/>
        </w:rPr>
        <w:t>Biomaterials 24</w:t>
      </w:r>
      <w:r>
        <w:rPr>
          <w:rFonts w:ascii="Calibri" w:hAnsi="Calibri"/>
          <w:sz w:val="24"/>
        </w:rPr>
        <w:t xml:space="preserve">, </w:t>
      </w:r>
      <w:r w:rsidRPr="005E0378">
        <w:rPr>
          <w:rFonts w:ascii="Calibri" w:hAnsi="Calibri"/>
          <w:sz w:val="24"/>
        </w:rPr>
        <w:t xml:space="preserve">3115–23.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69. </w:t>
      </w:r>
      <w:r w:rsidRPr="005E0378">
        <w:rPr>
          <w:rFonts w:ascii="Calibri" w:hAnsi="Calibri"/>
          <w:sz w:val="24"/>
        </w:rPr>
        <w:tab/>
        <w:t xml:space="preserve">Duan B, Wang M, Zhou WY, Cheung WL, Li ZY, Lu WW. </w:t>
      </w:r>
      <w:r>
        <w:rPr>
          <w:rFonts w:ascii="Calibri" w:hAnsi="Calibri"/>
          <w:sz w:val="24"/>
        </w:rPr>
        <w:t xml:space="preserve">2010 </w:t>
      </w:r>
      <w:r w:rsidRPr="005E0378">
        <w:rPr>
          <w:rFonts w:ascii="Calibri" w:hAnsi="Calibri"/>
          <w:sz w:val="24"/>
        </w:rPr>
        <w:t xml:space="preserve">Three-dimensional nanocomposite scaffolds fabricated via selective laser sintering for bone tissue engineering. </w:t>
      </w:r>
      <w:r w:rsidRPr="0094143B">
        <w:rPr>
          <w:rFonts w:ascii="Calibri" w:hAnsi="Calibri"/>
          <w:i/>
          <w:sz w:val="24"/>
        </w:rPr>
        <w:t>Acta Biomaterialia 6</w:t>
      </w:r>
      <w:r>
        <w:rPr>
          <w:rFonts w:ascii="Calibri" w:hAnsi="Calibri"/>
          <w:sz w:val="24"/>
        </w:rPr>
        <w:t xml:space="preserve">, </w:t>
      </w:r>
      <w:r w:rsidRPr="005E0378">
        <w:rPr>
          <w:rFonts w:ascii="Calibri" w:hAnsi="Calibri"/>
          <w:sz w:val="24"/>
        </w:rPr>
        <w:t xml:space="preserve">4495–505.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70. </w:t>
      </w:r>
      <w:r w:rsidRPr="005E0378">
        <w:rPr>
          <w:rFonts w:ascii="Calibri" w:hAnsi="Calibri"/>
          <w:sz w:val="24"/>
        </w:rPr>
        <w:tab/>
        <w:t xml:space="preserve">Shuai C, Gao C, Nie Y, Hu H, Zhou Y, Peng S. </w:t>
      </w:r>
      <w:r>
        <w:rPr>
          <w:rFonts w:ascii="Calibri" w:hAnsi="Calibri"/>
          <w:sz w:val="24"/>
        </w:rPr>
        <w:t xml:space="preserve">2011 </w:t>
      </w:r>
      <w:r w:rsidRPr="005E0378">
        <w:rPr>
          <w:rFonts w:ascii="Calibri" w:hAnsi="Calibri"/>
          <w:sz w:val="24"/>
        </w:rPr>
        <w:t>Structure and properties of nano-hydroxypatite scaffolds for bone tissue engineering with a selective laser sintering sy</w:t>
      </w:r>
      <w:r>
        <w:rPr>
          <w:rFonts w:ascii="Calibri" w:hAnsi="Calibri"/>
          <w:sz w:val="24"/>
        </w:rPr>
        <w:t xml:space="preserve">stem. </w:t>
      </w:r>
      <w:r w:rsidRPr="00E9755F">
        <w:rPr>
          <w:rFonts w:ascii="Calibri" w:hAnsi="Calibri"/>
          <w:i/>
          <w:sz w:val="24"/>
        </w:rPr>
        <w:t>Nanotechnology 22</w:t>
      </w:r>
      <w:r>
        <w:rPr>
          <w:rFonts w:ascii="Calibri" w:hAnsi="Calibri"/>
          <w:sz w:val="24"/>
        </w:rPr>
        <w:t xml:space="preserve">, </w:t>
      </w:r>
      <w:r w:rsidRPr="005E0378">
        <w:rPr>
          <w:rFonts w:ascii="Calibri" w:hAnsi="Calibri"/>
          <w:sz w:val="24"/>
        </w:rPr>
        <w:t xml:space="preserve">285703.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71. </w:t>
      </w:r>
      <w:r w:rsidRPr="005E0378">
        <w:rPr>
          <w:rFonts w:ascii="Calibri" w:hAnsi="Calibri"/>
          <w:sz w:val="24"/>
        </w:rPr>
        <w:tab/>
        <w:t xml:space="preserve">Arcaute K, Mann B, Wicker R. </w:t>
      </w:r>
      <w:r>
        <w:rPr>
          <w:rFonts w:ascii="Calibri" w:hAnsi="Calibri"/>
          <w:sz w:val="24"/>
        </w:rPr>
        <w:t xml:space="preserve">2010 </w:t>
      </w:r>
      <w:r w:rsidRPr="005E0378">
        <w:rPr>
          <w:rFonts w:ascii="Calibri" w:hAnsi="Calibri"/>
          <w:sz w:val="24"/>
        </w:rPr>
        <w:t>Stereolithography of spatially controlled multi-material bioactive poly(ethylene glycol</w:t>
      </w:r>
      <w:r>
        <w:rPr>
          <w:rFonts w:ascii="Calibri" w:hAnsi="Calibri"/>
          <w:sz w:val="24"/>
        </w:rPr>
        <w:t xml:space="preserve">) scaffolds. </w:t>
      </w:r>
      <w:r w:rsidRPr="00E9755F">
        <w:rPr>
          <w:rFonts w:ascii="Calibri" w:hAnsi="Calibri"/>
          <w:i/>
          <w:sz w:val="24"/>
        </w:rPr>
        <w:t>Acta Biomaterialia 6</w:t>
      </w:r>
      <w:r>
        <w:rPr>
          <w:rFonts w:ascii="Calibri" w:hAnsi="Calibri"/>
          <w:sz w:val="24"/>
        </w:rPr>
        <w:t xml:space="preserve">, </w:t>
      </w:r>
      <w:r w:rsidRPr="005E0378">
        <w:rPr>
          <w:rFonts w:ascii="Calibri" w:hAnsi="Calibri"/>
          <w:sz w:val="24"/>
        </w:rPr>
        <w:t xml:space="preserve">1047–54.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72. </w:t>
      </w:r>
      <w:r w:rsidRPr="005E0378">
        <w:rPr>
          <w:rFonts w:ascii="Calibri" w:hAnsi="Calibri"/>
          <w:sz w:val="24"/>
        </w:rPr>
        <w:tab/>
        <w:t xml:space="preserve">Lan PX, Lee JW, Seol YJ, Cho DW. </w:t>
      </w:r>
      <w:r>
        <w:rPr>
          <w:rFonts w:ascii="Calibri" w:hAnsi="Calibri"/>
          <w:sz w:val="24"/>
        </w:rPr>
        <w:t xml:space="preserve">2009 </w:t>
      </w:r>
      <w:r w:rsidRPr="005E0378">
        <w:rPr>
          <w:rFonts w:ascii="Calibri" w:hAnsi="Calibri"/>
          <w:sz w:val="24"/>
        </w:rPr>
        <w:t xml:space="preserve">Development of 3D PPF/DEF scaffolds using micro-stereolithography and surface modification. </w:t>
      </w:r>
      <w:r w:rsidRPr="00E9755F">
        <w:rPr>
          <w:rFonts w:ascii="Calibri" w:hAnsi="Calibri"/>
          <w:i/>
          <w:sz w:val="24"/>
        </w:rPr>
        <w:t>Journal of Materials Science: Materials in Medicine 20</w:t>
      </w:r>
      <w:r>
        <w:rPr>
          <w:rFonts w:ascii="Calibri" w:hAnsi="Calibri"/>
          <w:sz w:val="24"/>
        </w:rPr>
        <w:t xml:space="preserve">, </w:t>
      </w:r>
      <w:r w:rsidRPr="005E0378">
        <w:rPr>
          <w:rFonts w:ascii="Calibri" w:hAnsi="Calibri"/>
          <w:sz w:val="24"/>
        </w:rPr>
        <w:t xml:space="preserve">271–9.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73. </w:t>
      </w:r>
      <w:r w:rsidRPr="005E0378">
        <w:rPr>
          <w:rFonts w:ascii="Calibri" w:hAnsi="Calibri"/>
          <w:sz w:val="24"/>
        </w:rPr>
        <w:tab/>
        <w:t xml:space="preserve">Du D, Asaoka T, Shinohara M, Kageyama T, Ushida T, Furukawa KS. </w:t>
      </w:r>
      <w:r>
        <w:rPr>
          <w:rFonts w:ascii="Calibri" w:hAnsi="Calibri"/>
          <w:sz w:val="24"/>
        </w:rPr>
        <w:t xml:space="preserve">2015 </w:t>
      </w:r>
      <w:r w:rsidRPr="005E0378">
        <w:rPr>
          <w:rFonts w:ascii="Calibri" w:hAnsi="Calibri"/>
          <w:sz w:val="24"/>
        </w:rPr>
        <w:t>Microstereolithography-Based Fabrication of Anatomically Shaped Beta-Tricalcium Phosphate Scaffolds fo</w:t>
      </w:r>
      <w:r>
        <w:rPr>
          <w:rFonts w:ascii="Calibri" w:hAnsi="Calibri"/>
          <w:sz w:val="24"/>
        </w:rPr>
        <w:t>r Bone Tissue Engineering</w:t>
      </w:r>
      <w:r w:rsidRPr="005E0378">
        <w:rPr>
          <w:rFonts w:ascii="Calibri" w:hAnsi="Calibri"/>
          <w:sz w:val="24"/>
        </w:rPr>
        <w:t xml:space="preserve">. </w:t>
      </w:r>
      <w:r w:rsidRPr="00E9755F">
        <w:rPr>
          <w:rFonts w:ascii="Calibri" w:hAnsi="Calibri"/>
          <w:i/>
          <w:sz w:val="24"/>
        </w:rPr>
        <w:t>BioMed research international</w:t>
      </w:r>
      <w:r>
        <w:rPr>
          <w:rFonts w:ascii="Calibri" w:hAnsi="Calibri"/>
          <w:i/>
          <w:sz w:val="24"/>
        </w:rPr>
        <w:t>.</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74. </w:t>
      </w:r>
      <w:r w:rsidRPr="005E0378">
        <w:rPr>
          <w:rFonts w:ascii="Calibri" w:hAnsi="Calibri"/>
          <w:sz w:val="24"/>
        </w:rPr>
        <w:tab/>
        <w:t xml:space="preserve">Korpela J, Kokkari A, Korhonen H, Malin M, Narhi T, Seppalea J. </w:t>
      </w:r>
      <w:r>
        <w:rPr>
          <w:rFonts w:ascii="Calibri" w:hAnsi="Calibri"/>
          <w:sz w:val="24"/>
        </w:rPr>
        <w:t xml:space="preserve">2013 </w:t>
      </w:r>
      <w:r w:rsidRPr="005E0378">
        <w:rPr>
          <w:rFonts w:ascii="Calibri" w:hAnsi="Calibri"/>
          <w:sz w:val="24"/>
        </w:rPr>
        <w:t xml:space="preserve">Biodegradable and bioactive porous scaffold structures prepared using fused deposition modeling. </w:t>
      </w:r>
      <w:r w:rsidRPr="00E9755F">
        <w:rPr>
          <w:rFonts w:ascii="Calibri" w:hAnsi="Calibri"/>
          <w:i/>
          <w:sz w:val="24"/>
        </w:rPr>
        <w:t>Journal of Biomedical Materials Research Part B Applied Biomaterials 101</w:t>
      </w:r>
      <w:r>
        <w:rPr>
          <w:rFonts w:ascii="Calibri" w:hAnsi="Calibri"/>
          <w:sz w:val="24"/>
        </w:rPr>
        <w:t xml:space="preserve">, </w:t>
      </w:r>
      <w:r w:rsidRPr="005E0378">
        <w:rPr>
          <w:rFonts w:ascii="Calibri" w:hAnsi="Calibri"/>
          <w:sz w:val="24"/>
        </w:rPr>
        <w:t xml:space="preserve">610–9.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75. </w:t>
      </w:r>
      <w:r w:rsidRPr="005E0378">
        <w:rPr>
          <w:rFonts w:ascii="Calibri" w:hAnsi="Calibri"/>
          <w:sz w:val="24"/>
        </w:rPr>
        <w:tab/>
        <w:t xml:space="preserve">Pang L, Hao W, Jiang M, Huang J, Yan Y, Hu Y. </w:t>
      </w:r>
      <w:r>
        <w:rPr>
          <w:rFonts w:ascii="Calibri" w:hAnsi="Calibri"/>
          <w:sz w:val="24"/>
        </w:rPr>
        <w:t xml:space="preserve">2013 </w:t>
      </w:r>
      <w:r w:rsidRPr="005E0378">
        <w:rPr>
          <w:rFonts w:ascii="Calibri" w:hAnsi="Calibri"/>
          <w:sz w:val="24"/>
        </w:rPr>
        <w:t xml:space="preserve">Bony defect repair in rabbit using hybrid rapid prototyping polylactic-co-glycolic acid/β-tricalciumphosphate collagen I/apatite scaffold and bone marrow mesenchymal stem cells. </w:t>
      </w:r>
      <w:r w:rsidRPr="00E9755F">
        <w:rPr>
          <w:rFonts w:ascii="Calibri" w:hAnsi="Calibri"/>
          <w:i/>
          <w:sz w:val="24"/>
        </w:rPr>
        <w:t>Indian Journal of Orthopaedics 47</w:t>
      </w:r>
      <w:r>
        <w:rPr>
          <w:rFonts w:ascii="Calibri" w:hAnsi="Calibri"/>
          <w:sz w:val="24"/>
        </w:rPr>
        <w:t xml:space="preserve">, </w:t>
      </w:r>
      <w:r w:rsidRPr="005E0378">
        <w:rPr>
          <w:rFonts w:ascii="Calibri" w:hAnsi="Calibri"/>
          <w:sz w:val="24"/>
        </w:rPr>
        <w:t xml:space="preserve">388–94.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76. </w:t>
      </w:r>
      <w:r w:rsidRPr="005E0378">
        <w:rPr>
          <w:rFonts w:ascii="Calibri" w:hAnsi="Calibri"/>
          <w:sz w:val="24"/>
        </w:rPr>
        <w:tab/>
        <w:t>Yoshimoto H, Shin YM, Terai H, Vacanti JP.</w:t>
      </w:r>
      <w:r>
        <w:rPr>
          <w:rFonts w:ascii="Calibri" w:hAnsi="Calibri"/>
          <w:sz w:val="24"/>
        </w:rPr>
        <w:t xml:space="preserve"> 2003</w:t>
      </w:r>
      <w:r w:rsidRPr="005E0378">
        <w:rPr>
          <w:rFonts w:ascii="Calibri" w:hAnsi="Calibri"/>
          <w:sz w:val="24"/>
        </w:rPr>
        <w:t xml:space="preserve"> A biodegradable nanofiber scaffold by electrospinning and its potential for bone tissue engineering. </w:t>
      </w:r>
      <w:r w:rsidRPr="00E9755F">
        <w:rPr>
          <w:rFonts w:ascii="Calibri" w:hAnsi="Calibri"/>
          <w:i/>
          <w:sz w:val="24"/>
        </w:rPr>
        <w:t>Biomaterials 24</w:t>
      </w:r>
      <w:r>
        <w:rPr>
          <w:rFonts w:ascii="Calibri" w:hAnsi="Calibri"/>
          <w:sz w:val="24"/>
        </w:rPr>
        <w:t>, 2077–82.</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77. </w:t>
      </w:r>
      <w:r w:rsidRPr="005E0378">
        <w:rPr>
          <w:rFonts w:ascii="Calibri" w:hAnsi="Calibri"/>
          <w:sz w:val="24"/>
        </w:rPr>
        <w:tab/>
        <w:t>Nandakumar A, Ba</w:t>
      </w:r>
      <w:r>
        <w:rPr>
          <w:rFonts w:ascii="Calibri" w:hAnsi="Calibri"/>
          <w:sz w:val="24"/>
        </w:rPr>
        <w:t>rradas A, de Boer J, Moroni L, V</w:t>
      </w:r>
      <w:r w:rsidRPr="005E0378">
        <w:rPr>
          <w:rFonts w:ascii="Calibri" w:hAnsi="Calibri"/>
          <w:sz w:val="24"/>
        </w:rPr>
        <w:t xml:space="preserve">an Blitterswijk C, Habibovic P. </w:t>
      </w:r>
      <w:r>
        <w:rPr>
          <w:rFonts w:ascii="Calibri" w:hAnsi="Calibri"/>
          <w:sz w:val="24"/>
        </w:rPr>
        <w:t xml:space="preserve">2013 </w:t>
      </w:r>
      <w:r w:rsidRPr="005E0378">
        <w:rPr>
          <w:rFonts w:ascii="Calibri" w:hAnsi="Calibri"/>
          <w:sz w:val="24"/>
        </w:rPr>
        <w:t xml:space="preserve">Combining technologies to create bioactive hybrid scaffolds for bone tissue engineering. </w:t>
      </w:r>
      <w:r w:rsidRPr="00E9755F">
        <w:rPr>
          <w:rFonts w:ascii="Calibri" w:hAnsi="Calibri"/>
          <w:i/>
          <w:sz w:val="24"/>
        </w:rPr>
        <w:t>Biomatter 3</w:t>
      </w:r>
      <w:r>
        <w:rPr>
          <w:rFonts w:ascii="Calibri" w:hAnsi="Calibri"/>
          <w:sz w:val="24"/>
        </w:rPr>
        <w:t xml:space="preserve">, </w:t>
      </w:r>
      <w:r w:rsidRPr="005E0378">
        <w:rPr>
          <w:rFonts w:ascii="Calibri" w:hAnsi="Calibri"/>
          <w:sz w:val="24"/>
        </w:rPr>
        <w:t xml:space="preserve">1–13. </w:t>
      </w:r>
    </w:p>
    <w:p w:rsidR="005D1052" w:rsidRPr="005E0378" w:rsidRDefault="005D1052" w:rsidP="005D1052">
      <w:pPr>
        <w:pStyle w:val="NormalWeb"/>
        <w:ind w:left="640" w:hanging="640"/>
        <w:rPr>
          <w:rFonts w:ascii="Calibri" w:hAnsi="Calibri"/>
          <w:sz w:val="24"/>
        </w:rPr>
      </w:pPr>
      <w:r w:rsidRPr="005E0378">
        <w:rPr>
          <w:rFonts w:ascii="Calibri" w:hAnsi="Calibri"/>
          <w:sz w:val="24"/>
        </w:rPr>
        <w:lastRenderedPageBreak/>
        <w:t xml:space="preserve">78. </w:t>
      </w:r>
      <w:r w:rsidRPr="005E0378">
        <w:rPr>
          <w:rFonts w:ascii="Calibri" w:hAnsi="Calibri"/>
          <w:sz w:val="24"/>
        </w:rPr>
        <w:tab/>
        <w:t xml:space="preserve">Kim MS, Kim G. </w:t>
      </w:r>
      <w:r>
        <w:rPr>
          <w:rFonts w:ascii="Calibri" w:hAnsi="Calibri"/>
          <w:sz w:val="24"/>
        </w:rPr>
        <w:t xml:space="preserve">2014 </w:t>
      </w:r>
      <w:r w:rsidRPr="005E0378">
        <w:rPr>
          <w:rFonts w:ascii="Calibri" w:hAnsi="Calibri"/>
          <w:sz w:val="24"/>
        </w:rPr>
        <w:t xml:space="preserve">Three-dimensional electrospun polycaprolactone (PCL)/alginate hybrid composite scaffolds. </w:t>
      </w:r>
      <w:r w:rsidRPr="00E9755F">
        <w:rPr>
          <w:rFonts w:ascii="Calibri" w:hAnsi="Calibri"/>
          <w:i/>
          <w:sz w:val="24"/>
        </w:rPr>
        <w:t>Carbohydrate polymers 114</w:t>
      </w:r>
      <w:r>
        <w:rPr>
          <w:rFonts w:ascii="Calibri" w:hAnsi="Calibri"/>
          <w:sz w:val="24"/>
        </w:rPr>
        <w:t xml:space="preserve">, </w:t>
      </w:r>
      <w:r w:rsidRPr="005E0378">
        <w:rPr>
          <w:rFonts w:ascii="Calibri" w:hAnsi="Calibri"/>
          <w:sz w:val="24"/>
        </w:rPr>
        <w:t xml:space="preserve">213–21.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79. </w:t>
      </w:r>
      <w:r w:rsidRPr="005E0378">
        <w:rPr>
          <w:rFonts w:ascii="Calibri" w:hAnsi="Calibri"/>
          <w:sz w:val="24"/>
        </w:rPr>
        <w:tab/>
        <w:t xml:space="preserve">Kim GH, Ahn SH, Lee HJ, Lee S, Cho Y, Chun W. </w:t>
      </w:r>
      <w:r>
        <w:rPr>
          <w:rFonts w:ascii="Calibri" w:hAnsi="Calibri"/>
          <w:sz w:val="24"/>
        </w:rPr>
        <w:t xml:space="preserve">2011 </w:t>
      </w:r>
      <w:r w:rsidRPr="005E0378">
        <w:rPr>
          <w:rFonts w:ascii="Calibri" w:hAnsi="Calibri"/>
          <w:sz w:val="24"/>
        </w:rPr>
        <w:t xml:space="preserve">A new hybrid scaffold using rapid prototyping and electrohydrodynamic direct writing for bone tissue regeneration. </w:t>
      </w:r>
      <w:r w:rsidRPr="00E9755F">
        <w:rPr>
          <w:rFonts w:ascii="Calibri" w:hAnsi="Calibri"/>
          <w:i/>
          <w:sz w:val="24"/>
        </w:rPr>
        <w:t>Journal of Materials Chemistry 21</w:t>
      </w:r>
      <w:r>
        <w:rPr>
          <w:rFonts w:ascii="Calibri" w:hAnsi="Calibri"/>
          <w:sz w:val="24"/>
        </w:rPr>
        <w:t xml:space="preserve">, </w:t>
      </w:r>
      <w:r w:rsidRPr="005E0378">
        <w:rPr>
          <w:rFonts w:ascii="Calibri" w:hAnsi="Calibri"/>
          <w:sz w:val="24"/>
        </w:rPr>
        <w:t>19138</w:t>
      </w:r>
      <w:r>
        <w:rPr>
          <w:rFonts w:ascii="Calibri" w:hAnsi="Calibri"/>
          <w:sz w:val="24"/>
        </w:rPr>
        <w:t>-43</w:t>
      </w:r>
      <w:r w:rsidRPr="005E0378">
        <w:rPr>
          <w:rFonts w:ascii="Calibri" w:hAnsi="Calibri"/>
          <w:sz w:val="24"/>
        </w:rPr>
        <w:t xml:space="preserve">.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80. </w:t>
      </w:r>
      <w:r w:rsidRPr="005E0378">
        <w:rPr>
          <w:rFonts w:ascii="Calibri" w:hAnsi="Calibri"/>
          <w:sz w:val="24"/>
        </w:rPr>
        <w:tab/>
        <w:t xml:space="preserve">Farahani RD, Chizari K, Therriault D. </w:t>
      </w:r>
      <w:r>
        <w:rPr>
          <w:rFonts w:ascii="Calibri" w:hAnsi="Calibri"/>
          <w:sz w:val="24"/>
        </w:rPr>
        <w:t xml:space="preserve">2014 </w:t>
      </w:r>
      <w:r w:rsidRPr="005E0378">
        <w:rPr>
          <w:rFonts w:ascii="Calibri" w:hAnsi="Calibri"/>
          <w:sz w:val="24"/>
        </w:rPr>
        <w:t xml:space="preserve">Three-dimensional printing of freeform helical microstructures: a review. </w:t>
      </w:r>
      <w:r w:rsidRPr="00E9755F">
        <w:rPr>
          <w:rFonts w:ascii="Calibri" w:hAnsi="Calibri"/>
          <w:i/>
          <w:sz w:val="24"/>
        </w:rPr>
        <w:t>Nanoscale 6</w:t>
      </w:r>
      <w:r>
        <w:rPr>
          <w:rFonts w:ascii="Calibri" w:hAnsi="Calibri"/>
          <w:sz w:val="24"/>
        </w:rPr>
        <w:t xml:space="preserve">, </w:t>
      </w:r>
      <w:r w:rsidRPr="005E0378">
        <w:rPr>
          <w:rFonts w:ascii="Calibri" w:hAnsi="Calibri"/>
          <w:sz w:val="24"/>
        </w:rPr>
        <w:t xml:space="preserve">10470–85.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81. </w:t>
      </w:r>
      <w:r w:rsidRPr="005E0378">
        <w:rPr>
          <w:rFonts w:ascii="Calibri" w:hAnsi="Calibri"/>
          <w:sz w:val="24"/>
        </w:rPr>
        <w:tab/>
      </w:r>
      <w:r w:rsidRPr="004E7C4C">
        <w:rPr>
          <w:rFonts w:ascii="Calibri" w:hAnsi="Calibri"/>
          <w:sz w:val="24"/>
        </w:rPr>
        <w:t>Xu T, Binder KW, Albanna MZ, Dice D, Zhao W, Y</w:t>
      </w:r>
      <w:r>
        <w:rPr>
          <w:rFonts w:ascii="Calibri" w:hAnsi="Calibri"/>
          <w:sz w:val="24"/>
        </w:rPr>
        <w:t>oo JJ, Atala A</w:t>
      </w:r>
      <w:r w:rsidRPr="005E0378">
        <w:rPr>
          <w:rFonts w:ascii="Calibri" w:hAnsi="Calibri"/>
          <w:sz w:val="24"/>
        </w:rPr>
        <w:t xml:space="preserve">. </w:t>
      </w:r>
      <w:r>
        <w:rPr>
          <w:rFonts w:ascii="Calibri" w:hAnsi="Calibri"/>
          <w:sz w:val="24"/>
        </w:rPr>
        <w:t xml:space="preserve">2013 </w:t>
      </w:r>
      <w:r w:rsidRPr="005E0378">
        <w:rPr>
          <w:rFonts w:ascii="Calibri" w:hAnsi="Calibri"/>
          <w:sz w:val="24"/>
        </w:rPr>
        <w:t xml:space="preserve">Hybrid printing of mechanically and biologically improved constructs for cartilage tissue engineering applications. </w:t>
      </w:r>
      <w:r w:rsidRPr="004E7C4C">
        <w:rPr>
          <w:rFonts w:ascii="Calibri" w:hAnsi="Calibri"/>
          <w:i/>
          <w:sz w:val="24"/>
        </w:rPr>
        <w:t>Biofabrication. 5</w:t>
      </w:r>
      <w:r>
        <w:rPr>
          <w:rFonts w:ascii="Calibri" w:hAnsi="Calibri"/>
          <w:sz w:val="24"/>
        </w:rPr>
        <w:t xml:space="preserve">, </w:t>
      </w:r>
      <w:r w:rsidRPr="005E0378">
        <w:rPr>
          <w:rFonts w:ascii="Calibri" w:hAnsi="Calibri"/>
          <w:sz w:val="24"/>
        </w:rPr>
        <w:t xml:space="preserve">015001.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82. </w:t>
      </w:r>
      <w:r w:rsidRPr="005E0378">
        <w:rPr>
          <w:rFonts w:ascii="Calibri" w:hAnsi="Calibri"/>
          <w:sz w:val="24"/>
        </w:rPr>
        <w:tab/>
        <w:t xml:space="preserve">Chanthakulchan A, Koomsap P, Auyson K, Supaphol P. </w:t>
      </w:r>
      <w:r>
        <w:rPr>
          <w:rFonts w:ascii="Calibri" w:hAnsi="Calibri"/>
          <w:sz w:val="24"/>
        </w:rPr>
        <w:t xml:space="preserve">2015 </w:t>
      </w:r>
      <w:r w:rsidRPr="005E0378">
        <w:rPr>
          <w:rFonts w:ascii="Calibri" w:hAnsi="Calibri"/>
          <w:sz w:val="24"/>
        </w:rPr>
        <w:t xml:space="preserve">Development of an electrospinning-based rapid prototyping for scaffold fabrication. </w:t>
      </w:r>
      <w:r w:rsidRPr="004E7C4C">
        <w:rPr>
          <w:rFonts w:ascii="Calibri" w:hAnsi="Calibri"/>
          <w:i/>
          <w:sz w:val="24"/>
        </w:rPr>
        <w:t>Rapid Prototyping Journal 21</w:t>
      </w:r>
      <w:r>
        <w:rPr>
          <w:rFonts w:ascii="Calibri" w:hAnsi="Calibri"/>
          <w:sz w:val="24"/>
        </w:rPr>
        <w:t xml:space="preserve">, </w:t>
      </w:r>
      <w:r w:rsidRPr="005E0378">
        <w:rPr>
          <w:rFonts w:ascii="Calibri" w:hAnsi="Calibri"/>
          <w:sz w:val="24"/>
        </w:rPr>
        <w:t xml:space="preserve">329–39.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83. </w:t>
      </w:r>
      <w:r w:rsidRPr="005E0378">
        <w:rPr>
          <w:rFonts w:ascii="Calibri" w:hAnsi="Calibri"/>
          <w:sz w:val="24"/>
        </w:rPr>
        <w:tab/>
        <w:t xml:space="preserve">Schicker M, Seitz H, Drosse I, Seitz S, Mutschler W. </w:t>
      </w:r>
      <w:r>
        <w:rPr>
          <w:rFonts w:ascii="Calibri" w:hAnsi="Calibri"/>
          <w:sz w:val="24"/>
        </w:rPr>
        <w:t xml:space="preserve">2006 </w:t>
      </w:r>
      <w:r w:rsidRPr="005E0378">
        <w:rPr>
          <w:rFonts w:ascii="Calibri" w:hAnsi="Calibri"/>
          <w:sz w:val="24"/>
        </w:rPr>
        <w:t xml:space="preserve">Biomaterials as scaffold for bone tissue engineering. </w:t>
      </w:r>
      <w:r w:rsidRPr="004E7C4C">
        <w:rPr>
          <w:rFonts w:ascii="Calibri" w:hAnsi="Calibri"/>
          <w:i/>
          <w:sz w:val="24"/>
        </w:rPr>
        <w:t>European Jou</w:t>
      </w:r>
      <w:r>
        <w:rPr>
          <w:rFonts w:ascii="Calibri" w:hAnsi="Calibri"/>
          <w:i/>
          <w:sz w:val="24"/>
        </w:rPr>
        <w:t xml:space="preserve">rnal of Trauma </w:t>
      </w:r>
      <w:r w:rsidRPr="004E7C4C">
        <w:rPr>
          <w:rFonts w:ascii="Calibri" w:hAnsi="Calibri"/>
          <w:i/>
          <w:sz w:val="24"/>
        </w:rPr>
        <w:t>32</w:t>
      </w:r>
      <w:r>
        <w:rPr>
          <w:rFonts w:ascii="Calibri" w:hAnsi="Calibri"/>
          <w:sz w:val="24"/>
        </w:rPr>
        <w:t xml:space="preserve">, </w:t>
      </w:r>
      <w:r w:rsidRPr="005E0378">
        <w:rPr>
          <w:rFonts w:ascii="Calibri" w:hAnsi="Calibri"/>
          <w:sz w:val="24"/>
        </w:rPr>
        <w:t xml:space="preserve">114–24.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84. </w:t>
      </w:r>
      <w:r w:rsidRPr="005E0378">
        <w:rPr>
          <w:rFonts w:ascii="Calibri" w:hAnsi="Calibri"/>
          <w:sz w:val="24"/>
        </w:rPr>
        <w:tab/>
        <w:t xml:space="preserve">Gautam S, Dinda AK, Mishra NC. </w:t>
      </w:r>
      <w:r>
        <w:rPr>
          <w:rFonts w:ascii="Calibri" w:hAnsi="Calibri"/>
          <w:sz w:val="24"/>
        </w:rPr>
        <w:t xml:space="preserve">2013 </w:t>
      </w:r>
      <w:r w:rsidRPr="005E0378">
        <w:rPr>
          <w:rFonts w:ascii="Calibri" w:hAnsi="Calibri"/>
          <w:sz w:val="24"/>
        </w:rPr>
        <w:t xml:space="preserve">Fabrication and characterization of PCL/gelatin composite nanofibrous scaffold for tissue engineering applications by electrospinning method. </w:t>
      </w:r>
      <w:r w:rsidRPr="004E7C4C">
        <w:rPr>
          <w:rFonts w:ascii="Calibri" w:hAnsi="Calibri"/>
          <w:i/>
          <w:sz w:val="24"/>
        </w:rPr>
        <w:t>Materials Science and Engineering C</w:t>
      </w:r>
      <w:r w:rsidRPr="005E0378">
        <w:rPr>
          <w:rFonts w:ascii="Calibri" w:hAnsi="Calibri"/>
          <w:sz w:val="24"/>
        </w:rPr>
        <w:t xml:space="preserve"> </w:t>
      </w:r>
      <w:r w:rsidRPr="004E7C4C">
        <w:rPr>
          <w:rFonts w:ascii="Calibri" w:hAnsi="Calibri"/>
          <w:i/>
          <w:sz w:val="24"/>
        </w:rPr>
        <w:t>33</w:t>
      </w:r>
      <w:r>
        <w:rPr>
          <w:rFonts w:ascii="Calibri" w:hAnsi="Calibri"/>
          <w:sz w:val="24"/>
        </w:rPr>
        <w:t xml:space="preserve">, </w:t>
      </w:r>
      <w:r w:rsidRPr="005E0378">
        <w:rPr>
          <w:rFonts w:ascii="Calibri" w:hAnsi="Calibri"/>
          <w:sz w:val="24"/>
        </w:rPr>
        <w:t xml:space="preserve">1228–35.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85. </w:t>
      </w:r>
      <w:r w:rsidRPr="005E0378">
        <w:rPr>
          <w:rFonts w:ascii="Calibri" w:hAnsi="Calibri"/>
          <w:sz w:val="24"/>
        </w:rPr>
        <w:tab/>
      </w:r>
      <w:r w:rsidRPr="004E7C4C">
        <w:rPr>
          <w:rFonts w:ascii="Calibri" w:hAnsi="Calibri"/>
          <w:sz w:val="24"/>
        </w:rPr>
        <w:t>Park SH, Park DS, Shin JW, Kang YG, Kim HK, Yoon TR, Shin JW.</w:t>
      </w:r>
      <w:r w:rsidRPr="005E0378">
        <w:rPr>
          <w:rFonts w:ascii="Calibri" w:hAnsi="Calibri"/>
          <w:sz w:val="24"/>
        </w:rPr>
        <w:t xml:space="preserve"> </w:t>
      </w:r>
      <w:r>
        <w:rPr>
          <w:rFonts w:ascii="Calibri" w:hAnsi="Calibri"/>
          <w:sz w:val="24"/>
        </w:rPr>
        <w:t xml:space="preserve">2012 </w:t>
      </w:r>
      <w:r w:rsidRPr="005E0378">
        <w:rPr>
          <w:rFonts w:ascii="Calibri" w:hAnsi="Calibri"/>
          <w:sz w:val="24"/>
        </w:rPr>
        <w:t xml:space="preserve">Scaffolds for bone tissue engineering fabricated from two different materials by the rapid prototyping technique: PCL versus PLGA. </w:t>
      </w:r>
      <w:r w:rsidRPr="004E7C4C">
        <w:rPr>
          <w:rFonts w:ascii="Calibri" w:hAnsi="Calibri"/>
          <w:i/>
          <w:sz w:val="24"/>
        </w:rPr>
        <w:t>Journal of materials science Materials in medicine 23</w:t>
      </w:r>
      <w:r>
        <w:rPr>
          <w:rFonts w:ascii="Calibri" w:hAnsi="Calibri"/>
          <w:sz w:val="24"/>
        </w:rPr>
        <w:t xml:space="preserve">, </w:t>
      </w:r>
      <w:r w:rsidRPr="005E0378">
        <w:rPr>
          <w:rFonts w:ascii="Calibri" w:hAnsi="Calibri"/>
          <w:sz w:val="24"/>
        </w:rPr>
        <w:t xml:space="preserve">2671–8.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86. </w:t>
      </w:r>
      <w:r w:rsidRPr="005E0378">
        <w:rPr>
          <w:rFonts w:ascii="Calibri" w:hAnsi="Calibri"/>
          <w:sz w:val="24"/>
        </w:rPr>
        <w:tab/>
      </w:r>
      <w:r w:rsidRPr="004E7C4C">
        <w:rPr>
          <w:rFonts w:ascii="Calibri" w:hAnsi="Calibri"/>
          <w:sz w:val="24"/>
        </w:rPr>
        <w:t xml:space="preserve">Mather ML, Morgan SP, White LJ, Tai H, Kockenberger W, Howdle SM, Shakesheff KM, Crowe JA. </w:t>
      </w:r>
      <w:r>
        <w:rPr>
          <w:rFonts w:ascii="Calibri" w:hAnsi="Calibri"/>
          <w:sz w:val="24"/>
        </w:rPr>
        <w:t xml:space="preserve">2008 </w:t>
      </w:r>
      <w:r w:rsidRPr="005E0378">
        <w:rPr>
          <w:rFonts w:ascii="Calibri" w:hAnsi="Calibri"/>
          <w:sz w:val="24"/>
        </w:rPr>
        <w:t xml:space="preserve">Image-based characterization of foamed polymeric tissue scaffolds. </w:t>
      </w:r>
      <w:r w:rsidRPr="004E7C4C">
        <w:rPr>
          <w:rFonts w:ascii="Calibri" w:hAnsi="Calibri"/>
          <w:i/>
          <w:sz w:val="24"/>
        </w:rPr>
        <w:t>Biomedical materials 3</w:t>
      </w:r>
      <w:r>
        <w:rPr>
          <w:rFonts w:ascii="Calibri" w:hAnsi="Calibri"/>
          <w:sz w:val="24"/>
        </w:rPr>
        <w:t xml:space="preserve">, </w:t>
      </w:r>
      <w:r w:rsidRPr="005E0378">
        <w:rPr>
          <w:rFonts w:ascii="Calibri" w:hAnsi="Calibri"/>
          <w:sz w:val="24"/>
        </w:rPr>
        <w:t xml:space="preserve">015011.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87. </w:t>
      </w:r>
      <w:r w:rsidRPr="005E0378">
        <w:rPr>
          <w:rFonts w:ascii="Calibri" w:hAnsi="Calibri"/>
          <w:sz w:val="24"/>
        </w:rPr>
        <w:tab/>
        <w:t xml:space="preserve">Costa PF, Martins A, Neves NM, Gomes M, Reis RL. </w:t>
      </w:r>
      <w:r>
        <w:rPr>
          <w:rFonts w:ascii="Calibri" w:hAnsi="Calibri"/>
          <w:sz w:val="24"/>
        </w:rPr>
        <w:t xml:space="preserve">2014 </w:t>
      </w:r>
      <w:r w:rsidRPr="005E0378">
        <w:rPr>
          <w:rFonts w:ascii="Calibri" w:hAnsi="Calibri"/>
          <w:sz w:val="24"/>
        </w:rPr>
        <w:t xml:space="preserve">Automating the processing steps for obtaining bone tissue engineered substitutes: from imaging tools to bioreactors. </w:t>
      </w:r>
      <w:r>
        <w:rPr>
          <w:rFonts w:ascii="Calibri" w:hAnsi="Calibri"/>
          <w:i/>
          <w:sz w:val="24"/>
        </w:rPr>
        <w:t>Tissue engineering Part B:</w:t>
      </w:r>
      <w:r w:rsidRPr="004E7C4C">
        <w:rPr>
          <w:rFonts w:ascii="Calibri" w:hAnsi="Calibri"/>
          <w:i/>
          <w:sz w:val="24"/>
        </w:rPr>
        <w:t xml:space="preserve"> Reviews 20</w:t>
      </w:r>
      <w:r>
        <w:rPr>
          <w:rFonts w:ascii="Calibri" w:hAnsi="Calibri"/>
          <w:sz w:val="24"/>
        </w:rPr>
        <w:t xml:space="preserve">, </w:t>
      </w:r>
      <w:r w:rsidRPr="005E0378">
        <w:rPr>
          <w:rFonts w:ascii="Calibri" w:hAnsi="Calibri"/>
          <w:sz w:val="24"/>
        </w:rPr>
        <w:t xml:space="preserve">567–77.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88. </w:t>
      </w:r>
      <w:r w:rsidRPr="005E0378">
        <w:rPr>
          <w:rFonts w:ascii="Calibri" w:hAnsi="Calibri"/>
          <w:sz w:val="24"/>
        </w:rPr>
        <w:tab/>
        <w:t xml:space="preserve">Jamalpoor Z, Mirzadeh H, Joghataei MT, Zeini D, Bagheri-Khoulenjani S, Nourani MR. </w:t>
      </w:r>
      <w:r>
        <w:rPr>
          <w:rFonts w:ascii="Calibri" w:hAnsi="Calibri"/>
          <w:sz w:val="24"/>
        </w:rPr>
        <w:t xml:space="preserve">2014 </w:t>
      </w:r>
      <w:r w:rsidRPr="005E0378">
        <w:rPr>
          <w:rFonts w:ascii="Calibri" w:hAnsi="Calibri"/>
          <w:sz w:val="24"/>
        </w:rPr>
        <w:t xml:space="preserve">Fabrication of cancellous biomimetic chitosan-based nanocomposite scaffolds applying a combinational method for bone tissue engineering. </w:t>
      </w:r>
      <w:r w:rsidRPr="004E7C4C">
        <w:rPr>
          <w:rFonts w:ascii="Calibri" w:hAnsi="Calibri"/>
          <w:i/>
          <w:sz w:val="24"/>
        </w:rPr>
        <w:t>Journal of biomedical materials research Part A</w:t>
      </w:r>
      <w:r>
        <w:rPr>
          <w:rFonts w:ascii="Calibri" w:hAnsi="Calibri"/>
          <w:i/>
          <w:sz w:val="24"/>
        </w:rPr>
        <w:t xml:space="preserve"> 103, </w:t>
      </w:r>
      <w:r w:rsidRPr="005E0378">
        <w:rPr>
          <w:rFonts w:ascii="Calibri" w:hAnsi="Calibri"/>
          <w:sz w:val="24"/>
        </w:rPr>
        <w:t>1</w:t>
      </w:r>
      <w:r>
        <w:rPr>
          <w:rFonts w:ascii="Calibri" w:hAnsi="Calibri"/>
          <w:sz w:val="24"/>
        </w:rPr>
        <w:t>882–92.</w:t>
      </w:r>
    </w:p>
    <w:p w:rsidR="005D1052" w:rsidRPr="005E0378" w:rsidRDefault="005D1052" w:rsidP="005D1052">
      <w:pPr>
        <w:pStyle w:val="NormalWeb"/>
        <w:ind w:left="640" w:hanging="640"/>
        <w:rPr>
          <w:rFonts w:ascii="Calibri" w:hAnsi="Calibri"/>
          <w:sz w:val="24"/>
        </w:rPr>
      </w:pPr>
      <w:r w:rsidRPr="005E0378">
        <w:rPr>
          <w:rFonts w:ascii="Calibri" w:hAnsi="Calibri"/>
          <w:sz w:val="24"/>
        </w:rPr>
        <w:lastRenderedPageBreak/>
        <w:t xml:space="preserve">89. </w:t>
      </w:r>
      <w:r w:rsidRPr="005E0378">
        <w:rPr>
          <w:rFonts w:ascii="Calibri" w:hAnsi="Calibri"/>
          <w:sz w:val="24"/>
        </w:rPr>
        <w:tab/>
        <w:t xml:space="preserve">Melchels FPW, Bertoldi K, Gabbrielli R, Velders AH, Feijen J, Grijpma DW. </w:t>
      </w:r>
      <w:r>
        <w:rPr>
          <w:rFonts w:ascii="Calibri" w:hAnsi="Calibri"/>
          <w:sz w:val="24"/>
        </w:rPr>
        <w:t xml:space="preserve">2010 </w:t>
      </w:r>
      <w:r w:rsidRPr="005E0378">
        <w:rPr>
          <w:rFonts w:ascii="Calibri" w:hAnsi="Calibri"/>
          <w:sz w:val="24"/>
        </w:rPr>
        <w:t xml:space="preserve">Mathematically defined tissue engineering scaffold architectures prepared by stereolithography. </w:t>
      </w:r>
      <w:r w:rsidRPr="004E7C4C">
        <w:rPr>
          <w:rFonts w:ascii="Calibri" w:hAnsi="Calibri"/>
          <w:i/>
          <w:sz w:val="24"/>
        </w:rPr>
        <w:t>Biomaterials 31</w:t>
      </w:r>
      <w:r>
        <w:rPr>
          <w:rFonts w:ascii="Calibri" w:hAnsi="Calibri"/>
          <w:sz w:val="24"/>
        </w:rPr>
        <w:t xml:space="preserve">, </w:t>
      </w:r>
      <w:r w:rsidRPr="005E0378">
        <w:rPr>
          <w:rFonts w:ascii="Calibri" w:hAnsi="Calibri"/>
          <w:sz w:val="24"/>
        </w:rPr>
        <w:t xml:space="preserve">6909–16.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90. </w:t>
      </w:r>
      <w:r w:rsidRPr="005E0378">
        <w:rPr>
          <w:rFonts w:ascii="Calibri" w:hAnsi="Calibri"/>
          <w:sz w:val="24"/>
        </w:rPr>
        <w:tab/>
        <w:t xml:space="preserve">Jeon H, Lee H, Kim G. </w:t>
      </w:r>
      <w:r>
        <w:rPr>
          <w:rFonts w:ascii="Calibri" w:hAnsi="Calibri"/>
          <w:sz w:val="24"/>
        </w:rPr>
        <w:t xml:space="preserve">2014 </w:t>
      </w:r>
      <w:r w:rsidRPr="005E0378">
        <w:rPr>
          <w:rFonts w:ascii="Calibri" w:hAnsi="Calibri"/>
          <w:sz w:val="24"/>
        </w:rPr>
        <w:t>A Surface-Modified Poly(ɛ-caprolactone) Scaffold Comprising Variable Nanosized Surface-Roughness Using a Plasma Treat</w:t>
      </w:r>
      <w:r>
        <w:rPr>
          <w:rFonts w:ascii="Calibri" w:hAnsi="Calibri"/>
          <w:sz w:val="24"/>
        </w:rPr>
        <w:t xml:space="preserve">ment. </w:t>
      </w:r>
      <w:r w:rsidRPr="004E7C4C">
        <w:rPr>
          <w:rFonts w:ascii="Calibri" w:hAnsi="Calibri"/>
          <w:i/>
          <w:sz w:val="24"/>
        </w:rPr>
        <w:t>Tissue engineering Part C: Methods 20</w:t>
      </w:r>
      <w:r>
        <w:rPr>
          <w:rFonts w:ascii="Calibri" w:hAnsi="Calibri"/>
          <w:i/>
          <w:sz w:val="24"/>
        </w:rPr>
        <w:t>,</w:t>
      </w:r>
      <w:r>
        <w:rPr>
          <w:rFonts w:ascii="Calibri" w:hAnsi="Calibri"/>
          <w:sz w:val="24"/>
        </w:rPr>
        <w:t xml:space="preserve"> </w:t>
      </w:r>
      <w:r w:rsidRPr="005E0378">
        <w:rPr>
          <w:rFonts w:ascii="Calibri" w:hAnsi="Calibri"/>
          <w:sz w:val="24"/>
        </w:rPr>
        <w:t xml:space="preserve">951–63.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91. </w:t>
      </w:r>
      <w:r w:rsidRPr="005E0378">
        <w:rPr>
          <w:rFonts w:ascii="Calibri" w:hAnsi="Calibri"/>
          <w:sz w:val="24"/>
        </w:rPr>
        <w:tab/>
        <w:t xml:space="preserve">Luczynski KW, Brynk T, Ostrowska B, Swieszkowski W, Reihsner R, Hellmich C. </w:t>
      </w:r>
      <w:r>
        <w:rPr>
          <w:rFonts w:ascii="Calibri" w:hAnsi="Calibri"/>
          <w:sz w:val="24"/>
        </w:rPr>
        <w:t xml:space="preserve">2013 </w:t>
      </w:r>
      <w:r w:rsidRPr="005E0378">
        <w:rPr>
          <w:rFonts w:ascii="Calibri" w:hAnsi="Calibri"/>
          <w:sz w:val="24"/>
        </w:rPr>
        <w:t xml:space="preserve">Consistent quasistatic and acoustic elasticity determination of poly-L-lactide-based rapid-prototyped tissue engineering scaffolds. </w:t>
      </w:r>
      <w:r w:rsidRPr="004E7C4C">
        <w:rPr>
          <w:rFonts w:ascii="Calibri" w:hAnsi="Calibri"/>
          <w:i/>
          <w:sz w:val="24"/>
        </w:rPr>
        <w:t xml:space="preserve">Journal of Biomedical Materials Research </w:t>
      </w:r>
      <w:r>
        <w:rPr>
          <w:rFonts w:ascii="Calibri" w:hAnsi="Calibri"/>
          <w:i/>
          <w:sz w:val="24"/>
        </w:rPr>
        <w:t xml:space="preserve">Part A </w:t>
      </w:r>
      <w:r w:rsidRPr="004E7C4C">
        <w:rPr>
          <w:rFonts w:ascii="Calibri" w:hAnsi="Calibri"/>
          <w:i/>
          <w:sz w:val="24"/>
        </w:rPr>
        <w:t>101</w:t>
      </w:r>
      <w:r>
        <w:rPr>
          <w:rFonts w:ascii="Calibri" w:hAnsi="Calibri"/>
          <w:sz w:val="24"/>
        </w:rPr>
        <w:t xml:space="preserve"> </w:t>
      </w:r>
      <w:r w:rsidRPr="00481A0B">
        <w:rPr>
          <w:rFonts w:ascii="Calibri" w:hAnsi="Calibri"/>
          <w:i/>
          <w:sz w:val="24"/>
        </w:rPr>
        <w:t>A</w:t>
      </w:r>
      <w:r>
        <w:rPr>
          <w:rFonts w:ascii="Calibri" w:hAnsi="Calibri"/>
          <w:sz w:val="24"/>
        </w:rPr>
        <w:t>,</w:t>
      </w:r>
      <w:r w:rsidRPr="005E0378">
        <w:rPr>
          <w:rFonts w:ascii="Calibri" w:hAnsi="Calibri"/>
          <w:sz w:val="24"/>
        </w:rPr>
        <w:t xml:space="preserve">138–44.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92. </w:t>
      </w:r>
      <w:r w:rsidRPr="005E0378">
        <w:rPr>
          <w:rFonts w:ascii="Calibri" w:hAnsi="Calibri"/>
          <w:sz w:val="24"/>
        </w:rPr>
        <w:tab/>
        <w:t xml:space="preserve">Wieding J, Jonitz A, Bader R. </w:t>
      </w:r>
      <w:r>
        <w:rPr>
          <w:rFonts w:ascii="Calibri" w:hAnsi="Calibri"/>
          <w:sz w:val="24"/>
        </w:rPr>
        <w:t xml:space="preserve">2012 </w:t>
      </w:r>
      <w:r w:rsidRPr="005E0378">
        <w:rPr>
          <w:rFonts w:ascii="Calibri" w:hAnsi="Calibri"/>
          <w:sz w:val="24"/>
        </w:rPr>
        <w:t>The effect of structural design on mechanical properties and cellular response of additive manufactured tita</w:t>
      </w:r>
      <w:r>
        <w:rPr>
          <w:rFonts w:ascii="Calibri" w:hAnsi="Calibri"/>
          <w:sz w:val="24"/>
        </w:rPr>
        <w:t xml:space="preserve">nium scaffolds. </w:t>
      </w:r>
      <w:r w:rsidRPr="00481A0B">
        <w:rPr>
          <w:rFonts w:ascii="Calibri" w:hAnsi="Calibri"/>
          <w:i/>
          <w:sz w:val="24"/>
        </w:rPr>
        <w:t>Materials 5</w:t>
      </w:r>
      <w:r>
        <w:rPr>
          <w:rFonts w:ascii="Calibri" w:hAnsi="Calibri"/>
          <w:sz w:val="24"/>
        </w:rPr>
        <w:t xml:space="preserve">, </w:t>
      </w:r>
      <w:r w:rsidRPr="005E0378">
        <w:rPr>
          <w:rFonts w:ascii="Calibri" w:hAnsi="Calibri"/>
          <w:sz w:val="24"/>
        </w:rPr>
        <w:t xml:space="preserve">1336–47.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93. </w:t>
      </w:r>
      <w:r w:rsidRPr="005E0378">
        <w:rPr>
          <w:rFonts w:ascii="Calibri" w:hAnsi="Calibri"/>
          <w:sz w:val="24"/>
        </w:rPr>
        <w:tab/>
        <w:t xml:space="preserve">Eshraghi S, Das S. </w:t>
      </w:r>
      <w:r>
        <w:rPr>
          <w:rFonts w:ascii="Calibri" w:hAnsi="Calibri"/>
          <w:sz w:val="24"/>
        </w:rPr>
        <w:t xml:space="preserve">2012 </w:t>
      </w:r>
      <w:r w:rsidRPr="005E0378">
        <w:rPr>
          <w:rFonts w:ascii="Calibri" w:hAnsi="Calibri"/>
          <w:sz w:val="24"/>
        </w:rPr>
        <w:t xml:space="preserve">Micromechanical finite-element modeling and experimental characterization of the compressive mechanical properties of polycaprolactone-hydroxyapatite composite scaffolds prepared by selective laser sintering for bone tissue engineering. </w:t>
      </w:r>
      <w:r w:rsidRPr="00481A0B">
        <w:rPr>
          <w:rFonts w:ascii="Calibri" w:hAnsi="Calibri"/>
          <w:i/>
          <w:sz w:val="24"/>
        </w:rPr>
        <w:t>Acta Biomaterialia 8</w:t>
      </w:r>
      <w:r>
        <w:rPr>
          <w:rFonts w:ascii="Calibri" w:hAnsi="Calibri"/>
          <w:sz w:val="24"/>
        </w:rPr>
        <w:t xml:space="preserve">, </w:t>
      </w:r>
      <w:r w:rsidRPr="005E0378">
        <w:rPr>
          <w:rFonts w:ascii="Calibri" w:hAnsi="Calibri"/>
          <w:sz w:val="24"/>
        </w:rPr>
        <w:t xml:space="preserve">3138–43.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94. </w:t>
      </w:r>
      <w:r w:rsidRPr="005E0378">
        <w:rPr>
          <w:rFonts w:ascii="Calibri" w:hAnsi="Calibri"/>
          <w:sz w:val="24"/>
        </w:rPr>
        <w:tab/>
        <w:t xml:space="preserve">Ren LM, Arahira T, Todo M, Yoshikawa H, Myoui A. </w:t>
      </w:r>
      <w:r>
        <w:rPr>
          <w:rFonts w:ascii="Calibri" w:hAnsi="Calibri"/>
          <w:sz w:val="24"/>
        </w:rPr>
        <w:t xml:space="preserve">2012 </w:t>
      </w:r>
      <w:r w:rsidRPr="005E0378">
        <w:rPr>
          <w:rFonts w:ascii="Calibri" w:hAnsi="Calibri"/>
          <w:sz w:val="24"/>
        </w:rPr>
        <w:t xml:space="preserve">Biomechanical evaluation of porous bioactive ceramics after implantation: Micro CT-based three-dimensional finite element analysis. </w:t>
      </w:r>
      <w:r w:rsidRPr="00481A0B">
        <w:rPr>
          <w:rFonts w:ascii="Calibri" w:hAnsi="Calibri"/>
          <w:i/>
          <w:sz w:val="24"/>
        </w:rPr>
        <w:t>Journal of Materials Science: Materials in Medicine 23</w:t>
      </w:r>
      <w:r>
        <w:rPr>
          <w:rFonts w:ascii="Calibri" w:hAnsi="Calibri"/>
          <w:sz w:val="24"/>
        </w:rPr>
        <w:t xml:space="preserve">, </w:t>
      </w:r>
      <w:r w:rsidRPr="005E0378">
        <w:rPr>
          <w:rFonts w:ascii="Calibri" w:hAnsi="Calibri"/>
          <w:sz w:val="24"/>
        </w:rPr>
        <w:t xml:space="preserve">463–72.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95. </w:t>
      </w:r>
      <w:r w:rsidRPr="005E0378">
        <w:rPr>
          <w:rFonts w:ascii="Calibri" w:hAnsi="Calibri"/>
          <w:sz w:val="24"/>
        </w:rPr>
        <w:tab/>
        <w:t xml:space="preserve">Lohfeld S, Cahill S, Doyle H, McHugh PE. </w:t>
      </w:r>
      <w:r>
        <w:rPr>
          <w:rFonts w:ascii="Calibri" w:hAnsi="Calibri"/>
          <w:sz w:val="24"/>
        </w:rPr>
        <w:t xml:space="preserve">2015 </w:t>
      </w:r>
      <w:r w:rsidRPr="005E0378">
        <w:rPr>
          <w:rFonts w:ascii="Calibri" w:hAnsi="Calibri"/>
          <w:sz w:val="24"/>
        </w:rPr>
        <w:t xml:space="preserve">Improving the finite element model accuracy of tissue engineering scaffolds produced by selective laser sintering. </w:t>
      </w:r>
      <w:r w:rsidRPr="00481A0B">
        <w:rPr>
          <w:rFonts w:ascii="Calibri" w:hAnsi="Calibri"/>
          <w:i/>
          <w:sz w:val="24"/>
        </w:rPr>
        <w:t>Journal of Materials Science: Materials in Medicine 26</w:t>
      </w:r>
      <w:r>
        <w:rPr>
          <w:rFonts w:ascii="Calibri" w:hAnsi="Calibri"/>
          <w:sz w:val="24"/>
        </w:rPr>
        <w:t>, 1-12</w:t>
      </w:r>
      <w:r w:rsidRPr="005E0378">
        <w:rPr>
          <w:rFonts w:ascii="Calibri" w:hAnsi="Calibri"/>
          <w:sz w:val="24"/>
        </w:rPr>
        <w:t xml:space="preserve">. </w:t>
      </w:r>
    </w:p>
    <w:p w:rsidR="005D1052" w:rsidRPr="005E0378" w:rsidRDefault="005D1052" w:rsidP="005D1052">
      <w:pPr>
        <w:pStyle w:val="NormalWeb"/>
        <w:ind w:left="640" w:hanging="640"/>
        <w:rPr>
          <w:rFonts w:ascii="Calibri" w:hAnsi="Calibri"/>
          <w:sz w:val="24"/>
        </w:rPr>
      </w:pPr>
      <w:r>
        <w:rPr>
          <w:rFonts w:ascii="Calibri" w:hAnsi="Calibri"/>
          <w:sz w:val="24"/>
        </w:rPr>
        <w:t xml:space="preserve">96. </w:t>
      </w:r>
      <w:r>
        <w:rPr>
          <w:rFonts w:ascii="Calibri" w:hAnsi="Calibri"/>
          <w:sz w:val="24"/>
        </w:rPr>
        <w:tab/>
        <w:t>Ochoa I, Sanz-Herrera JA</w:t>
      </w:r>
      <w:r w:rsidRPr="00481A0B">
        <w:rPr>
          <w:rFonts w:ascii="Calibri" w:hAnsi="Calibri"/>
          <w:sz w:val="24"/>
        </w:rPr>
        <w:t xml:space="preserve">, García-Aznar JM, Doblaré M, Yunos DM, Boccaccini AR. 2009 </w:t>
      </w:r>
      <w:r w:rsidRPr="005E0378">
        <w:rPr>
          <w:rFonts w:ascii="Calibri" w:hAnsi="Calibri"/>
          <w:sz w:val="24"/>
        </w:rPr>
        <w:t xml:space="preserve">Permeability evaluation of 45S5 Bioglass-based scaffolds for bone tissue engineering. </w:t>
      </w:r>
      <w:r w:rsidRPr="00481A0B">
        <w:rPr>
          <w:rFonts w:ascii="Calibri" w:hAnsi="Calibri"/>
          <w:i/>
          <w:sz w:val="24"/>
        </w:rPr>
        <w:t>Journal of biomechanics 42</w:t>
      </w:r>
      <w:r>
        <w:rPr>
          <w:rFonts w:ascii="Calibri" w:hAnsi="Calibri"/>
          <w:sz w:val="24"/>
        </w:rPr>
        <w:t xml:space="preserve">, </w:t>
      </w:r>
      <w:r w:rsidRPr="005E0378">
        <w:rPr>
          <w:rFonts w:ascii="Calibri" w:hAnsi="Calibri"/>
          <w:sz w:val="24"/>
        </w:rPr>
        <w:t xml:space="preserve">257–60.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97. </w:t>
      </w:r>
      <w:r w:rsidRPr="005E0378">
        <w:rPr>
          <w:rFonts w:ascii="Calibri" w:hAnsi="Calibri"/>
          <w:sz w:val="24"/>
        </w:rPr>
        <w:tab/>
        <w:t xml:space="preserve">Truscello S, Kerckhofs G, Van Bael S, Pyka G, Schrooten J, Van Oosterwyck H. </w:t>
      </w:r>
      <w:r>
        <w:rPr>
          <w:rFonts w:ascii="Calibri" w:hAnsi="Calibri"/>
          <w:sz w:val="24"/>
        </w:rPr>
        <w:t xml:space="preserve">2012 </w:t>
      </w:r>
      <w:r w:rsidRPr="005E0378">
        <w:rPr>
          <w:rFonts w:ascii="Calibri" w:hAnsi="Calibri"/>
          <w:sz w:val="24"/>
        </w:rPr>
        <w:t xml:space="preserve">Prediction of permeability of regular scaffolds for skeletal tissue engineering: a combined computational and experimental study. </w:t>
      </w:r>
      <w:r w:rsidRPr="00481A0B">
        <w:rPr>
          <w:rFonts w:ascii="Calibri" w:hAnsi="Calibri"/>
          <w:i/>
          <w:sz w:val="24"/>
        </w:rPr>
        <w:t>Acta biomaterialia 8</w:t>
      </w:r>
      <w:r>
        <w:rPr>
          <w:rFonts w:ascii="Calibri" w:hAnsi="Calibri"/>
          <w:sz w:val="24"/>
        </w:rPr>
        <w:t xml:space="preserve">, </w:t>
      </w:r>
      <w:r w:rsidRPr="005E0378">
        <w:rPr>
          <w:rFonts w:ascii="Calibri" w:hAnsi="Calibri"/>
          <w:sz w:val="24"/>
        </w:rPr>
        <w:t xml:space="preserve">1648–58.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98. </w:t>
      </w:r>
      <w:r w:rsidRPr="005E0378">
        <w:rPr>
          <w:rFonts w:ascii="Calibri" w:hAnsi="Calibri"/>
          <w:sz w:val="24"/>
        </w:rPr>
        <w:tab/>
        <w:t xml:space="preserve">Maes F, Claessens T, Moesen M, Van Oosterwyck H, Van Ransbeeck P, Verdonck P. </w:t>
      </w:r>
      <w:r>
        <w:rPr>
          <w:rFonts w:ascii="Calibri" w:hAnsi="Calibri"/>
          <w:sz w:val="24"/>
        </w:rPr>
        <w:t xml:space="preserve">2012 </w:t>
      </w:r>
      <w:r w:rsidRPr="005E0378">
        <w:rPr>
          <w:rFonts w:ascii="Calibri" w:hAnsi="Calibri"/>
          <w:sz w:val="24"/>
        </w:rPr>
        <w:t xml:space="preserve">Computational models for wall shear stress estimation in scaffolds: a comparative study of two complete geometries. </w:t>
      </w:r>
      <w:r w:rsidRPr="00481A0B">
        <w:rPr>
          <w:rFonts w:ascii="Calibri" w:hAnsi="Calibri"/>
          <w:i/>
          <w:sz w:val="24"/>
        </w:rPr>
        <w:t>Journal of biomechanics 45</w:t>
      </w:r>
      <w:r>
        <w:rPr>
          <w:rFonts w:ascii="Calibri" w:hAnsi="Calibri"/>
          <w:sz w:val="24"/>
        </w:rPr>
        <w:t xml:space="preserve">, </w:t>
      </w:r>
      <w:r w:rsidRPr="005E0378">
        <w:rPr>
          <w:rFonts w:ascii="Calibri" w:hAnsi="Calibri"/>
          <w:sz w:val="24"/>
        </w:rPr>
        <w:t xml:space="preserve">1586–92. </w:t>
      </w:r>
    </w:p>
    <w:p w:rsidR="005D1052" w:rsidRPr="005E0378" w:rsidRDefault="005D1052" w:rsidP="005D1052">
      <w:pPr>
        <w:pStyle w:val="NormalWeb"/>
        <w:ind w:left="640" w:hanging="640"/>
        <w:rPr>
          <w:rFonts w:ascii="Calibri" w:hAnsi="Calibri"/>
          <w:sz w:val="24"/>
        </w:rPr>
      </w:pPr>
      <w:r w:rsidRPr="00481A0B">
        <w:rPr>
          <w:rFonts w:ascii="Calibri" w:hAnsi="Calibri"/>
          <w:sz w:val="24"/>
        </w:rPr>
        <w:lastRenderedPageBreak/>
        <w:t xml:space="preserve">99. </w:t>
      </w:r>
      <w:r w:rsidRPr="00481A0B">
        <w:rPr>
          <w:rFonts w:ascii="Calibri" w:hAnsi="Calibri"/>
          <w:sz w:val="24"/>
        </w:rPr>
        <w:tab/>
        <w:t xml:space="preserve">Jungreuthmayer C, Donahue SW, Jaasma MJ, Al-Munajjed AA, Zanghellini J, Kelly DJ, O'Brien FJ. 2009 </w:t>
      </w:r>
      <w:r w:rsidRPr="005E0378">
        <w:rPr>
          <w:rFonts w:ascii="Calibri" w:hAnsi="Calibri"/>
          <w:sz w:val="24"/>
        </w:rPr>
        <w:t xml:space="preserve">A comparative study of shear stresses in collagen-glycosaminoglycan and calcium phosphate scaffolds in bone tissue-engineering bioreactors. </w:t>
      </w:r>
      <w:r w:rsidRPr="00481A0B">
        <w:rPr>
          <w:rFonts w:ascii="Calibri" w:hAnsi="Calibri"/>
          <w:i/>
          <w:sz w:val="24"/>
        </w:rPr>
        <w:t>Tissue engineering Part A 15</w:t>
      </w:r>
      <w:r>
        <w:rPr>
          <w:rFonts w:ascii="Calibri" w:hAnsi="Calibri"/>
          <w:sz w:val="24"/>
        </w:rPr>
        <w:t xml:space="preserve">, </w:t>
      </w:r>
      <w:r w:rsidRPr="005E0378">
        <w:rPr>
          <w:rFonts w:ascii="Calibri" w:hAnsi="Calibri"/>
          <w:sz w:val="24"/>
        </w:rPr>
        <w:t xml:space="preserve">1141–9. </w:t>
      </w:r>
    </w:p>
    <w:p w:rsidR="005D1052" w:rsidRPr="005E0378" w:rsidRDefault="005D1052" w:rsidP="005D1052">
      <w:pPr>
        <w:pStyle w:val="NormalWeb"/>
        <w:ind w:left="640" w:hanging="640"/>
        <w:rPr>
          <w:rFonts w:ascii="Calibri" w:hAnsi="Calibri"/>
          <w:sz w:val="24"/>
        </w:rPr>
      </w:pPr>
      <w:r>
        <w:rPr>
          <w:rFonts w:ascii="Calibri" w:hAnsi="Calibri"/>
          <w:sz w:val="24"/>
        </w:rPr>
        <w:t xml:space="preserve">100. </w:t>
      </w:r>
      <w:r>
        <w:rPr>
          <w:rFonts w:ascii="Calibri" w:hAnsi="Calibri"/>
          <w:sz w:val="24"/>
        </w:rPr>
        <w:tab/>
        <w:t>Goldstein A</w:t>
      </w:r>
      <w:r w:rsidRPr="005E0378">
        <w:rPr>
          <w:rFonts w:ascii="Calibri" w:hAnsi="Calibri"/>
          <w:sz w:val="24"/>
        </w:rPr>
        <w:t>S, Juarez TM</w:t>
      </w:r>
      <w:r>
        <w:rPr>
          <w:rFonts w:ascii="Calibri" w:hAnsi="Calibri"/>
          <w:sz w:val="24"/>
        </w:rPr>
        <w:t>, Helmke CD, Gustin MC, Mikos A</w:t>
      </w:r>
      <w:r w:rsidRPr="005E0378">
        <w:rPr>
          <w:rFonts w:ascii="Calibri" w:hAnsi="Calibri"/>
          <w:sz w:val="24"/>
        </w:rPr>
        <w:t xml:space="preserve">G. </w:t>
      </w:r>
      <w:r>
        <w:rPr>
          <w:rFonts w:ascii="Calibri" w:hAnsi="Calibri"/>
          <w:sz w:val="24"/>
        </w:rPr>
        <w:t xml:space="preserve">2001 </w:t>
      </w:r>
      <w:r w:rsidRPr="005E0378">
        <w:rPr>
          <w:rFonts w:ascii="Calibri" w:hAnsi="Calibri"/>
          <w:sz w:val="24"/>
        </w:rPr>
        <w:t xml:space="preserve">Effect of convection on osteoblastic cell growth and function in biodegradable polymer foam scaffolds. </w:t>
      </w:r>
      <w:r w:rsidRPr="00A409BF">
        <w:rPr>
          <w:rFonts w:ascii="Calibri" w:hAnsi="Calibri"/>
          <w:i/>
          <w:sz w:val="24"/>
        </w:rPr>
        <w:t>Biomaterials 22</w:t>
      </w:r>
      <w:r>
        <w:rPr>
          <w:rFonts w:ascii="Calibri" w:hAnsi="Calibri"/>
          <w:sz w:val="24"/>
        </w:rPr>
        <w:t xml:space="preserve">, </w:t>
      </w:r>
      <w:r w:rsidRPr="005E0378">
        <w:rPr>
          <w:rFonts w:ascii="Calibri" w:hAnsi="Calibri"/>
          <w:sz w:val="24"/>
        </w:rPr>
        <w:t xml:space="preserve">1279–88.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101. </w:t>
      </w:r>
      <w:r w:rsidRPr="005E0378">
        <w:rPr>
          <w:rFonts w:ascii="Calibri" w:hAnsi="Calibri"/>
          <w:sz w:val="24"/>
        </w:rPr>
        <w:tab/>
        <w:t xml:space="preserve">Wang S, Tarbell JM. </w:t>
      </w:r>
      <w:r>
        <w:rPr>
          <w:rFonts w:ascii="Calibri" w:hAnsi="Calibri"/>
          <w:sz w:val="24"/>
        </w:rPr>
        <w:t xml:space="preserve">2000 </w:t>
      </w:r>
      <w:r w:rsidRPr="005E0378">
        <w:rPr>
          <w:rFonts w:ascii="Calibri" w:hAnsi="Calibri"/>
          <w:sz w:val="24"/>
        </w:rPr>
        <w:t xml:space="preserve">Effect of fluid flow on smooth muscle cells in a 3-dimensional collagen gel model. </w:t>
      </w:r>
      <w:r w:rsidRPr="00A409BF">
        <w:rPr>
          <w:rFonts w:ascii="Calibri" w:hAnsi="Calibri"/>
          <w:i/>
          <w:sz w:val="24"/>
        </w:rPr>
        <w:t>Arteriosclerosis, thrombosis, and vascular biology 20</w:t>
      </w:r>
      <w:r>
        <w:rPr>
          <w:rFonts w:ascii="Calibri" w:hAnsi="Calibri"/>
          <w:sz w:val="24"/>
        </w:rPr>
        <w:t xml:space="preserve">, </w:t>
      </w:r>
      <w:r w:rsidRPr="005E0378">
        <w:rPr>
          <w:rFonts w:ascii="Calibri" w:hAnsi="Calibri"/>
          <w:sz w:val="24"/>
        </w:rPr>
        <w:t xml:space="preserve">2220–5.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102. </w:t>
      </w:r>
      <w:r w:rsidRPr="005E0378">
        <w:rPr>
          <w:rFonts w:ascii="Calibri" w:hAnsi="Calibri"/>
          <w:sz w:val="24"/>
        </w:rPr>
        <w:tab/>
        <w:t xml:space="preserve">Hollister SJ. </w:t>
      </w:r>
      <w:r>
        <w:rPr>
          <w:rFonts w:ascii="Calibri" w:hAnsi="Calibri"/>
          <w:sz w:val="24"/>
        </w:rPr>
        <w:t xml:space="preserve">2009 </w:t>
      </w:r>
      <w:r w:rsidRPr="005E0378">
        <w:rPr>
          <w:rFonts w:ascii="Calibri" w:hAnsi="Calibri"/>
          <w:sz w:val="24"/>
        </w:rPr>
        <w:t xml:space="preserve">Scaffold Design and Manufacturing: From Concept to Clinic. </w:t>
      </w:r>
      <w:r w:rsidRPr="00A409BF">
        <w:rPr>
          <w:rFonts w:ascii="Calibri" w:hAnsi="Calibri"/>
          <w:i/>
          <w:sz w:val="24"/>
        </w:rPr>
        <w:t>Advanced Materials 21</w:t>
      </w:r>
      <w:r>
        <w:rPr>
          <w:rFonts w:ascii="Calibri" w:hAnsi="Calibri"/>
          <w:sz w:val="24"/>
        </w:rPr>
        <w:t xml:space="preserve">, </w:t>
      </w:r>
      <w:r w:rsidRPr="005E0378">
        <w:rPr>
          <w:rFonts w:ascii="Calibri" w:hAnsi="Calibri"/>
          <w:sz w:val="24"/>
        </w:rPr>
        <w:t xml:space="preserve">3330–42.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103. </w:t>
      </w:r>
      <w:r w:rsidRPr="005E0378">
        <w:rPr>
          <w:rFonts w:ascii="Calibri" w:hAnsi="Calibri"/>
          <w:sz w:val="24"/>
        </w:rPr>
        <w:tab/>
        <w:t>Do</w:t>
      </w:r>
      <w:r>
        <w:rPr>
          <w:rFonts w:ascii="Calibri" w:hAnsi="Calibri"/>
          <w:sz w:val="24"/>
        </w:rPr>
        <w:t>mingos M, Chiellini F, Gloria A</w:t>
      </w:r>
      <w:r w:rsidRPr="005E0378">
        <w:rPr>
          <w:rFonts w:ascii="Calibri" w:hAnsi="Calibri"/>
          <w:sz w:val="24"/>
        </w:rPr>
        <w:t xml:space="preserve">, Ambrosio L, Bartolo P, Chiellini E. </w:t>
      </w:r>
      <w:r>
        <w:rPr>
          <w:rFonts w:ascii="Calibri" w:hAnsi="Calibri"/>
          <w:sz w:val="24"/>
        </w:rPr>
        <w:t xml:space="preserve">2012 </w:t>
      </w:r>
      <w:r w:rsidRPr="005E0378">
        <w:rPr>
          <w:rFonts w:ascii="Calibri" w:hAnsi="Calibri"/>
          <w:sz w:val="24"/>
        </w:rPr>
        <w:t>Effect of process parameters on the morphological and mechanical pro</w:t>
      </w:r>
      <w:r>
        <w:rPr>
          <w:rFonts w:ascii="Calibri" w:hAnsi="Calibri"/>
          <w:sz w:val="24"/>
        </w:rPr>
        <w:t>perties of 3D Bioextruded poly(</w:t>
      </w:r>
      <w:r>
        <w:rPr>
          <w:rFonts w:ascii="Times New Roman" w:hAnsi="Times New Roman"/>
          <w:sz w:val="24"/>
        </w:rPr>
        <w:t>ε</w:t>
      </w:r>
      <w:r w:rsidRPr="005E0378">
        <w:rPr>
          <w:rFonts w:ascii="Calibri" w:hAnsi="Calibri"/>
          <w:sz w:val="24"/>
        </w:rPr>
        <w:t>-caprolactone) scaffolds.</w:t>
      </w:r>
      <w:r w:rsidRPr="00A409BF">
        <w:rPr>
          <w:rFonts w:ascii="Calibri" w:hAnsi="Calibri"/>
          <w:i/>
          <w:sz w:val="24"/>
        </w:rPr>
        <w:t xml:space="preserve"> Rapid Prototyping Journal 18</w:t>
      </w:r>
      <w:r>
        <w:rPr>
          <w:rFonts w:ascii="Calibri" w:hAnsi="Calibri"/>
          <w:sz w:val="24"/>
        </w:rPr>
        <w:t xml:space="preserve">, </w:t>
      </w:r>
      <w:r w:rsidRPr="005E0378">
        <w:rPr>
          <w:rFonts w:ascii="Calibri" w:hAnsi="Calibri"/>
          <w:sz w:val="24"/>
        </w:rPr>
        <w:t xml:space="preserve">56–67.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104. </w:t>
      </w:r>
      <w:r w:rsidRPr="005E0378">
        <w:rPr>
          <w:rFonts w:ascii="Calibri" w:hAnsi="Calibri"/>
          <w:sz w:val="24"/>
        </w:rPr>
        <w:tab/>
        <w:t xml:space="preserve">Ryan G, McGarry P, Pandit A, Apatsidis D. </w:t>
      </w:r>
      <w:r>
        <w:rPr>
          <w:rFonts w:ascii="Calibri" w:hAnsi="Calibri"/>
          <w:sz w:val="24"/>
        </w:rPr>
        <w:t xml:space="preserve">2009 </w:t>
      </w:r>
      <w:r w:rsidRPr="005E0378">
        <w:rPr>
          <w:rFonts w:ascii="Calibri" w:hAnsi="Calibri"/>
          <w:sz w:val="24"/>
        </w:rPr>
        <w:t xml:space="preserve">Analysis of the mechanical behavior of a titanium scaffold with a repeating unit-cell substructure. </w:t>
      </w:r>
      <w:r w:rsidRPr="00A409BF">
        <w:rPr>
          <w:rFonts w:ascii="Calibri" w:hAnsi="Calibri"/>
          <w:i/>
          <w:sz w:val="24"/>
        </w:rPr>
        <w:t>Journal of biomedical materials research Part B: Applied biomaterials 90</w:t>
      </w:r>
      <w:r>
        <w:rPr>
          <w:rFonts w:ascii="Calibri" w:hAnsi="Calibri"/>
          <w:sz w:val="24"/>
        </w:rPr>
        <w:t xml:space="preserve">, </w:t>
      </w:r>
      <w:r w:rsidRPr="005E0378">
        <w:rPr>
          <w:rFonts w:ascii="Calibri" w:hAnsi="Calibri"/>
          <w:sz w:val="24"/>
        </w:rPr>
        <w:t xml:space="preserve">894–906.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105. </w:t>
      </w:r>
      <w:r w:rsidRPr="005E0378">
        <w:rPr>
          <w:rFonts w:ascii="Calibri" w:hAnsi="Calibri"/>
          <w:sz w:val="24"/>
        </w:rPr>
        <w:tab/>
        <w:t xml:space="preserve">Podshivalov L, Gomes CM, Zocca A, Guenster J, Bar-Yoseph P, Fischer A. </w:t>
      </w:r>
      <w:r>
        <w:rPr>
          <w:rFonts w:ascii="Calibri" w:hAnsi="Calibri"/>
          <w:sz w:val="24"/>
        </w:rPr>
        <w:t xml:space="preserve">2014 </w:t>
      </w:r>
      <w:r w:rsidRPr="005E0378">
        <w:rPr>
          <w:rFonts w:ascii="Calibri" w:hAnsi="Calibri"/>
          <w:sz w:val="24"/>
        </w:rPr>
        <w:t xml:space="preserve">Design, Analysis and Additive Manufacturing of Porous Structures for Biocompatible Micro-Scale Scaffolds. </w:t>
      </w:r>
      <w:r w:rsidRPr="00A409BF">
        <w:rPr>
          <w:rFonts w:ascii="Calibri" w:hAnsi="Calibri"/>
          <w:i/>
          <w:sz w:val="24"/>
        </w:rPr>
        <w:t>Procedia CIRP 5</w:t>
      </w:r>
      <w:r>
        <w:rPr>
          <w:rFonts w:ascii="Calibri" w:hAnsi="Calibri"/>
          <w:sz w:val="24"/>
        </w:rPr>
        <w:t xml:space="preserve">, </w:t>
      </w:r>
      <w:r w:rsidRPr="005E0378">
        <w:rPr>
          <w:rFonts w:ascii="Calibri" w:hAnsi="Calibri"/>
          <w:sz w:val="24"/>
        </w:rPr>
        <w:t xml:space="preserve">247–52.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106. </w:t>
      </w:r>
      <w:r w:rsidRPr="005E0378">
        <w:rPr>
          <w:rFonts w:ascii="Calibri" w:hAnsi="Calibri"/>
          <w:sz w:val="24"/>
        </w:rPr>
        <w:tab/>
      </w:r>
      <w:r w:rsidRPr="00A409BF">
        <w:rPr>
          <w:rFonts w:ascii="Calibri" w:hAnsi="Calibri"/>
          <w:sz w:val="24"/>
        </w:rPr>
        <w:t xml:space="preserve">Morrison RJ, Kashlan KN, Flanangan CL, Wright JK, Green </w:t>
      </w:r>
      <w:r>
        <w:rPr>
          <w:rFonts w:ascii="Calibri" w:hAnsi="Calibri"/>
          <w:sz w:val="24"/>
        </w:rPr>
        <w:t>GE, Hollister SJ, Weatherwax KJ</w:t>
      </w:r>
      <w:r w:rsidRPr="005E0378">
        <w:rPr>
          <w:rFonts w:ascii="Calibri" w:hAnsi="Calibri"/>
          <w:sz w:val="24"/>
        </w:rPr>
        <w:t xml:space="preserve">. </w:t>
      </w:r>
      <w:r>
        <w:rPr>
          <w:rFonts w:ascii="Calibri" w:hAnsi="Calibri"/>
          <w:sz w:val="24"/>
        </w:rPr>
        <w:t xml:space="preserve">2015 </w:t>
      </w:r>
      <w:r w:rsidRPr="005E0378">
        <w:rPr>
          <w:rFonts w:ascii="Calibri" w:hAnsi="Calibri"/>
          <w:sz w:val="24"/>
        </w:rPr>
        <w:t xml:space="preserve">Regulatory Considerations in the Design and Manufacturing of Implantable 3D-Printed Medical Devices. </w:t>
      </w:r>
      <w:r w:rsidRPr="00A409BF">
        <w:rPr>
          <w:rFonts w:ascii="Calibri" w:hAnsi="Calibri"/>
          <w:i/>
          <w:sz w:val="24"/>
        </w:rPr>
        <w:t>Clinical and Translational Science 8</w:t>
      </w:r>
      <w:r>
        <w:rPr>
          <w:rFonts w:ascii="Calibri" w:hAnsi="Calibri"/>
          <w:sz w:val="24"/>
        </w:rPr>
        <w:t xml:space="preserve">, </w:t>
      </w:r>
      <w:r w:rsidRPr="005E0378">
        <w:rPr>
          <w:rFonts w:ascii="Calibri" w:hAnsi="Calibri"/>
          <w:sz w:val="24"/>
        </w:rPr>
        <w:t xml:space="preserve">594–600.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107. </w:t>
      </w:r>
      <w:r w:rsidRPr="005E0378">
        <w:rPr>
          <w:rFonts w:ascii="Calibri" w:hAnsi="Calibri"/>
          <w:sz w:val="24"/>
        </w:rPr>
        <w:tab/>
        <w:t xml:space="preserve">Nishi M, Matsumoto R, Dong J, Uemura T. </w:t>
      </w:r>
      <w:r>
        <w:rPr>
          <w:rFonts w:ascii="Calibri" w:hAnsi="Calibri"/>
          <w:sz w:val="24"/>
        </w:rPr>
        <w:t xml:space="preserve">2013 </w:t>
      </w:r>
      <w:r w:rsidRPr="005E0378">
        <w:rPr>
          <w:rFonts w:ascii="Calibri" w:hAnsi="Calibri"/>
          <w:sz w:val="24"/>
        </w:rPr>
        <w:t xml:space="preserve">Engineered bone tissue associated with vascularization utilizing a rotating wall vessel bioreactor. </w:t>
      </w:r>
      <w:r w:rsidRPr="00A409BF">
        <w:rPr>
          <w:rFonts w:ascii="Calibri" w:hAnsi="Calibri"/>
          <w:i/>
          <w:sz w:val="24"/>
        </w:rPr>
        <w:t>Journal of Biomedical Materials Research Part A 101 A</w:t>
      </w:r>
      <w:r>
        <w:rPr>
          <w:rFonts w:ascii="Calibri" w:hAnsi="Calibri"/>
          <w:sz w:val="24"/>
        </w:rPr>
        <w:t xml:space="preserve">, </w:t>
      </w:r>
      <w:r w:rsidRPr="005E0378">
        <w:rPr>
          <w:rFonts w:ascii="Calibri" w:hAnsi="Calibri"/>
          <w:sz w:val="24"/>
        </w:rPr>
        <w:t xml:space="preserve">421–7.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108. </w:t>
      </w:r>
      <w:r w:rsidRPr="005E0378">
        <w:rPr>
          <w:rFonts w:ascii="Calibri" w:hAnsi="Calibri"/>
          <w:sz w:val="24"/>
        </w:rPr>
        <w:tab/>
        <w:t xml:space="preserve">Vunjak-Novakovic G, Obradovic B, Martin I, Bursac PM, Langer R, Freed LE. </w:t>
      </w:r>
      <w:r>
        <w:rPr>
          <w:rFonts w:ascii="Calibri" w:hAnsi="Calibri"/>
          <w:sz w:val="24"/>
        </w:rPr>
        <w:t xml:space="preserve">1998 </w:t>
      </w:r>
      <w:r w:rsidRPr="005E0378">
        <w:rPr>
          <w:rFonts w:ascii="Calibri" w:hAnsi="Calibri"/>
          <w:sz w:val="24"/>
        </w:rPr>
        <w:t xml:space="preserve">Dynamic cell seeding of polymer scaffolds for cartilage tissue engineering. </w:t>
      </w:r>
      <w:r w:rsidRPr="00A409BF">
        <w:rPr>
          <w:rFonts w:ascii="Calibri" w:hAnsi="Calibri"/>
          <w:i/>
          <w:sz w:val="24"/>
        </w:rPr>
        <w:t>Biotechnology progress 14</w:t>
      </w:r>
      <w:r>
        <w:rPr>
          <w:rFonts w:ascii="Calibri" w:hAnsi="Calibri"/>
          <w:sz w:val="24"/>
        </w:rPr>
        <w:t xml:space="preserve">, </w:t>
      </w:r>
      <w:r w:rsidRPr="005E0378">
        <w:rPr>
          <w:rFonts w:ascii="Calibri" w:hAnsi="Calibri"/>
          <w:sz w:val="24"/>
        </w:rPr>
        <w:t xml:space="preserve">193–202.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109. </w:t>
      </w:r>
      <w:r w:rsidRPr="005E0378">
        <w:rPr>
          <w:rFonts w:ascii="Calibri" w:hAnsi="Calibri"/>
          <w:sz w:val="24"/>
        </w:rPr>
        <w:tab/>
        <w:t>Bueno EM, Bilgen</w:t>
      </w:r>
      <w:r>
        <w:rPr>
          <w:rFonts w:ascii="Calibri" w:hAnsi="Calibri"/>
          <w:sz w:val="24"/>
        </w:rPr>
        <w:t xml:space="preserve"> B, Barabino GA</w:t>
      </w:r>
      <w:r w:rsidRPr="005E0378">
        <w:rPr>
          <w:rFonts w:ascii="Calibri" w:hAnsi="Calibri"/>
          <w:sz w:val="24"/>
        </w:rPr>
        <w:t xml:space="preserve">. </w:t>
      </w:r>
      <w:r>
        <w:rPr>
          <w:rFonts w:ascii="Calibri" w:hAnsi="Calibri"/>
          <w:sz w:val="24"/>
        </w:rPr>
        <w:t xml:space="preserve">2005 </w:t>
      </w:r>
      <w:r w:rsidRPr="005E0378">
        <w:rPr>
          <w:rFonts w:ascii="Calibri" w:hAnsi="Calibri"/>
          <w:sz w:val="24"/>
        </w:rPr>
        <w:t>Wavy-walled bioreactor supports increased cell proliferation and matrix deposition in engineered cartilage</w:t>
      </w:r>
      <w:r>
        <w:rPr>
          <w:rFonts w:ascii="Calibri" w:hAnsi="Calibri"/>
          <w:sz w:val="24"/>
        </w:rPr>
        <w:t xml:space="preserve"> constructs. </w:t>
      </w:r>
      <w:r w:rsidRPr="00A409BF">
        <w:rPr>
          <w:rFonts w:ascii="Calibri" w:hAnsi="Calibri"/>
          <w:i/>
          <w:sz w:val="24"/>
        </w:rPr>
        <w:t>Tissue engineering 11</w:t>
      </w:r>
      <w:r>
        <w:rPr>
          <w:rFonts w:ascii="Calibri" w:hAnsi="Calibri"/>
          <w:sz w:val="24"/>
        </w:rPr>
        <w:t xml:space="preserve">, </w:t>
      </w:r>
      <w:r w:rsidRPr="005E0378">
        <w:rPr>
          <w:rFonts w:ascii="Calibri" w:hAnsi="Calibri"/>
          <w:sz w:val="24"/>
        </w:rPr>
        <w:t xml:space="preserve">1699–709. </w:t>
      </w:r>
    </w:p>
    <w:p w:rsidR="005D1052" w:rsidRPr="005E0378" w:rsidRDefault="005D1052" w:rsidP="005D1052">
      <w:pPr>
        <w:pStyle w:val="NormalWeb"/>
        <w:ind w:left="640" w:hanging="640"/>
        <w:rPr>
          <w:rFonts w:ascii="Calibri" w:hAnsi="Calibri"/>
          <w:sz w:val="24"/>
        </w:rPr>
      </w:pPr>
      <w:r w:rsidRPr="005E0378">
        <w:rPr>
          <w:rFonts w:ascii="Calibri" w:hAnsi="Calibri"/>
          <w:sz w:val="24"/>
        </w:rPr>
        <w:lastRenderedPageBreak/>
        <w:t xml:space="preserve">110. </w:t>
      </w:r>
      <w:r w:rsidRPr="005E0378">
        <w:rPr>
          <w:rFonts w:ascii="Calibri" w:hAnsi="Calibri"/>
          <w:sz w:val="24"/>
        </w:rPr>
        <w:tab/>
        <w:t xml:space="preserve">Sikavitsas VI, Bancroft GN, Mikos AG. </w:t>
      </w:r>
      <w:r>
        <w:rPr>
          <w:rFonts w:ascii="Calibri" w:hAnsi="Calibri"/>
          <w:sz w:val="24"/>
        </w:rPr>
        <w:t xml:space="preserve">2002 </w:t>
      </w:r>
      <w:r w:rsidRPr="005E0378">
        <w:rPr>
          <w:rFonts w:ascii="Calibri" w:hAnsi="Calibri"/>
          <w:sz w:val="24"/>
        </w:rPr>
        <w:t xml:space="preserve">Formation of three-dimensional cell/polymer constructs for bone tissue engineering in a spinner flask and a rotating wall vessel bioreactor. </w:t>
      </w:r>
      <w:r w:rsidRPr="00A409BF">
        <w:rPr>
          <w:rFonts w:ascii="Calibri" w:hAnsi="Calibri"/>
          <w:i/>
          <w:sz w:val="24"/>
        </w:rPr>
        <w:t>Journal of Biomedical Materials Research 62</w:t>
      </w:r>
      <w:r>
        <w:rPr>
          <w:rFonts w:ascii="Calibri" w:hAnsi="Calibri"/>
          <w:sz w:val="24"/>
        </w:rPr>
        <w:t xml:space="preserve">, </w:t>
      </w:r>
      <w:r w:rsidRPr="005E0378">
        <w:rPr>
          <w:rFonts w:ascii="Calibri" w:hAnsi="Calibri"/>
          <w:sz w:val="24"/>
        </w:rPr>
        <w:t xml:space="preserve">136–48.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111. </w:t>
      </w:r>
      <w:r w:rsidRPr="005E0378">
        <w:rPr>
          <w:rFonts w:ascii="Calibri" w:hAnsi="Calibri"/>
          <w:sz w:val="24"/>
        </w:rPr>
        <w:tab/>
      </w:r>
      <w:r w:rsidRPr="00B1312F">
        <w:rPr>
          <w:rFonts w:ascii="Calibri" w:hAnsi="Calibri"/>
          <w:sz w:val="24"/>
        </w:rPr>
        <w:t>Xie J, Jung Y, Kim SH, Kim YH, Matsuda T.</w:t>
      </w:r>
      <w:r w:rsidRPr="005E0378">
        <w:rPr>
          <w:rFonts w:ascii="Calibri" w:hAnsi="Calibri"/>
          <w:sz w:val="24"/>
        </w:rPr>
        <w:t xml:space="preserve"> </w:t>
      </w:r>
      <w:r>
        <w:rPr>
          <w:rFonts w:ascii="Calibri" w:hAnsi="Calibri"/>
          <w:sz w:val="24"/>
        </w:rPr>
        <w:t xml:space="preserve">2006 </w:t>
      </w:r>
      <w:r w:rsidRPr="00B1312F">
        <w:rPr>
          <w:rFonts w:ascii="Calibri" w:hAnsi="Calibri"/>
          <w:sz w:val="24"/>
        </w:rPr>
        <w:t>New technique of seeding chondrocytes into microporous poly (l-lactide-co-ε-caprolactone) sponge by cyclic compression force-induced suction.</w:t>
      </w:r>
      <w:r>
        <w:rPr>
          <w:rFonts w:ascii="Calibri" w:hAnsi="Calibri"/>
          <w:sz w:val="24"/>
        </w:rPr>
        <w:t xml:space="preserve"> </w:t>
      </w:r>
      <w:r w:rsidRPr="00B1312F">
        <w:rPr>
          <w:rFonts w:ascii="Calibri" w:hAnsi="Calibri"/>
          <w:i/>
          <w:sz w:val="24"/>
        </w:rPr>
        <w:t>Tissue Engineering 12</w:t>
      </w:r>
      <w:r>
        <w:rPr>
          <w:rFonts w:ascii="Calibri" w:hAnsi="Calibri"/>
          <w:sz w:val="24"/>
        </w:rPr>
        <w:t>,</w:t>
      </w:r>
      <w:r w:rsidRPr="00B1312F">
        <w:rPr>
          <w:rFonts w:ascii="Arial" w:eastAsiaTheme="minorHAnsi" w:hAnsi="Arial" w:cs="Arial"/>
          <w:color w:val="222222"/>
          <w:shd w:val="clear" w:color="auto" w:fill="FFFFFF"/>
        </w:rPr>
        <w:t xml:space="preserve"> </w:t>
      </w:r>
      <w:r w:rsidRPr="00B1312F">
        <w:rPr>
          <w:rFonts w:ascii="Calibri" w:hAnsi="Calibri"/>
          <w:sz w:val="24"/>
        </w:rPr>
        <w:t>1811-20</w:t>
      </w:r>
      <w:r w:rsidRPr="005E0378">
        <w:rPr>
          <w:rFonts w:ascii="Calibri" w:hAnsi="Calibri"/>
          <w:sz w:val="24"/>
        </w:rPr>
        <w:t xml:space="preserve">.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112. </w:t>
      </w:r>
      <w:r w:rsidRPr="005E0378">
        <w:rPr>
          <w:rFonts w:ascii="Calibri" w:hAnsi="Calibri"/>
          <w:sz w:val="24"/>
        </w:rPr>
        <w:tab/>
        <w:t xml:space="preserve">Hoffmann W. </w:t>
      </w:r>
      <w:r>
        <w:rPr>
          <w:rFonts w:ascii="Calibri" w:hAnsi="Calibri"/>
          <w:sz w:val="24"/>
        </w:rPr>
        <w:t xml:space="preserve">2015 </w:t>
      </w:r>
      <w:r w:rsidRPr="005E0378">
        <w:rPr>
          <w:rFonts w:ascii="Calibri" w:hAnsi="Calibri"/>
          <w:sz w:val="24"/>
        </w:rPr>
        <w:t xml:space="preserve">Novel perfused compression bioreactor system as an in vitro model to investigate fracture healing. </w:t>
      </w:r>
      <w:r w:rsidRPr="0023224E">
        <w:rPr>
          <w:rFonts w:ascii="Calibri" w:hAnsi="Calibri"/>
          <w:i/>
          <w:sz w:val="24"/>
        </w:rPr>
        <w:t>Frontiers in Bioengineering and Biotechnology 3</w:t>
      </w:r>
      <w:r>
        <w:rPr>
          <w:rFonts w:ascii="Calibri" w:hAnsi="Calibri"/>
          <w:sz w:val="24"/>
        </w:rPr>
        <w:t>,</w:t>
      </w:r>
      <w:r w:rsidRPr="005E0378">
        <w:rPr>
          <w:rFonts w:ascii="Calibri" w:hAnsi="Calibri"/>
          <w:sz w:val="24"/>
        </w:rPr>
        <w:t xml:space="preserve">1–6.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113. </w:t>
      </w:r>
      <w:r w:rsidRPr="005E0378">
        <w:rPr>
          <w:rFonts w:ascii="Calibri" w:hAnsi="Calibri"/>
          <w:sz w:val="24"/>
        </w:rPr>
        <w:tab/>
        <w:t xml:space="preserve">Zhao F, Chella R, Ma T. </w:t>
      </w:r>
      <w:r>
        <w:rPr>
          <w:rFonts w:ascii="Calibri" w:hAnsi="Calibri"/>
          <w:sz w:val="24"/>
        </w:rPr>
        <w:t xml:space="preserve">2007 </w:t>
      </w:r>
      <w:r w:rsidRPr="005E0378">
        <w:rPr>
          <w:rFonts w:ascii="Calibri" w:hAnsi="Calibri"/>
          <w:sz w:val="24"/>
        </w:rPr>
        <w:t xml:space="preserve">Effects of Shear Stress on 3-D Human Mesenchymal Stem Cell Construct Development in a Perfusion Bioreactor System : Experiments </w:t>
      </w:r>
      <w:r>
        <w:rPr>
          <w:rFonts w:ascii="Calibri" w:hAnsi="Calibri"/>
          <w:sz w:val="24"/>
        </w:rPr>
        <w:t xml:space="preserve">and Hydrodynamic Modeling. </w:t>
      </w:r>
      <w:r w:rsidRPr="00B1312F">
        <w:rPr>
          <w:rFonts w:ascii="Calibri" w:hAnsi="Calibri"/>
          <w:i/>
          <w:iCs/>
          <w:sz w:val="24"/>
        </w:rPr>
        <w:t>Biotechnology and bioengineering</w:t>
      </w:r>
      <w:r w:rsidRPr="00B1312F">
        <w:rPr>
          <w:rFonts w:ascii="Calibri" w:hAnsi="Calibri"/>
          <w:sz w:val="24"/>
        </w:rPr>
        <w:t xml:space="preserve"> </w:t>
      </w:r>
      <w:r w:rsidRPr="00B1312F">
        <w:rPr>
          <w:rFonts w:ascii="Calibri" w:hAnsi="Calibri"/>
          <w:i/>
          <w:sz w:val="24"/>
        </w:rPr>
        <w:t>96</w:t>
      </w:r>
      <w:r>
        <w:rPr>
          <w:rFonts w:ascii="Calibri" w:hAnsi="Calibri"/>
          <w:sz w:val="24"/>
        </w:rPr>
        <w:t xml:space="preserve">, </w:t>
      </w:r>
      <w:r w:rsidRPr="005E0378">
        <w:rPr>
          <w:rFonts w:ascii="Calibri" w:hAnsi="Calibri"/>
          <w:sz w:val="24"/>
        </w:rPr>
        <w:t xml:space="preserve">584–95.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114. </w:t>
      </w:r>
      <w:r w:rsidRPr="005E0378">
        <w:rPr>
          <w:rFonts w:ascii="Calibri" w:hAnsi="Calibri"/>
          <w:sz w:val="24"/>
        </w:rPr>
        <w:tab/>
        <w:t xml:space="preserve">Sonnaert M, Papantoniou I, Bloemen V, Kerckhofs G, Luyten FP, Schrooten J. </w:t>
      </w:r>
      <w:r>
        <w:rPr>
          <w:rFonts w:ascii="Calibri" w:hAnsi="Calibri"/>
          <w:sz w:val="24"/>
        </w:rPr>
        <w:t xml:space="preserve">2014 </w:t>
      </w:r>
      <w:r w:rsidRPr="005E0378">
        <w:rPr>
          <w:rFonts w:ascii="Calibri" w:hAnsi="Calibri"/>
          <w:sz w:val="24"/>
        </w:rPr>
        <w:t>Human periosteal-derived cell expansion in a perfusion bioreactor system: proliferation, differentiation and extracellular matrix formation.</w:t>
      </w:r>
      <w:r w:rsidRPr="00B1312F">
        <w:rPr>
          <w:rFonts w:ascii="Calibri" w:hAnsi="Calibri"/>
          <w:i/>
          <w:sz w:val="24"/>
        </w:rPr>
        <w:t xml:space="preserve"> Journal of Tissue Engineering and Regenerative Medicine</w:t>
      </w:r>
      <w:r>
        <w:rPr>
          <w:rFonts w:ascii="Calibri" w:hAnsi="Calibri"/>
          <w:i/>
          <w:sz w:val="24"/>
        </w:rPr>
        <w:t>.</w:t>
      </w:r>
      <w:r w:rsidRPr="00B1312F">
        <w:rPr>
          <w:rFonts w:ascii="Calibri" w:hAnsi="Calibri"/>
          <w:i/>
          <w:sz w:val="24"/>
        </w:rPr>
        <w:t xml:space="preserve">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115. </w:t>
      </w:r>
      <w:r w:rsidRPr="005E0378">
        <w:rPr>
          <w:rFonts w:ascii="Calibri" w:hAnsi="Calibri"/>
          <w:sz w:val="24"/>
        </w:rPr>
        <w:tab/>
      </w:r>
      <w:r w:rsidRPr="00735574">
        <w:rPr>
          <w:rFonts w:ascii="Calibri" w:hAnsi="Calibri"/>
          <w:sz w:val="24"/>
        </w:rPr>
        <w:t>Meinel L, Karageorgiou V, Fajardo R, Snyder B, Shinde-Patil V, Zichner L, Kaplan D, Langer R, Vunjak-Novakovic G.</w:t>
      </w:r>
      <w:r w:rsidRPr="005E0378">
        <w:rPr>
          <w:rFonts w:ascii="Calibri" w:hAnsi="Calibri"/>
          <w:sz w:val="24"/>
        </w:rPr>
        <w:t xml:space="preserve"> </w:t>
      </w:r>
      <w:r>
        <w:rPr>
          <w:rFonts w:ascii="Calibri" w:hAnsi="Calibri"/>
          <w:sz w:val="24"/>
        </w:rPr>
        <w:t xml:space="preserve">2004 </w:t>
      </w:r>
      <w:r w:rsidRPr="005E0378">
        <w:rPr>
          <w:rFonts w:ascii="Calibri" w:hAnsi="Calibri"/>
          <w:sz w:val="24"/>
        </w:rPr>
        <w:t xml:space="preserve">Bone tissue engineering using human mesenchymal stem cells: Effects of scaffold material and medium flow. </w:t>
      </w:r>
      <w:r w:rsidRPr="00735574">
        <w:rPr>
          <w:rFonts w:ascii="Calibri" w:hAnsi="Calibri"/>
          <w:i/>
          <w:sz w:val="24"/>
        </w:rPr>
        <w:t>Annals of Biomedical Engineering 32</w:t>
      </w:r>
      <w:r>
        <w:rPr>
          <w:rFonts w:ascii="Calibri" w:hAnsi="Calibri"/>
          <w:sz w:val="24"/>
        </w:rPr>
        <w:t xml:space="preserve">, </w:t>
      </w:r>
      <w:r w:rsidRPr="005E0378">
        <w:rPr>
          <w:rFonts w:ascii="Calibri" w:hAnsi="Calibri"/>
          <w:sz w:val="24"/>
        </w:rPr>
        <w:t xml:space="preserve">112–22. </w:t>
      </w:r>
    </w:p>
    <w:p w:rsidR="005D1052" w:rsidRPr="005E0378" w:rsidRDefault="005D1052" w:rsidP="005D1052">
      <w:pPr>
        <w:pStyle w:val="NormalWeb"/>
        <w:ind w:left="640" w:hanging="640"/>
        <w:rPr>
          <w:rFonts w:ascii="Calibri" w:hAnsi="Calibri"/>
          <w:sz w:val="24"/>
        </w:rPr>
      </w:pPr>
      <w:r>
        <w:rPr>
          <w:rFonts w:ascii="Calibri" w:hAnsi="Calibri"/>
          <w:sz w:val="24"/>
        </w:rPr>
        <w:t xml:space="preserve">116. </w:t>
      </w:r>
      <w:r>
        <w:rPr>
          <w:rFonts w:ascii="Calibri" w:hAnsi="Calibri"/>
          <w:sz w:val="24"/>
        </w:rPr>
        <w:tab/>
        <w:t>Botchwey EA, Dupree MA</w:t>
      </w:r>
      <w:r w:rsidRPr="005E0378">
        <w:rPr>
          <w:rFonts w:ascii="Calibri" w:hAnsi="Calibri"/>
          <w:sz w:val="24"/>
        </w:rPr>
        <w:t xml:space="preserve">, Pollack SR, Levine EM, Laurencin CT. </w:t>
      </w:r>
      <w:r>
        <w:rPr>
          <w:rFonts w:ascii="Calibri" w:hAnsi="Calibri"/>
          <w:sz w:val="24"/>
        </w:rPr>
        <w:t xml:space="preserve">2003 </w:t>
      </w:r>
      <w:r w:rsidRPr="005E0378">
        <w:rPr>
          <w:rFonts w:ascii="Calibri" w:hAnsi="Calibri"/>
          <w:sz w:val="24"/>
        </w:rPr>
        <w:t xml:space="preserve">Tissue engineered bone: measurement of nutrient transport in three-dimensional matrices. </w:t>
      </w:r>
      <w:r w:rsidRPr="00735574">
        <w:rPr>
          <w:rFonts w:ascii="Calibri" w:hAnsi="Calibri"/>
          <w:i/>
          <w:sz w:val="24"/>
        </w:rPr>
        <w:t>Journal of biomedical materials research Part A 67</w:t>
      </w:r>
      <w:r>
        <w:rPr>
          <w:rFonts w:ascii="Calibri" w:hAnsi="Calibri"/>
          <w:sz w:val="24"/>
        </w:rPr>
        <w:t xml:space="preserve">, </w:t>
      </w:r>
      <w:r w:rsidRPr="005E0378">
        <w:rPr>
          <w:rFonts w:ascii="Calibri" w:hAnsi="Calibri"/>
          <w:sz w:val="24"/>
        </w:rPr>
        <w:t xml:space="preserve">357–67.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117. </w:t>
      </w:r>
      <w:r w:rsidRPr="005E0378">
        <w:rPr>
          <w:rFonts w:ascii="Calibri" w:hAnsi="Calibri"/>
          <w:sz w:val="24"/>
        </w:rPr>
        <w:tab/>
      </w:r>
      <w:r w:rsidRPr="00735574">
        <w:rPr>
          <w:rFonts w:ascii="Calibri" w:hAnsi="Calibri"/>
          <w:sz w:val="24"/>
        </w:rPr>
        <w:t xml:space="preserve">Santamaría VA, Malvè M, Duizabo A, Tobar AM, Ferrer GG, Aznar JG, Doblaré M, Ochoa I. 2013 </w:t>
      </w:r>
      <w:r w:rsidRPr="005E0378">
        <w:rPr>
          <w:rFonts w:ascii="Calibri" w:hAnsi="Calibri"/>
          <w:sz w:val="24"/>
        </w:rPr>
        <w:t xml:space="preserve">Computational methodology to determine fluid related parameters of non regular three-dimensional scaffolds. </w:t>
      </w:r>
      <w:r w:rsidRPr="00735574">
        <w:rPr>
          <w:rFonts w:ascii="Calibri" w:hAnsi="Calibri"/>
          <w:i/>
          <w:sz w:val="24"/>
        </w:rPr>
        <w:t>Annals of biomedical engineering 41</w:t>
      </w:r>
      <w:r>
        <w:rPr>
          <w:rFonts w:ascii="Calibri" w:hAnsi="Calibri"/>
          <w:sz w:val="24"/>
        </w:rPr>
        <w:t xml:space="preserve">, </w:t>
      </w:r>
      <w:r w:rsidRPr="005E0378">
        <w:rPr>
          <w:rFonts w:ascii="Calibri" w:hAnsi="Calibri"/>
          <w:sz w:val="24"/>
        </w:rPr>
        <w:t xml:space="preserve">2367–80.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118. </w:t>
      </w:r>
      <w:r w:rsidRPr="005E0378">
        <w:rPr>
          <w:rFonts w:ascii="Calibri" w:hAnsi="Calibri"/>
          <w:sz w:val="24"/>
        </w:rPr>
        <w:tab/>
        <w:t xml:space="preserve">Cioffi M, Boschetti F, Raimondi MT, Dubini G. </w:t>
      </w:r>
      <w:r>
        <w:rPr>
          <w:rFonts w:ascii="Calibri" w:hAnsi="Calibri"/>
          <w:sz w:val="24"/>
        </w:rPr>
        <w:t xml:space="preserve">2006 </w:t>
      </w:r>
      <w:r w:rsidRPr="005E0378">
        <w:rPr>
          <w:rFonts w:ascii="Calibri" w:hAnsi="Calibri"/>
          <w:sz w:val="24"/>
        </w:rPr>
        <w:t xml:space="preserve">Modeling evaluation of the fluid-dynamic microenvironment in tissue-engineered constructs: a micro-CT based model. </w:t>
      </w:r>
      <w:r w:rsidRPr="00735574">
        <w:rPr>
          <w:rFonts w:ascii="Calibri" w:hAnsi="Calibri"/>
          <w:i/>
          <w:sz w:val="24"/>
        </w:rPr>
        <w:t>Biotechnology and bioengineering 93</w:t>
      </w:r>
      <w:r>
        <w:rPr>
          <w:rFonts w:ascii="Calibri" w:hAnsi="Calibri"/>
          <w:sz w:val="24"/>
        </w:rPr>
        <w:t xml:space="preserve">, </w:t>
      </w:r>
      <w:r w:rsidRPr="005E0378">
        <w:rPr>
          <w:rFonts w:ascii="Calibri" w:hAnsi="Calibri"/>
          <w:sz w:val="24"/>
        </w:rPr>
        <w:t xml:space="preserve">500–10.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119. </w:t>
      </w:r>
      <w:r w:rsidRPr="005E0378">
        <w:rPr>
          <w:rFonts w:ascii="Calibri" w:hAnsi="Calibri"/>
          <w:sz w:val="24"/>
        </w:rPr>
        <w:tab/>
        <w:t xml:space="preserve">Zermatten E, Vetsch JR, Ruffoni D, Hofmann S, Müller R, Steinfeld A. </w:t>
      </w:r>
      <w:r>
        <w:rPr>
          <w:rFonts w:ascii="Calibri" w:hAnsi="Calibri"/>
          <w:sz w:val="24"/>
        </w:rPr>
        <w:t xml:space="preserve">2014 </w:t>
      </w:r>
      <w:r w:rsidRPr="005E0378">
        <w:rPr>
          <w:rFonts w:ascii="Calibri" w:hAnsi="Calibri"/>
          <w:sz w:val="24"/>
        </w:rPr>
        <w:t xml:space="preserve">Micro-computed tomography based computational fluid dynamics for the determination of shear stresses in scaffolds within a perfusion bioreactor. </w:t>
      </w:r>
      <w:r w:rsidRPr="00735574">
        <w:rPr>
          <w:rFonts w:ascii="Calibri" w:hAnsi="Calibri"/>
          <w:i/>
          <w:sz w:val="24"/>
        </w:rPr>
        <w:t>Annals of biomedical engineering 42</w:t>
      </w:r>
      <w:r>
        <w:rPr>
          <w:rFonts w:ascii="Calibri" w:hAnsi="Calibri"/>
          <w:sz w:val="24"/>
        </w:rPr>
        <w:t xml:space="preserve">, </w:t>
      </w:r>
      <w:r w:rsidRPr="005E0378">
        <w:rPr>
          <w:rFonts w:ascii="Calibri" w:hAnsi="Calibri"/>
          <w:sz w:val="24"/>
        </w:rPr>
        <w:t xml:space="preserve">1085–94. </w:t>
      </w:r>
    </w:p>
    <w:p w:rsidR="005D1052" w:rsidRPr="005E0378" w:rsidRDefault="005D1052" w:rsidP="005D1052">
      <w:pPr>
        <w:pStyle w:val="NormalWeb"/>
        <w:ind w:left="640" w:hanging="640"/>
        <w:rPr>
          <w:rFonts w:ascii="Calibri" w:hAnsi="Calibri"/>
          <w:sz w:val="24"/>
        </w:rPr>
      </w:pPr>
      <w:r w:rsidRPr="005E0378">
        <w:rPr>
          <w:rFonts w:ascii="Calibri" w:hAnsi="Calibri"/>
          <w:sz w:val="24"/>
        </w:rPr>
        <w:lastRenderedPageBreak/>
        <w:t xml:space="preserve">120. </w:t>
      </w:r>
      <w:r w:rsidRPr="005E0378">
        <w:rPr>
          <w:rFonts w:ascii="Calibri" w:hAnsi="Calibri"/>
          <w:sz w:val="24"/>
        </w:rPr>
        <w:tab/>
        <w:t xml:space="preserve">Cantini M, Fiore GB, Redaelli A, Soncini M. </w:t>
      </w:r>
      <w:r>
        <w:rPr>
          <w:rFonts w:ascii="Calibri" w:hAnsi="Calibri"/>
          <w:sz w:val="24"/>
        </w:rPr>
        <w:t xml:space="preserve">2009 </w:t>
      </w:r>
      <w:r w:rsidRPr="005E0378">
        <w:rPr>
          <w:rFonts w:ascii="Calibri" w:hAnsi="Calibri"/>
          <w:sz w:val="24"/>
        </w:rPr>
        <w:t xml:space="preserve">Numerical fluid-dynamic optimization of microchannel-provided porous scaffolds for the co-culture of adherent and non-adherent cells. </w:t>
      </w:r>
      <w:r w:rsidRPr="00735574">
        <w:rPr>
          <w:rFonts w:ascii="Calibri" w:hAnsi="Calibri"/>
          <w:i/>
          <w:sz w:val="24"/>
        </w:rPr>
        <w:t>Tissue engineering Part A 15</w:t>
      </w:r>
      <w:r>
        <w:rPr>
          <w:rFonts w:ascii="Calibri" w:hAnsi="Calibri"/>
          <w:sz w:val="24"/>
        </w:rPr>
        <w:t xml:space="preserve">, </w:t>
      </w:r>
      <w:r w:rsidRPr="005E0378">
        <w:rPr>
          <w:rFonts w:ascii="Calibri" w:hAnsi="Calibri"/>
          <w:sz w:val="24"/>
        </w:rPr>
        <w:t xml:space="preserve">615–23.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121. </w:t>
      </w:r>
      <w:r w:rsidRPr="005E0378">
        <w:rPr>
          <w:rFonts w:ascii="Calibri" w:hAnsi="Calibri"/>
          <w:sz w:val="24"/>
        </w:rPr>
        <w:tab/>
        <w:t xml:space="preserve">Podichetty JT, Bhaskar PR, Khalf A, Madihally SV. </w:t>
      </w:r>
      <w:r>
        <w:rPr>
          <w:rFonts w:ascii="Calibri" w:hAnsi="Calibri"/>
          <w:sz w:val="24"/>
        </w:rPr>
        <w:t xml:space="preserve">2014 </w:t>
      </w:r>
      <w:r w:rsidRPr="005E0378">
        <w:rPr>
          <w:rFonts w:ascii="Calibri" w:hAnsi="Calibri"/>
          <w:sz w:val="24"/>
        </w:rPr>
        <w:t xml:space="preserve">Modeling Pressure Drop Using Generalized Scaffold Characteristics in an Axial-Flow Bioreactor for Soft Tissue Regeneration. </w:t>
      </w:r>
      <w:r w:rsidRPr="00735574">
        <w:rPr>
          <w:rFonts w:ascii="Calibri" w:hAnsi="Calibri"/>
          <w:i/>
          <w:sz w:val="24"/>
        </w:rPr>
        <w:t>Annals of Biomedical Engineering 42</w:t>
      </w:r>
      <w:r>
        <w:rPr>
          <w:rFonts w:ascii="Calibri" w:hAnsi="Calibri"/>
          <w:sz w:val="24"/>
        </w:rPr>
        <w:t xml:space="preserve">, </w:t>
      </w:r>
      <w:r w:rsidRPr="005E0378">
        <w:rPr>
          <w:rFonts w:ascii="Calibri" w:hAnsi="Calibri"/>
          <w:sz w:val="24"/>
        </w:rPr>
        <w:t xml:space="preserve">1319–30.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122. </w:t>
      </w:r>
      <w:r w:rsidRPr="005E0378">
        <w:rPr>
          <w:rFonts w:ascii="Calibri" w:hAnsi="Calibri"/>
          <w:sz w:val="24"/>
        </w:rPr>
        <w:tab/>
        <w:t xml:space="preserve">Porter B, Zauel R, Stockman H, Guldberg R, Fyhrie D. </w:t>
      </w:r>
      <w:r>
        <w:rPr>
          <w:rFonts w:ascii="Calibri" w:hAnsi="Calibri"/>
          <w:sz w:val="24"/>
        </w:rPr>
        <w:t xml:space="preserve">2005 </w:t>
      </w:r>
      <w:r w:rsidRPr="005E0378">
        <w:rPr>
          <w:rFonts w:ascii="Calibri" w:hAnsi="Calibri"/>
          <w:sz w:val="24"/>
        </w:rPr>
        <w:t xml:space="preserve">3-D computational modeling of media flow through scaffolds in a perfusion bioreactor. </w:t>
      </w:r>
      <w:r w:rsidRPr="00735574">
        <w:rPr>
          <w:rFonts w:ascii="Calibri" w:hAnsi="Calibri"/>
          <w:i/>
          <w:sz w:val="24"/>
        </w:rPr>
        <w:t>Journal of biomechanics 38</w:t>
      </w:r>
      <w:r>
        <w:rPr>
          <w:rFonts w:ascii="Calibri" w:hAnsi="Calibri"/>
          <w:sz w:val="24"/>
        </w:rPr>
        <w:t xml:space="preserve">, </w:t>
      </w:r>
      <w:r w:rsidRPr="005E0378">
        <w:rPr>
          <w:rFonts w:ascii="Calibri" w:hAnsi="Calibri"/>
          <w:sz w:val="24"/>
        </w:rPr>
        <w:t xml:space="preserve">543–9.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123. </w:t>
      </w:r>
      <w:r w:rsidRPr="005E0378">
        <w:rPr>
          <w:rFonts w:ascii="Calibri" w:hAnsi="Calibri"/>
          <w:sz w:val="24"/>
        </w:rPr>
        <w:tab/>
      </w:r>
      <w:r w:rsidRPr="00735574">
        <w:rPr>
          <w:rFonts w:ascii="Calibri" w:hAnsi="Calibri"/>
          <w:sz w:val="24"/>
        </w:rPr>
        <w:t>Melchels FP, Tonnarelli B, Olivares AL, Martin I, Lacroix D, Feijen J, Wendt DJ, Grijpma DW.</w:t>
      </w:r>
      <w:r>
        <w:rPr>
          <w:rFonts w:ascii="Calibri" w:hAnsi="Calibri"/>
          <w:sz w:val="24"/>
        </w:rPr>
        <w:t xml:space="preserve"> 2011</w:t>
      </w:r>
      <w:r w:rsidRPr="005E0378">
        <w:rPr>
          <w:rFonts w:ascii="Calibri" w:hAnsi="Calibri"/>
          <w:sz w:val="24"/>
        </w:rPr>
        <w:t xml:space="preserve"> The influence of the scaffold design on the distribution of adhering cells after perfusion cell seeding. </w:t>
      </w:r>
      <w:r w:rsidRPr="00735574">
        <w:rPr>
          <w:rFonts w:ascii="Calibri" w:hAnsi="Calibri"/>
          <w:i/>
          <w:sz w:val="24"/>
        </w:rPr>
        <w:t>Biomaterials 32</w:t>
      </w:r>
      <w:r>
        <w:rPr>
          <w:rFonts w:ascii="Calibri" w:hAnsi="Calibri"/>
          <w:sz w:val="24"/>
        </w:rPr>
        <w:t xml:space="preserve">, </w:t>
      </w:r>
      <w:r w:rsidRPr="005E0378">
        <w:rPr>
          <w:rFonts w:ascii="Calibri" w:hAnsi="Calibri"/>
          <w:sz w:val="24"/>
        </w:rPr>
        <w:t xml:space="preserve">2878–84.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124. </w:t>
      </w:r>
      <w:r w:rsidRPr="005E0378">
        <w:rPr>
          <w:rFonts w:ascii="Calibri" w:hAnsi="Calibri"/>
          <w:sz w:val="24"/>
        </w:rPr>
        <w:tab/>
      </w:r>
      <w:r w:rsidRPr="00991284">
        <w:rPr>
          <w:rFonts w:ascii="Calibri" w:hAnsi="Calibri"/>
          <w:sz w:val="24"/>
        </w:rPr>
        <w:t>Papantoniou I, Guyot Y, Sonnaert M, Kerckhofs G, Luyten FP, Geris L, Schrooten J.</w:t>
      </w:r>
      <w:r w:rsidRPr="005E0378">
        <w:rPr>
          <w:rFonts w:ascii="Calibri" w:hAnsi="Calibri"/>
          <w:sz w:val="24"/>
        </w:rPr>
        <w:t xml:space="preserve"> </w:t>
      </w:r>
      <w:r>
        <w:rPr>
          <w:rFonts w:ascii="Calibri" w:hAnsi="Calibri"/>
          <w:sz w:val="24"/>
        </w:rPr>
        <w:t xml:space="preserve">2014 </w:t>
      </w:r>
      <w:r w:rsidRPr="005E0378">
        <w:rPr>
          <w:rFonts w:ascii="Calibri" w:hAnsi="Calibri"/>
          <w:sz w:val="24"/>
        </w:rPr>
        <w:t xml:space="preserve">Spatial optimization in perfusion bioreactors improves bone tissue-engineered construct quality attributes. </w:t>
      </w:r>
      <w:r w:rsidRPr="00991284">
        <w:rPr>
          <w:rFonts w:ascii="Calibri" w:hAnsi="Calibri"/>
          <w:i/>
          <w:sz w:val="24"/>
        </w:rPr>
        <w:t>Biotechnology and Bioengineering 111</w:t>
      </w:r>
      <w:r>
        <w:rPr>
          <w:rFonts w:ascii="Calibri" w:hAnsi="Calibri"/>
          <w:sz w:val="24"/>
        </w:rPr>
        <w:t xml:space="preserve">, </w:t>
      </w:r>
      <w:r w:rsidRPr="005E0378">
        <w:rPr>
          <w:rFonts w:ascii="Calibri" w:hAnsi="Calibri"/>
          <w:sz w:val="24"/>
        </w:rPr>
        <w:t xml:space="preserve">2560–70.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125. </w:t>
      </w:r>
      <w:r w:rsidRPr="005E0378">
        <w:rPr>
          <w:rFonts w:ascii="Calibri" w:hAnsi="Calibri"/>
          <w:sz w:val="24"/>
        </w:rPr>
        <w:tab/>
        <w:t xml:space="preserve">Hidalgo-Bastida LA, Thirunavukkarasu S, Griffiths S, Cartmell SH, Naire S. </w:t>
      </w:r>
      <w:r>
        <w:rPr>
          <w:rFonts w:ascii="Calibri" w:hAnsi="Calibri"/>
          <w:sz w:val="24"/>
        </w:rPr>
        <w:t xml:space="preserve">2012 </w:t>
      </w:r>
      <w:r w:rsidRPr="005E0378">
        <w:rPr>
          <w:rFonts w:ascii="Calibri" w:hAnsi="Calibri"/>
          <w:sz w:val="24"/>
        </w:rPr>
        <w:t xml:space="preserve">Modeling and design of optimal flow perfusion bioreactors for tissue engineering applications. </w:t>
      </w:r>
      <w:r w:rsidRPr="00991284">
        <w:rPr>
          <w:rFonts w:ascii="Calibri" w:hAnsi="Calibri"/>
          <w:i/>
          <w:sz w:val="24"/>
        </w:rPr>
        <w:t>Biotechnology and bioengineering 109</w:t>
      </w:r>
      <w:r>
        <w:rPr>
          <w:rFonts w:ascii="Calibri" w:hAnsi="Calibri"/>
          <w:sz w:val="24"/>
        </w:rPr>
        <w:t xml:space="preserve">, </w:t>
      </w:r>
      <w:r w:rsidRPr="005E0378">
        <w:rPr>
          <w:rFonts w:ascii="Calibri" w:hAnsi="Calibri"/>
          <w:sz w:val="24"/>
        </w:rPr>
        <w:t xml:space="preserve">1095–9.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126. </w:t>
      </w:r>
      <w:r w:rsidRPr="005E0378">
        <w:rPr>
          <w:rFonts w:ascii="Calibri" w:hAnsi="Calibri"/>
          <w:sz w:val="24"/>
        </w:rPr>
        <w:tab/>
        <w:t>Jungreuthmaye</w:t>
      </w:r>
      <w:r>
        <w:rPr>
          <w:rFonts w:ascii="Calibri" w:hAnsi="Calibri"/>
          <w:sz w:val="24"/>
        </w:rPr>
        <w:t>r C, Jaasma MJ, Al-Munajjed AA</w:t>
      </w:r>
      <w:r w:rsidRPr="005E0378">
        <w:rPr>
          <w:rFonts w:ascii="Calibri" w:hAnsi="Calibri"/>
          <w:sz w:val="24"/>
        </w:rPr>
        <w:t xml:space="preserve">, Zanghellini J, Kelly DJ, O’Brien FJ. </w:t>
      </w:r>
      <w:r>
        <w:rPr>
          <w:rFonts w:ascii="Calibri" w:hAnsi="Calibri"/>
          <w:sz w:val="24"/>
        </w:rPr>
        <w:t xml:space="preserve">2009 </w:t>
      </w:r>
      <w:r w:rsidRPr="005E0378">
        <w:rPr>
          <w:rFonts w:ascii="Calibri" w:hAnsi="Calibri"/>
          <w:sz w:val="24"/>
        </w:rPr>
        <w:t xml:space="preserve">Deformation simulation of cells seeded on a collagen-GAG scaffold in a flow perfusion bioreactor using a sequential 3D CFD-elastostatics model. </w:t>
      </w:r>
      <w:r w:rsidRPr="00991284">
        <w:rPr>
          <w:rFonts w:ascii="Calibri" w:hAnsi="Calibri"/>
          <w:i/>
          <w:sz w:val="24"/>
        </w:rPr>
        <w:t>Medical Engineering and Physics</w:t>
      </w:r>
      <w:r>
        <w:rPr>
          <w:rFonts w:ascii="Calibri" w:hAnsi="Calibri"/>
          <w:i/>
          <w:sz w:val="24"/>
        </w:rPr>
        <w:t xml:space="preserve"> </w:t>
      </w:r>
      <w:r w:rsidRPr="00991284">
        <w:rPr>
          <w:rFonts w:ascii="Calibri" w:hAnsi="Calibri"/>
          <w:i/>
          <w:sz w:val="24"/>
        </w:rPr>
        <w:t>31</w:t>
      </w:r>
      <w:r>
        <w:rPr>
          <w:rFonts w:ascii="Calibri" w:hAnsi="Calibri"/>
          <w:sz w:val="24"/>
        </w:rPr>
        <w:t>, 420–7.</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127. </w:t>
      </w:r>
      <w:r w:rsidRPr="005E0378">
        <w:rPr>
          <w:rFonts w:ascii="Calibri" w:hAnsi="Calibri"/>
          <w:sz w:val="24"/>
        </w:rPr>
        <w:tab/>
      </w:r>
      <w:r w:rsidRPr="00494654">
        <w:rPr>
          <w:rFonts w:ascii="Calibri" w:hAnsi="Calibri"/>
          <w:sz w:val="24"/>
        </w:rPr>
        <w:t>Cruel M, Bensidhoum M, Nouguier-Lehon C, Dessombz O, Becquart P, Petite H, Hoc T.</w:t>
      </w:r>
      <w:r w:rsidRPr="005E0378">
        <w:rPr>
          <w:rFonts w:ascii="Calibri" w:hAnsi="Calibri"/>
          <w:sz w:val="24"/>
        </w:rPr>
        <w:t xml:space="preserve"> </w:t>
      </w:r>
      <w:r>
        <w:rPr>
          <w:rFonts w:ascii="Calibri" w:hAnsi="Calibri"/>
          <w:sz w:val="24"/>
        </w:rPr>
        <w:t xml:space="preserve">2015 </w:t>
      </w:r>
      <w:r w:rsidRPr="005E0378">
        <w:rPr>
          <w:rFonts w:ascii="Calibri" w:hAnsi="Calibri"/>
          <w:sz w:val="24"/>
        </w:rPr>
        <w:t xml:space="preserve">Numerical Study of Granular Scaffold Efficiency to Convert Fluid Flow into Mechanical Stimulation in Bone Tissue Engineering. </w:t>
      </w:r>
      <w:r w:rsidRPr="00494654">
        <w:rPr>
          <w:rFonts w:ascii="Calibri" w:hAnsi="Calibri"/>
          <w:i/>
          <w:sz w:val="24"/>
        </w:rPr>
        <w:t>Tissue Engineering Part C: Methods 21</w:t>
      </w:r>
      <w:r>
        <w:rPr>
          <w:rFonts w:ascii="Calibri" w:hAnsi="Calibri"/>
          <w:sz w:val="24"/>
        </w:rPr>
        <w:t xml:space="preserve">, </w:t>
      </w:r>
      <w:r w:rsidRPr="005E0378">
        <w:rPr>
          <w:rFonts w:ascii="Calibri" w:hAnsi="Calibri"/>
          <w:sz w:val="24"/>
        </w:rPr>
        <w:t xml:space="preserve">863–71.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128. </w:t>
      </w:r>
      <w:r w:rsidRPr="005E0378">
        <w:rPr>
          <w:rFonts w:ascii="Calibri" w:hAnsi="Calibri"/>
          <w:sz w:val="24"/>
        </w:rPr>
        <w:tab/>
        <w:t xml:space="preserve">Cartmell SH, Porter BD, García AJ, Guldberg RE. </w:t>
      </w:r>
      <w:r>
        <w:rPr>
          <w:rFonts w:ascii="Calibri" w:hAnsi="Calibri"/>
          <w:sz w:val="24"/>
        </w:rPr>
        <w:t xml:space="preserve">2003 </w:t>
      </w:r>
      <w:r w:rsidRPr="005E0378">
        <w:rPr>
          <w:rFonts w:ascii="Calibri" w:hAnsi="Calibri"/>
          <w:sz w:val="24"/>
        </w:rPr>
        <w:t>Effects of medium perfusion rate on cell-seeded three-dimensional bone constructs in vitro</w:t>
      </w:r>
      <w:r>
        <w:rPr>
          <w:rFonts w:ascii="Calibri" w:hAnsi="Calibri"/>
          <w:sz w:val="24"/>
        </w:rPr>
        <w:t xml:space="preserve">. </w:t>
      </w:r>
      <w:r w:rsidRPr="00494654">
        <w:rPr>
          <w:rFonts w:ascii="Calibri" w:hAnsi="Calibri"/>
          <w:i/>
          <w:sz w:val="24"/>
        </w:rPr>
        <w:t>Tissue engineering 9</w:t>
      </w:r>
      <w:r>
        <w:rPr>
          <w:rFonts w:ascii="Calibri" w:hAnsi="Calibri"/>
          <w:sz w:val="24"/>
        </w:rPr>
        <w:t xml:space="preserve">, </w:t>
      </w:r>
      <w:r w:rsidRPr="005E0378">
        <w:rPr>
          <w:rFonts w:ascii="Calibri" w:hAnsi="Calibri"/>
          <w:sz w:val="24"/>
        </w:rPr>
        <w:t xml:space="preserve">1197–203.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129. </w:t>
      </w:r>
      <w:r w:rsidRPr="005E0378">
        <w:rPr>
          <w:rFonts w:ascii="Calibri" w:hAnsi="Calibri"/>
          <w:sz w:val="24"/>
        </w:rPr>
        <w:tab/>
        <w:t xml:space="preserve">McCoy RJ, Jungreuthmayer C, O’Brien FJ. </w:t>
      </w:r>
      <w:r>
        <w:rPr>
          <w:rFonts w:ascii="Calibri" w:hAnsi="Calibri"/>
          <w:sz w:val="24"/>
        </w:rPr>
        <w:t xml:space="preserve">2012 </w:t>
      </w:r>
      <w:r w:rsidRPr="005E0378">
        <w:rPr>
          <w:rFonts w:ascii="Calibri" w:hAnsi="Calibri"/>
          <w:sz w:val="24"/>
        </w:rPr>
        <w:t xml:space="preserve">Influence of flow rate and scaffold pore size on cell behaviour during mechanical stimulation in a flow perfusion bioreactor. </w:t>
      </w:r>
      <w:r w:rsidRPr="00494654">
        <w:rPr>
          <w:rFonts w:ascii="Calibri" w:hAnsi="Calibri"/>
          <w:i/>
          <w:sz w:val="24"/>
        </w:rPr>
        <w:t>Biotechnology and bioengineering 109</w:t>
      </w:r>
      <w:r>
        <w:rPr>
          <w:rFonts w:ascii="Calibri" w:hAnsi="Calibri"/>
          <w:sz w:val="24"/>
        </w:rPr>
        <w:t xml:space="preserve">, </w:t>
      </w:r>
      <w:r w:rsidRPr="005E0378">
        <w:rPr>
          <w:rFonts w:ascii="Calibri" w:hAnsi="Calibri"/>
          <w:sz w:val="24"/>
        </w:rPr>
        <w:t xml:space="preserve">1583–94. </w:t>
      </w:r>
    </w:p>
    <w:p w:rsidR="005D1052" w:rsidRPr="005E0378" w:rsidRDefault="005D1052" w:rsidP="005D1052">
      <w:pPr>
        <w:pStyle w:val="NormalWeb"/>
        <w:ind w:left="640" w:hanging="640"/>
        <w:rPr>
          <w:rFonts w:ascii="Calibri" w:hAnsi="Calibri"/>
          <w:sz w:val="24"/>
        </w:rPr>
      </w:pPr>
      <w:r w:rsidRPr="005E0378">
        <w:rPr>
          <w:rFonts w:ascii="Calibri" w:hAnsi="Calibri"/>
          <w:sz w:val="24"/>
        </w:rPr>
        <w:lastRenderedPageBreak/>
        <w:t xml:space="preserve">130. </w:t>
      </w:r>
      <w:r w:rsidRPr="005E0378">
        <w:rPr>
          <w:rFonts w:ascii="Calibri" w:hAnsi="Calibri"/>
          <w:sz w:val="24"/>
        </w:rPr>
        <w:tab/>
        <w:t xml:space="preserve">Grayson WL, Marolt D, Bhumiratana S, Fröhlich M, Guo XE, Vunjak-Novakovic G. </w:t>
      </w:r>
      <w:r>
        <w:rPr>
          <w:rFonts w:ascii="Calibri" w:hAnsi="Calibri"/>
          <w:sz w:val="24"/>
        </w:rPr>
        <w:t xml:space="preserve">2011 </w:t>
      </w:r>
      <w:r w:rsidRPr="005E0378">
        <w:rPr>
          <w:rFonts w:ascii="Calibri" w:hAnsi="Calibri"/>
          <w:sz w:val="24"/>
        </w:rPr>
        <w:t xml:space="preserve">Optimizing the medium perfusion rate in bone tissue engineering bioreactors. </w:t>
      </w:r>
      <w:r w:rsidRPr="00494654">
        <w:rPr>
          <w:rFonts w:ascii="Calibri" w:hAnsi="Calibri"/>
          <w:i/>
          <w:sz w:val="24"/>
        </w:rPr>
        <w:t>Biotechnology and bioengineering 108</w:t>
      </w:r>
      <w:r>
        <w:rPr>
          <w:rFonts w:ascii="Calibri" w:hAnsi="Calibri"/>
          <w:sz w:val="24"/>
        </w:rPr>
        <w:t xml:space="preserve">, </w:t>
      </w:r>
      <w:r w:rsidRPr="005E0378">
        <w:rPr>
          <w:rFonts w:ascii="Calibri" w:hAnsi="Calibri"/>
          <w:sz w:val="24"/>
        </w:rPr>
        <w:t xml:space="preserve">1159–70.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131. </w:t>
      </w:r>
      <w:r w:rsidRPr="005E0378">
        <w:rPr>
          <w:rFonts w:ascii="Calibri" w:hAnsi="Calibri"/>
          <w:sz w:val="24"/>
        </w:rPr>
        <w:tab/>
        <w:t xml:space="preserve">Holy CE, Shoichet MS, Davies JE. </w:t>
      </w:r>
      <w:r>
        <w:rPr>
          <w:rFonts w:ascii="Calibri" w:hAnsi="Calibri"/>
          <w:sz w:val="24"/>
        </w:rPr>
        <w:t xml:space="preserve">2000 </w:t>
      </w:r>
      <w:r w:rsidRPr="005E0378">
        <w:rPr>
          <w:rFonts w:ascii="Calibri" w:hAnsi="Calibri"/>
          <w:sz w:val="24"/>
        </w:rPr>
        <w:t xml:space="preserve">Engineering three-dimensional bone tissue in vitro using biodegradable scaffolds: Investigating initial cell-seeding density and culture period. </w:t>
      </w:r>
      <w:r w:rsidRPr="00494654">
        <w:rPr>
          <w:rFonts w:ascii="Calibri" w:hAnsi="Calibri"/>
          <w:i/>
          <w:sz w:val="24"/>
        </w:rPr>
        <w:t>Journal of Biomedical Materials Research 51</w:t>
      </w:r>
      <w:r>
        <w:rPr>
          <w:rFonts w:ascii="Calibri" w:hAnsi="Calibri"/>
          <w:sz w:val="24"/>
        </w:rPr>
        <w:t xml:space="preserve">, </w:t>
      </w:r>
      <w:r w:rsidRPr="005E0378">
        <w:rPr>
          <w:rFonts w:ascii="Calibri" w:hAnsi="Calibri"/>
          <w:sz w:val="24"/>
        </w:rPr>
        <w:t xml:space="preserve">376–82.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132. </w:t>
      </w:r>
      <w:r w:rsidRPr="005E0378">
        <w:rPr>
          <w:rFonts w:ascii="Calibri" w:hAnsi="Calibri"/>
          <w:sz w:val="24"/>
        </w:rPr>
        <w:tab/>
      </w:r>
      <w:r w:rsidRPr="00494654">
        <w:rPr>
          <w:rFonts w:ascii="Calibri" w:hAnsi="Calibri"/>
          <w:sz w:val="24"/>
        </w:rPr>
        <w:t>Ma J, Both SK, Yang F, Cui FZ, Pan J, Meijer GJ, Jansen JA, van den Beucken JJ.</w:t>
      </w:r>
      <w:r w:rsidRPr="005E0378">
        <w:rPr>
          <w:rFonts w:ascii="Calibri" w:hAnsi="Calibri"/>
          <w:sz w:val="24"/>
        </w:rPr>
        <w:t xml:space="preserve"> </w:t>
      </w:r>
      <w:r>
        <w:rPr>
          <w:rFonts w:ascii="Calibri" w:hAnsi="Calibri"/>
          <w:sz w:val="24"/>
        </w:rPr>
        <w:t xml:space="preserve">2014 </w:t>
      </w:r>
      <w:r w:rsidRPr="005E0378">
        <w:rPr>
          <w:rFonts w:ascii="Calibri" w:hAnsi="Calibri"/>
          <w:sz w:val="24"/>
        </w:rPr>
        <w:t xml:space="preserve">Concise Review: Cell-Based Strategies in Bone Tissue Engineering and Regenerative Medicine. </w:t>
      </w:r>
      <w:r w:rsidRPr="00494654">
        <w:rPr>
          <w:rFonts w:ascii="Calibri" w:hAnsi="Calibri"/>
          <w:i/>
          <w:sz w:val="24"/>
        </w:rPr>
        <w:t>Stem Cells Translational Medicine 3</w:t>
      </w:r>
      <w:r>
        <w:rPr>
          <w:rFonts w:ascii="Calibri" w:hAnsi="Calibri"/>
          <w:sz w:val="24"/>
        </w:rPr>
        <w:t xml:space="preserve">, </w:t>
      </w:r>
      <w:r w:rsidRPr="005E0378">
        <w:rPr>
          <w:rFonts w:ascii="Calibri" w:hAnsi="Calibri"/>
          <w:sz w:val="24"/>
        </w:rPr>
        <w:t xml:space="preserve">98–107.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133. </w:t>
      </w:r>
      <w:r w:rsidRPr="005E0378">
        <w:rPr>
          <w:rFonts w:ascii="Calibri" w:hAnsi="Calibri"/>
          <w:sz w:val="24"/>
        </w:rPr>
        <w:tab/>
        <w:t xml:space="preserve">Olivares AL, Lacroix D. </w:t>
      </w:r>
      <w:r>
        <w:rPr>
          <w:rFonts w:ascii="Calibri" w:hAnsi="Calibri"/>
          <w:sz w:val="24"/>
        </w:rPr>
        <w:t xml:space="preserve">2012 </w:t>
      </w:r>
      <w:r w:rsidRPr="005E0378">
        <w:rPr>
          <w:rFonts w:ascii="Calibri" w:hAnsi="Calibri"/>
          <w:sz w:val="24"/>
        </w:rPr>
        <w:t>Simulation of Cell Seeding Within a Three-Dimensional Porous Scaffold : A Fluid-Particle Analysis</w:t>
      </w:r>
      <w:r>
        <w:rPr>
          <w:rFonts w:ascii="Calibri" w:hAnsi="Calibri"/>
          <w:sz w:val="24"/>
        </w:rPr>
        <w:t>.</w:t>
      </w:r>
      <w:r w:rsidRPr="00494654">
        <w:rPr>
          <w:rFonts w:ascii="Arial" w:eastAsiaTheme="minorHAnsi" w:hAnsi="Arial" w:cs="Arial"/>
          <w:i/>
          <w:iCs/>
          <w:color w:val="222222"/>
          <w:shd w:val="clear" w:color="auto" w:fill="FFFFFF"/>
        </w:rPr>
        <w:t xml:space="preserve"> </w:t>
      </w:r>
      <w:r w:rsidRPr="00494654">
        <w:rPr>
          <w:rFonts w:ascii="Calibri" w:hAnsi="Calibri"/>
          <w:i/>
          <w:iCs/>
          <w:sz w:val="24"/>
        </w:rPr>
        <w:t>Tissue Engineering Part C: Methods</w:t>
      </w:r>
      <w:r>
        <w:rPr>
          <w:rFonts w:ascii="Calibri" w:hAnsi="Calibri"/>
          <w:sz w:val="24"/>
        </w:rPr>
        <w:t xml:space="preserve"> </w:t>
      </w:r>
      <w:r w:rsidRPr="00494654">
        <w:rPr>
          <w:rFonts w:ascii="Calibri" w:hAnsi="Calibri"/>
          <w:i/>
          <w:sz w:val="24"/>
        </w:rPr>
        <w:t>18</w:t>
      </w:r>
      <w:r>
        <w:rPr>
          <w:rFonts w:ascii="Calibri" w:hAnsi="Calibri"/>
          <w:sz w:val="24"/>
        </w:rPr>
        <w:t xml:space="preserve">, </w:t>
      </w:r>
      <w:r w:rsidRPr="005E0378">
        <w:rPr>
          <w:rFonts w:ascii="Calibri" w:hAnsi="Calibri"/>
          <w:sz w:val="24"/>
        </w:rPr>
        <w:t xml:space="preserve">624–31.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134. </w:t>
      </w:r>
      <w:r w:rsidRPr="005E0378">
        <w:rPr>
          <w:rFonts w:ascii="Calibri" w:hAnsi="Calibri"/>
          <w:sz w:val="24"/>
        </w:rPr>
        <w:tab/>
        <w:t xml:space="preserve">Govil A, Gamboa CG, Thompson NI, Guyer JA, Flores MB, Somasundar S. </w:t>
      </w:r>
      <w:r>
        <w:rPr>
          <w:rFonts w:ascii="Calibri" w:hAnsi="Calibri"/>
          <w:sz w:val="24"/>
        </w:rPr>
        <w:t xml:space="preserve">2010 </w:t>
      </w:r>
      <w:r w:rsidRPr="005E0378">
        <w:rPr>
          <w:rFonts w:ascii="Calibri" w:hAnsi="Calibri"/>
          <w:sz w:val="24"/>
        </w:rPr>
        <w:t xml:space="preserve">Methods and systems for storing medical implants under sustained vacuum </w:t>
      </w:r>
      <w:r>
        <w:rPr>
          <w:rFonts w:ascii="Calibri" w:hAnsi="Calibri"/>
          <w:sz w:val="24"/>
        </w:rPr>
        <w:t>Google Patents.</w:t>
      </w:r>
      <w:r w:rsidRPr="005E0378">
        <w:rPr>
          <w:rFonts w:ascii="Calibri" w:hAnsi="Calibri"/>
          <w:sz w:val="24"/>
        </w:rPr>
        <w:t xml:space="preserve"> </w:t>
      </w:r>
    </w:p>
    <w:p w:rsidR="005D1052" w:rsidRPr="005E0378" w:rsidRDefault="005D1052" w:rsidP="005D1052">
      <w:pPr>
        <w:pStyle w:val="NormalWeb"/>
        <w:ind w:left="640" w:hanging="640"/>
        <w:rPr>
          <w:rFonts w:ascii="Calibri" w:hAnsi="Calibri"/>
          <w:sz w:val="24"/>
        </w:rPr>
      </w:pPr>
      <w:r>
        <w:rPr>
          <w:rFonts w:ascii="Calibri" w:hAnsi="Calibri"/>
          <w:sz w:val="24"/>
        </w:rPr>
        <w:t xml:space="preserve">135. </w:t>
      </w:r>
      <w:r>
        <w:rPr>
          <w:rFonts w:ascii="Calibri" w:hAnsi="Calibri"/>
          <w:sz w:val="24"/>
        </w:rPr>
        <w:tab/>
        <w:t>Adebiyi AA</w:t>
      </w:r>
      <w:r w:rsidRPr="005E0378">
        <w:rPr>
          <w:rFonts w:ascii="Calibri" w:hAnsi="Calibri"/>
          <w:sz w:val="24"/>
        </w:rPr>
        <w:t xml:space="preserve">., Taslim ME, Crawford KD. </w:t>
      </w:r>
      <w:r>
        <w:rPr>
          <w:rFonts w:ascii="Calibri" w:hAnsi="Calibri"/>
          <w:sz w:val="24"/>
        </w:rPr>
        <w:t xml:space="preserve">2011 </w:t>
      </w:r>
      <w:r w:rsidRPr="005E0378">
        <w:rPr>
          <w:rFonts w:ascii="Calibri" w:hAnsi="Calibri"/>
          <w:sz w:val="24"/>
        </w:rPr>
        <w:t xml:space="preserve">The use of computational fluid dynamic models for the optimization of cell seeding processes. </w:t>
      </w:r>
      <w:r w:rsidRPr="00494654">
        <w:rPr>
          <w:rFonts w:ascii="Calibri" w:hAnsi="Calibri"/>
          <w:i/>
          <w:sz w:val="24"/>
        </w:rPr>
        <w:t>Biomaterials 32</w:t>
      </w:r>
      <w:r>
        <w:rPr>
          <w:rFonts w:ascii="Calibri" w:hAnsi="Calibri"/>
          <w:sz w:val="24"/>
        </w:rPr>
        <w:t xml:space="preserve">, </w:t>
      </w:r>
      <w:r w:rsidRPr="005E0378">
        <w:rPr>
          <w:rFonts w:ascii="Calibri" w:hAnsi="Calibri"/>
          <w:sz w:val="24"/>
        </w:rPr>
        <w:t xml:space="preserve">8753–70.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136. </w:t>
      </w:r>
      <w:r>
        <w:rPr>
          <w:rFonts w:ascii="Calibri" w:hAnsi="Calibri"/>
          <w:sz w:val="24"/>
        </w:rPr>
        <w:tab/>
        <w:t>Spencer TJ, Hidalgo-Bastida LA</w:t>
      </w:r>
      <w:r w:rsidRPr="005E0378">
        <w:rPr>
          <w:rFonts w:ascii="Calibri" w:hAnsi="Calibri"/>
          <w:sz w:val="24"/>
        </w:rPr>
        <w:t xml:space="preserve">, Cartmell SH, Halliday I, Care CM. </w:t>
      </w:r>
      <w:r>
        <w:rPr>
          <w:rFonts w:ascii="Calibri" w:hAnsi="Calibri"/>
          <w:sz w:val="24"/>
        </w:rPr>
        <w:t xml:space="preserve">2012 </w:t>
      </w:r>
      <w:r w:rsidRPr="005E0378">
        <w:rPr>
          <w:rFonts w:ascii="Calibri" w:hAnsi="Calibri"/>
          <w:sz w:val="24"/>
        </w:rPr>
        <w:t xml:space="preserve">In silico multi-scale model of transport and dynamic seeding in a bone tissue engineering perfusion bioreactor. </w:t>
      </w:r>
      <w:r w:rsidRPr="00494654">
        <w:rPr>
          <w:rFonts w:ascii="Calibri" w:hAnsi="Calibri"/>
          <w:i/>
          <w:sz w:val="24"/>
        </w:rPr>
        <w:t>Biotechnology and bioengineering</w:t>
      </w:r>
      <w:r w:rsidRPr="00494654">
        <w:rPr>
          <w:rFonts w:ascii="Arial" w:eastAsiaTheme="minorHAnsi" w:hAnsi="Arial" w:cs="Arial"/>
          <w:i/>
          <w:iCs/>
          <w:color w:val="222222"/>
          <w:shd w:val="clear" w:color="auto" w:fill="FFFFFF"/>
        </w:rPr>
        <w:t xml:space="preserve"> </w:t>
      </w:r>
      <w:r w:rsidRPr="00494654">
        <w:rPr>
          <w:rFonts w:ascii="Calibri" w:hAnsi="Calibri"/>
          <w:i/>
          <w:iCs/>
          <w:sz w:val="24"/>
        </w:rPr>
        <w:t>110</w:t>
      </w:r>
      <w:r w:rsidRPr="00494654">
        <w:rPr>
          <w:rFonts w:ascii="Calibri" w:hAnsi="Calibri"/>
          <w:i/>
          <w:sz w:val="24"/>
        </w:rPr>
        <w:t xml:space="preserve">, </w:t>
      </w:r>
      <w:r w:rsidRPr="00494654">
        <w:rPr>
          <w:rFonts w:ascii="Calibri" w:hAnsi="Calibri"/>
          <w:sz w:val="24"/>
        </w:rPr>
        <w:t xml:space="preserve">1221-1230.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137. </w:t>
      </w:r>
      <w:r w:rsidRPr="005E0378">
        <w:rPr>
          <w:rFonts w:ascii="Calibri" w:hAnsi="Calibri"/>
          <w:sz w:val="24"/>
        </w:rPr>
        <w:tab/>
        <w:t xml:space="preserve">Guyot Y, Luyten FP, Schrooten J, Papantoniou I, Geris L. </w:t>
      </w:r>
      <w:r>
        <w:rPr>
          <w:rFonts w:ascii="Calibri" w:hAnsi="Calibri"/>
          <w:sz w:val="24"/>
        </w:rPr>
        <w:t xml:space="preserve">2015 </w:t>
      </w:r>
      <w:r w:rsidRPr="005E0378">
        <w:rPr>
          <w:rFonts w:ascii="Calibri" w:hAnsi="Calibri"/>
          <w:sz w:val="24"/>
        </w:rPr>
        <w:t xml:space="preserve">A three-dimensional computational fluid dynamics model of shear stress distribution during neotissue growth in a perfusion bioreactor. </w:t>
      </w:r>
      <w:r w:rsidRPr="00494654">
        <w:rPr>
          <w:rFonts w:ascii="Calibri" w:hAnsi="Calibri"/>
          <w:i/>
          <w:sz w:val="24"/>
        </w:rPr>
        <w:t>Biotechnology and bioengineering 112</w:t>
      </w:r>
      <w:r>
        <w:rPr>
          <w:rFonts w:ascii="Calibri" w:hAnsi="Calibri"/>
          <w:sz w:val="24"/>
        </w:rPr>
        <w:t>, 2591–600.</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138. </w:t>
      </w:r>
      <w:r w:rsidRPr="005E0378">
        <w:rPr>
          <w:rFonts w:ascii="Calibri" w:hAnsi="Calibri"/>
          <w:sz w:val="24"/>
        </w:rPr>
        <w:tab/>
        <w:t xml:space="preserve">Song MJ, Dean D, Knothe Tate ML. </w:t>
      </w:r>
      <w:r>
        <w:rPr>
          <w:rFonts w:ascii="Calibri" w:hAnsi="Calibri"/>
          <w:sz w:val="24"/>
        </w:rPr>
        <w:t xml:space="preserve">2010 </w:t>
      </w:r>
      <w:r w:rsidRPr="005E0378">
        <w:rPr>
          <w:rFonts w:ascii="Calibri" w:hAnsi="Calibri"/>
          <w:sz w:val="24"/>
        </w:rPr>
        <w:t xml:space="preserve">In situ spatiotemporal mapping of flow fields around seeded stem cells at the subcellular length scale. </w:t>
      </w:r>
      <w:r w:rsidRPr="00494654">
        <w:rPr>
          <w:rFonts w:ascii="Calibri" w:hAnsi="Calibri"/>
          <w:i/>
          <w:sz w:val="24"/>
        </w:rPr>
        <w:t>PloS one 5</w:t>
      </w:r>
      <w:r>
        <w:rPr>
          <w:rFonts w:ascii="Calibri" w:hAnsi="Calibri"/>
          <w:sz w:val="24"/>
        </w:rPr>
        <w:t xml:space="preserve">, </w:t>
      </w:r>
      <w:r w:rsidRPr="005E0378">
        <w:rPr>
          <w:rFonts w:ascii="Calibri" w:hAnsi="Calibri"/>
          <w:sz w:val="24"/>
        </w:rPr>
        <w:t xml:space="preserve">1–7.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139. </w:t>
      </w:r>
      <w:r w:rsidRPr="005E0378">
        <w:rPr>
          <w:rFonts w:ascii="Calibri" w:hAnsi="Calibri"/>
          <w:sz w:val="24"/>
        </w:rPr>
        <w:tab/>
      </w:r>
      <w:r w:rsidRPr="0072373E">
        <w:rPr>
          <w:rFonts w:ascii="Calibri" w:hAnsi="Calibri"/>
          <w:sz w:val="24"/>
        </w:rPr>
        <w:t>De Boodt S, Truscello S, Özcan SE, Leroy T, Van Oosterwyck H, Berckmans D, Schrooten J.</w:t>
      </w:r>
      <w:r w:rsidRPr="005E0378">
        <w:rPr>
          <w:rFonts w:ascii="Calibri" w:hAnsi="Calibri"/>
          <w:sz w:val="24"/>
        </w:rPr>
        <w:t xml:space="preserve"> </w:t>
      </w:r>
      <w:r>
        <w:rPr>
          <w:rFonts w:ascii="Calibri" w:hAnsi="Calibri"/>
          <w:sz w:val="24"/>
        </w:rPr>
        <w:t xml:space="preserve">2010 </w:t>
      </w:r>
      <w:r w:rsidRPr="005E0378">
        <w:rPr>
          <w:rFonts w:ascii="Calibri" w:hAnsi="Calibri"/>
          <w:sz w:val="24"/>
        </w:rPr>
        <w:t xml:space="preserve">Bi-modular flow characterization in tissue engineering scaffolds using computational fluid dynamics and particle imaging velocimetry. </w:t>
      </w:r>
      <w:r w:rsidRPr="00494654">
        <w:rPr>
          <w:rFonts w:ascii="Calibri" w:hAnsi="Calibri"/>
          <w:i/>
          <w:sz w:val="24"/>
        </w:rPr>
        <w:t>Tissue engineering Part C</w:t>
      </w:r>
      <w:r>
        <w:rPr>
          <w:rFonts w:ascii="Calibri" w:hAnsi="Calibri"/>
          <w:i/>
          <w:sz w:val="24"/>
        </w:rPr>
        <w:t>:</w:t>
      </w:r>
      <w:r w:rsidRPr="00494654">
        <w:rPr>
          <w:rFonts w:ascii="Calibri" w:hAnsi="Calibri"/>
          <w:i/>
          <w:sz w:val="24"/>
        </w:rPr>
        <w:t xml:space="preserve"> Methods 16</w:t>
      </w:r>
      <w:r>
        <w:rPr>
          <w:rFonts w:ascii="Calibri" w:hAnsi="Calibri"/>
          <w:sz w:val="24"/>
        </w:rPr>
        <w:t xml:space="preserve">, </w:t>
      </w:r>
      <w:r w:rsidRPr="005E0378">
        <w:rPr>
          <w:rFonts w:ascii="Calibri" w:hAnsi="Calibri"/>
          <w:sz w:val="24"/>
        </w:rPr>
        <w:t xml:space="preserve">1553–64.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140. </w:t>
      </w:r>
      <w:r w:rsidRPr="005E0378">
        <w:rPr>
          <w:rFonts w:ascii="Calibri" w:hAnsi="Calibri"/>
          <w:sz w:val="24"/>
        </w:rPr>
        <w:tab/>
        <w:t xml:space="preserve">Jae M, Dean D, Knothe ML. </w:t>
      </w:r>
      <w:r>
        <w:rPr>
          <w:rFonts w:ascii="Calibri" w:hAnsi="Calibri"/>
          <w:sz w:val="24"/>
        </w:rPr>
        <w:t xml:space="preserve">2013 </w:t>
      </w:r>
      <w:r w:rsidRPr="005E0378">
        <w:rPr>
          <w:rFonts w:ascii="Calibri" w:hAnsi="Calibri"/>
          <w:sz w:val="24"/>
        </w:rPr>
        <w:t xml:space="preserve">Biomaterials Mechanical modulation of nascent stem cell lineage commitment in tissue engineering scaffolds. </w:t>
      </w:r>
      <w:r w:rsidRPr="0072373E">
        <w:rPr>
          <w:rFonts w:ascii="Calibri" w:hAnsi="Calibri"/>
          <w:i/>
          <w:sz w:val="24"/>
        </w:rPr>
        <w:t>Biomaterials 34</w:t>
      </w:r>
      <w:r>
        <w:rPr>
          <w:rFonts w:ascii="Calibri" w:hAnsi="Calibri"/>
          <w:sz w:val="24"/>
        </w:rPr>
        <w:t xml:space="preserve">, </w:t>
      </w:r>
      <w:r w:rsidRPr="005E0378">
        <w:rPr>
          <w:rFonts w:ascii="Calibri" w:hAnsi="Calibri"/>
          <w:sz w:val="24"/>
        </w:rPr>
        <w:t xml:space="preserve">5766–75. </w:t>
      </w:r>
    </w:p>
    <w:p w:rsidR="005D1052" w:rsidRPr="005E0378" w:rsidRDefault="005D1052" w:rsidP="005D1052">
      <w:pPr>
        <w:pStyle w:val="NormalWeb"/>
        <w:ind w:left="640" w:hanging="640"/>
        <w:rPr>
          <w:rFonts w:ascii="Calibri" w:hAnsi="Calibri"/>
          <w:sz w:val="24"/>
        </w:rPr>
      </w:pPr>
      <w:r w:rsidRPr="005E0378">
        <w:rPr>
          <w:rFonts w:ascii="Calibri" w:hAnsi="Calibri"/>
          <w:sz w:val="24"/>
        </w:rPr>
        <w:lastRenderedPageBreak/>
        <w:t xml:space="preserve">141. </w:t>
      </w:r>
      <w:r w:rsidRPr="005E0378">
        <w:rPr>
          <w:rFonts w:ascii="Calibri" w:hAnsi="Calibri"/>
          <w:sz w:val="24"/>
        </w:rPr>
        <w:tab/>
        <w:t xml:space="preserve">McCoy RJ, O’Brien FJ. </w:t>
      </w:r>
      <w:r>
        <w:rPr>
          <w:rFonts w:ascii="Calibri" w:hAnsi="Calibri"/>
          <w:sz w:val="24"/>
        </w:rPr>
        <w:t xml:space="preserve">2010 </w:t>
      </w:r>
      <w:r w:rsidRPr="005E0378">
        <w:rPr>
          <w:rFonts w:ascii="Calibri" w:hAnsi="Calibri"/>
          <w:sz w:val="24"/>
        </w:rPr>
        <w:t xml:space="preserve">Influence of shear stress in perfusion bioreactor cultures for the development of three-dimensional bone tissue constructs: a review. </w:t>
      </w:r>
      <w:r w:rsidRPr="0072373E">
        <w:rPr>
          <w:rFonts w:ascii="Calibri" w:hAnsi="Calibri"/>
          <w:i/>
          <w:sz w:val="24"/>
        </w:rPr>
        <w:t>Tissue engineering Part B: Reviews 16,</w:t>
      </w:r>
      <w:r>
        <w:rPr>
          <w:rFonts w:ascii="Calibri" w:hAnsi="Calibri"/>
          <w:sz w:val="24"/>
        </w:rPr>
        <w:t xml:space="preserve"> </w:t>
      </w:r>
      <w:r w:rsidRPr="005E0378">
        <w:rPr>
          <w:rFonts w:ascii="Calibri" w:hAnsi="Calibri"/>
          <w:sz w:val="24"/>
        </w:rPr>
        <w:t xml:space="preserve">587–601.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142. </w:t>
      </w:r>
      <w:r w:rsidRPr="005E0378">
        <w:rPr>
          <w:rFonts w:ascii="Calibri" w:hAnsi="Calibri"/>
          <w:sz w:val="24"/>
        </w:rPr>
        <w:tab/>
        <w:t xml:space="preserve">Provin C, Takano K, Sakai Y, Fujii T, Shirakashi R. </w:t>
      </w:r>
      <w:r>
        <w:rPr>
          <w:rFonts w:ascii="Calibri" w:hAnsi="Calibri"/>
          <w:sz w:val="24"/>
        </w:rPr>
        <w:t xml:space="preserve">2008 </w:t>
      </w:r>
      <w:r w:rsidRPr="005E0378">
        <w:rPr>
          <w:rFonts w:ascii="Calibri" w:hAnsi="Calibri"/>
          <w:sz w:val="24"/>
        </w:rPr>
        <w:t>A method for the design of 3D scaffolds for high-density cell attachment and determination of optimum perfusion culture conditions.</w:t>
      </w:r>
      <w:r w:rsidRPr="0072373E">
        <w:rPr>
          <w:rFonts w:ascii="Calibri" w:hAnsi="Calibri"/>
          <w:i/>
          <w:sz w:val="24"/>
        </w:rPr>
        <w:t xml:space="preserve"> Journal of Biomechanics. 41</w:t>
      </w:r>
      <w:r>
        <w:rPr>
          <w:rFonts w:ascii="Calibri" w:hAnsi="Calibri"/>
          <w:sz w:val="24"/>
        </w:rPr>
        <w:t xml:space="preserve">, </w:t>
      </w:r>
      <w:r w:rsidRPr="005E0378">
        <w:rPr>
          <w:rFonts w:ascii="Calibri" w:hAnsi="Calibri"/>
          <w:sz w:val="24"/>
        </w:rPr>
        <w:t xml:space="preserve">1436–49.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143. </w:t>
      </w:r>
      <w:r w:rsidRPr="005E0378">
        <w:rPr>
          <w:rFonts w:ascii="Calibri" w:hAnsi="Calibri"/>
          <w:sz w:val="24"/>
        </w:rPr>
        <w:tab/>
        <w:t xml:space="preserve">Lima R, Ishikawa T, Imai Y, Takeda M, Wada S, Yamaguchi T. </w:t>
      </w:r>
      <w:r>
        <w:rPr>
          <w:rFonts w:ascii="Calibri" w:hAnsi="Calibri"/>
          <w:sz w:val="24"/>
        </w:rPr>
        <w:t xml:space="preserve">2009 </w:t>
      </w:r>
      <w:r w:rsidRPr="005E0378">
        <w:rPr>
          <w:rFonts w:ascii="Calibri" w:hAnsi="Calibri"/>
          <w:sz w:val="24"/>
        </w:rPr>
        <w:t xml:space="preserve">Measurement of individual red blood cell motions under high hematocrit conditions using a confocal micro-PTV system. </w:t>
      </w:r>
      <w:r w:rsidRPr="0072373E">
        <w:rPr>
          <w:rFonts w:ascii="Calibri" w:hAnsi="Calibri"/>
          <w:i/>
          <w:sz w:val="24"/>
        </w:rPr>
        <w:t>Annals of biomedical engineering 37</w:t>
      </w:r>
      <w:r>
        <w:rPr>
          <w:rFonts w:ascii="Calibri" w:hAnsi="Calibri"/>
          <w:sz w:val="24"/>
        </w:rPr>
        <w:t xml:space="preserve">, </w:t>
      </w:r>
      <w:r w:rsidRPr="005E0378">
        <w:rPr>
          <w:rFonts w:ascii="Calibri" w:hAnsi="Calibri"/>
          <w:sz w:val="24"/>
        </w:rPr>
        <w:t xml:space="preserve">1546–59.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144. </w:t>
      </w:r>
      <w:r w:rsidRPr="005E0378">
        <w:rPr>
          <w:rFonts w:ascii="Calibri" w:hAnsi="Calibri"/>
          <w:sz w:val="24"/>
        </w:rPr>
        <w:tab/>
        <w:t xml:space="preserve">Sugii Y, Okuda R, Okamoto K, Madarame H. </w:t>
      </w:r>
      <w:r>
        <w:rPr>
          <w:rFonts w:ascii="Calibri" w:hAnsi="Calibri"/>
          <w:sz w:val="24"/>
        </w:rPr>
        <w:t xml:space="preserve">2005 </w:t>
      </w:r>
      <w:r w:rsidRPr="005E0378">
        <w:rPr>
          <w:rFonts w:ascii="Calibri" w:hAnsi="Calibri"/>
          <w:sz w:val="24"/>
        </w:rPr>
        <w:t xml:space="preserve">Velocity measurement of both red blood cells and plasma of in vitro blood flow using high-speed micro PIV technique. </w:t>
      </w:r>
      <w:r w:rsidRPr="0072373E">
        <w:rPr>
          <w:rFonts w:ascii="Calibri" w:hAnsi="Calibri"/>
          <w:i/>
          <w:sz w:val="24"/>
        </w:rPr>
        <w:t>Measurement Science and Technology 16</w:t>
      </w:r>
      <w:r>
        <w:rPr>
          <w:rFonts w:ascii="Calibri" w:hAnsi="Calibri"/>
          <w:sz w:val="24"/>
        </w:rPr>
        <w:t xml:space="preserve">, </w:t>
      </w:r>
      <w:r w:rsidRPr="005E0378">
        <w:rPr>
          <w:rFonts w:ascii="Calibri" w:hAnsi="Calibri"/>
          <w:sz w:val="24"/>
        </w:rPr>
        <w:t xml:space="preserve">1126–30.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145. </w:t>
      </w:r>
      <w:r w:rsidRPr="005E0378">
        <w:rPr>
          <w:rFonts w:ascii="Calibri" w:hAnsi="Calibri"/>
          <w:sz w:val="24"/>
        </w:rPr>
        <w:tab/>
        <w:t xml:space="preserve">Oshima M, Oishi </w:t>
      </w:r>
      <w:r>
        <w:rPr>
          <w:rFonts w:ascii="Calibri" w:hAnsi="Calibri"/>
          <w:sz w:val="24"/>
        </w:rPr>
        <w:t xml:space="preserve">M. 2014 </w:t>
      </w:r>
      <w:r w:rsidRPr="005E0378">
        <w:rPr>
          <w:rFonts w:ascii="Calibri" w:hAnsi="Calibri"/>
          <w:sz w:val="24"/>
        </w:rPr>
        <w:t>Continuous and Simultaneous Measurement of Micro Multiphase Flow Using confocal Micro-Particle I</w:t>
      </w:r>
      <w:r>
        <w:rPr>
          <w:rFonts w:ascii="Calibri" w:hAnsi="Calibri"/>
          <w:sz w:val="24"/>
        </w:rPr>
        <w:t>mage Velocimetry ( Micro-PIV )</w:t>
      </w:r>
      <w:r w:rsidRPr="005E0378">
        <w:rPr>
          <w:rFonts w:ascii="Calibri" w:hAnsi="Calibri"/>
          <w:sz w:val="24"/>
        </w:rPr>
        <w:t xml:space="preserve">. </w:t>
      </w:r>
      <w:r w:rsidRPr="0072373E">
        <w:rPr>
          <w:rFonts w:ascii="Calibri" w:hAnsi="Calibri"/>
          <w:i/>
          <w:sz w:val="24"/>
        </w:rPr>
        <w:t>4</w:t>
      </w:r>
      <w:r w:rsidRPr="0072373E">
        <w:rPr>
          <w:rFonts w:ascii="Calibri" w:hAnsi="Calibri"/>
          <w:i/>
          <w:sz w:val="24"/>
          <w:vertAlign w:val="superscript"/>
        </w:rPr>
        <w:t>th</w:t>
      </w:r>
      <w:r w:rsidRPr="0072373E">
        <w:rPr>
          <w:rFonts w:ascii="Calibri" w:hAnsi="Calibri"/>
          <w:i/>
          <w:sz w:val="24"/>
        </w:rPr>
        <w:t xml:space="preserve"> Nano and Micro Flows Conference, London, United Kingdom</w:t>
      </w:r>
      <w:r w:rsidRPr="005E0378">
        <w:rPr>
          <w:rFonts w:ascii="Calibri" w:hAnsi="Calibri"/>
          <w:sz w:val="24"/>
        </w:rPr>
        <w:t xml:space="preserve">.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146. </w:t>
      </w:r>
      <w:r w:rsidRPr="005E0378">
        <w:rPr>
          <w:rFonts w:ascii="Calibri" w:hAnsi="Calibri"/>
          <w:sz w:val="24"/>
        </w:rPr>
        <w:tab/>
        <w:t xml:space="preserve">Fouras A, Dusting J, Hourigan K. </w:t>
      </w:r>
      <w:r>
        <w:rPr>
          <w:rFonts w:ascii="Calibri" w:hAnsi="Calibri"/>
          <w:sz w:val="24"/>
        </w:rPr>
        <w:t xml:space="preserve">2007 </w:t>
      </w:r>
      <w:r w:rsidRPr="005E0378">
        <w:rPr>
          <w:rFonts w:ascii="Calibri" w:hAnsi="Calibri"/>
          <w:sz w:val="24"/>
        </w:rPr>
        <w:t>A simple calibration technique for stereoscopic particle image velocimetry.</w:t>
      </w:r>
      <w:r w:rsidRPr="00254DB7">
        <w:rPr>
          <w:rFonts w:ascii="Calibri" w:hAnsi="Calibri"/>
          <w:i/>
          <w:sz w:val="24"/>
        </w:rPr>
        <w:t xml:space="preserve"> Experiments in Fluids 42</w:t>
      </w:r>
      <w:r>
        <w:rPr>
          <w:rFonts w:ascii="Calibri" w:hAnsi="Calibri"/>
          <w:sz w:val="24"/>
        </w:rPr>
        <w:t xml:space="preserve">, </w:t>
      </w:r>
      <w:r w:rsidRPr="005E0378">
        <w:rPr>
          <w:rFonts w:ascii="Calibri" w:hAnsi="Calibri"/>
          <w:sz w:val="24"/>
        </w:rPr>
        <w:t xml:space="preserve">799–810.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147. </w:t>
      </w:r>
      <w:r w:rsidRPr="005E0378">
        <w:rPr>
          <w:rFonts w:ascii="Calibri" w:hAnsi="Calibri"/>
          <w:sz w:val="24"/>
        </w:rPr>
        <w:tab/>
        <w:t xml:space="preserve">Fouras A, Dusting J, Sheridan J, Kawahashi M, Hirahara H, Hourigan K. </w:t>
      </w:r>
      <w:r>
        <w:rPr>
          <w:rFonts w:ascii="Calibri" w:hAnsi="Calibri"/>
          <w:sz w:val="24"/>
        </w:rPr>
        <w:t xml:space="preserve">2009 </w:t>
      </w:r>
      <w:r w:rsidRPr="005E0378">
        <w:rPr>
          <w:rFonts w:ascii="Calibri" w:hAnsi="Calibri"/>
          <w:sz w:val="24"/>
        </w:rPr>
        <w:t xml:space="preserve">Engineering imaging: Using particle image velocimetry to see physiology in a new light. </w:t>
      </w:r>
      <w:r w:rsidRPr="00254DB7">
        <w:rPr>
          <w:rFonts w:ascii="Calibri" w:hAnsi="Calibri"/>
          <w:i/>
          <w:sz w:val="24"/>
        </w:rPr>
        <w:t>Clinical and Experimental Pharmacology and Physiology 36</w:t>
      </w:r>
      <w:r>
        <w:rPr>
          <w:rFonts w:ascii="Calibri" w:hAnsi="Calibri"/>
          <w:sz w:val="24"/>
        </w:rPr>
        <w:t xml:space="preserve">, </w:t>
      </w:r>
      <w:r w:rsidRPr="005E0378">
        <w:rPr>
          <w:rFonts w:ascii="Calibri" w:hAnsi="Calibri"/>
          <w:sz w:val="24"/>
        </w:rPr>
        <w:t xml:space="preserve">238–47.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148. </w:t>
      </w:r>
      <w:r w:rsidRPr="005E0378">
        <w:rPr>
          <w:rFonts w:ascii="Calibri" w:hAnsi="Calibri"/>
          <w:sz w:val="24"/>
        </w:rPr>
        <w:tab/>
        <w:t xml:space="preserve">Lima R, Wada S, Tsubota K, Yamaguchi T. </w:t>
      </w:r>
      <w:r>
        <w:rPr>
          <w:rFonts w:ascii="Calibri" w:hAnsi="Calibri"/>
          <w:sz w:val="24"/>
        </w:rPr>
        <w:t xml:space="preserve">2006 </w:t>
      </w:r>
      <w:r w:rsidRPr="005E0378">
        <w:rPr>
          <w:rFonts w:ascii="Calibri" w:hAnsi="Calibri"/>
          <w:sz w:val="24"/>
        </w:rPr>
        <w:t xml:space="preserve">Confocal micro-PIV measurements of three-dimensional profiles of cell suspension flow in a square microchannel. </w:t>
      </w:r>
      <w:r w:rsidRPr="00254DB7">
        <w:rPr>
          <w:rFonts w:ascii="Calibri" w:hAnsi="Calibri"/>
          <w:i/>
          <w:sz w:val="24"/>
        </w:rPr>
        <w:t>Measurement Science and Technology 17</w:t>
      </w:r>
      <w:r>
        <w:rPr>
          <w:rFonts w:ascii="Calibri" w:hAnsi="Calibri"/>
          <w:sz w:val="24"/>
        </w:rPr>
        <w:t xml:space="preserve">, </w:t>
      </w:r>
      <w:r w:rsidRPr="005E0378">
        <w:rPr>
          <w:rFonts w:ascii="Calibri" w:hAnsi="Calibri"/>
          <w:sz w:val="24"/>
        </w:rPr>
        <w:t xml:space="preserve">797–808.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149. </w:t>
      </w:r>
      <w:r w:rsidRPr="005E0378">
        <w:rPr>
          <w:rFonts w:ascii="Calibri" w:hAnsi="Calibri"/>
          <w:sz w:val="24"/>
        </w:rPr>
        <w:tab/>
      </w:r>
      <w:r w:rsidRPr="00254DB7">
        <w:rPr>
          <w:rFonts w:ascii="Calibri" w:hAnsi="Calibri"/>
          <w:sz w:val="24"/>
        </w:rPr>
        <w:t>Mack JJ, Youssef K, Noel OD, Lake MP, Wu A, Iruela-Arispe ML, Bouchard LS.</w:t>
      </w:r>
      <w:r w:rsidRPr="005E0378">
        <w:rPr>
          <w:rFonts w:ascii="Calibri" w:hAnsi="Calibri"/>
          <w:sz w:val="24"/>
        </w:rPr>
        <w:t xml:space="preserve"> </w:t>
      </w:r>
      <w:r>
        <w:rPr>
          <w:rFonts w:ascii="Calibri" w:hAnsi="Calibri"/>
          <w:sz w:val="24"/>
        </w:rPr>
        <w:t xml:space="preserve">2013 </w:t>
      </w:r>
      <w:r w:rsidRPr="005E0378">
        <w:rPr>
          <w:rFonts w:ascii="Calibri" w:hAnsi="Calibri"/>
          <w:sz w:val="24"/>
        </w:rPr>
        <w:t xml:space="preserve">Real-time maps of fluid flow fields in porous biomaterials. </w:t>
      </w:r>
      <w:r w:rsidRPr="00254DB7">
        <w:rPr>
          <w:rFonts w:ascii="Calibri" w:hAnsi="Calibri"/>
          <w:i/>
          <w:sz w:val="24"/>
        </w:rPr>
        <w:t>Biomaterials 34</w:t>
      </w:r>
      <w:r>
        <w:rPr>
          <w:rFonts w:ascii="Calibri" w:hAnsi="Calibri"/>
          <w:sz w:val="24"/>
        </w:rPr>
        <w:t xml:space="preserve">, </w:t>
      </w:r>
      <w:r w:rsidRPr="005E0378">
        <w:rPr>
          <w:rFonts w:ascii="Calibri" w:hAnsi="Calibri"/>
          <w:sz w:val="24"/>
        </w:rPr>
        <w:t xml:space="preserve">1980–6.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150. </w:t>
      </w:r>
      <w:r w:rsidRPr="005E0378">
        <w:rPr>
          <w:rFonts w:ascii="Calibri" w:hAnsi="Calibri"/>
          <w:sz w:val="24"/>
        </w:rPr>
        <w:tab/>
        <w:t xml:space="preserve">Xu H, Dong J, Chai G, Yu Z, Lang W. </w:t>
      </w:r>
      <w:r>
        <w:rPr>
          <w:rFonts w:ascii="Calibri" w:hAnsi="Calibri"/>
          <w:sz w:val="24"/>
        </w:rPr>
        <w:t xml:space="preserve">2010 </w:t>
      </w:r>
      <w:r w:rsidRPr="005E0378">
        <w:rPr>
          <w:rFonts w:ascii="Calibri" w:hAnsi="Calibri"/>
          <w:sz w:val="24"/>
        </w:rPr>
        <w:t>Rapid prototyped PGA / PLA scaffolds in the reconstruction of mandibular condyle bone defects.</w:t>
      </w:r>
      <w:r w:rsidRPr="00254DB7">
        <w:rPr>
          <w:rFonts w:ascii="Arial" w:eastAsiaTheme="minorHAnsi" w:hAnsi="Arial" w:cs="Arial"/>
          <w:i/>
          <w:iCs/>
          <w:color w:val="222222"/>
          <w:shd w:val="clear" w:color="auto" w:fill="FFFFFF"/>
        </w:rPr>
        <w:t xml:space="preserve"> </w:t>
      </w:r>
      <w:r w:rsidRPr="00254DB7">
        <w:rPr>
          <w:rFonts w:ascii="Calibri" w:hAnsi="Calibri"/>
          <w:i/>
          <w:iCs/>
          <w:sz w:val="24"/>
        </w:rPr>
        <w:t>The international journal of medical robotics and computer assisted surgery</w:t>
      </w:r>
      <w:r>
        <w:rPr>
          <w:rFonts w:ascii="Calibri" w:hAnsi="Calibri"/>
          <w:sz w:val="24"/>
        </w:rPr>
        <w:t xml:space="preserve"> </w:t>
      </w:r>
      <w:r w:rsidRPr="00254DB7">
        <w:rPr>
          <w:rFonts w:ascii="Calibri" w:hAnsi="Calibri"/>
          <w:sz w:val="24"/>
        </w:rPr>
        <w:t>6</w:t>
      </w:r>
      <w:r>
        <w:rPr>
          <w:rFonts w:ascii="Calibri" w:hAnsi="Calibri"/>
          <w:sz w:val="24"/>
        </w:rPr>
        <w:t xml:space="preserve">, </w:t>
      </w:r>
      <w:r w:rsidRPr="005E0378">
        <w:rPr>
          <w:rFonts w:ascii="Calibri" w:hAnsi="Calibri"/>
          <w:sz w:val="24"/>
        </w:rPr>
        <w:t xml:space="preserve">66–72. </w:t>
      </w:r>
    </w:p>
    <w:p w:rsidR="005D1052" w:rsidRPr="00254DB7" w:rsidRDefault="005D1052" w:rsidP="005D1052">
      <w:pPr>
        <w:pStyle w:val="NormalWeb"/>
        <w:ind w:left="640" w:hanging="640"/>
        <w:rPr>
          <w:rFonts w:ascii="Calibri" w:hAnsi="Calibri"/>
          <w:sz w:val="24"/>
        </w:rPr>
      </w:pPr>
      <w:r>
        <w:rPr>
          <w:rFonts w:ascii="Calibri" w:hAnsi="Calibri"/>
          <w:sz w:val="24"/>
        </w:rPr>
        <w:t xml:space="preserve">151. </w:t>
      </w:r>
      <w:r>
        <w:rPr>
          <w:rFonts w:ascii="Calibri" w:hAnsi="Calibri"/>
          <w:sz w:val="24"/>
        </w:rPr>
        <w:tab/>
        <w:t>Serra T, Planell JA</w:t>
      </w:r>
      <w:r w:rsidRPr="005E0378">
        <w:rPr>
          <w:rFonts w:ascii="Calibri" w:hAnsi="Calibri"/>
          <w:sz w:val="24"/>
        </w:rPr>
        <w:t xml:space="preserve">, Navarro M. High-resolution </w:t>
      </w:r>
      <w:r>
        <w:rPr>
          <w:rFonts w:ascii="Calibri" w:hAnsi="Calibri"/>
          <w:sz w:val="24"/>
        </w:rPr>
        <w:t xml:space="preserve">2013 </w:t>
      </w:r>
      <w:r w:rsidRPr="005E0378">
        <w:rPr>
          <w:rFonts w:ascii="Calibri" w:hAnsi="Calibri"/>
          <w:sz w:val="24"/>
        </w:rPr>
        <w:t xml:space="preserve">PLA-based composite scaffolds via 3-D printing technology. </w:t>
      </w:r>
      <w:r w:rsidRPr="00254DB7">
        <w:rPr>
          <w:rFonts w:ascii="Calibri" w:hAnsi="Calibri"/>
          <w:i/>
          <w:sz w:val="24"/>
        </w:rPr>
        <w:t>Acta biomaterialia 9</w:t>
      </w:r>
      <w:r w:rsidRPr="00254DB7">
        <w:rPr>
          <w:rFonts w:ascii="Calibri" w:hAnsi="Calibri"/>
          <w:sz w:val="24"/>
        </w:rPr>
        <w:t xml:space="preserve">, 5521–30.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152. </w:t>
      </w:r>
      <w:r w:rsidRPr="005E0378">
        <w:rPr>
          <w:rFonts w:ascii="Calibri" w:hAnsi="Calibri"/>
          <w:sz w:val="24"/>
        </w:rPr>
        <w:tab/>
      </w:r>
      <w:r w:rsidRPr="00254DB7">
        <w:rPr>
          <w:rFonts w:ascii="Calibri" w:hAnsi="Calibri"/>
          <w:sz w:val="24"/>
        </w:rPr>
        <w:t>Hoque ME, Hutmacher DW, Feng W, Li S, Huang MH, Vert M, Wong YS.</w:t>
      </w:r>
      <w:r>
        <w:rPr>
          <w:rFonts w:ascii="Calibri" w:hAnsi="Calibri"/>
          <w:sz w:val="24"/>
        </w:rPr>
        <w:t xml:space="preserve"> 2005 </w:t>
      </w:r>
      <w:r w:rsidRPr="005E0378">
        <w:rPr>
          <w:rFonts w:ascii="Calibri" w:hAnsi="Calibri"/>
          <w:sz w:val="24"/>
        </w:rPr>
        <w:t>Fabrication using a rapid prototyping system and in vitro characterization of PEG-</w:t>
      </w:r>
      <w:r w:rsidRPr="005E0378">
        <w:rPr>
          <w:rFonts w:ascii="Calibri" w:hAnsi="Calibri"/>
          <w:sz w:val="24"/>
        </w:rPr>
        <w:lastRenderedPageBreak/>
        <w:t xml:space="preserve">PCL-PLA scaffolds for tissue engineering. </w:t>
      </w:r>
      <w:r w:rsidRPr="00254DB7">
        <w:rPr>
          <w:rFonts w:ascii="Calibri" w:hAnsi="Calibri"/>
          <w:i/>
          <w:sz w:val="24"/>
        </w:rPr>
        <w:t>Journal of Biomaterials Science 16</w:t>
      </w:r>
      <w:r>
        <w:rPr>
          <w:rFonts w:ascii="Calibri" w:hAnsi="Calibri"/>
          <w:sz w:val="24"/>
        </w:rPr>
        <w:t xml:space="preserve">, </w:t>
      </w:r>
      <w:r w:rsidRPr="005E0378">
        <w:rPr>
          <w:rFonts w:ascii="Calibri" w:hAnsi="Calibri"/>
          <w:sz w:val="24"/>
        </w:rPr>
        <w:t xml:space="preserve">1595–610.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153. </w:t>
      </w:r>
      <w:r w:rsidRPr="005E0378">
        <w:rPr>
          <w:rFonts w:ascii="Calibri" w:hAnsi="Calibri"/>
          <w:sz w:val="24"/>
        </w:rPr>
        <w:tab/>
        <w:t xml:space="preserve">Van Bael S, Kerckhofs G, Moesen M, Pyka G, Schrooten J, Kruth JP. </w:t>
      </w:r>
      <w:r>
        <w:rPr>
          <w:rFonts w:ascii="Calibri" w:hAnsi="Calibri"/>
          <w:sz w:val="24"/>
        </w:rPr>
        <w:t xml:space="preserve">2011 </w:t>
      </w:r>
      <w:r w:rsidRPr="005E0378">
        <w:rPr>
          <w:rFonts w:ascii="Calibri" w:hAnsi="Calibri"/>
          <w:sz w:val="24"/>
        </w:rPr>
        <w:t xml:space="preserve">Micro-CT-based improvement of geometrical and mechanical controllability of selective laser melted Ti6Al4V porous structures. </w:t>
      </w:r>
      <w:r w:rsidRPr="00254DB7">
        <w:rPr>
          <w:rFonts w:ascii="Calibri" w:hAnsi="Calibri"/>
          <w:i/>
          <w:sz w:val="24"/>
        </w:rPr>
        <w:t>Materials Science and Engineering: A 528</w:t>
      </w:r>
      <w:r>
        <w:rPr>
          <w:rFonts w:ascii="Calibri" w:hAnsi="Calibri"/>
          <w:sz w:val="24"/>
        </w:rPr>
        <w:t xml:space="preserve">, </w:t>
      </w:r>
      <w:r w:rsidRPr="005E0378">
        <w:rPr>
          <w:rFonts w:ascii="Calibri" w:hAnsi="Calibri"/>
          <w:sz w:val="24"/>
        </w:rPr>
        <w:t xml:space="preserve">7423–31.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154. </w:t>
      </w:r>
      <w:r w:rsidRPr="005E0378">
        <w:rPr>
          <w:rFonts w:ascii="Calibri" w:hAnsi="Calibri"/>
          <w:sz w:val="24"/>
        </w:rPr>
        <w:tab/>
      </w:r>
      <w:r w:rsidRPr="00254DB7">
        <w:rPr>
          <w:rFonts w:ascii="Calibri" w:hAnsi="Calibri"/>
          <w:sz w:val="24"/>
        </w:rPr>
        <w:t>Madi K, Tozzi G, Zhang QH, Tong J, Cossey A, Au A, Hollis D, Hild F.</w:t>
      </w:r>
      <w:r>
        <w:rPr>
          <w:rFonts w:ascii="Calibri" w:hAnsi="Calibri"/>
          <w:sz w:val="24"/>
        </w:rPr>
        <w:t xml:space="preserve"> 2013 </w:t>
      </w:r>
      <w:r w:rsidRPr="005E0378">
        <w:rPr>
          <w:rFonts w:ascii="Calibri" w:hAnsi="Calibri"/>
          <w:sz w:val="24"/>
        </w:rPr>
        <w:t xml:space="preserve">Computation of full-field displacements in a scaffold implant using digital volume correlation and finite element analysis. </w:t>
      </w:r>
      <w:r w:rsidRPr="00254DB7">
        <w:rPr>
          <w:rFonts w:ascii="Calibri" w:hAnsi="Calibri"/>
          <w:i/>
          <w:sz w:val="24"/>
        </w:rPr>
        <w:t>Medical engineering &amp; physics 35</w:t>
      </w:r>
      <w:r>
        <w:rPr>
          <w:rFonts w:ascii="Calibri" w:hAnsi="Calibri"/>
          <w:sz w:val="24"/>
        </w:rPr>
        <w:t xml:space="preserve">, </w:t>
      </w:r>
      <w:r w:rsidRPr="005E0378">
        <w:rPr>
          <w:rFonts w:ascii="Calibri" w:hAnsi="Calibri"/>
          <w:sz w:val="24"/>
        </w:rPr>
        <w:t>1298–312.</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155. </w:t>
      </w:r>
      <w:r w:rsidRPr="005E0378">
        <w:rPr>
          <w:rFonts w:ascii="Calibri" w:hAnsi="Calibri"/>
          <w:sz w:val="24"/>
        </w:rPr>
        <w:tab/>
      </w:r>
      <w:r w:rsidRPr="00F422FB">
        <w:rPr>
          <w:rFonts w:ascii="Calibri" w:hAnsi="Calibri"/>
          <w:sz w:val="24"/>
        </w:rPr>
        <w:t>Rath SN, Strobel LA, Arkudas A, Beier JP, Maier AK, Greil P, Horch RE, Kneser U</w:t>
      </w:r>
      <w:r w:rsidRPr="005E0378">
        <w:rPr>
          <w:rFonts w:ascii="Calibri" w:hAnsi="Calibri"/>
          <w:sz w:val="24"/>
        </w:rPr>
        <w:t xml:space="preserve"> </w:t>
      </w:r>
      <w:r>
        <w:rPr>
          <w:rFonts w:ascii="Calibri" w:hAnsi="Calibri"/>
          <w:sz w:val="24"/>
        </w:rPr>
        <w:t xml:space="preserve">2012 </w:t>
      </w:r>
      <w:r w:rsidRPr="005E0378">
        <w:rPr>
          <w:rFonts w:ascii="Calibri" w:hAnsi="Calibri"/>
          <w:sz w:val="24"/>
        </w:rPr>
        <w:t xml:space="preserve">Osteoinduction and survival of osteoblasts and bone-marrow stromal cells in 3D biphasic calcium phosphate scaffolds under static and dynamic culture conditions. </w:t>
      </w:r>
      <w:r w:rsidRPr="00F422FB">
        <w:rPr>
          <w:rFonts w:ascii="Calibri" w:hAnsi="Calibri"/>
          <w:i/>
          <w:sz w:val="24"/>
        </w:rPr>
        <w:t>Journal of cellular and molecular medicine 16</w:t>
      </w:r>
      <w:r>
        <w:rPr>
          <w:rFonts w:ascii="Calibri" w:hAnsi="Calibri"/>
          <w:sz w:val="24"/>
        </w:rPr>
        <w:t xml:space="preserve">, </w:t>
      </w:r>
      <w:r w:rsidRPr="005E0378">
        <w:rPr>
          <w:rFonts w:ascii="Calibri" w:hAnsi="Calibri"/>
          <w:sz w:val="24"/>
        </w:rPr>
        <w:t>2350–61.</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156. </w:t>
      </w:r>
      <w:r w:rsidRPr="005E0378">
        <w:rPr>
          <w:rFonts w:ascii="Calibri" w:hAnsi="Calibri"/>
          <w:sz w:val="24"/>
        </w:rPr>
        <w:tab/>
      </w:r>
      <w:r w:rsidRPr="00F422FB">
        <w:rPr>
          <w:rFonts w:ascii="Calibri" w:hAnsi="Calibri"/>
          <w:sz w:val="24"/>
        </w:rPr>
        <w:t>Yu W, Qu H, Hu G, Zhang Q, Song K, Guan H, Liu T, Qin J</w:t>
      </w:r>
      <w:r>
        <w:rPr>
          <w:rFonts w:ascii="Calibri" w:hAnsi="Calibri"/>
          <w:sz w:val="24"/>
        </w:rPr>
        <w:t>.</w:t>
      </w:r>
      <w:r w:rsidRPr="005E0378">
        <w:rPr>
          <w:rFonts w:ascii="Calibri" w:hAnsi="Calibri"/>
          <w:sz w:val="24"/>
        </w:rPr>
        <w:t xml:space="preserve"> </w:t>
      </w:r>
      <w:r>
        <w:rPr>
          <w:rFonts w:ascii="Calibri" w:hAnsi="Calibri"/>
          <w:sz w:val="24"/>
        </w:rPr>
        <w:t xml:space="preserve">2014 </w:t>
      </w:r>
      <w:r w:rsidRPr="005E0378">
        <w:rPr>
          <w:rFonts w:ascii="Calibri" w:hAnsi="Calibri"/>
          <w:sz w:val="24"/>
        </w:rPr>
        <w:t xml:space="preserve">A microfluidic-based multi-shear device for investigating the effects of low fluid-induced stresses on osteoblasts. </w:t>
      </w:r>
      <w:r w:rsidRPr="00F422FB">
        <w:rPr>
          <w:rFonts w:ascii="Calibri" w:hAnsi="Calibri"/>
          <w:i/>
          <w:sz w:val="24"/>
        </w:rPr>
        <w:t>PloS one 9</w:t>
      </w:r>
      <w:r>
        <w:rPr>
          <w:rFonts w:ascii="Calibri" w:hAnsi="Calibri"/>
          <w:sz w:val="24"/>
        </w:rPr>
        <w:t>, e89966.</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157. </w:t>
      </w:r>
      <w:r w:rsidRPr="005E0378">
        <w:rPr>
          <w:rFonts w:ascii="Calibri" w:hAnsi="Calibri"/>
          <w:sz w:val="24"/>
        </w:rPr>
        <w:tab/>
        <w:t xml:space="preserve">Rotenberg MY, Ruvinov E, Armoza A, Cohen S. </w:t>
      </w:r>
      <w:r>
        <w:rPr>
          <w:rFonts w:ascii="Calibri" w:hAnsi="Calibri"/>
          <w:sz w:val="24"/>
        </w:rPr>
        <w:t xml:space="preserve">2012 </w:t>
      </w:r>
      <w:r w:rsidRPr="005E0378">
        <w:rPr>
          <w:rFonts w:ascii="Calibri" w:hAnsi="Calibri"/>
          <w:sz w:val="24"/>
        </w:rPr>
        <w:t xml:space="preserve">A multi-shear perfusion bioreactor for investigating shear stress effects in endothelial cell constructs. </w:t>
      </w:r>
      <w:r w:rsidRPr="00054C52">
        <w:rPr>
          <w:rFonts w:ascii="Calibri" w:hAnsi="Calibri"/>
          <w:i/>
          <w:sz w:val="24"/>
        </w:rPr>
        <w:t>Lab on a chip 12</w:t>
      </w:r>
      <w:r>
        <w:rPr>
          <w:rFonts w:ascii="Calibri" w:hAnsi="Calibri"/>
          <w:sz w:val="24"/>
        </w:rPr>
        <w:t xml:space="preserve">, </w:t>
      </w:r>
      <w:r w:rsidRPr="005E0378">
        <w:rPr>
          <w:rFonts w:ascii="Calibri" w:hAnsi="Calibri"/>
          <w:sz w:val="24"/>
        </w:rPr>
        <w:t xml:space="preserve">2696–703. </w:t>
      </w:r>
    </w:p>
    <w:p w:rsidR="005D1052" w:rsidRPr="005E0378" w:rsidRDefault="005D1052" w:rsidP="005D1052">
      <w:pPr>
        <w:pStyle w:val="NormalWeb"/>
        <w:ind w:left="640" w:hanging="640"/>
        <w:rPr>
          <w:rFonts w:ascii="Calibri" w:hAnsi="Calibri"/>
          <w:sz w:val="24"/>
        </w:rPr>
      </w:pPr>
      <w:r>
        <w:rPr>
          <w:rFonts w:ascii="Calibri" w:hAnsi="Calibri"/>
          <w:sz w:val="24"/>
        </w:rPr>
        <w:t xml:space="preserve">158. </w:t>
      </w:r>
      <w:r>
        <w:rPr>
          <w:rFonts w:ascii="Calibri" w:hAnsi="Calibri"/>
          <w:sz w:val="24"/>
        </w:rPr>
        <w:tab/>
        <w:t>Kim DH, Heo SJ, Kim SH, Shin JW, Park SH, Shin J</w:t>
      </w:r>
      <w:r w:rsidRPr="005E0378">
        <w:rPr>
          <w:rFonts w:ascii="Calibri" w:hAnsi="Calibri"/>
          <w:sz w:val="24"/>
        </w:rPr>
        <w:t xml:space="preserve">W. </w:t>
      </w:r>
      <w:r>
        <w:rPr>
          <w:rFonts w:ascii="Calibri" w:hAnsi="Calibri"/>
          <w:sz w:val="24"/>
        </w:rPr>
        <w:t xml:space="preserve">2011 </w:t>
      </w:r>
      <w:r w:rsidRPr="005E0378">
        <w:rPr>
          <w:rFonts w:ascii="Calibri" w:hAnsi="Calibri"/>
          <w:sz w:val="24"/>
        </w:rPr>
        <w:t xml:space="preserve">Shear stress magnitude is critical in regulating the differentiation of mesenchymal stem cells even with endothelial growth medium. </w:t>
      </w:r>
      <w:r w:rsidRPr="00A54FF3">
        <w:rPr>
          <w:rFonts w:ascii="Calibri" w:hAnsi="Calibri"/>
          <w:i/>
          <w:sz w:val="24"/>
        </w:rPr>
        <w:t>Biotechnology letters 33</w:t>
      </w:r>
      <w:r>
        <w:rPr>
          <w:rFonts w:ascii="Calibri" w:hAnsi="Calibri"/>
          <w:sz w:val="24"/>
        </w:rPr>
        <w:t xml:space="preserve">, </w:t>
      </w:r>
      <w:r w:rsidRPr="005E0378">
        <w:rPr>
          <w:rFonts w:ascii="Calibri" w:hAnsi="Calibri"/>
          <w:sz w:val="24"/>
        </w:rPr>
        <w:t xml:space="preserve">2351–9.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159. </w:t>
      </w:r>
      <w:r w:rsidRPr="005E0378">
        <w:rPr>
          <w:rFonts w:ascii="Calibri" w:hAnsi="Calibri"/>
          <w:sz w:val="24"/>
        </w:rPr>
        <w:tab/>
      </w:r>
      <w:r w:rsidRPr="00A54FF3">
        <w:rPr>
          <w:rFonts w:ascii="Calibri" w:hAnsi="Calibri"/>
          <w:sz w:val="24"/>
        </w:rPr>
        <w:t>Braccini A, Wendt D, Jaquiery C, Jakob M, Heberer M, Kenins L, Wodnar‐Filipowicz A, Quarto R, Martin I.</w:t>
      </w:r>
      <w:r w:rsidRPr="005E0378">
        <w:rPr>
          <w:rFonts w:ascii="Calibri" w:hAnsi="Calibri"/>
          <w:sz w:val="24"/>
        </w:rPr>
        <w:t xml:space="preserve"> </w:t>
      </w:r>
      <w:r>
        <w:rPr>
          <w:rFonts w:ascii="Calibri" w:hAnsi="Calibri"/>
          <w:sz w:val="24"/>
        </w:rPr>
        <w:t xml:space="preserve">2005 </w:t>
      </w:r>
      <w:r w:rsidRPr="005E0378">
        <w:rPr>
          <w:rFonts w:ascii="Calibri" w:hAnsi="Calibri"/>
          <w:sz w:val="24"/>
        </w:rPr>
        <w:t xml:space="preserve">Three-Dimensional Perfusion Culture of Human Bone Marrow Cells and Generation of Osteoinductive Grafts. </w:t>
      </w:r>
      <w:r w:rsidRPr="00A54FF3">
        <w:rPr>
          <w:rFonts w:ascii="Calibri" w:hAnsi="Calibri"/>
          <w:i/>
          <w:sz w:val="24"/>
        </w:rPr>
        <w:t>Stem Cells 23</w:t>
      </w:r>
      <w:r>
        <w:rPr>
          <w:rFonts w:ascii="Calibri" w:hAnsi="Calibri"/>
          <w:sz w:val="24"/>
        </w:rPr>
        <w:t xml:space="preserve">, </w:t>
      </w:r>
      <w:r w:rsidRPr="005E0378">
        <w:rPr>
          <w:rFonts w:ascii="Calibri" w:hAnsi="Calibri"/>
          <w:sz w:val="24"/>
        </w:rPr>
        <w:t xml:space="preserve">1066–72.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160. </w:t>
      </w:r>
      <w:r w:rsidRPr="005E0378">
        <w:rPr>
          <w:rFonts w:ascii="Calibri" w:hAnsi="Calibri"/>
          <w:sz w:val="24"/>
        </w:rPr>
        <w:tab/>
        <w:t xml:space="preserve">Saini S, Wick TM. </w:t>
      </w:r>
      <w:r>
        <w:rPr>
          <w:rFonts w:ascii="Calibri" w:hAnsi="Calibri"/>
          <w:sz w:val="24"/>
        </w:rPr>
        <w:t xml:space="preserve">2003 </w:t>
      </w:r>
      <w:r w:rsidRPr="005E0378">
        <w:rPr>
          <w:rFonts w:ascii="Calibri" w:hAnsi="Calibri"/>
          <w:sz w:val="24"/>
        </w:rPr>
        <w:t xml:space="preserve">Concentric cylinder bioreactor for production of tissue engineered cartilage: Effect of seeding density and hydrodynamic loading on construct development. </w:t>
      </w:r>
      <w:r w:rsidRPr="00A54FF3">
        <w:rPr>
          <w:rFonts w:ascii="Calibri" w:hAnsi="Calibri"/>
          <w:i/>
          <w:sz w:val="24"/>
        </w:rPr>
        <w:t>Biotechnology Progress 19</w:t>
      </w:r>
      <w:r>
        <w:rPr>
          <w:rFonts w:ascii="Calibri" w:hAnsi="Calibri"/>
          <w:sz w:val="24"/>
        </w:rPr>
        <w:t xml:space="preserve">, </w:t>
      </w:r>
      <w:r w:rsidRPr="005E0378">
        <w:rPr>
          <w:rFonts w:ascii="Calibri" w:hAnsi="Calibri"/>
          <w:sz w:val="24"/>
        </w:rPr>
        <w:t xml:space="preserve">510–21.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161. </w:t>
      </w:r>
      <w:r w:rsidRPr="005E0378">
        <w:rPr>
          <w:rFonts w:ascii="Calibri" w:hAnsi="Calibri"/>
          <w:sz w:val="24"/>
        </w:rPr>
        <w:tab/>
        <w:t>Xiao YL</w:t>
      </w:r>
      <w:r>
        <w:rPr>
          <w:rFonts w:ascii="Calibri" w:hAnsi="Calibri"/>
          <w:sz w:val="24"/>
        </w:rPr>
        <w:t>, Riesle J, Van Blitterswijk CA</w:t>
      </w:r>
      <w:r w:rsidRPr="005E0378">
        <w:rPr>
          <w:rFonts w:ascii="Calibri" w:hAnsi="Calibri"/>
          <w:sz w:val="24"/>
        </w:rPr>
        <w:t xml:space="preserve">. </w:t>
      </w:r>
      <w:r>
        <w:rPr>
          <w:rFonts w:ascii="Calibri" w:hAnsi="Calibri"/>
          <w:sz w:val="24"/>
        </w:rPr>
        <w:t xml:space="preserve">1999 </w:t>
      </w:r>
      <w:r w:rsidRPr="005E0378">
        <w:rPr>
          <w:rFonts w:ascii="Calibri" w:hAnsi="Calibri"/>
          <w:sz w:val="24"/>
        </w:rPr>
        <w:t xml:space="preserve">Static and dynamic fibroblast seeding and cultivation in porous PEO/PBT scaffolds. </w:t>
      </w:r>
      <w:r w:rsidRPr="00A54FF3">
        <w:rPr>
          <w:rFonts w:ascii="Calibri" w:hAnsi="Calibri"/>
          <w:i/>
          <w:sz w:val="24"/>
        </w:rPr>
        <w:t>Journal of materials science Materials in medicine 10</w:t>
      </w:r>
      <w:r>
        <w:rPr>
          <w:rFonts w:ascii="Calibri" w:hAnsi="Calibri"/>
          <w:sz w:val="24"/>
        </w:rPr>
        <w:t xml:space="preserve">, </w:t>
      </w:r>
      <w:r w:rsidRPr="005E0378">
        <w:rPr>
          <w:rFonts w:ascii="Calibri" w:hAnsi="Calibri"/>
          <w:sz w:val="24"/>
        </w:rPr>
        <w:t>773–7.</w:t>
      </w:r>
    </w:p>
    <w:p w:rsidR="005D1052" w:rsidRPr="005E0378" w:rsidRDefault="005D1052" w:rsidP="005D1052">
      <w:pPr>
        <w:pStyle w:val="NormalWeb"/>
        <w:ind w:left="640" w:hanging="640"/>
        <w:rPr>
          <w:rFonts w:ascii="Calibri" w:hAnsi="Calibri"/>
          <w:sz w:val="24"/>
        </w:rPr>
      </w:pPr>
      <w:r w:rsidRPr="005E0378">
        <w:rPr>
          <w:rFonts w:ascii="Calibri" w:hAnsi="Calibri"/>
          <w:sz w:val="24"/>
        </w:rPr>
        <w:lastRenderedPageBreak/>
        <w:t xml:space="preserve">162. </w:t>
      </w:r>
      <w:r w:rsidRPr="005E0378">
        <w:rPr>
          <w:rFonts w:ascii="Calibri" w:hAnsi="Calibri"/>
          <w:sz w:val="24"/>
        </w:rPr>
        <w:tab/>
        <w:t xml:space="preserve">Wendt D, Marsano a, Jakob M, Heberer M, Martin I. </w:t>
      </w:r>
      <w:r>
        <w:rPr>
          <w:rFonts w:ascii="Calibri" w:hAnsi="Calibri"/>
          <w:sz w:val="24"/>
        </w:rPr>
        <w:t xml:space="preserve">2003 </w:t>
      </w:r>
      <w:r w:rsidRPr="005E0378">
        <w:rPr>
          <w:rFonts w:ascii="Calibri" w:hAnsi="Calibri"/>
          <w:sz w:val="24"/>
        </w:rPr>
        <w:t xml:space="preserve">Oscillating perfusion of cell suspensions through three-dimensional scaffolds enhances cell seeding efficiency and uniformity. </w:t>
      </w:r>
      <w:r w:rsidRPr="00A54FF3">
        <w:rPr>
          <w:rFonts w:ascii="Calibri" w:hAnsi="Calibri"/>
          <w:i/>
          <w:sz w:val="24"/>
        </w:rPr>
        <w:t>Biotechnology and bioengineering 84,</w:t>
      </w:r>
      <w:r>
        <w:rPr>
          <w:rFonts w:ascii="Calibri" w:hAnsi="Calibri"/>
          <w:sz w:val="24"/>
        </w:rPr>
        <w:t xml:space="preserve"> </w:t>
      </w:r>
      <w:r w:rsidRPr="005E0378">
        <w:rPr>
          <w:rFonts w:ascii="Calibri" w:hAnsi="Calibri"/>
          <w:sz w:val="24"/>
        </w:rPr>
        <w:t xml:space="preserve">205–14.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163. </w:t>
      </w:r>
      <w:r w:rsidRPr="005E0378">
        <w:rPr>
          <w:rFonts w:ascii="Calibri" w:hAnsi="Calibri"/>
          <w:sz w:val="24"/>
        </w:rPr>
        <w:tab/>
        <w:t xml:space="preserve">Alvarez-Barreto JF, Linehan SM, Shambaugh RL, Sikavitsas VI. </w:t>
      </w:r>
      <w:r>
        <w:rPr>
          <w:rFonts w:ascii="Calibri" w:hAnsi="Calibri"/>
          <w:sz w:val="24"/>
        </w:rPr>
        <w:t xml:space="preserve">2007 </w:t>
      </w:r>
      <w:r w:rsidRPr="005E0378">
        <w:rPr>
          <w:rFonts w:ascii="Calibri" w:hAnsi="Calibri"/>
          <w:sz w:val="24"/>
        </w:rPr>
        <w:t xml:space="preserve">Flow perfusion improves seeding of tissue engineering scaffolds with different architectures. </w:t>
      </w:r>
      <w:r w:rsidRPr="00A54FF3">
        <w:rPr>
          <w:rFonts w:ascii="Calibri" w:hAnsi="Calibri"/>
          <w:i/>
          <w:sz w:val="24"/>
        </w:rPr>
        <w:t>Annals of Biomedical Engineering 35</w:t>
      </w:r>
      <w:r>
        <w:rPr>
          <w:rFonts w:ascii="Calibri" w:hAnsi="Calibri"/>
          <w:sz w:val="24"/>
        </w:rPr>
        <w:t xml:space="preserve">, </w:t>
      </w:r>
      <w:r w:rsidRPr="005E0378">
        <w:rPr>
          <w:rFonts w:ascii="Calibri" w:hAnsi="Calibri"/>
          <w:sz w:val="24"/>
        </w:rPr>
        <w:t xml:space="preserve">429–42.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164. </w:t>
      </w:r>
      <w:r w:rsidRPr="005E0378">
        <w:rPr>
          <w:rFonts w:ascii="Calibri" w:hAnsi="Calibri"/>
          <w:sz w:val="24"/>
        </w:rPr>
        <w:tab/>
        <w:t xml:space="preserve">Li Y, Ma T, Kniss D a., Lasky LC, Yang ST. </w:t>
      </w:r>
      <w:r>
        <w:rPr>
          <w:rFonts w:ascii="Calibri" w:hAnsi="Calibri"/>
          <w:sz w:val="24"/>
        </w:rPr>
        <w:t xml:space="preserve">2001 </w:t>
      </w:r>
      <w:r w:rsidRPr="005E0378">
        <w:rPr>
          <w:rFonts w:ascii="Calibri" w:hAnsi="Calibri"/>
          <w:sz w:val="24"/>
        </w:rPr>
        <w:t>Effects of filtration seeding on cell density, spatial distribution, and proliferation in nonwoven fibrous ma</w:t>
      </w:r>
      <w:r>
        <w:rPr>
          <w:rFonts w:ascii="Calibri" w:hAnsi="Calibri"/>
          <w:sz w:val="24"/>
        </w:rPr>
        <w:t xml:space="preserve">trices. </w:t>
      </w:r>
      <w:r w:rsidRPr="00A54FF3">
        <w:rPr>
          <w:rFonts w:ascii="Calibri" w:hAnsi="Calibri"/>
          <w:i/>
          <w:sz w:val="24"/>
        </w:rPr>
        <w:t>Biotechnology Progress 17</w:t>
      </w:r>
      <w:r>
        <w:rPr>
          <w:rFonts w:ascii="Calibri" w:hAnsi="Calibri"/>
          <w:sz w:val="24"/>
        </w:rPr>
        <w:t xml:space="preserve">, </w:t>
      </w:r>
      <w:r w:rsidRPr="005E0378">
        <w:rPr>
          <w:rFonts w:ascii="Calibri" w:hAnsi="Calibri"/>
          <w:sz w:val="24"/>
        </w:rPr>
        <w:t xml:space="preserve">935–44.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165. </w:t>
      </w:r>
      <w:r w:rsidRPr="005E0378">
        <w:rPr>
          <w:rFonts w:ascii="Calibri" w:hAnsi="Calibri"/>
          <w:sz w:val="24"/>
        </w:rPr>
        <w:tab/>
        <w:t xml:space="preserve">Olsen MG, Adrian RJ. </w:t>
      </w:r>
      <w:r>
        <w:rPr>
          <w:rFonts w:ascii="Calibri" w:hAnsi="Calibri"/>
          <w:sz w:val="24"/>
        </w:rPr>
        <w:t xml:space="preserve">2000 </w:t>
      </w:r>
      <w:r w:rsidRPr="005E0378">
        <w:rPr>
          <w:rFonts w:ascii="Calibri" w:hAnsi="Calibri"/>
          <w:sz w:val="24"/>
        </w:rPr>
        <w:t xml:space="preserve">Out-of-focus effects on particle image visibility and correlation in microscopic particle image velocimetry. </w:t>
      </w:r>
      <w:r w:rsidRPr="00A54FF3">
        <w:rPr>
          <w:rFonts w:ascii="Calibri" w:hAnsi="Calibri"/>
          <w:i/>
          <w:sz w:val="24"/>
        </w:rPr>
        <w:t>Experim</w:t>
      </w:r>
      <w:r>
        <w:rPr>
          <w:rFonts w:ascii="Calibri" w:hAnsi="Calibri"/>
          <w:i/>
          <w:sz w:val="24"/>
        </w:rPr>
        <w:t xml:space="preserve">ents in Fluids </w:t>
      </w:r>
      <w:r w:rsidRPr="00A54FF3">
        <w:rPr>
          <w:rFonts w:ascii="Calibri" w:hAnsi="Calibri"/>
          <w:i/>
          <w:sz w:val="24"/>
        </w:rPr>
        <w:t>29</w:t>
      </w:r>
      <w:r>
        <w:rPr>
          <w:rFonts w:ascii="Calibri" w:hAnsi="Calibri"/>
          <w:sz w:val="24"/>
        </w:rPr>
        <w:t xml:space="preserve">, </w:t>
      </w:r>
      <w:r w:rsidRPr="005E0378">
        <w:rPr>
          <w:rFonts w:ascii="Calibri" w:hAnsi="Calibri"/>
          <w:sz w:val="24"/>
        </w:rPr>
        <w:t xml:space="preserve">S166–S174.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166. </w:t>
      </w:r>
      <w:r w:rsidRPr="005E0378">
        <w:rPr>
          <w:rFonts w:ascii="Calibri" w:hAnsi="Calibri"/>
          <w:sz w:val="24"/>
        </w:rPr>
        <w:tab/>
        <w:t xml:space="preserve">Meinhart CD, Wereley ST. </w:t>
      </w:r>
      <w:r>
        <w:rPr>
          <w:rFonts w:ascii="Calibri" w:hAnsi="Calibri"/>
          <w:sz w:val="24"/>
        </w:rPr>
        <w:t xml:space="preserve">2003 </w:t>
      </w:r>
      <w:r w:rsidRPr="005E0378">
        <w:rPr>
          <w:rFonts w:ascii="Calibri" w:hAnsi="Calibri"/>
          <w:sz w:val="24"/>
        </w:rPr>
        <w:t>The theory of diffraction-limited resolution in microparticle image velocimetry.</w:t>
      </w:r>
      <w:r>
        <w:rPr>
          <w:rFonts w:ascii="Calibri" w:hAnsi="Calibri"/>
          <w:sz w:val="24"/>
        </w:rPr>
        <w:t xml:space="preserve"> </w:t>
      </w:r>
      <w:r w:rsidRPr="00A54FF3">
        <w:rPr>
          <w:rFonts w:ascii="Calibri" w:hAnsi="Calibri"/>
          <w:i/>
          <w:sz w:val="24"/>
        </w:rPr>
        <w:t>Measurement science and technology 14</w:t>
      </w:r>
      <w:r>
        <w:rPr>
          <w:rFonts w:ascii="Calibri" w:hAnsi="Calibri"/>
          <w:sz w:val="24"/>
        </w:rPr>
        <w:t>,</w:t>
      </w:r>
      <w:r w:rsidRPr="005E0378">
        <w:rPr>
          <w:rFonts w:ascii="Calibri" w:hAnsi="Calibri"/>
          <w:sz w:val="24"/>
        </w:rPr>
        <w:t xml:space="preserve"> 1047.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167. </w:t>
      </w:r>
      <w:r w:rsidRPr="005E0378">
        <w:rPr>
          <w:rFonts w:ascii="Calibri" w:hAnsi="Calibri"/>
          <w:sz w:val="24"/>
        </w:rPr>
        <w:tab/>
        <w:t xml:space="preserve">Morsi S, Alexander A. </w:t>
      </w:r>
      <w:r>
        <w:rPr>
          <w:rFonts w:ascii="Calibri" w:hAnsi="Calibri"/>
          <w:sz w:val="24"/>
        </w:rPr>
        <w:t xml:space="preserve">1972 </w:t>
      </w:r>
      <w:r w:rsidRPr="005E0378">
        <w:rPr>
          <w:rFonts w:ascii="Calibri" w:hAnsi="Calibri"/>
          <w:sz w:val="24"/>
        </w:rPr>
        <w:t xml:space="preserve">An investigation of particle trajectories in two-phase flow systems. </w:t>
      </w:r>
      <w:r w:rsidRPr="00A54FF3">
        <w:rPr>
          <w:rFonts w:ascii="Calibri" w:hAnsi="Calibri"/>
          <w:i/>
          <w:sz w:val="24"/>
        </w:rPr>
        <w:t>J Fluid Mech 55</w:t>
      </w:r>
      <w:r>
        <w:rPr>
          <w:rFonts w:ascii="Calibri" w:hAnsi="Calibri"/>
          <w:sz w:val="24"/>
        </w:rPr>
        <w:t xml:space="preserve">, </w:t>
      </w:r>
      <w:r w:rsidRPr="005E0378">
        <w:rPr>
          <w:rFonts w:ascii="Calibri" w:hAnsi="Calibri"/>
          <w:sz w:val="24"/>
        </w:rPr>
        <w:t xml:space="preserve">193–208.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168. </w:t>
      </w:r>
      <w:r w:rsidRPr="005E0378">
        <w:rPr>
          <w:rFonts w:ascii="Calibri" w:hAnsi="Calibri"/>
          <w:sz w:val="24"/>
        </w:rPr>
        <w:tab/>
        <w:t xml:space="preserve">Bryan AK, Hecht VC, Shen W, Payer K, Grover WH, Manalis SR. </w:t>
      </w:r>
      <w:r>
        <w:rPr>
          <w:rFonts w:ascii="Calibri" w:hAnsi="Calibri"/>
          <w:sz w:val="24"/>
        </w:rPr>
        <w:t xml:space="preserve">2014 </w:t>
      </w:r>
      <w:r w:rsidRPr="005E0378">
        <w:rPr>
          <w:rFonts w:ascii="Calibri" w:hAnsi="Calibri"/>
          <w:sz w:val="24"/>
        </w:rPr>
        <w:t xml:space="preserve">Measuring single cell mass, volume, and density with dual suspended microchannel resonators. </w:t>
      </w:r>
      <w:r w:rsidRPr="00A54FF3">
        <w:rPr>
          <w:rFonts w:ascii="Calibri" w:hAnsi="Calibri"/>
          <w:i/>
          <w:sz w:val="24"/>
        </w:rPr>
        <w:t>Lab on a chip 14</w:t>
      </w:r>
      <w:r>
        <w:rPr>
          <w:rFonts w:ascii="Calibri" w:hAnsi="Calibri"/>
          <w:sz w:val="24"/>
        </w:rPr>
        <w:t xml:space="preserve">, </w:t>
      </w:r>
      <w:r w:rsidRPr="005E0378">
        <w:rPr>
          <w:rFonts w:ascii="Calibri" w:hAnsi="Calibri"/>
          <w:sz w:val="24"/>
        </w:rPr>
        <w:t>569–76.</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169. </w:t>
      </w:r>
      <w:r w:rsidRPr="005E0378">
        <w:rPr>
          <w:rFonts w:ascii="Calibri" w:hAnsi="Calibri"/>
          <w:sz w:val="24"/>
        </w:rPr>
        <w:tab/>
      </w:r>
      <w:r>
        <w:rPr>
          <w:rFonts w:ascii="Calibri" w:hAnsi="Calibri"/>
          <w:sz w:val="24"/>
        </w:rPr>
        <w:t>Zhao Y, Lai HSS, Zhang G, Lee G</w:t>
      </w:r>
      <w:r w:rsidRPr="005E0378">
        <w:rPr>
          <w:rFonts w:ascii="Calibri" w:hAnsi="Calibri"/>
          <w:sz w:val="24"/>
        </w:rPr>
        <w:t xml:space="preserve">B, Li WJ. </w:t>
      </w:r>
      <w:r>
        <w:rPr>
          <w:rFonts w:ascii="Calibri" w:hAnsi="Calibri"/>
          <w:sz w:val="24"/>
        </w:rPr>
        <w:t xml:space="preserve">2014 </w:t>
      </w:r>
      <w:r w:rsidRPr="005E0378">
        <w:rPr>
          <w:rFonts w:ascii="Calibri" w:hAnsi="Calibri"/>
          <w:sz w:val="24"/>
        </w:rPr>
        <w:t xml:space="preserve">Rapid Determination of Cell Mass and Density using Digitally-Controlled Electric Field in </w:t>
      </w:r>
      <w:r>
        <w:rPr>
          <w:rFonts w:ascii="Calibri" w:hAnsi="Calibri"/>
          <w:sz w:val="24"/>
        </w:rPr>
        <w:t xml:space="preserve">a Microfluidic Chip. </w:t>
      </w:r>
      <w:r w:rsidRPr="008615AA">
        <w:rPr>
          <w:rFonts w:ascii="Calibri" w:hAnsi="Calibri"/>
          <w:i/>
          <w:sz w:val="24"/>
        </w:rPr>
        <w:t>Lab Chip</w:t>
      </w:r>
      <w:r w:rsidRPr="008615AA">
        <w:rPr>
          <w:rFonts w:ascii="Arial" w:eastAsiaTheme="minorHAnsi" w:hAnsi="Arial" w:cs="Arial"/>
          <w:i/>
          <w:color w:val="222222"/>
          <w:shd w:val="clear" w:color="auto" w:fill="FFFFFF"/>
        </w:rPr>
        <w:t xml:space="preserve"> </w:t>
      </w:r>
      <w:r w:rsidRPr="008615AA">
        <w:rPr>
          <w:rFonts w:ascii="Calibri" w:hAnsi="Calibri"/>
          <w:i/>
          <w:sz w:val="24"/>
        </w:rPr>
        <w:t>14</w:t>
      </w:r>
      <w:r>
        <w:rPr>
          <w:rFonts w:ascii="Calibri" w:hAnsi="Calibri"/>
          <w:sz w:val="24"/>
        </w:rPr>
        <w:t xml:space="preserve">, </w:t>
      </w:r>
      <w:r w:rsidRPr="008615AA">
        <w:rPr>
          <w:rFonts w:ascii="Calibri" w:hAnsi="Calibri"/>
          <w:sz w:val="24"/>
        </w:rPr>
        <w:t>4426-4434</w:t>
      </w:r>
      <w:r>
        <w:rPr>
          <w:rFonts w:ascii="Calibri" w:hAnsi="Calibri"/>
          <w:sz w:val="24"/>
        </w:rPr>
        <w:t>.</w:t>
      </w:r>
      <w:r w:rsidRPr="005E0378">
        <w:rPr>
          <w:rFonts w:ascii="Calibri" w:hAnsi="Calibri"/>
          <w:sz w:val="24"/>
        </w:rPr>
        <w:t xml:space="preserve">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170. </w:t>
      </w:r>
      <w:r w:rsidRPr="005E0378">
        <w:rPr>
          <w:rFonts w:ascii="Calibri" w:hAnsi="Calibri"/>
          <w:sz w:val="24"/>
        </w:rPr>
        <w:tab/>
        <w:t xml:space="preserve">Martinelli M, Viktorov V. </w:t>
      </w:r>
      <w:r>
        <w:rPr>
          <w:rFonts w:ascii="Calibri" w:hAnsi="Calibri"/>
          <w:sz w:val="24"/>
        </w:rPr>
        <w:t xml:space="preserve">2009 </w:t>
      </w:r>
      <w:r w:rsidRPr="005E0378">
        <w:rPr>
          <w:rFonts w:ascii="Calibri" w:hAnsi="Calibri"/>
          <w:sz w:val="24"/>
        </w:rPr>
        <w:t xml:space="preserve">Modelling of laminar flow in the inlet section of rectangular microchannels. </w:t>
      </w:r>
      <w:r w:rsidRPr="008615AA">
        <w:rPr>
          <w:rFonts w:ascii="Calibri" w:hAnsi="Calibri"/>
          <w:i/>
          <w:sz w:val="24"/>
        </w:rPr>
        <w:t>Journal of Micromechanics and Microengineering 19</w:t>
      </w:r>
      <w:r>
        <w:rPr>
          <w:rFonts w:ascii="Calibri" w:hAnsi="Calibri"/>
          <w:sz w:val="24"/>
        </w:rPr>
        <w:t xml:space="preserve">, </w:t>
      </w:r>
      <w:r w:rsidRPr="005E0378">
        <w:rPr>
          <w:rFonts w:ascii="Calibri" w:hAnsi="Calibri"/>
          <w:sz w:val="24"/>
        </w:rPr>
        <w:t xml:space="preserve">025013.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171. </w:t>
      </w:r>
      <w:r w:rsidRPr="005E0378">
        <w:rPr>
          <w:rFonts w:ascii="Calibri" w:hAnsi="Calibri"/>
          <w:sz w:val="24"/>
        </w:rPr>
        <w:tab/>
      </w:r>
      <w:r>
        <w:rPr>
          <w:rFonts w:ascii="Calibri" w:hAnsi="Calibri"/>
          <w:sz w:val="24"/>
        </w:rPr>
        <w:t>Campos Marin A</w:t>
      </w:r>
      <w:r w:rsidRPr="005E0378">
        <w:rPr>
          <w:rFonts w:ascii="Calibri" w:hAnsi="Calibri"/>
          <w:sz w:val="24"/>
        </w:rPr>
        <w:t xml:space="preserve">, Lacroix D. </w:t>
      </w:r>
      <w:r>
        <w:rPr>
          <w:rFonts w:ascii="Calibri" w:hAnsi="Calibri"/>
          <w:sz w:val="24"/>
        </w:rPr>
        <w:t xml:space="preserve">2015 </w:t>
      </w:r>
      <w:r w:rsidRPr="005E0378">
        <w:rPr>
          <w:rFonts w:ascii="Calibri" w:hAnsi="Calibri"/>
          <w:sz w:val="24"/>
        </w:rPr>
        <w:t xml:space="preserve">The inter-sample structural variability of regular tissue-engineered scaffolds significantly affects the micromechanical local cell environment. </w:t>
      </w:r>
      <w:r w:rsidRPr="008615AA">
        <w:rPr>
          <w:rFonts w:ascii="Calibri" w:hAnsi="Calibri"/>
          <w:i/>
          <w:sz w:val="24"/>
        </w:rPr>
        <w:t>Interface Focus 5</w:t>
      </w:r>
      <w:r>
        <w:rPr>
          <w:rFonts w:ascii="Calibri" w:hAnsi="Calibri"/>
          <w:sz w:val="24"/>
        </w:rPr>
        <w:t xml:space="preserve">, </w:t>
      </w:r>
      <w:r w:rsidRPr="005E0378">
        <w:rPr>
          <w:rFonts w:ascii="Calibri" w:hAnsi="Calibri"/>
          <w:sz w:val="24"/>
        </w:rPr>
        <w:t xml:space="preserve">20140097.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172. </w:t>
      </w:r>
      <w:r w:rsidRPr="005E0378">
        <w:rPr>
          <w:rFonts w:ascii="Calibri" w:hAnsi="Calibri"/>
          <w:sz w:val="24"/>
        </w:rPr>
        <w:tab/>
        <w:t>Pinho D, Lima R, Pereira AI, Gayubo F.</w:t>
      </w:r>
      <w:r>
        <w:rPr>
          <w:rFonts w:ascii="Calibri" w:hAnsi="Calibri"/>
          <w:sz w:val="24"/>
        </w:rPr>
        <w:t xml:space="preserve"> 2013</w:t>
      </w:r>
      <w:r w:rsidRPr="005E0378">
        <w:rPr>
          <w:rFonts w:ascii="Calibri" w:hAnsi="Calibri"/>
          <w:sz w:val="24"/>
        </w:rPr>
        <w:t xml:space="preserve"> Automatic tracking of labeled red blood cells in microchannels. International </w:t>
      </w:r>
      <w:r w:rsidRPr="008615AA">
        <w:rPr>
          <w:rFonts w:ascii="Calibri" w:hAnsi="Calibri"/>
          <w:i/>
          <w:sz w:val="24"/>
        </w:rPr>
        <w:t>Journal for Numerical Methods in Biomedical Engineering 29</w:t>
      </w:r>
      <w:r>
        <w:rPr>
          <w:rFonts w:ascii="Calibri" w:hAnsi="Calibri"/>
          <w:sz w:val="24"/>
        </w:rPr>
        <w:t xml:space="preserve">, </w:t>
      </w:r>
      <w:r w:rsidRPr="005E0378">
        <w:rPr>
          <w:rFonts w:ascii="Calibri" w:hAnsi="Calibri"/>
          <w:sz w:val="24"/>
        </w:rPr>
        <w:t>977–87.</w:t>
      </w:r>
    </w:p>
    <w:p w:rsidR="005D1052" w:rsidRPr="005E0378" w:rsidRDefault="005D1052" w:rsidP="005D1052">
      <w:pPr>
        <w:pStyle w:val="NormalWeb"/>
        <w:ind w:left="640" w:hanging="640"/>
        <w:rPr>
          <w:rFonts w:ascii="Calibri" w:hAnsi="Calibri"/>
          <w:sz w:val="24"/>
        </w:rPr>
      </w:pPr>
      <w:r w:rsidRPr="005E0378">
        <w:rPr>
          <w:rFonts w:ascii="Calibri" w:hAnsi="Calibri"/>
          <w:sz w:val="24"/>
        </w:rPr>
        <w:lastRenderedPageBreak/>
        <w:t xml:space="preserve">173. </w:t>
      </w:r>
      <w:r w:rsidRPr="005E0378">
        <w:rPr>
          <w:rFonts w:ascii="Calibri" w:hAnsi="Calibri"/>
          <w:sz w:val="24"/>
        </w:rPr>
        <w:tab/>
      </w:r>
      <w:r w:rsidRPr="008615AA">
        <w:rPr>
          <w:rFonts w:ascii="Calibri" w:hAnsi="Calibri"/>
          <w:sz w:val="24"/>
        </w:rPr>
        <w:t xml:space="preserve">Winer MH, Ahmadi A, Cheung KC. </w:t>
      </w:r>
      <w:r>
        <w:rPr>
          <w:rFonts w:ascii="Calibri" w:hAnsi="Calibri"/>
          <w:sz w:val="24"/>
        </w:rPr>
        <w:t xml:space="preserve">2014 </w:t>
      </w:r>
      <w:r w:rsidRPr="008615AA">
        <w:rPr>
          <w:rFonts w:ascii="Calibri" w:hAnsi="Calibri"/>
          <w:sz w:val="24"/>
        </w:rPr>
        <w:t>Application of a three-dimensional (3D) particle tracking method to microfluidic p</w:t>
      </w:r>
      <w:r>
        <w:rPr>
          <w:rFonts w:ascii="Calibri" w:hAnsi="Calibri"/>
          <w:sz w:val="24"/>
        </w:rPr>
        <w:t xml:space="preserve">article focusing. </w:t>
      </w:r>
      <w:r w:rsidRPr="008615AA">
        <w:rPr>
          <w:rFonts w:ascii="Calibri" w:hAnsi="Calibri"/>
          <w:i/>
          <w:sz w:val="24"/>
        </w:rPr>
        <w:t>Lab on a Chip 14</w:t>
      </w:r>
      <w:r>
        <w:rPr>
          <w:rFonts w:ascii="Calibri" w:hAnsi="Calibri"/>
          <w:sz w:val="24"/>
        </w:rPr>
        <w:t xml:space="preserve">, </w:t>
      </w:r>
      <w:r w:rsidRPr="008615AA">
        <w:rPr>
          <w:rFonts w:ascii="Calibri" w:hAnsi="Calibri"/>
          <w:sz w:val="24"/>
        </w:rPr>
        <w:t>1443-51.</w:t>
      </w:r>
      <w:r w:rsidRPr="005E0378">
        <w:rPr>
          <w:rFonts w:ascii="Calibri" w:hAnsi="Calibri"/>
          <w:sz w:val="24"/>
        </w:rPr>
        <w:t xml:space="preserve">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174. </w:t>
      </w:r>
      <w:r w:rsidRPr="005E0378">
        <w:rPr>
          <w:rFonts w:ascii="Calibri" w:hAnsi="Calibri"/>
          <w:sz w:val="24"/>
        </w:rPr>
        <w:tab/>
      </w:r>
      <w:r w:rsidRPr="008615AA">
        <w:rPr>
          <w:rFonts w:ascii="Calibri" w:hAnsi="Calibri"/>
          <w:sz w:val="24"/>
        </w:rPr>
        <w:t>Haykal S, Salna M, Zhou Y, Marcus P, Fatehi M, Frost G, Machuca T, Hofer SO, Waddell TK.</w:t>
      </w:r>
      <w:r w:rsidRPr="005E0378">
        <w:rPr>
          <w:rFonts w:ascii="Calibri" w:hAnsi="Calibri"/>
          <w:sz w:val="24"/>
        </w:rPr>
        <w:t xml:space="preserve"> </w:t>
      </w:r>
      <w:r>
        <w:rPr>
          <w:rFonts w:ascii="Calibri" w:hAnsi="Calibri"/>
          <w:sz w:val="24"/>
        </w:rPr>
        <w:t xml:space="preserve">2014 </w:t>
      </w:r>
      <w:r w:rsidRPr="005E0378">
        <w:rPr>
          <w:rFonts w:ascii="Calibri" w:hAnsi="Calibri"/>
          <w:sz w:val="24"/>
        </w:rPr>
        <w:t>Double-Chamber Rotating Bioreactor for Dynamic Perfusion Cell Seeding of Large-Segment Tracheal Allografts: Comparison to Conventional Static Met</w:t>
      </w:r>
      <w:r>
        <w:rPr>
          <w:rFonts w:ascii="Calibri" w:hAnsi="Calibri"/>
          <w:sz w:val="24"/>
        </w:rPr>
        <w:t xml:space="preserve">hods. </w:t>
      </w:r>
      <w:r w:rsidRPr="008615AA">
        <w:rPr>
          <w:rFonts w:ascii="Calibri" w:hAnsi="Calibri"/>
          <w:i/>
          <w:sz w:val="24"/>
        </w:rPr>
        <w:t>Tissue engineering Part C: Methods 20</w:t>
      </w:r>
      <w:r>
        <w:rPr>
          <w:rFonts w:ascii="Calibri" w:hAnsi="Calibri"/>
          <w:sz w:val="24"/>
        </w:rPr>
        <w:t xml:space="preserve">, </w:t>
      </w:r>
      <w:r w:rsidRPr="005E0378">
        <w:rPr>
          <w:rFonts w:ascii="Calibri" w:hAnsi="Calibri"/>
          <w:sz w:val="24"/>
        </w:rPr>
        <w:t>1–12.</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175. </w:t>
      </w:r>
      <w:r w:rsidRPr="005E0378">
        <w:rPr>
          <w:rFonts w:ascii="Calibri" w:hAnsi="Calibri"/>
          <w:sz w:val="24"/>
        </w:rPr>
        <w:tab/>
        <w:t>Melchels FPW, Ba</w:t>
      </w:r>
      <w:r>
        <w:rPr>
          <w:rFonts w:ascii="Calibri" w:hAnsi="Calibri"/>
          <w:sz w:val="24"/>
        </w:rPr>
        <w:t>rradas AMC, Van Blitterswijk CA</w:t>
      </w:r>
      <w:r w:rsidRPr="005E0378">
        <w:rPr>
          <w:rFonts w:ascii="Calibri" w:hAnsi="Calibri"/>
          <w:sz w:val="24"/>
        </w:rPr>
        <w:t xml:space="preserve">, de Boer J, Feijen J, Grijpma DW. </w:t>
      </w:r>
      <w:r>
        <w:rPr>
          <w:rFonts w:ascii="Calibri" w:hAnsi="Calibri"/>
          <w:sz w:val="24"/>
        </w:rPr>
        <w:t xml:space="preserve">2010 </w:t>
      </w:r>
      <w:r w:rsidRPr="005E0378">
        <w:rPr>
          <w:rFonts w:ascii="Calibri" w:hAnsi="Calibri"/>
          <w:sz w:val="24"/>
        </w:rPr>
        <w:t>Effects of the architecture of tissue engineering scaffolds on cell seeding and</w:t>
      </w:r>
      <w:r>
        <w:rPr>
          <w:rFonts w:ascii="Calibri" w:hAnsi="Calibri"/>
          <w:sz w:val="24"/>
        </w:rPr>
        <w:t xml:space="preserve"> culturing.</w:t>
      </w:r>
      <w:r w:rsidRPr="008615AA">
        <w:rPr>
          <w:rFonts w:ascii="Calibri" w:hAnsi="Calibri"/>
          <w:i/>
          <w:sz w:val="24"/>
        </w:rPr>
        <w:t xml:space="preserve"> Acta biomaterialia 6</w:t>
      </w:r>
      <w:r>
        <w:rPr>
          <w:rFonts w:ascii="Calibri" w:hAnsi="Calibri"/>
          <w:sz w:val="24"/>
        </w:rPr>
        <w:t xml:space="preserve">, </w:t>
      </w:r>
      <w:r w:rsidRPr="005E0378">
        <w:rPr>
          <w:rFonts w:ascii="Calibri" w:hAnsi="Calibri"/>
          <w:sz w:val="24"/>
        </w:rPr>
        <w:t xml:space="preserve">4208–17.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176. </w:t>
      </w:r>
      <w:r w:rsidRPr="005E0378">
        <w:rPr>
          <w:rFonts w:ascii="Calibri" w:hAnsi="Calibri"/>
          <w:sz w:val="24"/>
        </w:rPr>
        <w:tab/>
        <w:t xml:space="preserve">Papadimitropoulos A, Riboldi SA, Tonnarelli B, Piccinini E, Woodruff MA. </w:t>
      </w:r>
      <w:r>
        <w:rPr>
          <w:rFonts w:ascii="Calibri" w:hAnsi="Calibri"/>
          <w:sz w:val="24"/>
        </w:rPr>
        <w:t xml:space="preserve">2013 </w:t>
      </w:r>
      <w:r w:rsidRPr="005E0378">
        <w:rPr>
          <w:rFonts w:ascii="Calibri" w:hAnsi="Calibri"/>
          <w:sz w:val="24"/>
        </w:rPr>
        <w:t xml:space="preserve">A collagen network phase improves cell seeding of open-pore structure scaffolds under perfusion. </w:t>
      </w:r>
      <w:r w:rsidRPr="008615AA">
        <w:rPr>
          <w:rFonts w:ascii="Calibri" w:hAnsi="Calibri"/>
          <w:sz w:val="24"/>
        </w:rPr>
        <w:t>J</w:t>
      </w:r>
      <w:r w:rsidRPr="008615AA">
        <w:rPr>
          <w:rFonts w:ascii="Calibri" w:hAnsi="Calibri"/>
          <w:i/>
          <w:sz w:val="24"/>
        </w:rPr>
        <w:t>ournal of tissue engineering and regenerative medicine</w:t>
      </w:r>
      <w:r>
        <w:rPr>
          <w:rFonts w:ascii="Calibri" w:hAnsi="Calibri"/>
          <w:i/>
          <w:sz w:val="24"/>
        </w:rPr>
        <w:t xml:space="preserve"> 7</w:t>
      </w:r>
      <w:r>
        <w:rPr>
          <w:rFonts w:ascii="Calibri" w:hAnsi="Calibri"/>
          <w:sz w:val="24"/>
        </w:rPr>
        <w:t xml:space="preserve">, </w:t>
      </w:r>
      <w:r w:rsidRPr="005E0378">
        <w:rPr>
          <w:rFonts w:ascii="Calibri" w:hAnsi="Calibri"/>
          <w:sz w:val="24"/>
        </w:rPr>
        <w:t xml:space="preserve">183–91. </w:t>
      </w:r>
    </w:p>
    <w:p w:rsidR="005D1052" w:rsidRPr="005E0378" w:rsidRDefault="005D1052" w:rsidP="005D1052">
      <w:pPr>
        <w:pStyle w:val="NormalWeb"/>
        <w:ind w:left="640" w:hanging="640"/>
        <w:rPr>
          <w:rFonts w:ascii="Calibri" w:hAnsi="Calibri"/>
          <w:sz w:val="24"/>
        </w:rPr>
      </w:pPr>
      <w:r w:rsidRPr="005E0378">
        <w:rPr>
          <w:rFonts w:ascii="Calibri" w:hAnsi="Calibri"/>
          <w:sz w:val="24"/>
        </w:rPr>
        <w:t xml:space="preserve">177. </w:t>
      </w:r>
      <w:r w:rsidRPr="005E0378">
        <w:rPr>
          <w:rFonts w:ascii="Calibri" w:hAnsi="Calibri"/>
          <w:sz w:val="24"/>
        </w:rPr>
        <w:tab/>
      </w:r>
      <w:r w:rsidR="00447D22">
        <w:rPr>
          <w:rFonts w:ascii="Calibri" w:hAnsi="Calibri"/>
          <w:sz w:val="24"/>
        </w:rPr>
        <w:t>Brunelli M</w:t>
      </w:r>
      <w:r w:rsidRPr="008615AA">
        <w:rPr>
          <w:rFonts w:ascii="Calibri" w:hAnsi="Calibri"/>
          <w:sz w:val="24"/>
        </w:rPr>
        <w:t xml:space="preserve">, </w:t>
      </w:r>
      <w:r w:rsidR="00447D22">
        <w:rPr>
          <w:rFonts w:ascii="Calibri" w:hAnsi="Calibri"/>
          <w:sz w:val="24"/>
        </w:rPr>
        <w:t>Perrault</w:t>
      </w:r>
      <w:r w:rsidRPr="008615AA">
        <w:rPr>
          <w:rFonts w:ascii="Calibri" w:hAnsi="Calibri"/>
          <w:sz w:val="24"/>
        </w:rPr>
        <w:t xml:space="preserve"> </w:t>
      </w:r>
      <w:r w:rsidR="00447D22">
        <w:rPr>
          <w:rFonts w:ascii="Calibri" w:hAnsi="Calibri"/>
          <w:sz w:val="24"/>
        </w:rPr>
        <w:t>C</w:t>
      </w:r>
      <w:r w:rsidRPr="008615AA">
        <w:rPr>
          <w:rFonts w:ascii="Calibri" w:hAnsi="Calibri"/>
          <w:sz w:val="24"/>
        </w:rPr>
        <w:t xml:space="preserve">, </w:t>
      </w:r>
      <w:r w:rsidR="00447D22">
        <w:rPr>
          <w:rFonts w:ascii="Calibri" w:hAnsi="Calibri"/>
          <w:sz w:val="24"/>
        </w:rPr>
        <w:t>Lacroix</w:t>
      </w:r>
      <w:r w:rsidRPr="008615AA">
        <w:rPr>
          <w:rFonts w:ascii="Calibri" w:hAnsi="Calibri"/>
          <w:sz w:val="24"/>
        </w:rPr>
        <w:t xml:space="preserve"> </w:t>
      </w:r>
      <w:r w:rsidR="00447D22">
        <w:rPr>
          <w:rFonts w:ascii="Calibri" w:hAnsi="Calibri"/>
          <w:sz w:val="24"/>
        </w:rPr>
        <w:t xml:space="preserve">D </w:t>
      </w:r>
      <w:r>
        <w:rPr>
          <w:rFonts w:ascii="Calibri" w:hAnsi="Calibri"/>
          <w:sz w:val="24"/>
        </w:rPr>
        <w:t>201</w:t>
      </w:r>
      <w:r w:rsidR="00447D22">
        <w:rPr>
          <w:rFonts w:ascii="Calibri" w:hAnsi="Calibri"/>
          <w:sz w:val="24"/>
        </w:rPr>
        <w:t>6</w:t>
      </w:r>
      <w:r>
        <w:rPr>
          <w:rFonts w:ascii="Calibri" w:hAnsi="Calibri"/>
          <w:sz w:val="24"/>
        </w:rPr>
        <w:t xml:space="preserve"> </w:t>
      </w:r>
      <w:r w:rsidR="00447D22" w:rsidRPr="00447D22">
        <w:rPr>
          <w:rFonts w:ascii="Calibri" w:hAnsi="Calibri"/>
          <w:sz w:val="24"/>
        </w:rPr>
        <w:t xml:space="preserve">A mechanobiology study on the response to mechanical compression of mesenchymal progenitor cells cultured in a composite scaffold made of 3d insert® </w:t>
      </w:r>
      <w:r w:rsidR="00447D22">
        <w:rPr>
          <w:rFonts w:ascii="Calibri" w:hAnsi="Calibri"/>
          <w:sz w:val="24"/>
        </w:rPr>
        <w:t>PCL</w:t>
      </w:r>
      <w:r w:rsidR="00447D22" w:rsidRPr="00447D22">
        <w:rPr>
          <w:rFonts w:ascii="Calibri" w:hAnsi="Calibri"/>
          <w:sz w:val="24"/>
        </w:rPr>
        <w:t xml:space="preserve"> and collagen gel</w:t>
      </w:r>
      <w:r w:rsidRPr="005E0378">
        <w:rPr>
          <w:rFonts w:ascii="Calibri" w:hAnsi="Calibri"/>
          <w:sz w:val="24"/>
        </w:rPr>
        <w:t xml:space="preserve">. </w:t>
      </w:r>
      <w:r w:rsidR="00447D22" w:rsidRPr="00447D22">
        <w:rPr>
          <w:rFonts w:ascii="Calibri" w:hAnsi="Calibri"/>
          <w:sz w:val="24"/>
        </w:rPr>
        <w:t>PhD Thesis</w:t>
      </w:r>
      <w:r w:rsidRPr="005E0378">
        <w:rPr>
          <w:rFonts w:ascii="Calibri" w:hAnsi="Calibri"/>
          <w:sz w:val="24"/>
        </w:rPr>
        <w:t xml:space="preserve">. </w:t>
      </w:r>
    </w:p>
    <w:p w:rsidR="005D1052" w:rsidRDefault="005D1052" w:rsidP="005D1052">
      <w:pPr>
        <w:pStyle w:val="NormalWeb"/>
        <w:ind w:left="640" w:hanging="640"/>
        <w:rPr>
          <w:rFonts w:ascii="Calibri" w:hAnsi="Calibri"/>
          <w:sz w:val="24"/>
        </w:rPr>
      </w:pPr>
      <w:r w:rsidRPr="005E0378">
        <w:rPr>
          <w:rFonts w:ascii="Calibri" w:hAnsi="Calibri"/>
          <w:sz w:val="24"/>
        </w:rPr>
        <w:t xml:space="preserve">178. </w:t>
      </w:r>
      <w:r w:rsidRPr="005E0378">
        <w:rPr>
          <w:rFonts w:ascii="Calibri" w:hAnsi="Calibri"/>
          <w:sz w:val="24"/>
        </w:rPr>
        <w:tab/>
        <w:t>Frank-Ito DO, Wofford M, Schroeter JD, Kimbell JS.</w:t>
      </w:r>
      <w:r>
        <w:rPr>
          <w:rFonts w:ascii="Calibri" w:hAnsi="Calibri"/>
          <w:sz w:val="24"/>
        </w:rPr>
        <w:t xml:space="preserve"> 2015</w:t>
      </w:r>
      <w:r w:rsidRPr="005E0378">
        <w:rPr>
          <w:rFonts w:ascii="Calibri" w:hAnsi="Calibri"/>
          <w:sz w:val="24"/>
        </w:rPr>
        <w:t xml:space="preserve"> Influence of Mesh Density on Airflow and Particle Deposition in Sinonasal Airway Modeling. </w:t>
      </w:r>
      <w:r w:rsidRPr="00B7385C">
        <w:rPr>
          <w:rFonts w:ascii="Calibri" w:hAnsi="Calibri"/>
          <w:i/>
          <w:sz w:val="24"/>
        </w:rPr>
        <w:t>Journal of aerosol medicine and pulmonary drug delivery</w:t>
      </w:r>
      <w:r>
        <w:rPr>
          <w:rFonts w:ascii="Calibri" w:hAnsi="Calibri"/>
          <w:sz w:val="24"/>
        </w:rPr>
        <w:t>.</w:t>
      </w:r>
    </w:p>
    <w:p w:rsidR="005D1052" w:rsidRDefault="005D1052" w:rsidP="005D1052">
      <w:pPr>
        <w:pStyle w:val="NormalWeb"/>
        <w:ind w:left="640" w:hanging="640"/>
        <w:rPr>
          <w:rFonts w:ascii="Calibri" w:hAnsi="Calibri"/>
          <w:sz w:val="24"/>
        </w:rPr>
      </w:pPr>
    </w:p>
    <w:p w:rsidR="005D1052" w:rsidRDefault="005D1052" w:rsidP="005D1052">
      <w:pPr>
        <w:pStyle w:val="NormalWeb"/>
        <w:ind w:left="640" w:hanging="640"/>
        <w:rPr>
          <w:rFonts w:ascii="Calibri" w:hAnsi="Calibri"/>
          <w:sz w:val="24"/>
        </w:rPr>
        <w:sectPr w:rsidR="005D1052" w:rsidSect="008F032F">
          <w:headerReference w:type="even" r:id="rId188"/>
          <w:headerReference w:type="default" r:id="rId189"/>
          <w:pgSz w:w="11906" w:h="16838"/>
          <w:pgMar w:top="2268" w:right="1134" w:bottom="1701" w:left="2268" w:header="284" w:footer="454" w:gutter="0"/>
          <w:cols w:space="708"/>
          <w:titlePg/>
          <w:docGrid w:linePitch="360"/>
        </w:sectPr>
      </w:pPr>
    </w:p>
    <w:p w:rsidR="005D1052" w:rsidRPr="005E0378" w:rsidRDefault="005D1052" w:rsidP="005D1052">
      <w:pPr>
        <w:pStyle w:val="NormalWeb"/>
        <w:ind w:left="640" w:hanging="640"/>
        <w:rPr>
          <w:rFonts w:ascii="Calibri" w:hAnsi="Calibri"/>
          <w:sz w:val="24"/>
        </w:rPr>
      </w:pPr>
    </w:p>
    <w:p w:rsidR="005D1052" w:rsidRDefault="005D1052" w:rsidP="005D1052">
      <w:pPr>
        <w:pStyle w:val="NormalWeb"/>
        <w:ind w:left="640" w:hanging="640"/>
        <w:rPr>
          <w:b/>
          <w:szCs w:val="24"/>
        </w:rPr>
        <w:sectPr w:rsidR="005D1052" w:rsidSect="00EB11EA">
          <w:pgSz w:w="11906" w:h="16838"/>
          <w:pgMar w:top="2268" w:right="1134" w:bottom="1701" w:left="2268" w:header="284" w:footer="454" w:gutter="0"/>
          <w:cols w:space="708"/>
          <w:titlePg/>
          <w:docGrid w:linePitch="360"/>
        </w:sectPr>
      </w:pPr>
      <w:r w:rsidRPr="00552A5F">
        <w:rPr>
          <w:b/>
          <w:szCs w:val="24"/>
        </w:rPr>
        <w:fldChar w:fldCharType="end"/>
      </w:r>
    </w:p>
    <w:p w:rsidR="005D1052" w:rsidRDefault="005D1052" w:rsidP="005D1052">
      <w:pPr>
        <w:pStyle w:val="Heading8"/>
      </w:pPr>
    </w:p>
    <w:p w:rsidR="005D1052" w:rsidRPr="00A93F30" w:rsidRDefault="005D1052" w:rsidP="005D1052">
      <w:pPr>
        <w:pBdr>
          <w:bottom w:val="thickThinMediumGap" w:sz="24" w:space="1" w:color="auto"/>
        </w:pBdr>
        <w:rPr>
          <w:rFonts w:ascii="Times New Roman" w:hAnsi="Times New Roman" w:cs="Times New Roman"/>
          <w:b/>
          <w:sz w:val="44"/>
        </w:rPr>
      </w:pPr>
      <w:r w:rsidRPr="00A93F30">
        <w:rPr>
          <w:rFonts w:ascii="Times New Roman" w:hAnsi="Times New Roman" w:cs="Times New Roman"/>
          <w:b/>
          <w:sz w:val="44"/>
        </w:rPr>
        <w:t>Appendix</w:t>
      </w:r>
    </w:p>
    <w:p w:rsidR="005D1052" w:rsidRDefault="005D1052" w:rsidP="005D1052"/>
    <w:p w:rsidR="005D1052" w:rsidRDefault="005D1052" w:rsidP="005D1052"/>
    <w:p w:rsidR="005D1052" w:rsidRDefault="005D1052" w:rsidP="005D1052">
      <w:pPr>
        <w:keepNext/>
        <w:ind w:firstLine="0"/>
      </w:pPr>
      <w:r>
        <w:rPr>
          <w:noProof/>
          <w:lang w:eastAsia="en-GB"/>
        </w:rPr>
        <w:drawing>
          <wp:inline distT="0" distB="0" distL="0" distR="0" wp14:anchorId="16761452" wp14:editId="4AF63DAB">
            <wp:extent cx="5348177" cy="4195552"/>
            <wp:effectExtent l="0" t="0" r="5080" b="0"/>
            <wp:docPr id="8349" name="Picture 8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S_sensitivityanalysis.png"/>
                    <pic:cNvPicPr/>
                  </pic:nvPicPr>
                  <pic:blipFill rotWithShape="1">
                    <a:blip r:embed="rId190">
                      <a:extLst>
                        <a:ext uri="{BEBA8EAE-BF5A-486C-A8C5-ECC9F3942E4B}">
                          <a14:imgProps xmlns:a14="http://schemas.microsoft.com/office/drawing/2010/main">
                            <a14:imgLayer r:embed="rId191">
                              <a14:imgEffect>
                                <a14:brightnessContrast bright="40000" contrast="-20000"/>
                              </a14:imgEffect>
                            </a14:imgLayer>
                          </a14:imgProps>
                        </a:ext>
                        <a:ext uri="{28A0092B-C50C-407E-A947-70E740481C1C}">
                          <a14:useLocalDpi xmlns:a14="http://schemas.microsoft.com/office/drawing/2010/main" val="0"/>
                        </a:ext>
                      </a:extLst>
                    </a:blip>
                    <a:srcRect l="5514" r="3109"/>
                    <a:stretch/>
                  </pic:blipFill>
                  <pic:spPr bwMode="auto">
                    <a:xfrm>
                      <a:off x="0" y="0"/>
                      <a:ext cx="5349157" cy="4196321"/>
                    </a:xfrm>
                    <a:prstGeom prst="rect">
                      <a:avLst/>
                    </a:prstGeom>
                    <a:ln>
                      <a:noFill/>
                    </a:ln>
                    <a:extLst>
                      <a:ext uri="{53640926-AAD7-44D8-BBD7-CCE9431645EC}">
                        <a14:shadowObscured xmlns:a14="http://schemas.microsoft.com/office/drawing/2010/main"/>
                      </a:ext>
                    </a:extLst>
                  </pic:spPr>
                </pic:pic>
              </a:graphicData>
            </a:graphic>
          </wp:inline>
        </w:drawing>
      </w:r>
    </w:p>
    <w:p w:rsidR="005D1052" w:rsidRDefault="005D1052" w:rsidP="005D1052">
      <w:pPr>
        <w:pStyle w:val="Caption"/>
        <w:rPr>
          <w:b w:val="0"/>
        </w:rPr>
      </w:pPr>
      <w:bookmarkStart w:id="698" w:name="_Ref440467723"/>
      <w:bookmarkStart w:id="699" w:name="_Toc440474214"/>
      <w:r>
        <w:t xml:space="preserve">Figure </w:t>
      </w:r>
      <w:fldSimple w:instr=" STYLEREF 8 \s ">
        <w:r w:rsidR="00924C7D">
          <w:rPr>
            <w:noProof/>
          </w:rPr>
          <w:t>A</w:t>
        </w:r>
      </w:fldSimple>
      <w:r>
        <w:noBreakHyphen/>
      </w:r>
      <w:fldSimple w:instr=" SEQ Fig \* ROMAN \s 8 ">
        <w:r w:rsidR="00924C7D">
          <w:rPr>
            <w:noProof/>
          </w:rPr>
          <w:t>I</w:t>
        </w:r>
      </w:fldSimple>
      <w:bookmarkEnd w:id="698"/>
      <w:r>
        <w:t xml:space="preserve"> </w:t>
      </w:r>
      <w:r w:rsidRPr="009D2BA5">
        <w:rPr>
          <w:b w:val="0"/>
        </w:rPr>
        <w:t>WSS contour of the scaffold analysed five times. The pink lines are the intersections of a plane crossing the fibres within one layer with the scaffold surface</w:t>
      </w:r>
      <w:r>
        <w:rPr>
          <w:b w:val="0"/>
        </w:rPr>
        <w:t>, for all layers</w:t>
      </w:r>
      <w:r w:rsidRPr="009D2BA5">
        <w:rPr>
          <w:b w:val="0"/>
        </w:rPr>
        <w:t>. Inside the yellow box, it can be observed that not all the lines cross the fibres where the WSS reaches peak values.</w:t>
      </w:r>
      <w:bookmarkEnd w:id="699"/>
    </w:p>
    <w:p w:rsidR="005D1052" w:rsidRDefault="005D1052" w:rsidP="005D1052">
      <w:pPr>
        <w:sectPr w:rsidR="005D1052" w:rsidSect="00EB11EA">
          <w:headerReference w:type="default" r:id="rId192"/>
          <w:pgSz w:w="11906" w:h="16838"/>
          <w:pgMar w:top="2268" w:right="1134" w:bottom="1701" w:left="2268" w:header="284" w:footer="454" w:gutter="0"/>
          <w:cols w:space="708"/>
          <w:titlePg/>
          <w:docGrid w:linePitch="360"/>
        </w:sectPr>
      </w:pPr>
    </w:p>
    <w:p w:rsidR="005D1052" w:rsidRDefault="005D1052" w:rsidP="005D1052"/>
    <w:p w:rsidR="005D1052" w:rsidRDefault="005D1052" w:rsidP="005D1052">
      <w:pPr>
        <w:keepNext/>
        <w:tabs>
          <w:tab w:val="center" w:pos="5593"/>
          <w:tab w:val="left" w:pos="9031"/>
          <w:tab w:val="right" w:pos="10466"/>
        </w:tabs>
        <w:jc w:val="left"/>
      </w:pPr>
      <w:r>
        <w:tab/>
      </w:r>
      <w:r>
        <w:rPr>
          <w:noProof/>
          <w:lang w:eastAsia="en-GB"/>
        </w:rPr>
        <mc:AlternateContent>
          <mc:Choice Requires="wps">
            <w:drawing>
              <wp:anchor distT="0" distB="0" distL="114300" distR="114300" simplePos="0" relativeHeight="251659264" behindDoc="0" locked="0" layoutInCell="1" allowOverlap="1" wp14:anchorId="5ADCC954" wp14:editId="6324768D">
                <wp:simplePos x="0" y="0"/>
                <wp:positionH relativeFrom="column">
                  <wp:posOffset>2256720</wp:posOffset>
                </wp:positionH>
                <wp:positionV relativeFrom="paragraph">
                  <wp:posOffset>3494334</wp:posOffset>
                </wp:positionV>
                <wp:extent cx="7192963" cy="1403985"/>
                <wp:effectExtent l="1270" t="0" r="9525"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192963" cy="1403985"/>
                        </a:xfrm>
                        <a:prstGeom prst="rect">
                          <a:avLst/>
                        </a:prstGeom>
                        <a:solidFill>
                          <a:srgbClr val="FFFFFF"/>
                        </a:solidFill>
                        <a:ln w="9525">
                          <a:noFill/>
                          <a:miter lim="800000"/>
                          <a:headEnd/>
                          <a:tailEnd/>
                        </a:ln>
                      </wps:spPr>
                      <wps:txbx>
                        <w:txbxContent>
                          <w:p w:rsidR="008507E6" w:rsidRPr="00850E11" w:rsidRDefault="008507E6" w:rsidP="005D1052">
                            <w:pPr>
                              <w:pStyle w:val="Caption"/>
                              <w:rPr>
                                <w:b w:val="0"/>
                              </w:rPr>
                            </w:pPr>
                            <w:bookmarkStart w:id="700" w:name="_Toc440474215"/>
                            <w:r>
                              <w:t xml:space="preserve">Figure </w:t>
                            </w:r>
                            <w:fldSimple w:instr=" STYLEREF 8 \s ">
                              <w:r>
                                <w:rPr>
                                  <w:noProof/>
                                </w:rPr>
                                <w:t>A</w:t>
                              </w:r>
                            </w:fldSimple>
                            <w:r>
                              <w:noBreakHyphen/>
                            </w:r>
                            <w:fldSimple w:instr=" SEQ Fig \* ROMAN \s 8 ">
                              <w:r>
                                <w:rPr>
                                  <w:noProof/>
                                </w:rPr>
                                <w:t>II</w:t>
                              </w:r>
                            </w:fldSimple>
                            <w:r>
                              <w:t xml:space="preserve"> </w:t>
                            </w:r>
                            <w:r>
                              <w:rPr>
                                <w:b w:val="0"/>
                              </w:rPr>
                              <w:t>C</w:t>
                            </w:r>
                            <w:r w:rsidRPr="00850E11">
                              <w:rPr>
                                <w:b w:val="0"/>
                              </w:rPr>
                              <w:t xml:space="preserve">ross sections from planes A and B (a) </w:t>
                            </w:r>
                            <w:r>
                              <w:rPr>
                                <w:b w:val="0"/>
                              </w:rPr>
                              <w:t>show the internal fibre distribution for the five reconstructed samples (b).</w:t>
                            </w:r>
                            <w:bookmarkEnd w:id="700"/>
                          </w:p>
                          <w:p w:rsidR="008507E6" w:rsidRDefault="008507E6" w:rsidP="005D105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ADCC954" id="_x0000_t202" coordsize="21600,21600" o:spt="202" path="m,l,21600r21600,l21600,xe">
                <v:stroke joinstyle="miter"/>
                <v:path gradientshapeok="t" o:connecttype="rect"/>
              </v:shapetype>
              <v:shape id="Text Box 2" o:spid="_x0000_s1026" type="#_x0000_t202" style="position:absolute;left:0;text-align:left;margin-left:177.7pt;margin-top:275.15pt;width:566.4pt;height:110.55pt;rotation:-90;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" stroked="f">
                <v:textbox style="mso-fit-shape-to-text:t">
                  <w:txbxContent>
                    <w:p w:rsidR="008507E6" w:rsidRPr="00850E11" w:rsidRDefault="008507E6" w:rsidP="005D1052">
                      <w:pPr>
                        <w:pStyle w:val="Caption"/>
                        <w:rPr>
                          <w:b w:val="0"/>
                        </w:rPr>
                      </w:pPr>
                      <w:bookmarkStart w:id="701" w:name="_Toc440474215"/>
                      <w:r>
                        <w:t xml:space="preserve">Figure </w:t>
                      </w:r>
                      <w:fldSimple w:instr=" STYLEREF 8 \s ">
                        <w:r>
                          <w:rPr>
                            <w:noProof/>
                          </w:rPr>
                          <w:t>A</w:t>
                        </w:r>
                      </w:fldSimple>
                      <w:r>
                        <w:noBreakHyphen/>
                      </w:r>
                      <w:fldSimple w:instr=" SEQ Fig \* ROMAN \s 8 ">
                        <w:r>
                          <w:rPr>
                            <w:noProof/>
                          </w:rPr>
                          <w:t>II</w:t>
                        </w:r>
                      </w:fldSimple>
                      <w:r>
                        <w:t xml:space="preserve"> </w:t>
                      </w:r>
                      <w:r>
                        <w:rPr>
                          <w:b w:val="0"/>
                        </w:rPr>
                        <w:t>C</w:t>
                      </w:r>
                      <w:r w:rsidRPr="00850E11">
                        <w:rPr>
                          <w:b w:val="0"/>
                        </w:rPr>
                        <w:t xml:space="preserve">ross sections from planes A and B (a) </w:t>
                      </w:r>
                      <w:r>
                        <w:rPr>
                          <w:b w:val="0"/>
                        </w:rPr>
                        <w:t>show the internal fibre distribution for the five reconstructed samples (b).</w:t>
                      </w:r>
                      <w:bookmarkEnd w:id="701"/>
                    </w:p>
                    <w:p w:rsidR="008507E6" w:rsidRDefault="008507E6" w:rsidP="005D1052"/>
                  </w:txbxContent>
                </v:textbox>
              </v:shape>
            </w:pict>
          </mc:Fallback>
        </mc:AlternateContent>
      </w:r>
      <w:r>
        <w:rPr>
          <w:noProof/>
          <w:lang w:eastAsia="en-GB"/>
        </w:rPr>
        <w:drawing>
          <wp:inline distT="0" distB="0" distL="0" distR="0" wp14:anchorId="08E4F3AA" wp14:editId="52647E93">
            <wp:extent cx="8430706" cy="2930989"/>
            <wp:effectExtent l="6667" t="0" r="0" b="0"/>
            <wp:docPr id="8351" name="Picture 8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ueba.png"/>
                    <pic:cNvPicPr/>
                  </pic:nvPicPr>
                  <pic:blipFill>
                    <a:blip r:embed="rId193" cstate="print">
                      <a:extLst>
                        <a:ext uri="{28A0092B-C50C-407E-A947-70E740481C1C}">
                          <a14:useLocalDpi xmlns:a14="http://schemas.microsoft.com/office/drawing/2010/main" val="0"/>
                        </a:ext>
                      </a:extLst>
                    </a:blip>
                    <a:stretch>
                      <a:fillRect/>
                    </a:stretch>
                  </pic:blipFill>
                  <pic:spPr>
                    <a:xfrm rot="16200000">
                      <a:off x="0" y="0"/>
                      <a:ext cx="8451506" cy="2938220"/>
                    </a:xfrm>
                    <a:prstGeom prst="rect">
                      <a:avLst/>
                    </a:prstGeom>
                  </pic:spPr>
                </pic:pic>
              </a:graphicData>
            </a:graphic>
          </wp:inline>
        </w:drawing>
      </w:r>
      <w:r>
        <w:tab/>
      </w:r>
      <w:r>
        <w:tab/>
      </w:r>
    </w:p>
    <w:p w:rsidR="00EC1F59" w:rsidRDefault="00EC1F59"/>
    <w:sectPr w:rsidR="00EC1F59" w:rsidSect="00EB11EA">
      <w:headerReference w:type="first" r:id="rId194"/>
      <w:pgSz w:w="11906" w:h="16838"/>
      <w:pgMar w:top="720" w:right="720" w:bottom="720" w:left="720" w:header="284" w:footer="45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2810" w:rsidRDefault="00DA2810">
      <w:pPr>
        <w:spacing w:after="0" w:line="240" w:lineRule="auto"/>
      </w:pPr>
      <w:r>
        <w:separator/>
      </w:r>
    </w:p>
  </w:endnote>
  <w:endnote w:type="continuationSeparator" w:id="0">
    <w:p w:rsidR="00DA2810" w:rsidRDefault="00DA28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Aharoni">
    <w:panose1 w:val="02010803020104030203"/>
    <w:charset w:val="B1"/>
    <w:family w:val="auto"/>
    <w:pitch w:val="variable"/>
    <w:sig w:usb0="00000801" w:usb1="00000000" w:usb2="00000000" w:usb3="00000000" w:csb0="0000002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Default="008507E6">
    <w:pPr>
      <w:pStyle w:val="Footer"/>
      <w:jc w:val="center"/>
    </w:pPr>
  </w:p>
  <w:p w:rsidR="008507E6" w:rsidRDefault="008507E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5825299"/>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1</w:t>
        </w:r>
        <w:r>
          <w:rPr>
            <w:noProof/>
          </w:rPr>
          <w:fldChar w:fldCharType="end"/>
        </w:r>
      </w:p>
    </w:sdtContent>
  </w:sdt>
  <w:p w:rsidR="008507E6" w:rsidRPr="00106DC1" w:rsidRDefault="008507E6" w:rsidP="00EB11EA">
    <w:pPr>
      <w:pStyle w:val="Footer"/>
      <w:ind w:right="360" w:firstLine="0"/>
      <w:rPr>
        <w:color w:val="7F7F7F" w:themeColor="text1" w:themeTint="8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9916776"/>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8</w:t>
        </w:r>
        <w:r>
          <w:rPr>
            <w:noProof/>
          </w:rPr>
          <w:fldChar w:fldCharType="end"/>
        </w:r>
      </w:p>
    </w:sdtContent>
  </w:sdt>
  <w:p w:rsidR="008507E6" w:rsidRPr="00106DC1" w:rsidRDefault="008507E6" w:rsidP="00EB11EA">
    <w:pPr>
      <w:pStyle w:val="Footer"/>
      <w:ind w:right="360" w:firstLine="0"/>
      <w:rPr>
        <w:color w:val="7F7F7F" w:themeColor="text1" w:themeTint="8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9496831"/>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37</w:t>
        </w:r>
        <w:r>
          <w:rPr>
            <w:noProof/>
          </w:rPr>
          <w:fldChar w:fldCharType="end"/>
        </w:r>
      </w:p>
    </w:sdtContent>
  </w:sdt>
  <w:p w:rsidR="008507E6" w:rsidRPr="00106DC1" w:rsidRDefault="008507E6" w:rsidP="00EB11EA">
    <w:pPr>
      <w:pStyle w:val="Footer"/>
      <w:ind w:right="360" w:firstLine="0"/>
      <w:rPr>
        <w:color w:val="7F7F7F" w:themeColor="text1" w:themeTint="80"/>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5420165"/>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38</w:t>
        </w:r>
        <w:r>
          <w:rPr>
            <w:noProof/>
          </w:rPr>
          <w:fldChar w:fldCharType="end"/>
        </w:r>
      </w:p>
    </w:sdtContent>
  </w:sdt>
  <w:p w:rsidR="008507E6" w:rsidRPr="00106DC1" w:rsidRDefault="008507E6" w:rsidP="00EB11EA">
    <w:pPr>
      <w:pStyle w:val="Footer"/>
      <w:ind w:right="360" w:firstLine="0"/>
      <w:rPr>
        <w:color w:val="7F7F7F" w:themeColor="text1" w:themeTint="80"/>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2404440"/>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67</w:t>
        </w:r>
        <w:r>
          <w:rPr>
            <w:noProof/>
          </w:rPr>
          <w:fldChar w:fldCharType="end"/>
        </w:r>
      </w:p>
    </w:sdtContent>
  </w:sdt>
  <w:p w:rsidR="008507E6" w:rsidRPr="00106DC1" w:rsidRDefault="008507E6" w:rsidP="00EB11EA">
    <w:pPr>
      <w:pStyle w:val="Footer"/>
      <w:ind w:right="360" w:firstLine="0"/>
      <w:rPr>
        <w:color w:val="7F7F7F" w:themeColor="text1" w:themeTint="80"/>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2063676"/>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202</w:t>
        </w:r>
        <w:r>
          <w:rPr>
            <w:noProof/>
          </w:rPr>
          <w:fldChar w:fldCharType="end"/>
        </w:r>
      </w:p>
    </w:sdtContent>
  </w:sdt>
  <w:p w:rsidR="008507E6" w:rsidRPr="00106DC1" w:rsidRDefault="008507E6" w:rsidP="00EB11EA">
    <w:pPr>
      <w:pStyle w:val="Footer"/>
      <w:ind w:right="360" w:firstLine="0"/>
      <w:rPr>
        <w:color w:val="7F7F7F" w:themeColor="text1" w:themeTint="80"/>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6050823"/>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75</w:t>
        </w:r>
        <w:r>
          <w:rPr>
            <w:noProof/>
          </w:rPr>
          <w:fldChar w:fldCharType="end"/>
        </w:r>
      </w:p>
    </w:sdtContent>
  </w:sdt>
  <w:p w:rsidR="008507E6" w:rsidRPr="0079297C" w:rsidRDefault="008507E6" w:rsidP="00EB11EA">
    <w:pPr>
      <w:pStyle w:val="Footer"/>
      <w:ind w:right="360" w:firstLine="0"/>
      <w:rPr>
        <w:color w:val="7F7F7F" w:themeColor="text1" w:themeTint="80"/>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5451705"/>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113</w:t>
        </w:r>
        <w:r>
          <w:rPr>
            <w:noProof/>
          </w:rPr>
          <w:fldChar w:fldCharType="end"/>
        </w:r>
      </w:p>
    </w:sdtContent>
  </w:sdt>
  <w:p w:rsidR="008507E6" w:rsidRPr="0079297C" w:rsidRDefault="008507E6" w:rsidP="00EB11EA">
    <w:pPr>
      <w:pStyle w:val="Footer"/>
      <w:ind w:right="360" w:firstLine="0"/>
      <w:rPr>
        <w:color w:val="7F7F7F" w:themeColor="text1" w:themeTint="80"/>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7296965"/>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165</w:t>
        </w:r>
        <w:r>
          <w:rPr>
            <w:noProof/>
          </w:rPr>
          <w:fldChar w:fldCharType="end"/>
        </w:r>
      </w:p>
    </w:sdtContent>
  </w:sdt>
  <w:p w:rsidR="008507E6" w:rsidRPr="0079297C" w:rsidRDefault="008507E6" w:rsidP="00EB11EA">
    <w:pPr>
      <w:pStyle w:val="Footer"/>
      <w:ind w:right="360" w:firstLine="0"/>
      <w:rPr>
        <w:color w:val="7F7F7F" w:themeColor="text1" w:themeTint="80"/>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730950"/>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175</w:t>
        </w:r>
        <w:r>
          <w:rPr>
            <w:noProof/>
          </w:rPr>
          <w:fldChar w:fldCharType="end"/>
        </w:r>
      </w:p>
    </w:sdtContent>
  </w:sdt>
  <w:p w:rsidR="008507E6" w:rsidRPr="0079297C" w:rsidRDefault="008507E6" w:rsidP="00EB11EA">
    <w:pPr>
      <w:pStyle w:val="Footer"/>
      <w:ind w:right="360" w:firstLine="0"/>
      <w:rPr>
        <w:color w:val="7F7F7F" w:themeColor="text1" w:themeTint="8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Default="008507E6">
    <w:pPr>
      <w:pStyle w:val="Footer"/>
      <w:jc w:val="center"/>
    </w:pPr>
  </w:p>
  <w:p w:rsidR="008507E6" w:rsidRDefault="008507E6">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2326721"/>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199</w:t>
        </w:r>
        <w:r>
          <w:rPr>
            <w:noProof/>
          </w:rPr>
          <w:fldChar w:fldCharType="end"/>
        </w:r>
      </w:p>
    </w:sdtContent>
  </w:sdt>
  <w:p w:rsidR="008507E6" w:rsidRPr="0079297C" w:rsidRDefault="008507E6" w:rsidP="00EB11EA">
    <w:pPr>
      <w:pStyle w:val="Footer"/>
      <w:ind w:right="360" w:firstLine="0"/>
      <w:rPr>
        <w:color w:val="7F7F7F" w:themeColor="text1" w:themeTint="8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Default="008507E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Default="008507E6">
    <w:pPr>
      <w:pStyle w:val="Footer"/>
      <w:jc w:val="center"/>
    </w:pPr>
  </w:p>
  <w:p w:rsidR="008507E6" w:rsidRDefault="008507E6">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Default="008507E6">
    <w:pPr>
      <w:pStyle w:val="Footer"/>
      <w:jc w:val="center"/>
    </w:pPr>
  </w:p>
  <w:p w:rsidR="008507E6" w:rsidRDefault="008507E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0303511"/>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viii</w:t>
        </w:r>
        <w:r>
          <w:rPr>
            <w:noProof/>
          </w:rPr>
          <w:fldChar w:fldCharType="end"/>
        </w:r>
      </w:p>
    </w:sdtContent>
  </w:sdt>
  <w:p w:rsidR="008507E6" w:rsidRDefault="008507E6">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4575760"/>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vii</w:t>
        </w:r>
        <w:r>
          <w:rPr>
            <w:noProof/>
          </w:rPr>
          <w:fldChar w:fldCharType="end"/>
        </w:r>
      </w:p>
    </w:sdtContent>
  </w:sdt>
  <w:p w:rsidR="008507E6" w:rsidRDefault="008507E6">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218070"/>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198</w:t>
        </w:r>
        <w:r>
          <w:rPr>
            <w:noProof/>
          </w:rPr>
          <w:fldChar w:fldCharType="end"/>
        </w:r>
      </w:p>
    </w:sdtContent>
  </w:sdt>
  <w:p w:rsidR="008507E6" w:rsidRDefault="008507E6">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526167"/>
      <w:docPartObj>
        <w:docPartGallery w:val="Page Numbers (Bottom of Page)"/>
        <w:docPartUnique/>
      </w:docPartObj>
    </w:sdtPr>
    <w:sdtEndPr>
      <w:rPr>
        <w:noProof/>
      </w:rPr>
    </w:sdtEndPr>
    <w:sdtContent>
      <w:p w:rsidR="008507E6" w:rsidRDefault="008507E6">
        <w:pPr>
          <w:pStyle w:val="Footer"/>
          <w:jc w:val="center"/>
        </w:pPr>
        <w:r>
          <w:fldChar w:fldCharType="begin"/>
        </w:r>
        <w:r>
          <w:instrText xml:space="preserve"> PAGE   \* MERGEFORMAT </w:instrText>
        </w:r>
        <w:r>
          <w:fldChar w:fldCharType="separate"/>
        </w:r>
        <w:r w:rsidR="008043D5">
          <w:rPr>
            <w:noProof/>
          </w:rPr>
          <w:t>7</w:t>
        </w:r>
        <w:r>
          <w:rPr>
            <w:noProof/>
          </w:rPr>
          <w:fldChar w:fldCharType="end"/>
        </w:r>
      </w:p>
    </w:sdtContent>
  </w:sdt>
  <w:p w:rsidR="008507E6" w:rsidRPr="00106DC1" w:rsidRDefault="008507E6" w:rsidP="00EB11EA">
    <w:pPr>
      <w:pStyle w:val="Footer"/>
      <w:ind w:right="360" w:firstLine="0"/>
      <w:rPr>
        <w:color w:val="7F7F7F" w:themeColor="text1" w:themeTint="8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2810" w:rsidRDefault="00DA2810">
      <w:pPr>
        <w:spacing w:after="0" w:line="240" w:lineRule="auto"/>
      </w:pPr>
      <w:r>
        <w:separator/>
      </w:r>
    </w:p>
  </w:footnote>
  <w:footnote w:type="continuationSeparator" w:id="0">
    <w:p w:rsidR="00DA2810" w:rsidRDefault="00DA281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left"/>
      <w:rPr>
        <w:rFonts w:ascii="Times New Roman" w:hAnsi="Times New Roman" w:cs="Times New Roman"/>
        <w:i/>
        <w:sz w:val="36"/>
      </w:rPr>
    </w:pPr>
    <w:r>
      <w:rPr>
        <w:rFonts w:ascii="Times New Roman" w:hAnsi="Times New Roman" w:cs="Times New Roman"/>
        <w:i/>
        <w:sz w:val="36"/>
      </w:rPr>
      <w:t>Chapter 1</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9778BD" w:rsidRDefault="008507E6" w:rsidP="00EB11EA">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9778BD" w:rsidRDefault="008507E6" w:rsidP="00EB11EA">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Default="008507E6" w:rsidP="00EB11EA">
    <w:pPr>
      <w:pStyle w:val="Header"/>
      <w:ind w:firstLine="0"/>
      <w:jc w:val="lef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9778BD" w:rsidRDefault="008507E6" w:rsidP="00EB11EA">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B23CEB">
    <w:pPr>
      <w:pStyle w:val="Header"/>
      <w:pBdr>
        <w:bottom w:val="single" w:sz="4" w:space="1" w:color="auto"/>
      </w:pBdr>
      <w:tabs>
        <w:tab w:val="clear" w:pos="4320"/>
        <w:tab w:val="clear" w:pos="8640"/>
        <w:tab w:val="left" w:pos="1938"/>
      </w:tabs>
      <w:ind w:firstLine="0"/>
      <w:jc w:val="left"/>
      <w:rPr>
        <w:rFonts w:ascii="Times New Roman" w:hAnsi="Times New Roman" w:cs="Times New Roman"/>
        <w:i/>
        <w:sz w:val="36"/>
      </w:rPr>
    </w:pPr>
    <w:r>
      <w:rPr>
        <w:rFonts w:ascii="Times New Roman" w:hAnsi="Times New Roman" w:cs="Times New Roman"/>
        <w:i/>
        <w:sz w:val="36"/>
      </w:rPr>
      <w:t>Chapter 3</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right"/>
      <w:rPr>
        <w:rFonts w:ascii="Times New Roman" w:hAnsi="Times New Roman" w:cs="Times New Roman"/>
        <w:i/>
        <w:sz w:val="36"/>
      </w:rPr>
    </w:pPr>
    <w:r>
      <w:rPr>
        <w:rFonts w:ascii="Times New Roman" w:hAnsi="Times New Roman" w:cs="Times New Roman"/>
        <w:i/>
        <w:sz w:val="36"/>
      </w:rPr>
      <w:t>Chapter 3</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B23CEB" w:rsidRDefault="008507E6" w:rsidP="00B23CEB">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left"/>
      <w:rPr>
        <w:rFonts w:ascii="Times New Roman" w:hAnsi="Times New Roman" w:cs="Times New Roman"/>
        <w:i/>
        <w:sz w:val="36"/>
      </w:rPr>
    </w:pPr>
    <w:r>
      <w:rPr>
        <w:rFonts w:ascii="Times New Roman" w:hAnsi="Times New Roman" w:cs="Times New Roman"/>
        <w:i/>
        <w:sz w:val="36"/>
      </w:rPr>
      <w:t>Chapter 4</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right"/>
      <w:rPr>
        <w:rFonts w:ascii="Times New Roman" w:hAnsi="Times New Roman" w:cs="Times New Roman"/>
        <w:i/>
        <w:sz w:val="36"/>
      </w:rPr>
    </w:pPr>
    <w:r>
      <w:rPr>
        <w:rFonts w:ascii="Times New Roman" w:hAnsi="Times New Roman" w:cs="Times New Roman"/>
        <w:i/>
        <w:sz w:val="36"/>
      </w:rPr>
      <w:t>Chapter 4</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9778BD" w:rsidRDefault="008507E6" w:rsidP="00EB11E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right"/>
      <w:rPr>
        <w:rFonts w:ascii="Times New Roman" w:hAnsi="Times New Roman" w:cs="Times New Roman"/>
        <w:i/>
        <w:sz w:val="36"/>
      </w:rPr>
    </w:pPr>
    <w:r>
      <w:rPr>
        <w:rFonts w:ascii="Times New Roman" w:hAnsi="Times New Roman" w:cs="Times New Roman"/>
        <w:i/>
        <w:sz w:val="36"/>
      </w:rPr>
      <w:t>Chapter 1</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left"/>
      <w:rPr>
        <w:rFonts w:ascii="Times New Roman" w:hAnsi="Times New Roman" w:cs="Times New Roman"/>
        <w:i/>
        <w:sz w:val="36"/>
      </w:rPr>
    </w:pPr>
    <w:r>
      <w:rPr>
        <w:rFonts w:ascii="Times New Roman" w:hAnsi="Times New Roman" w:cs="Times New Roman"/>
        <w:i/>
        <w:sz w:val="36"/>
      </w:rPr>
      <w:t>Chapter 5</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right"/>
      <w:rPr>
        <w:rFonts w:ascii="Times New Roman" w:hAnsi="Times New Roman" w:cs="Times New Roman"/>
        <w:i/>
        <w:sz w:val="36"/>
      </w:rPr>
    </w:pPr>
    <w:r>
      <w:rPr>
        <w:rFonts w:ascii="Times New Roman" w:hAnsi="Times New Roman" w:cs="Times New Roman"/>
        <w:i/>
        <w:sz w:val="36"/>
      </w:rPr>
      <w:t>Chapter 5</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left"/>
      <w:rPr>
        <w:rFonts w:ascii="Times New Roman" w:hAnsi="Times New Roman" w:cs="Times New Roman"/>
        <w:i/>
        <w:sz w:val="36"/>
      </w:rPr>
    </w:pPr>
    <w:r>
      <w:rPr>
        <w:rFonts w:ascii="Times New Roman" w:hAnsi="Times New Roman" w:cs="Times New Roman"/>
        <w:i/>
        <w:sz w:val="36"/>
      </w:rPr>
      <w:t>Chapter 6</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right"/>
      <w:rPr>
        <w:rFonts w:ascii="Times New Roman" w:hAnsi="Times New Roman" w:cs="Times New Roman"/>
        <w:i/>
        <w:sz w:val="36"/>
      </w:rPr>
    </w:pPr>
    <w:r>
      <w:rPr>
        <w:rFonts w:ascii="Times New Roman" w:hAnsi="Times New Roman" w:cs="Times New Roman"/>
        <w:i/>
        <w:sz w:val="36"/>
      </w:rPr>
      <w:t>Chapter 6</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left"/>
      <w:rPr>
        <w:rFonts w:ascii="Times New Roman" w:hAnsi="Times New Roman" w:cs="Times New Roman"/>
        <w:i/>
        <w:sz w:val="36"/>
      </w:rPr>
    </w:pPr>
    <w:r>
      <w:rPr>
        <w:rFonts w:ascii="Times New Roman" w:hAnsi="Times New Roman" w:cs="Times New Roman"/>
        <w:i/>
        <w:sz w:val="36"/>
      </w:rPr>
      <w:t>Chapter 7</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right"/>
      <w:rPr>
        <w:rFonts w:ascii="Times New Roman" w:hAnsi="Times New Roman" w:cs="Times New Roman"/>
        <w:i/>
        <w:sz w:val="36"/>
      </w:rPr>
    </w:pPr>
    <w:r>
      <w:rPr>
        <w:rFonts w:ascii="Times New Roman" w:hAnsi="Times New Roman" w:cs="Times New Roman"/>
        <w:i/>
        <w:sz w:val="36"/>
      </w:rPr>
      <w:t>Chapter 7</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left"/>
      <w:rPr>
        <w:rFonts w:ascii="Times New Roman" w:hAnsi="Times New Roman" w:cs="Times New Roman"/>
        <w:i/>
        <w:sz w:val="36"/>
      </w:rPr>
    </w:pPr>
    <w:r>
      <w:rPr>
        <w:rFonts w:ascii="Times New Roman" w:hAnsi="Times New Roman" w:cs="Times New Roman"/>
        <w:i/>
        <w:sz w:val="36"/>
      </w:rPr>
      <w:t>Chapter 8</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right"/>
      <w:rPr>
        <w:rFonts w:ascii="Times New Roman" w:hAnsi="Times New Roman" w:cs="Times New Roman"/>
        <w:i/>
        <w:sz w:val="36"/>
      </w:rPr>
    </w:pPr>
    <w:r>
      <w:rPr>
        <w:rFonts w:ascii="Times New Roman" w:hAnsi="Times New Roman" w:cs="Times New Roman"/>
        <w:i/>
        <w:sz w:val="36"/>
      </w:rPr>
      <w:t>Chapter 8</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1D6196" w:rsidRDefault="008507E6" w:rsidP="00EB11EA">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850E11" w:rsidRDefault="008507E6" w:rsidP="00EB11EA">
    <w:pPr>
      <w:pStyle w:val="Header"/>
      <w:pBdr>
        <w:bottom w:val="single" w:sz="4" w:space="1" w:color="auto"/>
      </w:pBdr>
      <w:jc w:val="right"/>
      <w:rPr>
        <w:rFonts w:ascii="Times New Roman" w:hAnsi="Times New Roman" w:cs="Times New Roman"/>
        <w:i/>
        <w:sz w:val="36"/>
      </w:rPr>
    </w:pPr>
    <w:r w:rsidRPr="00850E11">
      <w:rPr>
        <w:rFonts w:ascii="Times New Roman" w:hAnsi="Times New Roman" w:cs="Times New Roman"/>
        <w:i/>
        <w:sz w:val="36"/>
      </w:rPr>
      <w:t>Appendix</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A6735E" w:rsidRDefault="008507E6" w:rsidP="00EB11E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A6735E" w:rsidRDefault="008507E6" w:rsidP="00EB11E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left"/>
      <w:rPr>
        <w:rFonts w:ascii="Times New Roman" w:hAnsi="Times New Roman" w:cs="Times New Roman"/>
        <w:i/>
        <w:sz w:val="36"/>
      </w:rPr>
    </w:pPr>
    <w:r>
      <w:rPr>
        <w:rFonts w:ascii="Times New Roman" w:hAnsi="Times New Roman" w:cs="Times New Roman"/>
        <w:i/>
        <w:sz w:val="36"/>
      </w:rPr>
      <w:t>Chapter 2</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right"/>
      <w:rPr>
        <w:rFonts w:ascii="Times New Roman" w:hAnsi="Times New Roman" w:cs="Times New Roman"/>
        <w:i/>
        <w:sz w:val="36"/>
      </w:rPr>
    </w:pPr>
    <w:r>
      <w:rPr>
        <w:rFonts w:ascii="Times New Roman" w:hAnsi="Times New Roman" w:cs="Times New Roman"/>
        <w:i/>
        <w:sz w:val="36"/>
      </w:rPr>
      <w:t>Chapter 2</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A6735E" w:rsidRDefault="008507E6" w:rsidP="00EB11EA">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left"/>
      <w:rPr>
        <w:rFonts w:ascii="Times New Roman" w:hAnsi="Times New Roman" w:cs="Times New Roman"/>
        <w:i/>
        <w:sz w:val="36"/>
      </w:rPr>
    </w:pPr>
    <w:r>
      <w:rPr>
        <w:rFonts w:ascii="Times New Roman" w:hAnsi="Times New Roman" w:cs="Times New Roman"/>
        <w:i/>
        <w:sz w:val="36"/>
      </w:rPr>
      <w:t>Chapter 3</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7E6" w:rsidRPr="005B3628" w:rsidRDefault="008507E6" w:rsidP="00EB11EA">
    <w:pPr>
      <w:pStyle w:val="Header"/>
      <w:pBdr>
        <w:bottom w:val="single" w:sz="4" w:space="1" w:color="auto"/>
      </w:pBdr>
      <w:ind w:firstLine="0"/>
      <w:jc w:val="right"/>
      <w:rPr>
        <w:rFonts w:ascii="Times New Roman" w:hAnsi="Times New Roman" w:cs="Times New Roman"/>
        <w:i/>
        <w:sz w:val="36"/>
      </w:rPr>
    </w:pPr>
    <w:r>
      <w:rPr>
        <w:rFonts w:ascii="Times New Roman" w:hAnsi="Times New Roman" w:cs="Times New Roman"/>
        <w:i/>
        <w:sz w:val="36"/>
      </w:rPr>
      <w:t>Chapter 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303F0B"/>
    <w:multiLevelType w:val="hybridMultilevel"/>
    <w:tmpl w:val="A8B0E8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70E5E46"/>
    <w:multiLevelType w:val="multilevel"/>
    <w:tmpl w:val="DA62934A"/>
    <w:lvl w:ilvl="0">
      <w:start w:val="1"/>
      <w:numFmt w:val="decimal"/>
      <w:lvlText w:val="Chapter %1: "/>
      <w:lvlJc w:val="left"/>
      <w:pPr>
        <w:ind w:left="454" w:hanging="454"/>
      </w:pPr>
      <w:rPr>
        <w:rFonts w:ascii="Times New Roman" w:hAnsi="Times New Roman" w:hint="default"/>
        <w:spacing w:val="0"/>
      </w:rPr>
    </w:lvl>
    <w:lvl w:ilvl="1">
      <w:start w:val="1"/>
      <w:numFmt w:val="decimal"/>
      <w:lvlText w:val="%1.%2 "/>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2">
    <w:nsid w:val="083E5C5A"/>
    <w:multiLevelType w:val="multilevel"/>
    <w:tmpl w:val="CA5E27E0"/>
    <w:lvl w:ilvl="0">
      <w:start w:val="1"/>
      <w:numFmt w:val="decimal"/>
      <w:lvlText w:val="Chapter %1: "/>
      <w:lvlJc w:val="left"/>
      <w:pPr>
        <w:ind w:left="454" w:hanging="454"/>
      </w:pPr>
      <w:rPr>
        <w:rFonts w:ascii="Times New Roman" w:hAnsi="Times New Roman" w:hint="default"/>
        <w:spacing w:val="0"/>
      </w:rPr>
    </w:lvl>
    <w:lvl w:ilvl="1">
      <w:start w:val="1"/>
      <w:numFmt w:val="decimal"/>
      <w:lvlText w:val="%1.%2 "/>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suff w:val="space"/>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3">
    <w:nsid w:val="097454F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109838D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133B6B0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144B278A"/>
    <w:multiLevelType w:val="hybridMultilevel"/>
    <w:tmpl w:val="E856D4CA"/>
    <w:lvl w:ilvl="0" w:tplc="A34C0778">
      <w:start w:val="1"/>
      <w:numFmt w:val="upp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F5F1CA9"/>
    <w:multiLevelType w:val="hybridMultilevel"/>
    <w:tmpl w:val="479EF59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0F2030A"/>
    <w:multiLevelType w:val="hybridMultilevel"/>
    <w:tmpl w:val="9B26A92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nsid w:val="3BBC4D84"/>
    <w:multiLevelType w:val="hybridMultilevel"/>
    <w:tmpl w:val="B1489402"/>
    <w:lvl w:ilvl="0" w:tplc="9B3014A2">
      <w:start w:val="1"/>
      <w:numFmt w:val="upperLetter"/>
      <w:pStyle w:val="Heading8"/>
      <w:lvlText w:val="Appendix %1"/>
      <w:lvlJc w:val="left"/>
      <w:pPr>
        <w:ind w:left="720" w:hanging="360"/>
      </w:pPr>
      <w:rPr>
        <w:rFonts w:ascii="Times New Roman" w:hAnsi="Times New Roman" w:hint="default"/>
        <w:bCs w:val="0"/>
        <w:i w:val="0"/>
        <w:iCs w:val="0"/>
        <w:caps w:val="0"/>
        <w:smallCaps w:val="0"/>
        <w:strike w:val="0"/>
        <w:dstrike w:val="0"/>
        <w:noProof w:val="0"/>
        <w:vanish w:val="0"/>
        <w:color w:val="FFFFFF" w:themeColor="background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F3B6E28"/>
    <w:multiLevelType w:val="hybridMultilevel"/>
    <w:tmpl w:val="E7183E02"/>
    <w:lvl w:ilvl="0" w:tplc="0809000F">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4D3A782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5448156B"/>
    <w:multiLevelType w:val="multilevel"/>
    <w:tmpl w:val="212CF5F8"/>
    <w:lvl w:ilvl="0">
      <w:start w:val="1"/>
      <w:numFmt w:val="decimal"/>
      <w:lvlText w:val="Chapter %1: "/>
      <w:lvlJc w:val="left"/>
      <w:pPr>
        <w:ind w:left="454" w:hanging="454"/>
      </w:pPr>
      <w:rPr>
        <w:rFonts w:ascii="Times New Roman" w:hAnsi="Times New Roman" w:hint="default"/>
        <w:spacing w:val="0"/>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13">
    <w:nsid w:val="59251AEE"/>
    <w:multiLevelType w:val="hybridMultilevel"/>
    <w:tmpl w:val="C6DEC4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595567E9"/>
    <w:multiLevelType w:val="hybridMultilevel"/>
    <w:tmpl w:val="FB72D0DE"/>
    <w:lvl w:ilvl="0" w:tplc="C1D6A5A4">
      <w:start w:val="1"/>
      <w:numFmt w:val="upp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5FAB745D"/>
    <w:multiLevelType w:val="multilevel"/>
    <w:tmpl w:val="5D54FB58"/>
    <w:lvl w:ilvl="0">
      <w:start w:val="1"/>
      <w:numFmt w:val="decimal"/>
      <w:pStyle w:val="Heading1"/>
      <w:lvlText w:val="Chapter %1: "/>
      <w:lvlJc w:val="left"/>
      <w:pPr>
        <w:ind w:left="454" w:hanging="454"/>
      </w:pPr>
      <w:rPr>
        <w:rFonts w:ascii="Times New Roman" w:hAnsi="Times New Roman" w:hint="default"/>
        <w:spacing w:val="0"/>
      </w:rPr>
    </w:lvl>
    <w:lvl w:ilvl="1">
      <w:start w:val="1"/>
      <w:numFmt w:val="decimal"/>
      <w:pStyle w:val="Heading2"/>
      <w:lvlText w:val="%1.%2 "/>
      <w:lvlJc w:val="left"/>
      <w:pPr>
        <w:ind w:left="431" w:hanging="431"/>
      </w:pPr>
      <w:rPr>
        <w:rFonts w:hint="default"/>
      </w:rPr>
    </w:lvl>
    <w:lvl w:ilvl="2">
      <w:start w:val="1"/>
      <w:numFmt w:val="decimal"/>
      <w:pStyle w:val="Heading3"/>
      <w:lvlText w:val="%1.%2.%3"/>
      <w:lvlJc w:val="left"/>
      <w:pPr>
        <w:ind w:left="431" w:hanging="431"/>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suff w:val="space"/>
      <w:lvlText w:val="%1.%2.%3.%4"/>
      <w:lvlJc w:val="left"/>
      <w:pPr>
        <w:ind w:left="431" w:hanging="431"/>
      </w:pPr>
      <w:rPr>
        <w:rFonts w:hint="default"/>
      </w:rPr>
    </w:lvl>
    <w:lvl w:ilvl="4">
      <w:start w:val="1"/>
      <w:numFmt w:val="decimal"/>
      <w:pStyle w:val="Heading5"/>
      <w:suff w:val="space"/>
      <w:lvlText w:val="%1.%2.%3.%4.%5"/>
      <w:lvlJc w:val="left"/>
      <w:pPr>
        <w:ind w:left="0" w:firstLine="0"/>
      </w:pPr>
      <w:rPr>
        <w:b w:val="0"/>
        <w:bCs w:val="0"/>
        <w:i/>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431" w:hanging="431"/>
      </w:pPr>
      <w:rPr>
        <w:rFonts w:hint="default"/>
      </w:rPr>
    </w:lvl>
    <w:lvl w:ilvl="6">
      <w:start w:val="1"/>
      <w:numFmt w:val="decimal"/>
      <w:pStyle w:val="Heading7"/>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16">
    <w:nsid w:val="63B67FAB"/>
    <w:multiLevelType w:val="hybridMultilevel"/>
    <w:tmpl w:val="1B609E78"/>
    <w:lvl w:ilvl="0" w:tplc="8A6A7FB6">
      <w:start w:val="1"/>
      <w:numFmt w:val="decimal"/>
      <w:pStyle w:val="Style1"/>
      <w:lvlText w:val="%1.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64832FF1"/>
    <w:multiLevelType w:val="hybridMultilevel"/>
    <w:tmpl w:val="AF3AC21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65426E06"/>
    <w:multiLevelType w:val="multilevel"/>
    <w:tmpl w:val="DEEC833E"/>
    <w:lvl w:ilvl="0">
      <w:start w:val="1"/>
      <w:numFmt w:val="decimal"/>
      <w:lvlText w:val="Chapter %1: "/>
      <w:lvlJc w:val="left"/>
      <w:pPr>
        <w:ind w:left="454" w:hanging="454"/>
      </w:pPr>
      <w:rPr>
        <w:rFonts w:ascii="Times New Roman" w:hAnsi="Times New Roman" w:hint="default"/>
        <w:spacing w:val="0"/>
      </w:rPr>
    </w:lvl>
    <w:lvl w:ilvl="1">
      <w:start w:val="1"/>
      <w:numFmt w:val="decimal"/>
      <w:lvlText w:val="%1.%2 "/>
      <w:lvlJc w:val="left"/>
      <w:pPr>
        <w:ind w:left="431" w:hanging="431"/>
      </w:pPr>
      <w:rPr>
        <w:rFonts w:hint="default"/>
      </w:rPr>
    </w:lvl>
    <w:lvl w:ilvl="2">
      <w:start w:val="1"/>
      <w:numFmt w:val="decimal"/>
      <w:lvlText w:val="%1.%2.%3"/>
      <w:lvlJc w:val="left"/>
      <w:pPr>
        <w:ind w:left="431" w:hanging="431"/>
      </w:pPr>
      <w:rPr>
        <w:rFonts w:hint="default"/>
        <w:sz w:val="24"/>
      </w:rPr>
    </w:lvl>
    <w:lvl w:ilvl="3">
      <w:start w:val="1"/>
      <w:numFmt w:val="decimal"/>
      <w:suff w:val="space"/>
      <w:lvlText w:val="%1.%2.%3.%4"/>
      <w:lvlJc w:val="left"/>
      <w:pPr>
        <w:ind w:left="431" w:hanging="431"/>
      </w:pPr>
      <w:rPr>
        <w:rFonts w:hint="default"/>
      </w:rPr>
    </w:lvl>
    <w:lvl w:ilvl="4">
      <w:start w:val="1"/>
      <w:numFmt w:val="decimal"/>
      <w:suff w:val="space"/>
      <w:lvlText w:val="%1.%2.%3.%4.%5"/>
      <w:lvlJc w:val="left"/>
      <w:pPr>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19">
    <w:nsid w:val="65E25553"/>
    <w:multiLevelType w:val="hybridMultilevel"/>
    <w:tmpl w:val="2A58DDD4"/>
    <w:lvl w:ilvl="0" w:tplc="FBA6DB14">
      <w:start w:val="1"/>
      <w:numFmt w:val="upp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8"/>
  </w:num>
  <w:num w:numId="3">
    <w:abstractNumId w:val="7"/>
  </w:num>
  <w:num w:numId="4">
    <w:abstractNumId w:val="0"/>
  </w:num>
  <w:num w:numId="5">
    <w:abstractNumId w:val="13"/>
  </w:num>
  <w:num w:numId="6">
    <w:abstractNumId w:val="11"/>
  </w:num>
  <w:num w:numId="7">
    <w:abstractNumId w:val="5"/>
  </w:num>
  <w:num w:numId="8">
    <w:abstractNumId w:val="3"/>
  </w:num>
  <w:num w:numId="9">
    <w:abstractNumId w:val="4"/>
  </w:num>
  <w:num w:numId="10">
    <w:abstractNumId w:val="12"/>
  </w:num>
  <w:num w:numId="11">
    <w:abstractNumId w:val="1"/>
  </w:num>
  <w:num w:numId="12">
    <w:abstractNumId w:val="17"/>
  </w:num>
  <w:num w:numId="13">
    <w:abstractNumId w:val="15"/>
  </w:num>
  <w:num w:numId="14">
    <w:abstractNumId w:val="18"/>
  </w:num>
  <w:num w:numId="15">
    <w:abstractNumId w:val="10"/>
  </w:num>
  <w:num w:numId="16">
    <w:abstractNumId w:val="14"/>
  </w:num>
  <w:num w:numId="17">
    <w:abstractNumId w:val="6"/>
  </w:num>
  <w:num w:numId="18">
    <w:abstractNumId w:val="19"/>
  </w:num>
  <w:num w:numId="19">
    <w:abstractNumId w:val="16"/>
  </w:num>
  <w:num w:numId="20">
    <w:abstractNumId w:val="9"/>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ocumentProtection w:edit="readOnly" w:enforcement="1" w:cryptProviderType="rsaAES" w:cryptAlgorithmClass="hash" w:cryptAlgorithmType="typeAny" w:cryptAlgorithmSid="14" w:cryptSpinCount="100000" w:hash="L5U+zmmTaBG8Hqi1Xzgn7vKW0mDfWcSJfSKy8UJov3BX2Or8CQiLpddngYO1ARdVG5imyQkssEEI0I63T5rPUQ==" w:salt="+UunmPcrb3EAIdz0xpwXtQ=="/>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1052"/>
    <w:rsid w:val="000270BE"/>
    <w:rsid w:val="00032781"/>
    <w:rsid w:val="0009644A"/>
    <w:rsid w:val="00097161"/>
    <w:rsid w:val="00214434"/>
    <w:rsid w:val="00387639"/>
    <w:rsid w:val="003B5865"/>
    <w:rsid w:val="003F0BD9"/>
    <w:rsid w:val="003F4D3F"/>
    <w:rsid w:val="00447D22"/>
    <w:rsid w:val="004A7207"/>
    <w:rsid w:val="004E6513"/>
    <w:rsid w:val="00514496"/>
    <w:rsid w:val="005D1052"/>
    <w:rsid w:val="006523CE"/>
    <w:rsid w:val="00701B00"/>
    <w:rsid w:val="007960E0"/>
    <w:rsid w:val="007E3959"/>
    <w:rsid w:val="008043D5"/>
    <w:rsid w:val="0081681D"/>
    <w:rsid w:val="008507E6"/>
    <w:rsid w:val="00875CAF"/>
    <w:rsid w:val="00882097"/>
    <w:rsid w:val="008C75EC"/>
    <w:rsid w:val="008F032F"/>
    <w:rsid w:val="00903017"/>
    <w:rsid w:val="00924C7D"/>
    <w:rsid w:val="009B27A2"/>
    <w:rsid w:val="009C5E32"/>
    <w:rsid w:val="009E2509"/>
    <w:rsid w:val="00AA64C7"/>
    <w:rsid w:val="00B23CEB"/>
    <w:rsid w:val="00B24CE1"/>
    <w:rsid w:val="00B36ACF"/>
    <w:rsid w:val="00B822E9"/>
    <w:rsid w:val="00B931F6"/>
    <w:rsid w:val="00BC7286"/>
    <w:rsid w:val="00C032D6"/>
    <w:rsid w:val="00C12C42"/>
    <w:rsid w:val="00DA2810"/>
    <w:rsid w:val="00E02551"/>
    <w:rsid w:val="00EB11EA"/>
    <w:rsid w:val="00EC1F59"/>
    <w:rsid w:val="00F03735"/>
    <w:rsid w:val="00FC7469"/>
    <w:rsid w:val="00FD29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F9B0F5F-BED8-4610-8A75-FE1BDBB4B6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D1052"/>
    <w:pPr>
      <w:spacing w:after="200" w:line="360" w:lineRule="auto"/>
      <w:ind w:firstLine="720"/>
      <w:jc w:val="both"/>
    </w:pPr>
    <w:rPr>
      <w:sz w:val="24"/>
    </w:rPr>
  </w:style>
  <w:style w:type="paragraph" w:styleId="Heading1">
    <w:name w:val="heading 1"/>
    <w:basedOn w:val="Normal"/>
    <w:link w:val="Heading1Char"/>
    <w:autoRedefine/>
    <w:uiPriority w:val="9"/>
    <w:qFormat/>
    <w:rsid w:val="005D1052"/>
    <w:pPr>
      <w:pageBreakBefore/>
      <w:numPr>
        <w:numId w:val="13"/>
      </w:numPr>
      <w:pBdr>
        <w:bottom w:val="thickThinSmallGap" w:sz="24" w:space="1" w:color="auto"/>
      </w:pBdr>
      <w:spacing w:before="1200" w:after="480" w:line="240" w:lineRule="auto"/>
      <w:ind w:right="-1"/>
      <w:jc w:val="center"/>
      <w:outlineLvl w:val="0"/>
    </w:pPr>
    <w:rPr>
      <w:rFonts w:ascii="Times New Roman" w:eastAsiaTheme="majorEastAsia" w:hAnsi="Times New Roman" w:cstheme="majorBidi"/>
      <w:b/>
      <w:bCs/>
      <w:color w:val="000000" w:themeColor="text1"/>
      <w:sz w:val="44"/>
      <w:szCs w:val="28"/>
    </w:rPr>
  </w:style>
  <w:style w:type="paragraph" w:styleId="Heading2">
    <w:name w:val="heading 2"/>
    <w:basedOn w:val="Normal"/>
    <w:next w:val="Normal"/>
    <w:link w:val="Heading2Char"/>
    <w:unhideWhenUsed/>
    <w:qFormat/>
    <w:rsid w:val="004E6513"/>
    <w:pPr>
      <w:keepNext/>
      <w:keepLines/>
      <w:numPr>
        <w:ilvl w:val="1"/>
        <w:numId w:val="13"/>
      </w:numPr>
      <w:spacing w:before="960" w:after="240"/>
      <w:outlineLvl w:val="1"/>
    </w:pPr>
    <w:rPr>
      <w:rFonts w:ascii="Cambria" w:eastAsiaTheme="majorEastAsia" w:hAnsi="Cambria" w:cstheme="majorBidi"/>
      <w:b/>
      <w:bCs/>
      <w:color w:val="000000" w:themeColor="text1"/>
      <w:sz w:val="32"/>
      <w:szCs w:val="26"/>
    </w:rPr>
  </w:style>
  <w:style w:type="paragraph" w:styleId="Heading3">
    <w:name w:val="heading 3"/>
    <w:basedOn w:val="Normal"/>
    <w:next w:val="Normal"/>
    <w:link w:val="Heading3Char"/>
    <w:autoRedefine/>
    <w:unhideWhenUsed/>
    <w:qFormat/>
    <w:rsid w:val="004E6513"/>
    <w:pPr>
      <w:keepNext/>
      <w:keepLines/>
      <w:numPr>
        <w:ilvl w:val="2"/>
        <w:numId w:val="13"/>
      </w:numPr>
      <w:spacing w:before="520" w:after="120"/>
      <w:jc w:val="left"/>
      <w:outlineLvl w:val="2"/>
    </w:pPr>
    <w:rPr>
      <w:rFonts w:ascii="Cambria" w:eastAsiaTheme="majorEastAsia" w:hAnsi="Cambria" w:cstheme="majorBidi"/>
      <w:b/>
      <w:bCs/>
      <w:sz w:val="28"/>
      <w:szCs w:val="28"/>
    </w:rPr>
  </w:style>
  <w:style w:type="paragraph" w:styleId="Heading4">
    <w:name w:val="heading 4"/>
    <w:basedOn w:val="Normal"/>
    <w:next w:val="Normal"/>
    <w:link w:val="Heading4Char"/>
    <w:autoRedefine/>
    <w:unhideWhenUsed/>
    <w:qFormat/>
    <w:rsid w:val="004E6513"/>
    <w:pPr>
      <w:keepNext/>
      <w:keepLines/>
      <w:numPr>
        <w:ilvl w:val="3"/>
        <w:numId w:val="13"/>
      </w:numPr>
      <w:spacing w:before="360" w:after="120"/>
      <w:outlineLvl w:val="3"/>
    </w:pPr>
    <w:rPr>
      <w:rFonts w:ascii="Cambria" w:eastAsiaTheme="majorEastAsia" w:hAnsi="Cambria" w:cstheme="majorBidi"/>
      <w:b/>
      <w:bCs/>
      <w:iCs/>
    </w:rPr>
  </w:style>
  <w:style w:type="paragraph" w:styleId="Heading5">
    <w:name w:val="heading 5"/>
    <w:basedOn w:val="Normal"/>
    <w:next w:val="Normal"/>
    <w:link w:val="Heading5Char"/>
    <w:autoRedefine/>
    <w:unhideWhenUsed/>
    <w:qFormat/>
    <w:rsid w:val="004E6513"/>
    <w:pPr>
      <w:keepNext/>
      <w:keepLines/>
      <w:numPr>
        <w:ilvl w:val="4"/>
        <w:numId w:val="13"/>
      </w:numPr>
      <w:spacing w:before="120" w:after="0"/>
      <w:ind w:left="680"/>
      <w:outlineLvl w:val="4"/>
    </w:pPr>
    <w:rPr>
      <w:rFonts w:ascii="Cambria" w:eastAsiaTheme="majorEastAsia" w:hAnsi="Cambria" w:cstheme="majorBidi"/>
      <w:bCs/>
      <w:i/>
      <w:iCs/>
      <w:color w:val="000000" w:themeColor="text1"/>
    </w:rPr>
  </w:style>
  <w:style w:type="paragraph" w:styleId="Heading6">
    <w:name w:val="heading 6"/>
    <w:basedOn w:val="Normal1"/>
    <w:next w:val="Normal1"/>
    <w:link w:val="Heading6Char"/>
    <w:rsid w:val="005D1052"/>
    <w:pPr>
      <w:keepNext/>
      <w:keepLines/>
      <w:spacing w:before="200" w:after="40"/>
      <w:contextualSpacing/>
      <w:outlineLvl w:val="5"/>
    </w:pPr>
    <w:rPr>
      <w:b/>
      <w:sz w:val="20"/>
    </w:rPr>
  </w:style>
  <w:style w:type="paragraph" w:styleId="Heading7">
    <w:name w:val="heading 7"/>
    <w:basedOn w:val="Normal"/>
    <w:next w:val="Normal"/>
    <w:link w:val="Heading7Char"/>
    <w:uiPriority w:val="9"/>
    <w:unhideWhenUsed/>
    <w:qFormat/>
    <w:rsid w:val="005D1052"/>
    <w:pPr>
      <w:keepNext/>
      <w:keepLines/>
      <w:numPr>
        <w:ilvl w:val="6"/>
        <w:numId w:val="1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5D1052"/>
    <w:pPr>
      <w:keepNext/>
      <w:keepLines/>
      <w:numPr>
        <w:numId w:val="20"/>
      </w:numPr>
      <w:spacing w:before="200" w:after="0"/>
      <w:jc w:val="center"/>
      <w:outlineLvl w:val="7"/>
    </w:pPr>
    <w:rPr>
      <w:rFonts w:asciiTheme="majorHAnsi" w:eastAsiaTheme="majorEastAsia" w:hAnsiTheme="majorHAnsi" w:cstheme="majorBidi"/>
      <w:b/>
      <w:color w:val="FFFFFF" w:themeColor="background1"/>
      <w:sz w:val="16"/>
      <w:szCs w:val="20"/>
    </w:rPr>
  </w:style>
  <w:style w:type="paragraph" w:styleId="Heading9">
    <w:name w:val="heading 9"/>
    <w:basedOn w:val="Normal"/>
    <w:next w:val="Normal"/>
    <w:link w:val="Heading9Char"/>
    <w:uiPriority w:val="9"/>
    <w:unhideWhenUsed/>
    <w:qFormat/>
    <w:rsid w:val="005D105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D1052"/>
    <w:rPr>
      <w:rFonts w:ascii="Times New Roman" w:eastAsiaTheme="majorEastAsia" w:hAnsi="Times New Roman" w:cstheme="majorBidi"/>
      <w:b/>
      <w:bCs/>
      <w:color w:val="000000" w:themeColor="text1"/>
      <w:sz w:val="44"/>
      <w:szCs w:val="28"/>
    </w:rPr>
  </w:style>
  <w:style w:type="character" w:customStyle="1" w:styleId="Heading2Char">
    <w:name w:val="Heading 2 Char"/>
    <w:basedOn w:val="DefaultParagraphFont"/>
    <w:link w:val="Heading2"/>
    <w:rsid w:val="004E6513"/>
    <w:rPr>
      <w:rFonts w:ascii="Cambria" w:eastAsiaTheme="majorEastAsia" w:hAnsi="Cambria" w:cstheme="majorBidi"/>
      <w:b/>
      <w:bCs/>
      <w:color w:val="000000" w:themeColor="text1"/>
      <w:sz w:val="32"/>
      <w:szCs w:val="26"/>
    </w:rPr>
  </w:style>
  <w:style w:type="character" w:customStyle="1" w:styleId="Heading3Char">
    <w:name w:val="Heading 3 Char"/>
    <w:basedOn w:val="DefaultParagraphFont"/>
    <w:link w:val="Heading3"/>
    <w:rsid w:val="004E6513"/>
    <w:rPr>
      <w:rFonts w:ascii="Cambria" w:eastAsiaTheme="majorEastAsia" w:hAnsi="Cambria" w:cstheme="majorBidi"/>
      <w:b/>
      <w:bCs/>
      <w:sz w:val="28"/>
      <w:szCs w:val="28"/>
    </w:rPr>
  </w:style>
  <w:style w:type="character" w:customStyle="1" w:styleId="Heading4Char">
    <w:name w:val="Heading 4 Char"/>
    <w:basedOn w:val="DefaultParagraphFont"/>
    <w:link w:val="Heading4"/>
    <w:rsid w:val="004E6513"/>
    <w:rPr>
      <w:rFonts w:ascii="Cambria" w:eastAsiaTheme="majorEastAsia" w:hAnsi="Cambria" w:cstheme="majorBidi"/>
      <w:b/>
      <w:bCs/>
      <w:iCs/>
      <w:sz w:val="24"/>
    </w:rPr>
  </w:style>
  <w:style w:type="character" w:customStyle="1" w:styleId="Heading5Char">
    <w:name w:val="Heading 5 Char"/>
    <w:basedOn w:val="DefaultParagraphFont"/>
    <w:link w:val="Heading5"/>
    <w:rsid w:val="004E6513"/>
    <w:rPr>
      <w:rFonts w:ascii="Cambria" w:eastAsiaTheme="majorEastAsia" w:hAnsi="Cambria" w:cstheme="majorBidi"/>
      <w:bCs/>
      <w:i/>
      <w:iCs/>
      <w:color w:val="000000" w:themeColor="text1"/>
      <w:sz w:val="24"/>
    </w:rPr>
  </w:style>
  <w:style w:type="character" w:customStyle="1" w:styleId="Heading6Char">
    <w:name w:val="Heading 6 Char"/>
    <w:basedOn w:val="DefaultParagraphFont"/>
    <w:link w:val="Heading6"/>
    <w:rsid w:val="005D1052"/>
    <w:rPr>
      <w:rFonts w:ascii="Cambria" w:eastAsia="Cambria" w:hAnsi="Cambria" w:cs="Cambria"/>
      <w:b/>
      <w:color w:val="000000"/>
      <w:sz w:val="20"/>
      <w:szCs w:val="24"/>
    </w:rPr>
  </w:style>
  <w:style w:type="character" w:customStyle="1" w:styleId="Heading7Char">
    <w:name w:val="Heading 7 Char"/>
    <w:basedOn w:val="DefaultParagraphFont"/>
    <w:link w:val="Heading7"/>
    <w:uiPriority w:val="9"/>
    <w:rsid w:val="005D1052"/>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rsid w:val="005D1052"/>
    <w:rPr>
      <w:rFonts w:asciiTheme="majorHAnsi" w:eastAsiaTheme="majorEastAsia" w:hAnsiTheme="majorHAnsi" w:cstheme="majorBidi"/>
      <w:b/>
      <w:color w:val="FFFFFF" w:themeColor="background1"/>
      <w:sz w:val="16"/>
      <w:szCs w:val="20"/>
    </w:rPr>
  </w:style>
  <w:style w:type="character" w:customStyle="1" w:styleId="Heading9Char">
    <w:name w:val="Heading 9 Char"/>
    <w:basedOn w:val="DefaultParagraphFont"/>
    <w:link w:val="Heading9"/>
    <w:uiPriority w:val="9"/>
    <w:rsid w:val="005D1052"/>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5D1052"/>
    <w:pPr>
      <w:ind w:left="720"/>
      <w:contextualSpacing/>
    </w:pPr>
  </w:style>
  <w:style w:type="paragraph" w:styleId="NoSpacing">
    <w:name w:val="No Spacing"/>
    <w:uiPriority w:val="1"/>
    <w:qFormat/>
    <w:rsid w:val="005D1052"/>
    <w:pPr>
      <w:spacing w:after="0" w:line="240" w:lineRule="auto"/>
    </w:pPr>
  </w:style>
  <w:style w:type="character" w:styleId="PlaceholderText">
    <w:name w:val="Placeholder Text"/>
    <w:basedOn w:val="DefaultParagraphFont"/>
    <w:uiPriority w:val="99"/>
    <w:semiHidden/>
    <w:rsid w:val="005D1052"/>
    <w:rPr>
      <w:color w:val="808080"/>
    </w:rPr>
  </w:style>
  <w:style w:type="paragraph" w:styleId="BalloonText">
    <w:name w:val="Balloon Text"/>
    <w:basedOn w:val="Normal"/>
    <w:link w:val="BalloonTextChar"/>
    <w:uiPriority w:val="99"/>
    <w:semiHidden/>
    <w:unhideWhenUsed/>
    <w:rsid w:val="005D10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1052"/>
    <w:rPr>
      <w:rFonts w:ascii="Tahoma" w:hAnsi="Tahoma" w:cs="Tahoma"/>
      <w:sz w:val="16"/>
      <w:szCs w:val="16"/>
    </w:rPr>
  </w:style>
  <w:style w:type="paragraph" w:customStyle="1" w:styleId="Normal1">
    <w:name w:val="Normal1"/>
    <w:rsid w:val="005D1052"/>
    <w:pPr>
      <w:spacing w:after="0" w:line="360" w:lineRule="auto"/>
    </w:pPr>
    <w:rPr>
      <w:rFonts w:ascii="Cambria" w:eastAsia="Cambria" w:hAnsi="Cambria" w:cs="Cambria"/>
      <w:color w:val="000000"/>
      <w:sz w:val="24"/>
      <w:szCs w:val="24"/>
    </w:rPr>
  </w:style>
  <w:style w:type="character" w:styleId="CommentReference">
    <w:name w:val="annotation reference"/>
    <w:basedOn w:val="DefaultParagraphFont"/>
    <w:uiPriority w:val="99"/>
    <w:semiHidden/>
    <w:unhideWhenUsed/>
    <w:rsid w:val="005D1052"/>
    <w:rPr>
      <w:sz w:val="18"/>
      <w:szCs w:val="18"/>
    </w:rPr>
  </w:style>
  <w:style w:type="paragraph" w:styleId="CommentText">
    <w:name w:val="annotation text"/>
    <w:basedOn w:val="Normal"/>
    <w:link w:val="CommentTextChar"/>
    <w:uiPriority w:val="99"/>
    <w:unhideWhenUsed/>
    <w:rsid w:val="005D1052"/>
    <w:pPr>
      <w:spacing w:before="240" w:after="120" w:line="240" w:lineRule="auto"/>
    </w:pPr>
    <w:rPr>
      <w:rFonts w:ascii="Cambria" w:eastAsia="Cambria" w:hAnsi="Cambria" w:cs="Cambria"/>
      <w:color w:val="000000"/>
      <w:szCs w:val="24"/>
    </w:rPr>
  </w:style>
  <w:style w:type="character" w:customStyle="1" w:styleId="CommentTextChar">
    <w:name w:val="Comment Text Char"/>
    <w:basedOn w:val="DefaultParagraphFont"/>
    <w:link w:val="CommentText"/>
    <w:uiPriority w:val="99"/>
    <w:rsid w:val="005D1052"/>
    <w:rPr>
      <w:rFonts w:ascii="Cambria" w:eastAsia="Cambria" w:hAnsi="Cambria" w:cs="Cambria"/>
      <w:color w:val="000000"/>
      <w:sz w:val="24"/>
      <w:szCs w:val="24"/>
    </w:rPr>
  </w:style>
  <w:style w:type="paragraph" w:styleId="Caption">
    <w:name w:val="caption"/>
    <w:basedOn w:val="Normal"/>
    <w:next w:val="Normal"/>
    <w:uiPriority w:val="35"/>
    <w:unhideWhenUsed/>
    <w:qFormat/>
    <w:rsid w:val="005D1052"/>
    <w:pPr>
      <w:spacing w:before="240" w:after="720" w:line="240" w:lineRule="auto"/>
      <w:ind w:firstLine="0"/>
      <w:jc w:val="center"/>
    </w:pPr>
    <w:rPr>
      <w:rFonts w:ascii="Times New Roman" w:eastAsia="Cambria" w:hAnsi="Times New Roman" w:cs="Cambria"/>
      <w:b/>
      <w:sz w:val="22"/>
      <w:szCs w:val="18"/>
    </w:rPr>
  </w:style>
  <w:style w:type="paragraph" w:styleId="CommentSubject">
    <w:name w:val="annotation subject"/>
    <w:basedOn w:val="CommentText"/>
    <w:next w:val="CommentText"/>
    <w:link w:val="CommentSubjectChar"/>
    <w:uiPriority w:val="99"/>
    <w:semiHidden/>
    <w:unhideWhenUsed/>
    <w:rsid w:val="005D1052"/>
    <w:pPr>
      <w:spacing w:before="0" w:after="200"/>
    </w:pPr>
    <w:rPr>
      <w:rFonts w:asciiTheme="minorHAnsi" w:eastAsiaTheme="minorHAnsi" w:hAnsiTheme="minorHAnsi" w:cstheme="minorBidi"/>
      <w:b/>
      <w:bCs/>
      <w:color w:val="auto"/>
      <w:sz w:val="20"/>
      <w:szCs w:val="20"/>
    </w:rPr>
  </w:style>
  <w:style w:type="character" w:customStyle="1" w:styleId="CommentSubjectChar">
    <w:name w:val="Comment Subject Char"/>
    <w:basedOn w:val="CommentTextChar"/>
    <w:link w:val="CommentSubject"/>
    <w:uiPriority w:val="99"/>
    <w:semiHidden/>
    <w:rsid w:val="005D1052"/>
    <w:rPr>
      <w:rFonts w:ascii="Cambria" w:eastAsia="Cambria" w:hAnsi="Cambria" w:cs="Cambria"/>
      <w:b/>
      <w:bCs/>
      <w:color w:val="000000"/>
      <w:sz w:val="20"/>
      <w:szCs w:val="20"/>
    </w:rPr>
  </w:style>
  <w:style w:type="paragraph" w:styleId="Header">
    <w:name w:val="header"/>
    <w:basedOn w:val="Normal"/>
    <w:link w:val="HeaderChar"/>
    <w:uiPriority w:val="99"/>
    <w:unhideWhenUsed/>
    <w:rsid w:val="005D1052"/>
    <w:pPr>
      <w:tabs>
        <w:tab w:val="center" w:pos="4320"/>
        <w:tab w:val="right" w:pos="8640"/>
      </w:tabs>
      <w:spacing w:after="0" w:line="240" w:lineRule="auto"/>
    </w:pPr>
  </w:style>
  <w:style w:type="character" w:customStyle="1" w:styleId="HeaderChar">
    <w:name w:val="Header Char"/>
    <w:basedOn w:val="DefaultParagraphFont"/>
    <w:link w:val="Header"/>
    <w:uiPriority w:val="99"/>
    <w:rsid w:val="005D1052"/>
    <w:rPr>
      <w:sz w:val="24"/>
    </w:rPr>
  </w:style>
  <w:style w:type="paragraph" w:styleId="Footer">
    <w:name w:val="footer"/>
    <w:basedOn w:val="Normal"/>
    <w:link w:val="FooterChar"/>
    <w:uiPriority w:val="99"/>
    <w:unhideWhenUsed/>
    <w:rsid w:val="005D1052"/>
    <w:pPr>
      <w:tabs>
        <w:tab w:val="center" w:pos="4320"/>
        <w:tab w:val="right" w:pos="8640"/>
      </w:tabs>
      <w:spacing w:after="0" w:line="240" w:lineRule="auto"/>
    </w:pPr>
  </w:style>
  <w:style w:type="character" w:customStyle="1" w:styleId="FooterChar">
    <w:name w:val="Footer Char"/>
    <w:basedOn w:val="DefaultParagraphFont"/>
    <w:link w:val="Footer"/>
    <w:uiPriority w:val="99"/>
    <w:rsid w:val="005D1052"/>
    <w:rPr>
      <w:sz w:val="24"/>
    </w:rPr>
  </w:style>
  <w:style w:type="character" w:styleId="PageNumber">
    <w:name w:val="page number"/>
    <w:basedOn w:val="DefaultParagraphFont"/>
    <w:uiPriority w:val="99"/>
    <w:semiHidden/>
    <w:unhideWhenUsed/>
    <w:rsid w:val="005D1052"/>
  </w:style>
  <w:style w:type="table" w:styleId="LightShading-Accent1">
    <w:name w:val="Light Shading Accent 1"/>
    <w:basedOn w:val="TableNormal"/>
    <w:uiPriority w:val="60"/>
    <w:rsid w:val="005D1052"/>
    <w:pPr>
      <w:spacing w:after="0" w:line="240" w:lineRule="auto"/>
    </w:pPr>
    <w:rPr>
      <w:rFonts w:eastAsiaTheme="minorEastAsia"/>
      <w:color w:val="2E74B5" w:themeColor="accent1" w:themeShade="BF"/>
      <w:lang w:val="en-US" w:eastAsia="zh-TW"/>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TOCHeading">
    <w:name w:val="TOC Heading"/>
    <w:basedOn w:val="Heading1"/>
    <w:next w:val="Normal"/>
    <w:uiPriority w:val="39"/>
    <w:unhideWhenUsed/>
    <w:qFormat/>
    <w:rsid w:val="005D1052"/>
    <w:pPr>
      <w:pageBreakBefore w:val="0"/>
      <w:numPr>
        <w:numId w:val="0"/>
      </w:numPr>
      <w:pBdr>
        <w:bottom w:val="none" w:sz="0" w:space="0" w:color="auto"/>
      </w:pBdr>
      <w:spacing w:before="480" w:after="0" w:line="276" w:lineRule="auto"/>
      <w:jc w:val="left"/>
      <w:outlineLvl w:val="9"/>
    </w:pPr>
    <w:rPr>
      <w:rFonts w:asciiTheme="majorHAnsi" w:hAnsiTheme="majorHAnsi"/>
      <w:color w:val="2E74B5" w:themeColor="accent1" w:themeShade="BF"/>
      <w:sz w:val="28"/>
      <w:lang w:val="en-US" w:eastAsia="ja-JP"/>
    </w:rPr>
  </w:style>
  <w:style w:type="paragraph" w:styleId="TOC1">
    <w:name w:val="toc 1"/>
    <w:basedOn w:val="Normal"/>
    <w:next w:val="Normal"/>
    <w:autoRedefine/>
    <w:uiPriority w:val="39"/>
    <w:unhideWhenUsed/>
    <w:rsid w:val="005D1052"/>
    <w:pPr>
      <w:tabs>
        <w:tab w:val="left" w:pos="1440"/>
        <w:tab w:val="right" w:leader="dot" w:pos="8488"/>
      </w:tabs>
      <w:spacing w:before="360" w:after="0"/>
      <w:ind w:firstLine="0"/>
      <w:jc w:val="left"/>
    </w:pPr>
    <w:rPr>
      <w:b/>
      <w:bCs/>
      <w:caps/>
      <w:szCs w:val="24"/>
    </w:rPr>
  </w:style>
  <w:style w:type="paragraph" w:styleId="TOC2">
    <w:name w:val="toc 2"/>
    <w:basedOn w:val="Normal"/>
    <w:next w:val="Normal"/>
    <w:autoRedefine/>
    <w:uiPriority w:val="39"/>
    <w:unhideWhenUsed/>
    <w:rsid w:val="005D1052"/>
    <w:pPr>
      <w:spacing w:before="240" w:after="0"/>
      <w:jc w:val="left"/>
    </w:pPr>
    <w:rPr>
      <w:b/>
      <w:bCs/>
      <w:szCs w:val="20"/>
    </w:rPr>
  </w:style>
  <w:style w:type="paragraph" w:styleId="TOC3">
    <w:name w:val="toc 3"/>
    <w:basedOn w:val="Normal"/>
    <w:next w:val="Normal"/>
    <w:autoRedefine/>
    <w:uiPriority w:val="39"/>
    <w:unhideWhenUsed/>
    <w:rsid w:val="005D1052"/>
    <w:pPr>
      <w:spacing w:after="0"/>
      <w:ind w:left="240"/>
      <w:jc w:val="left"/>
    </w:pPr>
    <w:rPr>
      <w:szCs w:val="20"/>
    </w:rPr>
  </w:style>
  <w:style w:type="character" w:styleId="Hyperlink">
    <w:name w:val="Hyperlink"/>
    <w:basedOn w:val="DefaultParagraphFont"/>
    <w:uiPriority w:val="99"/>
    <w:unhideWhenUsed/>
    <w:rsid w:val="005D1052"/>
    <w:rPr>
      <w:color w:val="0563C1" w:themeColor="hyperlink"/>
      <w:u w:val="single"/>
    </w:rPr>
  </w:style>
  <w:style w:type="paragraph" w:styleId="TOC4">
    <w:name w:val="toc 4"/>
    <w:basedOn w:val="Normal"/>
    <w:next w:val="Normal"/>
    <w:autoRedefine/>
    <w:uiPriority w:val="39"/>
    <w:unhideWhenUsed/>
    <w:rsid w:val="005D1052"/>
    <w:pPr>
      <w:spacing w:after="0"/>
      <w:ind w:left="480"/>
      <w:jc w:val="left"/>
    </w:pPr>
    <w:rPr>
      <w:szCs w:val="20"/>
    </w:rPr>
  </w:style>
  <w:style w:type="paragraph" w:styleId="Revision">
    <w:name w:val="Revision"/>
    <w:hidden/>
    <w:uiPriority w:val="99"/>
    <w:semiHidden/>
    <w:rsid w:val="005D1052"/>
    <w:pPr>
      <w:spacing w:after="0" w:line="240" w:lineRule="auto"/>
    </w:pPr>
  </w:style>
  <w:style w:type="paragraph" w:styleId="Quote">
    <w:name w:val="Quote"/>
    <w:basedOn w:val="Normal"/>
    <w:next w:val="Normal"/>
    <w:link w:val="QuoteChar"/>
    <w:autoRedefine/>
    <w:uiPriority w:val="29"/>
    <w:qFormat/>
    <w:rsid w:val="005D1052"/>
    <w:pPr>
      <w:spacing w:before="120" w:line="240" w:lineRule="auto"/>
      <w:ind w:firstLine="0"/>
    </w:pPr>
    <w:rPr>
      <w:iCs/>
      <w:color w:val="000000" w:themeColor="text1"/>
    </w:rPr>
  </w:style>
  <w:style w:type="character" w:customStyle="1" w:styleId="QuoteChar">
    <w:name w:val="Quote Char"/>
    <w:basedOn w:val="DefaultParagraphFont"/>
    <w:link w:val="Quote"/>
    <w:uiPriority w:val="29"/>
    <w:rsid w:val="005D1052"/>
    <w:rPr>
      <w:iCs/>
      <w:color w:val="000000" w:themeColor="text1"/>
      <w:sz w:val="24"/>
    </w:rPr>
  </w:style>
  <w:style w:type="paragraph" w:styleId="Title">
    <w:name w:val="Title"/>
    <w:basedOn w:val="Normal1"/>
    <w:next w:val="Normal1"/>
    <w:link w:val="TitleChar"/>
    <w:rsid w:val="005D1052"/>
    <w:pPr>
      <w:keepNext/>
      <w:keepLines/>
      <w:spacing w:before="480" w:after="120"/>
      <w:contextualSpacing/>
    </w:pPr>
    <w:rPr>
      <w:b/>
      <w:sz w:val="72"/>
    </w:rPr>
  </w:style>
  <w:style w:type="character" w:customStyle="1" w:styleId="TitleChar">
    <w:name w:val="Title Char"/>
    <w:basedOn w:val="DefaultParagraphFont"/>
    <w:link w:val="Title"/>
    <w:rsid w:val="005D1052"/>
    <w:rPr>
      <w:rFonts w:ascii="Cambria" w:eastAsia="Cambria" w:hAnsi="Cambria" w:cs="Cambria"/>
      <w:b/>
      <w:color w:val="000000"/>
      <w:sz w:val="72"/>
      <w:szCs w:val="24"/>
    </w:rPr>
  </w:style>
  <w:style w:type="paragraph" w:styleId="Subtitle">
    <w:name w:val="Subtitle"/>
    <w:basedOn w:val="Normal1"/>
    <w:next w:val="Normal1"/>
    <w:link w:val="SubtitleChar"/>
    <w:rsid w:val="005D1052"/>
    <w:pPr>
      <w:keepNext/>
      <w:keepLines/>
      <w:spacing w:before="360" w:after="80"/>
      <w:contextualSpacing/>
    </w:pPr>
    <w:rPr>
      <w:rFonts w:ascii="Georgia" w:eastAsia="Georgia" w:hAnsi="Georgia" w:cs="Georgia"/>
      <w:i/>
      <w:color w:val="666666"/>
      <w:sz w:val="48"/>
    </w:rPr>
  </w:style>
  <w:style w:type="character" w:customStyle="1" w:styleId="SubtitleChar">
    <w:name w:val="Subtitle Char"/>
    <w:basedOn w:val="DefaultParagraphFont"/>
    <w:link w:val="Subtitle"/>
    <w:rsid w:val="005D1052"/>
    <w:rPr>
      <w:rFonts w:ascii="Georgia" w:eastAsia="Georgia" w:hAnsi="Georgia" w:cs="Georgia"/>
      <w:i/>
      <w:color w:val="666666"/>
      <w:sz w:val="48"/>
      <w:szCs w:val="24"/>
    </w:rPr>
  </w:style>
  <w:style w:type="paragraph" w:styleId="NormalWeb">
    <w:name w:val="Normal (Web)"/>
    <w:basedOn w:val="Normal"/>
    <w:uiPriority w:val="99"/>
    <w:unhideWhenUsed/>
    <w:rsid w:val="005D1052"/>
    <w:pPr>
      <w:spacing w:before="100" w:beforeAutospacing="1" w:after="100" w:afterAutospacing="1" w:line="240" w:lineRule="auto"/>
    </w:pPr>
    <w:rPr>
      <w:rFonts w:ascii="Times" w:eastAsia="Cambria" w:hAnsi="Times" w:cs="Times New Roman"/>
      <w:sz w:val="20"/>
      <w:szCs w:val="20"/>
    </w:rPr>
  </w:style>
  <w:style w:type="character" w:customStyle="1" w:styleId="apple-converted-space">
    <w:name w:val="apple-converted-space"/>
    <w:basedOn w:val="DefaultParagraphFont"/>
    <w:rsid w:val="005D1052"/>
  </w:style>
  <w:style w:type="character" w:styleId="Emphasis">
    <w:name w:val="Emphasis"/>
    <w:basedOn w:val="DefaultParagraphFont"/>
    <w:uiPriority w:val="20"/>
    <w:qFormat/>
    <w:rsid w:val="005D1052"/>
    <w:rPr>
      <w:i/>
      <w:iCs/>
    </w:rPr>
  </w:style>
  <w:style w:type="paragraph" w:styleId="FootnoteText">
    <w:name w:val="footnote text"/>
    <w:basedOn w:val="Normal"/>
    <w:link w:val="FootnoteTextChar"/>
    <w:uiPriority w:val="99"/>
    <w:unhideWhenUsed/>
    <w:rsid w:val="005D1052"/>
    <w:pPr>
      <w:spacing w:after="0" w:line="240" w:lineRule="auto"/>
    </w:pPr>
    <w:rPr>
      <w:rFonts w:ascii="Cambria" w:eastAsia="Cambria" w:hAnsi="Cambria" w:cs="Cambria"/>
      <w:color w:val="000000"/>
      <w:szCs w:val="24"/>
    </w:rPr>
  </w:style>
  <w:style w:type="character" w:customStyle="1" w:styleId="FootnoteTextChar">
    <w:name w:val="Footnote Text Char"/>
    <w:basedOn w:val="DefaultParagraphFont"/>
    <w:link w:val="FootnoteText"/>
    <w:uiPriority w:val="99"/>
    <w:rsid w:val="005D1052"/>
    <w:rPr>
      <w:rFonts w:ascii="Cambria" w:eastAsia="Cambria" w:hAnsi="Cambria" w:cs="Cambria"/>
      <w:color w:val="000000"/>
      <w:sz w:val="24"/>
      <w:szCs w:val="24"/>
    </w:rPr>
  </w:style>
  <w:style w:type="character" w:styleId="FootnoteReference">
    <w:name w:val="footnote reference"/>
    <w:basedOn w:val="DefaultParagraphFont"/>
    <w:uiPriority w:val="99"/>
    <w:unhideWhenUsed/>
    <w:rsid w:val="005D1052"/>
    <w:rPr>
      <w:vertAlign w:val="superscript"/>
    </w:rPr>
  </w:style>
  <w:style w:type="character" w:styleId="BookTitle">
    <w:name w:val="Book Title"/>
    <w:basedOn w:val="DefaultParagraphFont"/>
    <w:uiPriority w:val="33"/>
    <w:qFormat/>
    <w:rsid w:val="005D1052"/>
    <w:rPr>
      <w:b/>
      <w:bCs/>
      <w:smallCaps/>
      <w:spacing w:val="5"/>
    </w:rPr>
  </w:style>
  <w:style w:type="table" w:styleId="TableGrid">
    <w:name w:val="Table Grid"/>
    <w:basedOn w:val="TableNormal"/>
    <w:uiPriority w:val="59"/>
    <w:rsid w:val="005D10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5D1052"/>
    <w:pPr>
      <w:spacing w:after="0"/>
      <w:ind w:left="480" w:hanging="480"/>
      <w:jc w:val="left"/>
    </w:pPr>
    <w:rPr>
      <w:szCs w:val="20"/>
    </w:rPr>
  </w:style>
  <w:style w:type="paragraph" w:styleId="TOC5">
    <w:name w:val="toc 5"/>
    <w:basedOn w:val="Normal"/>
    <w:next w:val="Normal"/>
    <w:autoRedefine/>
    <w:uiPriority w:val="39"/>
    <w:unhideWhenUsed/>
    <w:rsid w:val="005D1052"/>
    <w:pPr>
      <w:spacing w:after="0"/>
      <w:ind w:left="720"/>
      <w:jc w:val="left"/>
    </w:pPr>
    <w:rPr>
      <w:szCs w:val="20"/>
    </w:rPr>
  </w:style>
  <w:style w:type="paragraph" w:styleId="TOC6">
    <w:name w:val="toc 6"/>
    <w:basedOn w:val="Normal"/>
    <w:next w:val="Normal"/>
    <w:autoRedefine/>
    <w:uiPriority w:val="39"/>
    <w:unhideWhenUsed/>
    <w:rsid w:val="005D1052"/>
    <w:pPr>
      <w:spacing w:after="0"/>
      <w:ind w:left="960"/>
      <w:jc w:val="left"/>
    </w:pPr>
    <w:rPr>
      <w:sz w:val="20"/>
      <w:szCs w:val="20"/>
    </w:rPr>
  </w:style>
  <w:style w:type="paragraph" w:styleId="TOC7">
    <w:name w:val="toc 7"/>
    <w:basedOn w:val="Normal"/>
    <w:next w:val="Normal"/>
    <w:autoRedefine/>
    <w:uiPriority w:val="39"/>
    <w:unhideWhenUsed/>
    <w:rsid w:val="005D1052"/>
    <w:pPr>
      <w:spacing w:after="0"/>
      <w:ind w:left="1200"/>
      <w:jc w:val="left"/>
    </w:pPr>
    <w:rPr>
      <w:sz w:val="20"/>
      <w:szCs w:val="20"/>
    </w:rPr>
  </w:style>
  <w:style w:type="paragraph" w:styleId="TOC8">
    <w:name w:val="toc 8"/>
    <w:basedOn w:val="Normal"/>
    <w:next w:val="Normal"/>
    <w:autoRedefine/>
    <w:uiPriority w:val="39"/>
    <w:unhideWhenUsed/>
    <w:rsid w:val="005D1052"/>
    <w:pPr>
      <w:spacing w:after="0"/>
      <w:ind w:left="1440"/>
      <w:jc w:val="left"/>
    </w:pPr>
    <w:rPr>
      <w:sz w:val="20"/>
      <w:szCs w:val="20"/>
    </w:rPr>
  </w:style>
  <w:style w:type="paragraph" w:styleId="TOC9">
    <w:name w:val="toc 9"/>
    <w:basedOn w:val="Normal"/>
    <w:next w:val="Normal"/>
    <w:autoRedefine/>
    <w:uiPriority w:val="39"/>
    <w:unhideWhenUsed/>
    <w:rsid w:val="005D1052"/>
    <w:pPr>
      <w:spacing w:after="0"/>
      <w:ind w:left="1680"/>
      <w:jc w:val="left"/>
    </w:pPr>
    <w:rPr>
      <w:sz w:val="20"/>
      <w:szCs w:val="20"/>
    </w:rPr>
  </w:style>
  <w:style w:type="paragraph" w:customStyle="1" w:styleId="Style1">
    <w:name w:val="Style1"/>
    <w:basedOn w:val="TableofFigures"/>
    <w:autoRedefine/>
    <w:qFormat/>
    <w:rsid w:val="005D1052"/>
    <w:pPr>
      <w:numPr>
        <w:numId w:val="19"/>
      </w:numPr>
      <w:tabs>
        <w:tab w:val="right" w:leader="dot" w:pos="9010"/>
      </w:tabs>
      <w:ind w:right="284"/>
    </w:pPr>
    <w:rPr>
      <w:noProof/>
    </w:rPr>
  </w:style>
  <w:style w:type="paragraph" w:customStyle="1" w:styleId="References">
    <w:name w:val="References"/>
    <w:basedOn w:val="Normal"/>
    <w:qFormat/>
    <w:rsid w:val="005D1052"/>
    <w:pPr>
      <w:spacing w:after="0" w:line="240" w:lineRule="auto"/>
      <w:ind w:firstLine="0"/>
    </w:pPr>
    <w:rPr>
      <w:rFonts w:ascii="Times New Roman" w:eastAsia="Times New Roman" w:hAnsi="Times New Roman" w:cs="Times New Roman"/>
      <w:sz w:val="20"/>
      <w:szCs w:val="24"/>
    </w:rPr>
  </w:style>
  <w:style w:type="character" w:customStyle="1" w:styleId="il">
    <w:name w:val="il"/>
    <w:rsid w:val="005D10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footer" Target="footer8.xml"/><Relationship Id="rId42" Type="http://schemas.openxmlformats.org/officeDocument/2006/relationships/image" Target="media/image14.png"/><Relationship Id="rId47" Type="http://schemas.openxmlformats.org/officeDocument/2006/relationships/oleObject" Target="embeddings/oleObject1.bin"/><Relationship Id="rId63" Type="http://schemas.openxmlformats.org/officeDocument/2006/relationships/image" Target="media/image34.png"/><Relationship Id="rId68" Type="http://schemas.openxmlformats.org/officeDocument/2006/relationships/header" Target="header10.xml"/><Relationship Id="rId84" Type="http://schemas.openxmlformats.org/officeDocument/2006/relationships/oleObject" Target="embeddings/oleObject2.bin"/><Relationship Id="rId89" Type="http://schemas.openxmlformats.org/officeDocument/2006/relationships/image" Target="media/image46.emf"/><Relationship Id="rId112" Type="http://schemas.microsoft.com/office/2007/relationships/hdphoto" Target="media/hdphoto2.wdp"/><Relationship Id="rId133" Type="http://schemas.openxmlformats.org/officeDocument/2006/relationships/image" Target="media/image84.png"/><Relationship Id="rId138" Type="http://schemas.openxmlformats.org/officeDocument/2006/relationships/image" Target="media/image89.png"/><Relationship Id="rId154" Type="http://schemas.openxmlformats.org/officeDocument/2006/relationships/image" Target="media/image105.png"/><Relationship Id="rId159" Type="http://schemas.openxmlformats.org/officeDocument/2006/relationships/image" Target="media/image110.png"/><Relationship Id="rId175" Type="http://schemas.openxmlformats.org/officeDocument/2006/relationships/image" Target="media/image126.png"/><Relationship Id="rId170" Type="http://schemas.openxmlformats.org/officeDocument/2006/relationships/image" Target="media/image121.png"/><Relationship Id="rId191" Type="http://schemas.microsoft.com/office/2007/relationships/hdphoto" Target="media/hdphoto3.wdp"/><Relationship Id="rId196" Type="http://schemas.openxmlformats.org/officeDocument/2006/relationships/theme" Target="theme/theme1.xml"/><Relationship Id="rId16" Type="http://schemas.openxmlformats.org/officeDocument/2006/relationships/footer" Target="footer6.xml"/><Relationship Id="rId107" Type="http://schemas.openxmlformats.org/officeDocument/2006/relationships/image" Target="media/image63.png"/><Relationship Id="rId11" Type="http://schemas.openxmlformats.org/officeDocument/2006/relationships/footer" Target="footer1.xml"/><Relationship Id="rId32" Type="http://schemas.openxmlformats.org/officeDocument/2006/relationships/image" Target="media/image9.png"/><Relationship Id="rId37" Type="http://schemas.openxmlformats.org/officeDocument/2006/relationships/header" Target="header7.xml"/><Relationship Id="rId53" Type="http://schemas.openxmlformats.org/officeDocument/2006/relationships/image" Target="media/image24.png"/><Relationship Id="rId58" Type="http://schemas.openxmlformats.org/officeDocument/2006/relationships/image" Target="media/image29.png"/><Relationship Id="rId74" Type="http://schemas.openxmlformats.org/officeDocument/2006/relationships/header" Target="header11.xml"/><Relationship Id="rId79" Type="http://schemas.openxmlformats.org/officeDocument/2006/relationships/footer" Target="footer16.xml"/><Relationship Id="rId102" Type="http://schemas.openxmlformats.org/officeDocument/2006/relationships/image" Target="media/image58.png"/><Relationship Id="rId123" Type="http://schemas.openxmlformats.org/officeDocument/2006/relationships/header" Target="header19.xml"/><Relationship Id="rId128" Type="http://schemas.openxmlformats.org/officeDocument/2006/relationships/image" Target="media/image79.png"/><Relationship Id="rId144" Type="http://schemas.openxmlformats.org/officeDocument/2006/relationships/image" Target="media/image95.png"/><Relationship Id="rId149" Type="http://schemas.openxmlformats.org/officeDocument/2006/relationships/image" Target="media/image100.png"/><Relationship Id="rId5" Type="http://schemas.openxmlformats.org/officeDocument/2006/relationships/webSettings" Target="webSettings.xml"/><Relationship Id="rId90" Type="http://schemas.openxmlformats.org/officeDocument/2006/relationships/image" Target="media/image47.wmf"/><Relationship Id="rId95" Type="http://schemas.openxmlformats.org/officeDocument/2006/relationships/image" Target="media/image51.emf"/><Relationship Id="rId160" Type="http://schemas.openxmlformats.org/officeDocument/2006/relationships/image" Target="media/image111.png"/><Relationship Id="rId165" Type="http://schemas.openxmlformats.org/officeDocument/2006/relationships/image" Target="media/image116.png"/><Relationship Id="rId181" Type="http://schemas.openxmlformats.org/officeDocument/2006/relationships/footer" Target="footer18.xml"/><Relationship Id="rId186" Type="http://schemas.openxmlformats.org/officeDocument/2006/relationships/header" Target="header25.xml"/><Relationship Id="rId22" Type="http://schemas.openxmlformats.org/officeDocument/2006/relationships/footer" Target="footer9.xml"/><Relationship Id="rId27" Type="http://schemas.openxmlformats.org/officeDocument/2006/relationships/image" Target="media/image4.png"/><Relationship Id="rId43" Type="http://schemas.openxmlformats.org/officeDocument/2006/relationships/image" Target="media/image15.png"/><Relationship Id="rId48" Type="http://schemas.openxmlformats.org/officeDocument/2006/relationships/image" Target="media/image19.jpg"/><Relationship Id="rId64" Type="http://schemas.openxmlformats.org/officeDocument/2006/relationships/image" Target="media/image35.png"/><Relationship Id="rId69" Type="http://schemas.openxmlformats.org/officeDocument/2006/relationships/footer" Target="footer15.xml"/><Relationship Id="rId113" Type="http://schemas.openxmlformats.org/officeDocument/2006/relationships/image" Target="media/image68.png"/><Relationship Id="rId118" Type="http://schemas.openxmlformats.org/officeDocument/2006/relationships/image" Target="media/image73.png"/><Relationship Id="rId134" Type="http://schemas.openxmlformats.org/officeDocument/2006/relationships/image" Target="media/image85.png"/><Relationship Id="rId139" Type="http://schemas.openxmlformats.org/officeDocument/2006/relationships/image" Target="media/image90.png"/><Relationship Id="rId80" Type="http://schemas.openxmlformats.org/officeDocument/2006/relationships/header" Target="header16.xml"/><Relationship Id="rId85" Type="http://schemas.openxmlformats.org/officeDocument/2006/relationships/image" Target="media/image43.emf"/><Relationship Id="rId150" Type="http://schemas.openxmlformats.org/officeDocument/2006/relationships/image" Target="media/image101.wmf"/><Relationship Id="rId155" Type="http://schemas.openxmlformats.org/officeDocument/2006/relationships/image" Target="media/image106.png"/><Relationship Id="rId171" Type="http://schemas.openxmlformats.org/officeDocument/2006/relationships/image" Target="media/image122.png"/><Relationship Id="rId176" Type="http://schemas.openxmlformats.org/officeDocument/2006/relationships/image" Target="media/image127.png"/><Relationship Id="rId192" Type="http://schemas.openxmlformats.org/officeDocument/2006/relationships/header" Target="header28.xml"/><Relationship Id="rId12" Type="http://schemas.openxmlformats.org/officeDocument/2006/relationships/footer" Target="footer2.xml"/><Relationship Id="rId17" Type="http://schemas.openxmlformats.org/officeDocument/2006/relationships/footer" Target="footer7.xml"/><Relationship Id="rId33" Type="http://schemas.openxmlformats.org/officeDocument/2006/relationships/image" Target="media/image10.png"/><Relationship Id="rId38" Type="http://schemas.openxmlformats.org/officeDocument/2006/relationships/footer" Target="footer13.xml"/><Relationship Id="rId59" Type="http://schemas.openxmlformats.org/officeDocument/2006/relationships/image" Target="media/image30.png"/><Relationship Id="rId103" Type="http://schemas.openxmlformats.org/officeDocument/2006/relationships/image" Target="media/image59.png"/><Relationship Id="rId108" Type="http://schemas.openxmlformats.org/officeDocument/2006/relationships/image" Target="media/image64.png"/><Relationship Id="rId124" Type="http://schemas.openxmlformats.org/officeDocument/2006/relationships/image" Target="media/image75.png"/><Relationship Id="rId129" Type="http://schemas.openxmlformats.org/officeDocument/2006/relationships/image" Target="media/image80.png"/><Relationship Id="rId54" Type="http://schemas.openxmlformats.org/officeDocument/2006/relationships/image" Target="media/image25.jpeg"/><Relationship Id="rId70" Type="http://schemas.openxmlformats.org/officeDocument/2006/relationships/image" Target="media/image36.png"/><Relationship Id="rId75" Type="http://schemas.openxmlformats.org/officeDocument/2006/relationships/header" Target="header12.xml"/><Relationship Id="rId91" Type="http://schemas.openxmlformats.org/officeDocument/2006/relationships/oleObject" Target="embeddings/oleObject4.bin"/><Relationship Id="rId96" Type="http://schemas.openxmlformats.org/officeDocument/2006/relationships/image" Target="media/image52.png"/><Relationship Id="rId140" Type="http://schemas.openxmlformats.org/officeDocument/2006/relationships/image" Target="media/image91.png"/><Relationship Id="rId145" Type="http://schemas.openxmlformats.org/officeDocument/2006/relationships/image" Target="media/image96.png"/><Relationship Id="rId161" Type="http://schemas.openxmlformats.org/officeDocument/2006/relationships/image" Target="media/image112.png"/><Relationship Id="rId166" Type="http://schemas.openxmlformats.org/officeDocument/2006/relationships/image" Target="media/image117.png"/><Relationship Id="rId182" Type="http://schemas.openxmlformats.org/officeDocument/2006/relationships/header" Target="header22.xml"/><Relationship Id="rId187" Type="http://schemas.openxmlformats.org/officeDocument/2006/relationships/footer" Target="footer20.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image" Target="media/image5.png"/><Relationship Id="rId49" Type="http://schemas.openxmlformats.org/officeDocument/2006/relationships/image" Target="media/image20.png"/><Relationship Id="rId114" Type="http://schemas.openxmlformats.org/officeDocument/2006/relationships/image" Target="media/image69.png"/><Relationship Id="rId119" Type="http://schemas.openxmlformats.org/officeDocument/2006/relationships/image" Target="media/image74.png"/><Relationship Id="rId44" Type="http://schemas.openxmlformats.org/officeDocument/2006/relationships/image" Target="media/image16.png"/><Relationship Id="rId60" Type="http://schemas.openxmlformats.org/officeDocument/2006/relationships/image" Target="media/image31.png"/><Relationship Id="rId65" Type="http://schemas.openxmlformats.org/officeDocument/2006/relationships/header" Target="header8.xml"/><Relationship Id="rId81" Type="http://schemas.openxmlformats.org/officeDocument/2006/relationships/image" Target="media/image40.png"/><Relationship Id="rId86" Type="http://schemas.openxmlformats.org/officeDocument/2006/relationships/oleObject" Target="embeddings/oleObject3.bin"/><Relationship Id="rId130" Type="http://schemas.openxmlformats.org/officeDocument/2006/relationships/image" Target="media/image81.png"/><Relationship Id="rId135" Type="http://schemas.openxmlformats.org/officeDocument/2006/relationships/image" Target="media/image86.png"/><Relationship Id="rId151" Type="http://schemas.openxmlformats.org/officeDocument/2006/relationships/image" Target="media/image102.png"/><Relationship Id="rId156" Type="http://schemas.openxmlformats.org/officeDocument/2006/relationships/image" Target="media/image107.png"/><Relationship Id="rId177" Type="http://schemas.openxmlformats.org/officeDocument/2006/relationships/image" Target="media/image128.png"/><Relationship Id="rId172" Type="http://schemas.openxmlformats.org/officeDocument/2006/relationships/image" Target="media/image123.png"/><Relationship Id="rId193" Type="http://schemas.openxmlformats.org/officeDocument/2006/relationships/image" Target="media/image131.png"/><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11.png"/><Relationship Id="rId109" Type="http://schemas.openxmlformats.org/officeDocument/2006/relationships/image" Target="media/image65.png"/><Relationship Id="rId34" Type="http://schemas.openxmlformats.org/officeDocument/2006/relationships/header" Target="header5.xml"/><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header" Target="header13.xml"/><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header" Target="header17.xml"/><Relationship Id="rId125" Type="http://schemas.openxmlformats.org/officeDocument/2006/relationships/image" Target="media/image76.png"/><Relationship Id="rId141" Type="http://schemas.openxmlformats.org/officeDocument/2006/relationships/image" Target="media/image92.png"/><Relationship Id="rId146" Type="http://schemas.openxmlformats.org/officeDocument/2006/relationships/image" Target="media/image97.png"/><Relationship Id="rId167" Type="http://schemas.openxmlformats.org/officeDocument/2006/relationships/image" Target="media/image118.png"/><Relationship Id="rId188" Type="http://schemas.openxmlformats.org/officeDocument/2006/relationships/header" Target="header26.xml"/><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48.emf"/><Relationship Id="rId162" Type="http://schemas.openxmlformats.org/officeDocument/2006/relationships/image" Target="media/image113.png"/><Relationship Id="rId183" Type="http://schemas.openxmlformats.org/officeDocument/2006/relationships/header" Target="header23.xml"/><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footer" Target="footer10.xml"/><Relationship Id="rId40" Type="http://schemas.openxmlformats.org/officeDocument/2006/relationships/image" Target="media/image12.png"/><Relationship Id="rId45" Type="http://schemas.openxmlformats.org/officeDocument/2006/relationships/image" Target="media/image17.wmf"/><Relationship Id="rId66" Type="http://schemas.openxmlformats.org/officeDocument/2006/relationships/header" Target="header9.xml"/><Relationship Id="rId87" Type="http://schemas.openxmlformats.org/officeDocument/2006/relationships/image" Target="media/image44.png"/><Relationship Id="rId110" Type="http://schemas.openxmlformats.org/officeDocument/2006/relationships/image" Target="media/image66.png"/><Relationship Id="rId115" Type="http://schemas.openxmlformats.org/officeDocument/2006/relationships/image" Target="media/image70.png"/><Relationship Id="rId131" Type="http://schemas.openxmlformats.org/officeDocument/2006/relationships/image" Target="media/image82.png"/><Relationship Id="rId136" Type="http://schemas.openxmlformats.org/officeDocument/2006/relationships/image" Target="media/image87.png"/><Relationship Id="rId157" Type="http://schemas.openxmlformats.org/officeDocument/2006/relationships/image" Target="media/image108.png"/><Relationship Id="rId178" Type="http://schemas.openxmlformats.org/officeDocument/2006/relationships/image" Target="media/image129.png"/><Relationship Id="rId61" Type="http://schemas.openxmlformats.org/officeDocument/2006/relationships/image" Target="media/image32.png"/><Relationship Id="rId82" Type="http://schemas.openxmlformats.org/officeDocument/2006/relationships/image" Target="media/image41.wmf"/><Relationship Id="rId152" Type="http://schemas.openxmlformats.org/officeDocument/2006/relationships/image" Target="media/image103.wmf"/><Relationship Id="rId173" Type="http://schemas.openxmlformats.org/officeDocument/2006/relationships/image" Target="media/image124.png"/><Relationship Id="rId194" Type="http://schemas.openxmlformats.org/officeDocument/2006/relationships/header" Target="header29.xml"/><Relationship Id="rId19" Type="http://schemas.openxmlformats.org/officeDocument/2006/relationships/header" Target="header1.xml"/><Relationship Id="rId14" Type="http://schemas.openxmlformats.org/officeDocument/2006/relationships/footer" Target="footer4.xml"/><Relationship Id="rId30" Type="http://schemas.openxmlformats.org/officeDocument/2006/relationships/image" Target="media/image7.png"/><Relationship Id="rId35" Type="http://schemas.openxmlformats.org/officeDocument/2006/relationships/header" Target="header6.xml"/><Relationship Id="rId56" Type="http://schemas.openxmlformats.org/officeDocument/2006/relationships/image" Target="media/image27.png"/><Relationship Id="rId77" Type="http://schemas.openxmlformats.org/officeDocument/2006/relationships/header" Target="header14.xml"/><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77.png"/><Relationship Id="rId147" Type="http://schemas.openxmlformats.org/officeDocument/2006/relationships/image" Target="media/image98.png"/><Relationship Id="rId168" Type="http://schemas.openxmlformats.org/officeDocument/2006/relationships/image" Target="media/image119.png"/><Relationship Id="rId8" Type="http://schemas.openxmlformats.org/officeDocument/2006/relationships/image" Target="media/image1.jpeg"/><Relationship Id="rId51" Type="http://schemas.openxmlformats.org/officeDocument/2006/relationships/image" Target="media/image22.png"/><Relationship Id="rId72" Type="http://schemas.openxmlformats.org/officeDocument/2006/relationships/image" Target="media/image38.png"/><Relationship Id="rId93" Type="http://schemas.openxmlformats.org/officeDocument/2006/relationships/image" Target="media/image49.emf"/><Relationship Id="rId98" Type="http://schemas.openxmlformats.org/officeDocument/2006/relationships/image" Target="media/image54.png"/><Relationship Id="rId121" Type="http://schemas.openxmlformats.org/officeDocument/2006/relationships/header" Target="header18.xml"/><Relationship Id="rId142" Type="http://schemas.openxmlformats.org/officeDocument/2006/relationships/image" Target="media/image93.png"/><Relationship Id="rId163" Type="http://schemas.openxmlformats.org/officeDocument/2006/relationships/image" Target="media/image114.png"/><Relationship Id="rId184" Type="http://schemas.openxmlformats.org/officeDocument/2006/relationships/footer" Target="footer19.xml"/><Relationship Id="rId189" Type="http://schemas.openxmlformats.org/officeDocument/2006/relationships/header" Target="header27.xml"/><Relationship Id="rId3" Type="http://schemas.openxmlformats.org/officeDocument/2006/relationships/styles" Target="styles.xml"/><Relationship Id="rId25" Type="http://schemas.openxmlformats.org/officeDocument/2006/relationships/header" Target="header4.xml"/><Relationship Id="rId46" Type="http://schemas.openxmlformats.org/officeDocument/2006/relationships/image" Target="media/image18.wmf"/><Relationship Id="rId67" Type="http://schemas.openxmlformats.org/officeDocument/2006/relationships/footer" Target="footer14.xml"/><Relationship Id="rId116" Type="http://schemas.openxmlformats.org/officeDocument/2006/relationships/image" Target="media/image71.png"/><Relationship Id="rId137" Type="http://schemas.openxmlformats.org/officeDocument/2006/relationships/image" Target="media/image88.png"/><Relationship Id="rId158" Type="http://schemas.openxmlformats.org/officeDocument/2006/relationships/image" Target="media/image109.png"/><Relationship Id="rId20" Type="http://schemas.openxmlformats.org/officeDocument/2006/relationships/header" Target="header2.xml"/><Relationship Id="rId41" Type="http://schemas.openxmlformats.org/officeDocument/2006/relationships/image" Target="media/image13.jpg"/><Relationship Id="rId62" Type="http://schemas.openxmlformats.org/officeDocument/2006/relationships/image" Target="media/image33.png"/><Relationship Id="rId83" Type="http://schemas.openxmlformats.org/officeDocument/2006/relationships/image" Target="media/image42.emf"/><Relationship Id="rId88" Type="http://schemas.openxmlformats.org/officeDocument/2006/relationships/image" Target="media/image45.png"/><Relationship Id="rId111" Type="http://schemas.openxmlformats.org/officeDocument/2006/relationships/image" Target="media/image67.png"/><Relationship Id="rId132" Type="http://schemas.openxmlformats.org/officeDocument/2006/relationships/image" Target="media/image83.png"/><Relationship Id="rId153" Type="http://schemas.openxmlformats.org/officeDocument/2006/relationships/image" Target="media/image104.wmf"/><Relationship Id="rId174" Type="http://schemas.openxmlformats.org/officeDocument/2006/relationships/image" Target="media/image125.png"/><Relationship Id="rId179" Type="http://schemas.openxmlformats.org/officeDocument/2006/relationships/header" Target="header20.xml"/><Relationship Id="rId195" Type="http://schemas.openxmlformats.org/officeDocument/2006/relationships/fontTable" Target="fontTable.xml"/><Relationship Id="rId190" Type="http://schemas.openxmlformats.org/officeDocument/2006/relationships/image" Target="media/image130.png"/><Relationship Id="rId15" Type="http://schemas.openxmlformats.org/officeDocument/2006/relationships/footer" Target="footer5.xml"/><Relationship Id="rId36" Type="http://schemas.openxmlformats.org/officeDocument/2006/relationships/footer" Target="footer12.xml"/><Relationship Id="rId57" Type="http://schemas.openxmlformats.org/officeDocument/2006/relationships/image" Target="media/image28.png"/><Relationship Id="rId106" Type="http://schemas.openxmlformats.org/officeDocument/2006/relationships/image" Target="media/image62.png"/><Relationship Id="rId127" Type="http://schemas.openxmlformats.org/officeDocument/2006/relationships/image" Target="media/image78.png"/><Relationship Id="rId10" Type="http://schemas.openxmlformats.org/officeDocument/2006/relationships/image" Target="media/image2.png"/><Relationship Id="rId31" Type="http://schemas.openxmlformats.org/officeDocument/2006/relationships/image" Target="media/image8.png"/><Relationship Id="rId52" Type="http://schemas.openxmlformats.org/officeDocument/2006/relationships/image" Target="media/image23.png"/><Relationship Id="rId73" Type="http://schemas.openxmlformats.org/officeDocument/2006/relationships/image" Target="media/image39.png"/><Relationship Id="rId78" Type="http://schemas.openxmlformats.org/officeDocument/2006/relationships/header" Target="header15.xml"/><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footer" Target="footer17.xml"/><Relationship Id="rId143" Type="http://schemas.openxmlformats.org/officeDocument/2006/relationships/image" Target="media/image94.png"/><Relationship Id="rId148" Type="http://schemas.openxmlformats.org/officeDocument/2006/relationships/image" Target="media/image99.png"/><Relationship Id="rId164" Type="http://schemas.openxmlformats.org/officeDocument/2006/relationships/image" Target="media/image115.png"/><Relationship Id="rId169" Type="http://schemas.openxmlformats.org/officeDocument/2006/relationships/image" Target="media/image120.png"/><Relationship Id="rId185" Type="http://schemas.openxmlformats.org/officeDocument/2006/relationships/header" Target="header24.xml"/><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header" Target="header21.xml"/><Relationship Id="rId26" Type="http://schemas.openxmlformats.org/officeDocument/2006/relationships/footer" Target="footer1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CF988643-779F-49CB-AB64-BC78657E9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TotalTime>
  <Pages>232</Pages>
  <Words>108554</Words>
  <Characters>618763</Characters>
  <Application>Microsoft Office Word</Application>
  <DocSecurity>8</DocSecurity>
  <Lines>5156</Lines>
  <Paragraphs>1451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725866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dc:creator>
  <cp:keywords/>
  <dc:description/>
  <cp:lastModifiedBy>AV</cp:lastModifiedBy>
  <cp:revision>19</cp:revision>
  <cp:lastPrinted>2016-03-10T13:01:00Z</cp:lastPrinted>
  <dcterms:created xsi:type="dcterms:W3CDTF">2016-03-10T16:17:00Z</dcterms:created>
  <dcterms:modified xsi:type="dcterms:W3CDTF">2016-07-05T09:00:00Z</dcterms:modified>
</cp:coreProperties>
</file>